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23EAE52">
      <w:pPr>
        <w:bidi w:val="0"/>
        <w:rPr>
          <w:rFonts w:hint="eastAsia"/>
          <w:sz w:val="24"/>
          <w:szCs w:val="24"/>
          <w:lang w:val="en-US" w:eastAsia="zh-CN"/>
        </w:rPr>
      </w:pPr>
      <w:r>
        <w:rPr>
          <w:rFonts w:hint="eastAsia"/>
          <w:sz w:val="24"/>
          <w:szCs w:val="24"/>
          <w:lang w:val="en-US" w:eastAsia="zh-CN"/>
        </w:rPr>
        <w:drawing>
          <wp:inline distT="0" distB="0" distL="114300" distR="114300">
            <wp:extent cx="1809750" cy="723900"/>
            <wp:effectExtent l="0" t="0" r="3810" b="0"/>
            <wp:docPr id="5" name="图片 5" descr="1763745688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1763745688761"/>
                    <pic:cNvPicPr>
                      <a:picLocks noChangeAspect="1"/>
                    </pic:cNvPicPr>
                  </pic:nvPicPr>
                  <pic:blipFill>
                    <a:blip r:embed="rId5"/>
                    <a:stretch>
                      <a:fillRect/>
                    </a:stretch>
                  </pic:blipFill>
                  <pic:spPr>
                    <a:xfrm>
                      <a:off x="0" y="0"/>
                      <a:ext cx="1809750" cy="723900"/>
                    </a:xfrm>
                    <a:prstGeom prst="rect">
                      <a:avLst/>
                    </a:prstGeom>
                  </pic:spPr>
                </pic:pic>
              </a:graphicData>
            </a:graphic>
          </wp:inline>
        </w:drawing>
      </w:r>
    </w:p>
    <w:p w14:paraId="3B10337F">
      <w:pPr>
        <w:bidi w:val="0"/>
        <w:rPr>
          <w:rFonts w:hint="eastAsia"/>
          <w:sz w:val="24"/>
          <w:szCs w:val="24"/>
          <w:lang w:val="en-US" w:eastAsia="zh-CN"/>
        </w:rPr>
      </w:pPr>
    </w:p>
    <w:p w14:paraId="1DD220EF">
      <w:pPr>
        <w:bidi w:val="0"/>
        <w:rPr>
          <w:rFonts w:hint="eastAsia"/>
          <w:sz w:val="24"/>
          <w:szCs w:val="24"/>
          <w:lang w:val="en-US" w:eastAsia="zh-CN"/>
        </w:rPr>
      </w:pPr>
      <w:r>
        <w:rPr>
          <w:rFonts w:hint="eastAsia"/>
          <w:sz w:val="24"/>
          <w:szCs w:val="24"/>
          <w:lang w:val="en-US" w:eastAsia="zh-CN"/>
        </w:rPr>
        <w:t>Tittle ： Intercultural Business Communications Challenges</w:t>
      </w:r>
    </w:p>
    <w:p w14:paraId="0CDE36B7">
      <w:pPr>
        <w:bidi w:val="0"/>
        <w:rPr>
          <w:rFonts w:hint="default"/>
          <w:sz w:val="24"/>
          <w:szCs w:val="24"/>
          <w:lang w:val="en-US" w:eastAsia="zh-CN"/>
        </w:rPr>
      </w:pPr>
    </w:p>
    <w:p w14:paraId="3D780230">
      <w:pPr>
        <w:bidi w:val="0"/>
        <w:rPr>
          <w:rFonts w:hint="default"/>
          <w:sz w:val="24"/>
          <w:szCs w:val="24"/>
          <w:lang w:val="en-US" w:eastAsia="zh-CN"/>
        </w:rPr>
      </w:pPr>
      <w:r>
        <w:rPr>
          <w:rFonts w:hint="eastAsia"/>
          <w:sz w:val="24"/>
          <w:szCs w:val="24"/>
          <w:lang w:val="en-US" w:eastAsia="zh-CN"/>
        </w:rPr>
        <w:t xml:space="preserve">Student name </w:t>
      </w:r>
      <w:r>
        <w:rPr>
          <w:rFonts w:hint="default"/>
          <w:sz w:val="24"/>
          <w:szCs w:val="24"/>
          <w:lang w:val="en-US" w:eastAsia="zh-CN"/>
        </w:rPr>
        <w:t>：</w:t>
      </w:r>
      <w:r>
        <w:rPr>
          <w:rFonts w:hint="eastAsia"/>
          <w:sz w:val="24"/>
          <w:szCs w:val="24"/>
          <w:lang w:val="en-US" w:eastAsia="zh-CN"/>
        </w:rPr>
        <w:t>Haoyang Zhang</w:t>
      </w:r>
    </w:p>
    <w:p w14:paraId="06097558">
      <w:pPr>
        <w:bidi w:val="0"/>
        <w:rPr>
          <w:rFonts w:hint="default"/>
          <w:sz w:val="24"/>
          <w:szCs w:val="24"/>
          <w:lang w:val="en-US" w:eastAsia="zh-CN"/>
        </w:rPr>
      </w:pPr>
    </w:p>
    <w:p w14:paraId="7FAE428A">
      <w:pPr>
        <w:bidi w:val="0"/>
        <w:rPr>
          <w:rFonts w:hint="eastAsia"/>
          <w:sz w:val="24"/>
          <w:szCs w:val="24"/>
          <w:lang w:val="en-US" w:eastAsia="zh-CN"/>
        </w:rPr>
      </w:pPr>
      <w:r>
        <w:rPr>
          <w:rFonts w:hint="eastAsia"/>
          <w:sz w:val="24"/>
          <w:szCs w:val="24"/>
          <w:lang w:val="en-US" w:eastAsia="zh-CN"/>
        </w:rPr>
        <w:t>Student ID : 2404507</w:t>
      </w:r>
    </w:p>
    <w:p w14:paraId="63E13632">
      <w:pPr>
        <w:bidi w:val="0"/>
        <w:rPr>
          <w:rFonts w:hint="default"/>
          <w:sz w:val="24"/>
          <w:szCs w:val="24"/>
          <w:lang w:val="en-US" w:eastAsia="zh-CN"/>
        </w:rPr>
      </w:pPr>
    </w:p>
    <w:p w14:paraId="712662BD">
      <w:pPr>
        <w:bidi w:val="0"/>
        <w:rPr>
          <w:rFonts w:hint="default"/>
          <w:sz w:val="24"/>
          <w:szCs w:val="24"/>
          <w:lang w:val="en-US" w:eastAsia="zh-CN"/>
        </w:rPr>
      </w:pPr>
      <w:r>
        <w:rPr>
          <w:rFonts w:hint="eastAsia"/>
          <w:sz w:val="24"/>
          <w:szCs w:val="24"/>
          <w:lang w:val="en-US" w:eastAsia="zh-CN"/>
        </w:rPr>
        <w:t>Module : International Business Communication</w:t>
      </w:r>
    </w:p>
    <w:p w14:paraId="07E5E8F8">
      <w:pPr>
        <w:bidi w:val="0"/>
        <w:rPr>
          <w:rFonts w:hint="default"/>
          <w:sz w:val="24"/>
          <w:szCs w:val="24"/>
          <w:lang w:val="en-US" w:eastAsia="zh-CN"/>
        </w:rPr>
      </w:pPr>
    </w:p>
    <w:p w14:paraId="14D2500E">
      <w:pPr>
        <w:bidi w:val="0"/>
        <w:rPr>
          <w:rFonts w:hint="default"/>
          <w:lang w:val="en-US"/>
        </w:rPr>
        <w:sectPr>
          <w:pgSz w:w="11900" w:h="16840"/>
          <w:pgMar w:top="1134" w:right="1134" w:bottom="850" w:left="1134" w:header="851" w:footer="992" w:gutter="0"/>
          <w:cols w:space="425" w:num="1"/>
          <w:docGrid w:type="lines" w:linePitch="312" w:charSpace="0"/>
        </w:sectPr>
      </w:pPr>
      <w:r>
        <w:rPr>
          <w:rFonts w:hint="eastAsia"/>
          <w:sz w:val="24"/>
          <w:szCs w:val="24"/>
          <w:lang w:val="en-US" w:eastAsia="zh-CN"/>
        </w:rPr>
        <w:t>Module code ：BMBM6021</w:t>
      </w:r>
      <w:bookmarkStart w:id="9" w:name="_GoBack"/>
      <w:bookmarkEnd w:id="9"/>
    </w:p>
    <w:sdt>
      <w:sdtPr>
        <w:rPr>
          <w:rFonts w:ascii="宋体" w:hAnsi="宋体" w:eastAsia="宋体" w:cstheme="minorBidi"/>
          <w:kern w:val="2"/>
          <w:sz w:val="21"/>
          <w:szCs w:val="24"/>
          <w:lang w:val="en-US" w:eastAsia="zh-CN" w:bidi="ar-SA"/>
        </w:rPr>
        <w:id w:val="147475426"/>
        <w15:color w:val="DBDBDB"/>
        <w:docPartObj>
          <w:docPartGallery w:val="Table of Contents"/>
          <w:docPartUnique/>
        </w:docPartObj>
      </w:sdtPr>
      <w:sdtEndPr>
        <w:rPr>
          <w:rFonts w:hint="default" w:ascii="Times New Roman" w:hAnsi="Times New Roman" w:eastAsia="Times New Roman" w:cstheme="minorBidi"/>
          <w:kern w:val="2"/>
          <w:sz w:val="24"/>
          <w:szCs w:val="24"/>
          <w:lang w:val="en-US" w:eastAsia="zh-CN" w:bidi="ar-SA"/>
        </w:rPr>
      </w:sdtEndPr>
      <w:sdtContent>
        <w:p w14:paraId="39A08785">
          <w:pPr>
            <w:spacing w:before="0" w:beforeLines="0" w:after="0" w:afterLines="0" w:line="240" w:lineRule="auto"/>
            <w:ind w:left="0" w:leftChars="0" w:right="0" w:rightChars="0" w:firstLine="0" w:firstLineChars="0"/>
            <w:jc w:val="center"/>
            <w:rPr>
              <w:rFonts w:hint="default" w:eastAsia="宋体"/>
              <w:lang w:val="en-US" w:eastAsia="zh-CN"/>
            </w:rPr>
          </w:pPr>
          <w:r>
            <w:rPr>
              <w:rStyle w:val="10"/>
              <w:rFonts w:hint="eastAsia"/>
              <w:lang w:val="en-US" w:eastAsia="zh-CN"/>
            </w:rPr>
            <w:t>Content</w:t>
          </w:r>
        </w:p>
        <w:p w14:paraId="0672FC8F">
          <w:pPr>
            <w:pStyle w:val="6"/>
            <w:tabs>
              <w:tab w:val="right" w:leader="dot" w:pos="9632"/>
            </w:tabs>
          </w:pPr>
          <w:r>
            <w:rPr>
              <w:rFonts w:hint="default"/>
            </w:rPr>
            <w:fldChar w:fldCharType="begin"/>
          </w:r>
          <w:r>
            <w:rPr>
              <w:rFonts w:hint="default"/>
            </w:rPr>
            <w:instrText xml:space="preserve">TOC \o "1-2" \h \u </w:instrText>
          </w:r>
          <w:r>
            <w:rPr>
              <w:rFonts w:hint="default"/>
            </w:rPr>
            <w:fldChar w:fldCharType="separate"/>
          </w:r>
          <w:r>
            <w:rPr>
              <w:rFonts w:hint="default"/>
            </w:rPr>
            <w:fldChar w:fldCharType="begin"/>
          </w:r>
          <w:r>
            <w:rPr>
              <w:rFonts w:hint="default"/>
            </w:rPr>
            <w:instrText xml:space="preserve"> HYPERLINK \l _Toc11101 </w:instrText>
          </w:r>
          <w:r>
            <w:rPr>
              <w:rFonts w:hint="default"/>
            </w:rPr>
            <w:fldChar w:fldCharType="separate"/>
          </w:r>
          <w:r>
            <w:rPr>
              <w:rFonts w:hint="default"/>
            </w:rPr>
            <w:t>Executive summary</w:t>
          </w:r>
          <w:r>
            <w:tab/>
          </w:r>
          <w:r>
            <w:fldChar w:fldCharType="begin"/>
          </w:r>
          <w:r>
            <w:instrText xml:space="preserve"> PAGEREF _Toc11101 \h </w:instrText>
          </w:r>
          <w:r>
            <w:fldChar w:fldCharType="separate"/>
          </w:r>
          <w:r>
            <w:t>1</w:t>
          </w:r>
          <w:r>
            <w:fldChar w:fldCharType="end"/>
          </w:r>
          <w:r>
            <w:rPr>
              <w:rFonts w:hint="default"/>
            </w:rPr>
            <w:fldChar w:fldCharType="end"/>
          </w:r>
        </w:p>
        <w:p w14:paraId="4205140B">
          <w:pPr>
            <w:pStyle w:val="6"/>
            <w:tabs>
              <w:tab w:val="right" w:leader="dot" w:pos="9632"/>
            </w:tabs>
          </w:pPr>
          <w:r>
            <w:rPr>
              <w:rFonts w:hint="default"/>
            </w:rPr>
            <w:fldChar w:fldCharType="begin"/>
          </w:r>
          <w:r>
            <w:rPr>
              <w:rFonts w:hint="default"/>
            </w:rPr>
            <w:instrText xml:space="preserve"> HYPERLINK \l _Toc24323 </w:instrText>
          </w:r>
          <w:r>
            <w:rPr>
              <w:rFonts w:hint="default"/>
            </w:rPr>
            <w:fldChar w:fldCharType="separate"/>
          </w:r>
          <w:r>
            <w:rPr>
              <w:rFonts w:hint="default"/>
            </w:rPr>
            <w:t>1.0 Introduction</w:t>
          </w:r>
          <w:r>
            <w:tab/>
          </w:r>
          <w:r>
            <w:fldChar w:fldCharType="begin"/>
          </w:r>
          <w:r>
            <w:instrText xml:space="preserve"> PAGEREF _Toc24323 \h </w:instrText>
          </w:r>
          <w:r>
            <w:fldChar w:fldCharType="separate"/>
          </w:r>
          <w:r>
            <w:t>2</w:t>
          </w:r>
          <w:r>
            <w:fldChar w:fldCharType="end"/>
          </w:r>
          <w:r>
            <w:rPr>
              <w:rFonts w:hint="default"/>
            </w:rPr>
            <w:fldChar w:fldCharType="end"/>
          </w:r>
        </w:p>
        <w:p w14:paraId="00FF4CC7">
          <w:pPr>
            <w:pStyle w:val="6"/>
            <w:tabs>
              <w:tab w:val="right" w:leader="dot" w:pos="9632"/>
            </w:tabs>
          </w:pPr>
          <w:r>
            <w:rPr>
              <w:rFonts w:hint="default"/>
            </w:rPr>
            <w:fldChar w:fldCharType="begin"/>
          </w:r>
          <w:r>
            <w:rPr>
              <w:rFonts w:hint="default"/>
            </w:rPr>
            <w:instrText xml:space="preserve"> HYPERLINK \l _Toc25332 </w:instrText>
          </w:r>
          <w:r>
            <w:rPr>
              <w:rFonts w:hint="default"/>
            </w:rPr>
            <w:fldChar w:fldCharType="separate"/>
          </w:r>
          <w:r>
            <w:rPr>
              <w:rFonts w:hint="default"/>
            </w:rPr>
            <w:t>2.0 Business English Exchange between UK and Germany</w:t>
          </w:r>
          <w:r>
            <w:tab/>
          </w:r>
          <w:r>
            <w:fldChar w:fldCharType="begin"/>
          </w:r>
          <w:r>
            <w:instrText xml:space="preserve"> PAGEREF _Toc25332 \h </w:instrText>
          </w:r>
          <w:r>
            <w:fldChar w:fldCharType="separate"/>
          </w:r>
          <w:r>
            <w:t>2</w:t>
          </w:r>
          <w:r>
            <w:fldChar w:fldCharType="end"/>
          </w:r>
          <w:r>
            <w:rPr>
              <w:rFonts w:hint="default"/>
            </w:rPr>
            <w:fldChar w:fldCharType="end"/>
          </w:r>
        </w:p>
        <w:p w14:paraId="323D1E20">
          <w:pPr>
            <w:pStyle w:val="7"/>
            <w:tabs>
              <w:tab w:val="right" w:leader="dot" w:pos="9632"/>
            </w:tabs>
            <w:ind w:left="0" w:leftChars="0" w:firstLine="0" w:firstLineChars="0"/>
          </w:pPr>
          <w:r>
            <w:rPr>
              <w:rFonts w:hint="default"/>
            </w:rPr>
            <w:fldChar w:fldCharType="begin"/>
          </w:r>
          <w:r>
            <w:rPr>
              <w:rFonts w:hint="default"/>
            </w:rPr>
            <w:instrText xml:space="preserve"> HYPERLINK \l _Toc21411 </w:instrText>
          </w:r>
          <w:r>
            <w:rPr>
              <w:rFonts w:hint="default"/>
            </w:rPr>
            <w:fldChar w:fldCharType="separate"/>
          </w:r>
          <w:r>
            <w:rPr>
              <w:rFonts w:hint="default"/>
            </w:rPr>
            <w:t>2.1 cultural differences</w:t>
          </w:r>
          <w:r>
            <w:tab/>
          </w:r>
          <w:r>
            <w:fldChar w:fldCharType="begin"/>
          </w:r>
          <w:r>
            <w:instrText xml:space="preserve"> PAGEREF _Toc21411 \h </w:instrText>
          </w:r>
          <w:r>
            <w:fldChar w:fldCharType="separate"/>
          </w:r>
          <w:r>
            <w:t>2</w:t>
          </w:r>
          <w:r>
            <w:fldChar w:fldCharType="end"/>
          </w:r>
          <w:r>
            <w:rPr>
              <w:rFonts w:hint="default"/>
            </w:rPr>
            <w:fldChar w:fldCharType="end"/>
          </w:r>
        </w:p>
        <w:p w14:paraId="4F2AF3B8">
          <w:pPr>
            <w:pStyle w:val="7"/>
            <w:tabs>
              <w:tab w:val="right" w:leader="dot" w:pos="9632"/>
            </w:tabs>
            <w:ind w:left="0" w:leftChars="0" w:firstLine="0" w:firstLineChars="0"/>
          </w:pPr>
          <w:r>
            <w:rPr>
              <w:rFonts w:hint="default"/>
            </w:rPr>
            <w:fldChar w:fldCharType="begin"/>
          </w:r>
          <w:r>
            <w:rPr>
              <w:rFonts w:hint="default"/>
            </w:rPr>
            <w:instrText xml:space="preserve"> HYPERLINK \l _Toc16511 </w:instrText>
          </w:r>
          <w:r>
            <w:rPr>
              <w:rFonts w:hint="default"/>
            </w:rPr>
            <w:fldChar w:fldCharType="separate"/>
          </w:r>
          <w:r>
            <w:rPr>
              <w:rFonts w:hint="default"/>
            </w:rPr>
            <w:t>2.2 Challenges of Business Communication</w:t>
          </w:r>
          <w:r>
            <w:tab/>
          </w:r>
          <w:r>
            <w:fldChar w:fldCharType="begin"/>
          </w:r>
          <w:r>
            <w:instrText xml:space="preserve"> PAGEREF _Toc16511 \h </w:instrText>
          </w:r>
          <w:r>
            <w:fldChar w:fldCharType="separate"/>
          </w:r>
          <w:r>
            <w:t>4</w:t>
          </w:r>
          <w:r>
            <w:fldChar w:fldCharType="end"/>
          </w:r>
          <w:r>
            <w:rPr>
              <w:rFonts w:hint="default"/>
            </w:rPr>
            <w:fldChar w:fldCharType="end"/>
          </w:r>
        </w:p>
        <w:p w14:paraId="5058F249">
          <w:pPr>
            <w:pStyle w:val="6"/>
            <w:tabs>
              <w:tab w:val="right" w:leader="dot" w:pos="9632"/>
            </w:tabs>
          </w:pPr>
          <w:r>
            <w:rPr>
              <w:rFonts w:hint="default"/>
            </w:rPr>
            <w:fldChar w:fldCharType="begin"/>
          </w:r>
          <w:r>
            <w:rPr>
              <w:rFonts w:hint="default"/>
            </w:rPr>
            <w:instrText xml:space="preserve"> HYPERLINK \l _Toc24544 </w:instrText>
          </w:r>
          <w:r>
            <w:rPr>
              <w:rFonts w:hint="default"/>
            </w:rPr>
            <w:fldChar w:fldCharType="separate"/>
          </w:r>
          <w:r>
            <w:rPr>
              <w:rFonts w:hint="default"/>
            </w:rPr>
            <w:t>3.0 Strategies to Overcome Challenges</w:t>
          </w:r>
          <w:r>
            <w:tab/>
          </w:r>
          <w:r>
            <w:fldChar w:fldCharType="begin"/>
          </w:r>
          <w:r>
            <w:instrText xml:space="preserve"> PAGEREF _Toc24544 \h </w:instrText>
          </w:r>
          <w:r>
            <w:fldChar w:fldCharType="separate"/>
          </w:r>
          <w:r>
            <w:t>5</w:t>
          </w:r>
          <w:r>
            <w:fldChar w:fldCharType="end"/>
          </w:r>
          <w:r>
            <w:rPr>
              <w:rFonts w:hint="default"/>
            </w:rPr>
            <w:fldChar w:fldCharType="end"/>
          </w:r>
        </w:p>
        <w:p w14:paraId="3FE33F46">
          <w:pPr>
            <w:pStyle w:val="6"/>
            <w:tabs>
              <w:tab w:val="right" w:leader="dot" w:pos="9632"/>
            </w:tabs>
          </w:pPr>
          <w:r>
            <w:rPr>
              <w:rFonts w:hint="default"/>
            </w:rPr>
            <w:fldChar w:fldCharType="begin"/>
          </w:r>
          <w:r>
            <w:rPr>
              <w:rFonts w:hint="default"/>
            </w:rPr>
            <w:instrText xml:space="preserve"> HYPERLINK \l _Toc10190 </w:instrText>
          </w:r>
          <w:r>
            <w:rPr>
              <w:rFonts w:hint="default"/>
            </w:rPr>
            <w:fldChar w:fldCharType="separate"/>
          </w:r>
          <w:r>
            <w:rPr>
              <w:rFonts w:hint="default"/>
            </w:rPr>
            <w:t>4.0 Conclusion</w:t>
          </w:r>
          <w:r>
            <w:tab/>
          </w:r>
          <w:r>
            <w:fldChar w:fldCharType="begin"/>
          </w:r>
          <w:r>
            <w:instrText xml:space="preserve"> PAGEREF _Toc10190 \h </w:instrText>
          </w:r>
          <w:r>
            <w:fldChar w:fldCharType="separate"/>
          </w:r>
          <w:r>
            <w:t>7</w:t>
          </w:r>
          <w:r>
            <w:fldChar w:fldCharType="end"/>
          </w:r>
          <w:r>
            <w:rPr>
              <w:rFonts w:hint="default"/>
            </w:rPr>
            <w:fldChar w:fldCharType="end"/>
          </w:r>
        </w:p>
        <w:p w14:paraId="3E595FD7">
          <w:pPr>
            <w:pStyle w:val="6"/>
            <w:tabs>
              <w:tab w:val="right" w:leader="dot" w:pos="9632"/>
            </w:tabs>
          </w:pPr>
          <w:r>
            <w:rPr>
              <w:rFonts w:hint="default"/>
            </w:rPr>
            <w:fldChar w:fldCharType="begin"/>
          </w:r>
          <w:r>
            <w:rPr>
              <w:rFonts w:hint="default"/>
            </w:rPr>
            <w:instrText xml:space="preserve"> HYPERLINK \l _Toc5635 </w:instrText>
          </w:r>
          <w:r>
            <w:rPr>
              <w:rFonts w:hint="default"/>
            </w:rPr>
            <w:fldChar w:fldCharType="separate"/>
          </w:r>
          <w:r>
            <w:rPr>
              <w:rFonts w:hint="default"/>
            </w:rPr>
            <w:t>5.0 Recommendations</w:t>
          </w:r>
          <w:r>
            <w:tab/>
          </w:r>
          <w:r>
            <w:fldChar w:fldCharType="begin"/>
          </w:r>
          <w:r>
            <w:instrText xml:space="preserve"> PAGEREF _Toc5635 \h </w:instrText>
          </w:r>
          <w:r>
            <w:fldChar w:fldCharType="separate"/>
          </w:r>
          <w:r>
            <w:t>8</w:t>
          </w:r>
          <w:r>
            <w:fldChar w:fldCharType="end"/>
          </w:r>
          <w:r>
            <w:rPr>
              <w:rFonts w:hint="default"/>
            </w:rPr>
            <w:fldChar w:fldCharType="end"/>
          </w:r>
        </w:p>
        <w:p w14:paraId="4FC26FB6">
          <w:pPr>
            <w:pStyle w:val="6"/>
            <w:tabs>
              <w:tab w:val="right" w:leader="dot" w:pos="9632"/>
            </w:tabs>
          </w:pPr>
          <w:r>
            <w:rPr>
              <w:rFonts w:hint="default"/>
            </w:rPr>
            <w:fldChar w:fldCharType="begin"/>
          </w:r>
          <w:r>
            <w:rPr>
              <w:rFonts w:hint="default"/>
            </w:rPr>
            <w:instrText xml:space="preserve"> HYPERLINK \l _Toc4310 </w:instrText>
          </w:r>
          <w:r>
            <w:rPr>
              <w:rFonts w:hint="default"/>
            </w:rPr>
            <w:fldChar w:fldCharType="separate"/>
          </w:r>
          <w:r>
            <w:rPr>
              <w:rFonts w:hint="default"/>
            </w:rPr>
            <w:t>6.0 Reference</w:t>
          </w:r>
          <w:r>
            <w:tab/>
          </w:r>
          <w:r>
            <w:fldChar w:fldCharType="begin"/>
          </w:r>
          <w:r>
            <w:instrText xml:space="preserve"> PAGEREF _Toc4310 \h </w:instrText>
          </w:r>
          <w:r>
            <w:fldChar w:fldCharType="separate"/>
          </w:r>
          <w:r>
            <w:t>10</w:t>
          </w:r>
          <w:r>
            <w:fldChar w:fldCharType="end"/>
          </w:r>
          <w:r>
            <w:rPr>
              <w:rFonts w:hint="default"/>
            </w:rPr>
            <w:fldChar w:fldCharType="end"/>
          </w:r>
        </w:p>
        <w:p w14:paraId="596C22EE">
          <w:pPr>
            <w:bidi w:val="0"/>
            <w:spacing w:line="480" w:lineRule="auto"/>
            <w:rPr>
              <w:rFonts w:hint="default" w:ascii="Times New Roman" w:hAnsi="Times New Roman" w:eastAsia="Times New Roman" w:cstheme="minorBidi"/>
              <w:kern w:val="2"/>
              <w:sz w:val="24"/>
              <w:szCs w:val="24"/>
              <w:lang w:val="en-US" w:eastAsia="zh-CN" w:bidi="ar-SA"/>
            </w:rPr>
          </w:pPr>
          <w:r>
            <w:rPr>
              <w:rFonts w:hint="default"/>
            </w:rPr>
            <w:fldChar w:fldCharType="end"/>
          </w:r>
        </w:p>
      </w:sdtContent>
    </w:sdt>
    <w:p w14:paraId="2152A232">
      <w:pPr>
        <w:bidi w:val="0"/>
        <w:spacing w:line="480" w:lineRule="auto"/>
        <w:rPr>
          <w:rFonts w:hint="default" w:ascii="Times New Roman" w:hAnsi="Times New Roman" w:eastAsia="Times New Roman" w:cstheme="minorBidi"/>
          <w:kern w:val="2"/>
          <w:sz w:val="24"/>
          <w:szCs w:val="24"/>
          <w:lang w:val="en-US" w:eastAsia="zh-CN" w:bidi="ar-SA"/>
        </w:rPr>
        <w:sectPr>
          <w:pgSz w:w="11900" w:h="16840"/>
          <w:pgMar w:top="1134" w:right="1134" w:bottom="850" w:left="1134" w:header="851" w:footer="992" w:gutter="0"/>
          <w:cols w:space="425" w:num="1"/>
          <w:docGrid w:type="lines" w:linePitch="312" w:charSpace="0"/>
        </w:sectPr>
      </w:pPr>
    </w:p>
    <w:p w14:paraId="0BDED443">
      <w:pPr>
        <w:pStyle w:val="2"/>
        <w:bidi w:val="0"/>
        <w:rPr>
          <w:rFonts w:hint="default"/>
        </w:rPr>
      </w:pPr>
      <w:bookmarkStart w:id="0" w:name="_Toc11101"/>
      <w:r>
        <w:rPr>
          <w:rFonts w:hint="default"/>
        </w:rPr>
        <w:t>Executive summary</w:t>
      </w:r>
      <w:bookmarkEnd w:id="0"/>
    </w:p>
    <w:p w14:paraId="14BDCBDD">
      <w:pPr>
        <w:bidi w:val="0"/>
        <w:spacing w:line="480" w:lineRule="auto"/>
        <w:rPr>
          <w:rFonts w:hint="default"/>
        </w:rPr>
      </w:pPr>
    </w:p>
    <w:p w14:paraId="73F1C34C">
      <w:pPr>
        <w:bidi w:val="0"/>
        <w:spacing w:line="480" w:lineRule="auto"/>
        <w:rPr>
          <w:rFonts w:hint="default"/>
        </w:rPr>
      </w:pPr>
      <w:r>
        <w:rPr>
          <w:rFonts w:hint="default"/>
        </w:rPr>
        <w:t>This report uses critical reflection to analyze the business communication challenges faced by UK companies when entering markets in other countries and to explore practical solutions. I chose Germany as my research object because Germany is an important country that is the engine of European economy. Germany and Britain are geographically similar, but there are profound differences in business culture. The high individualism, low uncertainty avoidance and short-term orientation in English culture are in sharp contrast to the high uncertainty avoidance, strong discipline and long-term orientation in German culture.</w:t>
      </w:r>
    </w:p>
    <w:p w14:paraId="43731056">
      <w:pPr>
        <w:bidi w:val="0"/>
        <w:spacing w:line="480" w:lineRule="auto"/>
        <w:rPr>
          <w:rFonts w:hint="default"/>
        </w:rPr>
      </w:pPr>
    </w:p>
    <w:p w14:paraId="2904FD96">
      <w:pPr>
        <w:bidi w:val="0"/>
        <w:spacing w:line="480" w:lineRule="auto"/>
        <w:rPr>
          <w:rFonts w:hint="default"/>
        </w:rPr>
      </w:pPr>
      <w:r>
        <w:rPr>
          <w:rFonts w:hint="default"/>
        </w:rPr>
        <w:t>I have chosen three main strategies to explore. The cultural assimilation strategy that focuses on oneself, the cultural adaptation strategy that adapts to others as a whole, and the cultural integration strategy that seeks win-win. My conclusion is that the cultural integration strategy is the most effective. Enterprises should actively carry out deep cross-cultural adaptation on the premise of sticking to the bottom line of business ethics.</w:t>
      </w:r>
    </w:p>
    <w:p w14:paraId="7EFF1575">
      <w:pPr>
        <w:bidi w:val="0"/>
        <w:spacing w:line="480" w:lineRule="auto"/>
        <w:rPr>
          <w:rFonts w:hint="default"/>
        </w:rPr>
      </w:pPr>
    </w:p>
    <w:p w14:paraId="54A9DFB4">
      <w:pPr>
        <w:bidi w:val="0"/>
        <w:spacing w:line="480" w:lineRule="auto"/>
        <w:rPr>
          <w:rFonts w:hint="default"/>
        </w:rPr>
      </w:pPr>
    </w:p>
    <w:p w14:paraId="44F2BB6E">
      <w:pPr>
        <w:bidi w:val="0"/>
        <w:spacing w:line="480" w:lineRule="auto"/>
        <w:rPr>
          <w:rFonts w:hint="default"/>
        </w:rPr>
        <w:sectPr>
          <w:footerReference r:id="rId3" w:type="default"/>
          <w:pgSz w:w="11900" w:h="16840"/>
          <w:pgMar w:top="1134" w:right="1134" w:bottom="850" w:left="1134" w:header="851" w:footer="992" w:gutter="0"/>
          <w:pgNumType w:fmt="decimal" w:start="1"/>
          <w:cols w:space="425" w:num="1"/>
          <w:docGrid w:type="lines" w:linePitch="312" w:charSpace="0"/>
        </w:sectPr>
      </w:pPr>
    </w:p>
    <w:p w14:paraId="4682FF41">
      <w:pPr>
        <w:pStyle w:val="2"/>
        <w:bidi w:val="0"/>
        <w:rPr>
          <w:rFonts w:hint="default"/>
        </w:rPr>
      </w:pPr>
      <w:bookmarkStart w:id="1" w:name="_Toc24323"/>
      <w:r>
        <w:rPr>
          <w:rFonts w:hint="default"/>
        </w:rPr>
        <w:t>1.0 Introduction</w:t>
      </w:r>
      <w:bookmarkEnd w:id="1"/>
    </w:p>
    <w:p w14:paraId="5F0BD881">
      <w:pPr>
        <w:bidi w:val="0"/>
        <w:spacing w:line="480" w:lineRule="auto"/>
        <w:rPr>
          <w:rFonts w:hint="default"/>
        </w:rPr>
      </w:pPr>
    </w:p>
    <w:p w14:paraId="13F79A0C">
      <w:pPr>
        <w:bidi w:val="0"/>
        <w:spacing w:line="480" w:lineRule="auto"/>
        <w:rPr>
          <w:rFonts w:hint="default"/>
        </w:rPr>
      </w:pPr>
      <w:r>
        <w:rPr>
          <w:rFonts w:hint="default"/>
        </w:rPr>
        <w:t>Under the background of global commercialization, misunderstandings, frictions and even conflicts will still occur frequently among business partners from different countries. Cultural clashes in business practice are usually concrete and sharp. I chose Germany as my analysis object. Germany is not only an important economy in Europe, but also one of Britain's most important trading partners. But Britain's close ties with Germany have not removed the challenge of business behaviour.</w:t>
      </w:r>
    </w:p>
    <w:p w14:paraId="7B81672B">
      <w:pPr>
        <w:bidi w:val="0"/>
        <w:spacing w:line="480" w:lineRule="auto"/>
        <w:rPr>
          <w:rFonts w:hint="default"/>
        </w:rPr>
      </w:pPr>
    </w:p>
    <w:p w14:paraId="1DDF33A0">
      <w:pPr>
        <w:bidi w:val="0"/>
        <w:spacing w:line="480" w:lineRule="auto"/>
        <w:rPr>
          <w:rFonts w:hint="default"/>
        </w:rPr>
      </w:pPr>
      <w:r>
        <w:rPr>
          <w:rFonts w:hint="default"/>
        </w:rPr>
        <w:t>This report applies the classical theories of scholars such as hofstede and Hall to analyze the fundamental differences between Britain and Germany in cultural dimensions and the practical challenges that these differences present in business communication scenarios. I will critically assess several possible cross-cultural strategies adopted by UK companies and make recommendations that I believe are most practical.</w:t>
      </w:r>
    </w:p>
    <w:p w14:paraId="442CC0A8">
      <w:pPr>
        <w:bidi w:val="0"/>
        <w:spacing w:line="480" w:lineRule="auto"/>
        <w:rPr>
          <w:rFonts w:hint="default"/>
        </w:rPr>
      </w:pPr>
    </w:p>
    <w:p w14:paraId="2D6DAB4B">
      <w:pPr>
        <w:bidi w:val="0"/>
        <w:spacing w:line="480" w:lineRule="auto"/>
        <w:rPr>
          <w:rFonts w:hint="default"/>
        </w:rPr>
      </w:pPr>
    </w:p>
    <w:p w14:paraId="32073AD8">
      <w:pPr>
        <w:pStyle w:val="2"/>
        <w:bidi w:val="0"/>
        <w:rPr>
          <w:rFonts w:hint="default"/>
        </w:rPr>
      </w:pPr>
      <w:bookmarkStart w:id="2" w:name="_Toc25332"/>
      <w:r>
        <w:rPr>
          <w:rFonts w:hint="default"/>
        </w:rPr>
        <w:t>2.0 Business English Exchange between UK and Germany</w:t>
      </w:r>
      <w:bookmarkEnd w:id="2"/>
    </w:p>
    <w:p w14:paraId="360CAC0E">
      <w:pPr>
        <w:bidi w:val="0"/>
        <w:spacing w:line="480" w:lineRule="auto"/>
        <w:rPr>
          <w:rFonts w:hint="default"/>
        </w:rPr>
      </w:pPr>
    </w:p>
    <w:p w14:paraId="0169A725">
      <w:pPr>
        <w:pStyle w:val="3"/>
        <w:bidi w:val="0"/>
        <w:rPr>
          <w:rFonts w:hint="default"/>
        </w:rPr>
      </w:pPr>
      <w:bookmarkStart w:id="3" w:name="_Toc21411"/>
      <w:r>
        <w:rPr>
          <w:rFonts w:hint="default"/>
        </w:rPr>
        <w:t>2.1 cultural differences</w:t>
      </w:r>
      <w:bookmarkEnd w:id="3"/>
    </w:p>
    <w:p w14:paraId="5ED2BCBB">
      <w:pPr>
        <w:bidi w:val="0"/>
        <w:spacing w:line="480" w:lineRule="auto"/>
        <w:rPr>
          <w:rFonts w:hint="default"/>
        </w:rPr>
      </w:pPr>
    </w:p>
    <w:p w14:paraId="7C04EB49">
      <w:pPr>
        <w:bidi w:val="0"/>
        <w:spacing w:line="480" w:lineRule="auto"/>
        <w:rPr>
          <w:rFonts w:hint="default"/>
        </w:rPr>
      </w:pPr>
      <w:r>
        <w:rPr>
          <w:rFonts w:hint="default"/>
        </w:rPr>
        <w:t>In order to understand the root causes of communication challenges, companies can use hofstede's cultural dimension theory as a model. Britain is a typical highly individualistic society, emphasizing personal achievement, independent decision-making and self-expression. In business, this is demonstrated by encouraging personal initiative, heroic leadership and relatively flexible job descriptions. Although Germany is also a individualist society, its degree is lower than that of Britain, and it places more emphasis on order, discipline and consensus. Individual achievement is achieved within a clear framework of systems, rules and teamwork. Britain has a low level of uncertainty avoidance. The society has a high tolerance for fuzziness and a flexible business environment, which tends to make mistakes and then adjust. Germany has a high degree of uncertainty avoidance, which is one of the most significant characteristics of German culture. Society relies on rigorous planning, detailed contracts, clear standards and rigorous processes to avoid risks. The UK tends to be short-term oriented, focusing on immediate results, quarterly results and fast return on investment. Business decisions are relatively flexible to accommodate changes in the market. Germany is more long-term oriented, advocating investment in the future, focusing on engineering quality and long-term reputation. Companies are willing to sacrifice short-term profits for long-term technological accumulation and market position.</w:t>
      </w:r>
    </w:p>
    <w:p w14:paraId="2B09CBD8">
      <w:pPr>
        <w:bidi w:val="0"/>
        <w:spacing w:line="480" w:lineRule="auto"/>
        <w:rPr>
          <w:rFonts w:hint="default"/>
        </w:rPr>
      </w:pPr>
    </w:p>
    <w:p w14:paraId="60F4A9E6">
      <w:pPr>
        <w:bidi w:val="0"/>
        <w:spacing w:line="480" w:lineRule="auto"/>
        <w:rPr>
          <w:rFonts w:hint="default"/>
        </w:rPr>
      </w:pPr>
      <w:r>
        <w:rPr>
          <w:rFonts w:hint="default"/>
        </w:rPr>
        <w:t>According to Hall's theory of high and low context, Germany belongs to low context culture. Communication needs clear and definite language, so it is straightforward to speak. Britain is also a low-context culture, but its communication style incorporates more euphemism and humor, especially when maintaining gentleman etiquette and handling differences.</w:t>
      </w:r>
    </w:p>
    <w:p w14:paraId="2A93F9BD">
      <w:pPr>
        <w:bidi w:val="0"/>
        <w:spacing w:line="480" w:lineRule="auto"/>
        <w:rPr>
          <w:rFonts w:hint="default"/>
        </w:rPr>
      </w:pPr>
    </w:p>
    <w:p w14:paraId="1D724AD3">
      <w:pPr>
        <w:pStyle w:val="3"/>
        <w:bidi w:val="0"/>
        <w:rPr>
          <w:rFonts w:hint="default"/>
        </w:rPr>
      </w:pPr>
      <w:bookmarkStart w:id="4" w:name="_Toc16511"/>
      <w:r>
        <w:rPr>
          <w:rFonts w:hint="default"/>
        </w:rPr>
        <w:t>2.2 Challenges of Business Communication</w:t>
      </w:r>
      <w:bookmarkEnd w:id="4"/>
    </w:p>
    <w:p w14:paraId="26DC7C92">
      <w:pPr>
        <w:bidi w:val="0"/>
        <w:spacing w:line="480" w:lineRule="auto"/>
        <w:rPr>
          <w:rFonts w:hint="default"/>
        </w:rPr>
      </w:pPr>
    </w:p>
    <w:p w14:paraId="35A4791F">
      <w:pPr>
        <w:bidi w:val="0"/>
        <w:spacing w:line="480" w:lineRule="auto"/>
        <w:rPr>
          <w:rFonts w:hint="default"/>
        </w:rPr>
      </w:pPr>
      <w:r>
        <w:rPr>
          <w:rFonts w:hint="default"/>
        </w:rPr>
        <w:t>British managers are used to pushing the process forward quickly, hoping to stimulate debate, improvise and make directional decisions on the spot. Details can be added later. However, in the eyes of German colleagues, this may be a sign of ill-prepared and risk-averse. German-style meetings require detailed agendas and readings to be received in advance. The purpose of the meeting is to conduct in-depth review of the established plan and reach an accurate consensus, rather than brainstorming. I have seen a case in which a British technology company tried to promote an agile development project in Berlin, but the German partner insisted on completing the complete requirements specification and project plan first, which caused the British team to feel extremely frustrated and thought that the other team lacked flexibility. This is essentially a direct collision between low uncertainty avoidance and high uncertainty avoidance.</w:t>
      </w:r>
    </w:p>
    <w:p w14:paraId="78BBDA7A">
      <w:pPr>
        <w:bidi w:val="0"/>
        <w:spacing w:line="480" w:lineRule="auto"/>
        <w:rPr>
          <w:rFonts w:hint="default"/>
        </w:rPr>
      </w:pPr>
    </w:p>
    <w:p w14:paraId="4339701A">
      <w:pPr>
        <w:bidi w:val="0"/>
        <w:spacing w:line="480" w:lineRule="auto"/>
        <w:rPr>
          <w:rFonts w:hint="default"/>
        </w:rPr>
      </w:pPr>
      <w:r>
        <w:rPr>
          <w:rFonts w:hint="default"/>
        </w:rPr>
        <w:t>Although British business culture values relationships, it is generally more task-oriented. Business relationships can be quickly established and developed with the cooperation of specific projects. In Germany, the cornerstone of business trust is professional competence, reliability and rigour, not personal friendship. German businessmen are more inclined to the credit-oriented model. They need to gradually accumulate trust through many professional interactions to observe whether the other party is punctual and trustworthy. Trying to push the business with too quick a personal approach may instead alert the German partner that you are unprofessional or have ulterior motives.</w:t>
      </w:r>
    </w:p>
    <w:p w14:paraId="B3514B5E">
      <w:pPr>
        <w:bidi w:val="0"/>
        <w:spacing w:line="480" w:lineRule="auto"/>
        <w:rPr>
          <w:rFonts w:hint="default"/>
        </w:rPr>
      </w:pPr>
    </w:p>
    <w:p w14:paraId="52E7798C">
      <w:pPr>
        <w:bidi w:val="0"/>
        <w:spacing w:line="480" w:lineRule="auto"/>
        <w:rPr>
          <w:rFonts w:hint="default"/>
        </w:rPr>
      </w:pPr>
      <w:r>
        <w:rPr>
          <w:rFonts w:hint="default"/>
        </w:rPr>
        <w:t>In business communication, it is difficult to grasp the scale of different languages. Germans are usually straightforward and may appear impolite to English speakers who are accustomed to using euphemisms. For the same project, a German engineer may write in a letter that the design is defective and will not pass. The British engineers' statement may be: the design is very creative, but we may face some interesting challenges at the implementation level. From another perspective, the English euphemism feedback may be taken literally by the German colleagues, resulting in the problem not being taken seriously. This difference in style between direct expression and euphemistic expression is one of the most common sources of misunderstanding and emotional friction.</w:t>
      </w:r>
    </w:p>
    <w:p w14:paraId="52D69385">
      <w:pPr>
        <w:bidi w:val="0"/>
        <w:spacing w:line="480" w:lineRule="auto"/>
        <w:rPr>
          <w:rFonts w:hint="default"/>
        </w:rPr>
      </w:pPr>
    </w:p>
    <w:p w14:paraId="A836827C">
      <w:pPr>
        <w:bidi w:val="0"/>
        <w:spacing w:line="480" w:lineRule="auto"/>
        <w:rPr>
          <w:rFonts w:hint="default"/>
        </w:rPr>
      </w:pPr>
    </w:p>
    <w:p w14:paraId="0C6D951C">
      <w:pPr>
        <w:pStyle w:val="2"/>
        <w:bidi w:val="0"/>
        <w:rPr>
          <w:rFonts w:hint="default"/>
        </w:rPr>
      </w:pPr>
      <w:bookmarkStart w:id="5" w:name="_Toc24544"/>
      <w:r>
        <w:rPr>
          <w:rFonts w:hint="default"/>
        </w:rPr>
        <w:t>3.0 Strategies to Overcome Challenges</w:t>
      </w:r>
      <w:bookmarkEnd w:id="5"/>
    </w:p>
    <w:p w14:paraId="430C1CB7">
      <w:pPr>
        <w:bidi w:val="0"/>
        <w:spacing w:line="480" w:lineRule="auto"/>
        <w:rPr>
          <w:rFonts w:hint="default"/>
        </w:rPr>
      </w:pPr>
    </w:p>
    <w:p w14:paraId="399F0EBE">
      <w:pPr>
        <w:bidi w:val="0"/>
        <w:spacing w:line="480" w:lineRule="auto"/>
        <w:rPr>
          <w:rFonts w:hint="default"/>
        </w:rPr>
      </w:pPr>
      <w:r>
        <w:rPr>
          <w:rFonts w:hint="default"/>
        </w:rPr>
        <w:t>Cultural assimilation strategy refers to the requirement that German partners or employees fully adapt to the communication and working methods of British companies. Its advantages are high internal consistency and fast decision-making, as if the same operating system were applied globally.</w:t>
      </w:r>
    </w:p>
    <w:p w14:paraId="21622641">
      <w:pPr>
        <w:bidi w:val="0"/>
        <w:spacing w:line="480" w:lineRule="auto"/>
        <w:rPr>
          <w:rFonts w:hint="default"/>
        </w:rPr>
      </w:pPr>
    </w:p>
    <w:p w14:paraId="32EB169A">
      <w:pPr>
        <w:bidi w:val="0"/>
        <w:spacing w:line="480" w:lineRule="auto"/>
        <w:rPr>
          <w:rFonts w:hint="default"/>
        </w:rPr>
      </w:pPr>
      <w:r>
        <w:rPr>
          <w:rFonts w:hint="default"/>
        </w:rPr>
        <w:t>My assessment: this is the most dangerous and unwise strategy. The Topshop case has sounded the alarm. As a high-street fashion icon in Britain, Topshop entered Berlin in 2009 with high profile, but eventually closed its flagship store and withdrew from the German market a few years later. In Germany, where high uncertainty eludes society, the imposition of external culture will trigger strong resistance. This will not only lead to the breakdown of cooperation and staff loss, but also seriously damage the reputation of the company in the local market. This strategy is essentially cultural arrogance, which ignores the sense of dignity and professionalism of the local staff and ultimately leads to failure. In my opinion, this strategy cannot be used unless there is an absolute monopolistic technological advantage.</w:t>
      </w:r>
    </w:p>
    <w:p w14:paraId="6E055F44">
      <w:pPr>
        <w:bidi w:val="0"/>
        <w:spacing w:line="480" w:lineRule="auto"/>
        <w:rPr>
          <w:rFonts w:hint="default"/>
        </w:rPr>
      </w:pPr>
    </w:p>
    <w:p w14:paraId="454C6FB1">
      <w:pPr>
        <w:bidi w:val="0"/>
        <w:spacing w:line="480" w:lineRule="auto"/>
        <w:rPr>
          <w:rFonts w:hint="default"/>
        </w:rPr>
      </w:pPr>
      <w:r>
        <w:rPr>
          <w:rFonts w:hint="default"/>
        </w:rPr>
        <w:t>The cultural adaptation strategy refers to the fact that the British companies completely imitate the practice of the German companies and formulate extremely detailed procedures. The meetings are all in German and follow the decision-making rhythm of Germany.</w:t>
      </w:r>
    </w:p>
    <w:p w14:paraId="429E9603">
      <w:pPr>
        <w:bidi w:val="0"/>
        <w:spacing w:line="480" w:lineRule="auto"/>
        <w:rPr>
          <w:rFonts w:hint="default"/>
        </w:rPr>
      </w:pPr>
    </w:p>
    <w:p w14:paraId="61BD6672">
      <w:pPr>
        <w:bidi w:val="0"/>
        <w:spacing w:line="480" w:lineRule="auto"/>
        <w:rPr>
          <w:rFonts w:hint="default"/>
        </w:rPr>
      </w:pPr>
      <w:r>
        <w:rPr>
          <w:rFonts w:hint="default"/>
        </w:rPr>
        <w:t>My assessment: this is the greatest respect for other countries, but it will actually deprive British companies of their core advantages. Flexibility, speed of innovation and resilience in British business culture are important sources of competitiveness. Excessive adaptation to the cultures of other countries may slow down organizational decision-making. More importantly, this is not a true cross-cultural integration, and fragmented cultural cognition may be formed within the company. Therefore, cultural adaptation strategy is also not a good method.</w:t>
      </w:r>
    </w:p>
    <w:p w14:paraId="472560C4">
      <w:pPr>
        <w:bidi w:val="0"/>
        <w:spacing w:line="480" w:lineRule="auto"/>
        <w:rPr>
          <w:rFonts w:hint="default"/>
        </w:rPr>
      </w:pPr>
    </w:p>
    <w:p w14:paraId="37208F63">
      <w:pPr>
        <w:bidi w:val="0"/>
        <w:spacing w:line="480" w:lineRule="auto"/>
        <w:rPr>
          <w:rFonts w:hint="default"/>
        </w:rPr>
      </w:pPr>
      <w:r>
        <w:rPr>
          <w:rFonts w:hint="default"/>
        </w:rPr>
        <w:t>The cultural integration strategy refers to that both parties, on the basis of fully understanding each other's differences, jointly create a new set of work practices and communication norms that integrate the advantages of both parties. It is not compromise on one side, but coordination on both sides.</w:t>
      </w:r>
    </w:p>
    <w:p w14:paraId="142F7E86">
      <w:pPr>
        <w:bidi w:val="0"/>
        <w:spacing w:line="480" w:lineRule="auto"/>
        <w:rPr>
          <w:rFonts w:hint="default"/>
        </w:rPr>
      </w:pPr>
    </w:p>
    <w:p w14:paraId="3BDF8AD8">
      <w:pPr>
        <w:bidi w:val="0"/>
        <w:spacing w:line="480" w:lineRule="auto"/>
        <w:rPr>
          <w:rFonts w:hint="default"/>
        </w:rPr>
      </w:pPr>
      <w:r>
        <w:rPr>
          <w:rFonts w:hint="default"/>
        </w:rPr>
        <w:t>My assessment: I think this is the most ideal and most likely way to succeed. For example, in decision-making, the advantages of British enterprises can be integrated with those of German enterprises. In terms of communication, the written report can adopt a clear German-style structure, but in oral discussions, both parties are required to consciously translate and confirm the expression. British enterprises learn to give feedback directly but politely, while German enterprises learn to interpret British euphemism signals and take the initiative to ask for confirmation. The advantage of this strategy is that it combines Britain's flexibility with Germany's reliability, which could lead to greater innovation. It can build a deeper trust based on mutual understanding and adjustment. However, the challenge of this strategy is that it is extremely difficult to implement and requires continuous communication and cooperation between the two sides.</w:t>
      </w:r>
    </w:p>
    <w:p w14:paraId="44804DE8">
      <w:pPr>
        <w:bidi w:val="0"/>
        <w:spacing w:line="480" w:lineRule="auto"/>
        <w:rPr>
          <w:rFonts w:hint="default"/>
        </w:rPr>
      </w:pPr>
    </w:p>
    <w:p w14:paraId="376BCA57">
      <w:pPr>
        <w:bidi w:val="0"/>
        <w:spacing w:line="480" w:lineRule="auto"/>
        <w:rPr>
          <w:rFonts w:hint="default"/>
        </w:rPr>
      </w:pPr>
    </w:p>
    <w:p w14:paraId="404DA19F">
      <w:pPr>
        <w:pStyle w:val="2"/>
        <w:bidi w:val="0"/>
        <w:rPr>
          <w:rFonts w:hint="default"/>
        </w:rPr>
      </w:pPr>
      <w:bookmarkStart w:id="6" w:name="_Toc10190"/>
      <w:r>
        <w:rPr>
          <w:rFonts w:hint="default"/>
        </w:rPr>
        <w:t>4.0 Conclusion</w:t>
      </w:r>
      <w:bookmarkEnd w:id="6"/>
    </w:p>
    <w:p w14:paraId="5A7BA3BE">
      <w:pPr>
        <w:bidi w:val="0"/>
        <w:spacing w:line="480" w:lineRule="auto"/>
        <w:rPr>
          <w:rFonts w:hint="default"/>
        </w:rPr>
      </w:pPr>
    </w:p>
    <w:p w14:paraId="1411A839">
      <w:pPr>
        <w:bidi w:val="0"/>
        <w:spacing w:line="480" w:lineRule="auto"/>
        <w:rPr>
          <w:rFonts w:hint="default"/>
        </w:rPr>
      </w:pPr>
      <w:r>
        <w:rPr>
          <w:rFonts w:hint="default"/>
        </w:rPr>
        <w:t>I think the challenge of business communication between England and Germany is not just a matter of language or etiquette, but a matter of friction between different cultures. Germany's high uncertainty avoidance and long-term orientation are challenged by Britain's low uncertainty avoidance and short-term orientation. These challenges are reflected in every link from strategic planning to daily mail.</w:t>
      </w:r>
    </w:p>
    <w:p w14:paraId="019EE87D">
      <w:pPr>
        <w:bidi w:val="0"/>
        <w:spacing w:line="480" w:lineRule="auto"/>
        <w:rPr>
          <w:rFonts w:hint="default"/>
        </w:rPr>
      </w:pPr>
    </w:p>
    <w:p w14:paraId="044E9997">
      <w:pPr>
        <w:bidi w:val="0"/>
        <w:spacing w:line="480" w:lineRule="auto"/>
        <w:rPr>
          <w:rFonts w:hint="default"/>
        </w:rPr>
      </w:pPr>
      <w:r>
        <w:rPr>
          <w:rFonts w:hint="default"/>
        </w:rPr>
        <w:t>Whether it is the cultural assimilation strategy that leads to the conflict or the cultural adaptation strategy that may lose self, this contradiction cannot be properly solved. The setback of Topshop in Germany has proved that ignoring the restriction of cultural environment will pay a heavy price. Therefore, the only effective way for British companies that wish to achieve long-term success in the German market is to focus on cultural integration. British companies must regard cross-cultural communication as a core strategic capability. Companies need to work together to create a more efficient way to collaborate.</w:t>
      </w:r>
    </w:p>
    <w:p w14:paraId="01F43C68">
      <w:pPr>
        <w:bidi w:val="0"/>
        <w:spacing w:line="480" w:lineRule="auto"/>
        <w:rPr>
          <w:rFonts w:hint="default"/>
        </w:rPr>
      </w:pPr>
    </w:p>
    <w:p w14:paraId="084D810C">
      <w:pPr>
        <w:bidi w:val="0"/>
        <w:spacing w:line="480" w:lineRule="auto"/>
        <w:rPr>
          <w:rFonts w:hint="default"/>
        </w:rPr>
      </w:pPr>
    </w:p>
    <w:p w14:paraId="0BB6B896">
      <w:pPr>
        <w:pStyle w:val="2"/>
        <w:bidi w:val="0"/>
        <w:rPr>
          <w:rFonts w:hint="default"/>
        </w:rPr>
      </w:pPr>
      <w:bookmarkStart w:id="7" w:name="_Toc5635"/>
      <w:r>
        <w:rPr>
          <w:rFonts w:hint="default"/>
        </w:rPr>
        <w:t>5.0 Recommendations</w:t>
      </w:r>
      <w:bookmarkEnd w:id="7"/>
    </w:p>
    <w:p w14:paraId="2BFB448A">
      <w:pPr>
        <w:bidi w:val="0"/>
        <w:spacing w:line="480" w:lineRule="auto"/>
        <w:rPr>
          <w:rFonts w:hint="default"/>
        </w:rPr>
      </w:pPr>
    </w:p>
    <w:p w14:paraId="66D7053F">
      <w:pPr>
        <w:bidi w:val="0"/>
        <w:spacing w:line="480" w:lineRule="auto"/>
        <w:rPr>
          <w:rFonts w:hint="default"/>
        </w:rPr>
      </w:pPr>
      <w:r>
        <w:rPr>
          <w:rFonts w:hint="default"/>
        </w:rPr>
        <w:t>Based on the above conclusion, I give some suggestions. The first suggestion is to conduct in-depth cultural training in other countries. The training content must go beyond some stereotypes. For example, through role-playing, British employees experience the anxiety of a vague contract in a highly uncertain environment. Or let German employees understand that low uncertainty eludes the competitive advantage given by a rapidly changing market. The goal of training is to cultivate cultural intelligence quotient, which requires employees to know what the differences are, understand the reasons for the differences and adjust their behavior in the differences. The second suggestion is to hire staff who are familiar with both cultures. Set up a mixed team with an understanding of the cultural differences between the two countries. In the key project team, cultural blending must be consciously implemented. . These staff are responsible for immediate translation and mediation when communication misunderstanding occurs, and regularly collect feedback from both teams to optimize the collaboration process. These employees are the lubricant of cultural integration. The third recommendation is to include cross-cultural management skills in the leadership assessment. The promotion and evaluation of senior management should include their ability to manage cross-cultural projects. Companies can know in advance whether managers in other countries have exacerbated cultural conflicts or succeeded in promoting cultural integration. This can greatly motivate the management to take cultural issues seriously.</w:t>
      </w:r>
    </w:p>
    <w:p w14:paraId="707E5A60">
      <w:pPr>
        <w:bidi w:val="0"/>
        <w:spacing w:line="480" w:lineRule="auto"/>
        <w:rPr>
          <w:rFonts w:hint="default"/>
        </w:rPr>
      </w:pPr>
    </w:p>
    <w:p w14:paraId="78546FA3">
      <w:pPr>
        <w:bidi w:val="0"/>
        <w:spacing w:line="480" w:lineRule="auto"/>
        <w:rPr>
          <w:rFonts w:hint="default"/>
        </w:rPr>
      </w:pPr>
      <w:r>
        <w:rPr>
          <w:rFonts w:hint="default"/>
        </w:rPr>
        <w:t>In short, entering the German market is not only a business adventure for British companies, but also a friction and learning between different cultures.</w:t>
      </w:r>
    </w:p>
    <w:p w14:paraId="0FF023AD">
      <w:pPr>
        <w:bidi w:val="0"/>
        <w:spacing w:line="480" w:lineRule="auto"/>
        <w:rPr>
          <w:rFonts w:hint="default"/>
        </w:rPr>
      </w:pPr>
    </w:p>
    <w:p w14:paraId="12238526">
      <w:pPr>
        <w:bidi w:val="0"/>
        <w:spacing w:line="480" w:lineRule="auto"/>
        <w:rPr>
          <w:rFonts w:hint="default"/>
        </w:rPr>
      </w:pPr>
    </w:p>
    <w:p w14:paraId="51C9D2B5">
      <w:pPr>
        <w:pStyle w:val="2"/>
        <w:bidi w:val="0"/>
        <w:rPr>
          <w:rFonts w:hint="default"/>
        </w:rPr>
        <w:sectPr>
          <w:pgSz w:w="11900" w:h="16840"/>
          <w:pgMar w:top="1134" w:right="1134" w:bottom="850" w:left="1134" w:header="851" w:footer="992" w:gutter="0"/>
          <w:pgNumType w:fmt="decimal"/>
          <w:cols w:space="425" w:num="1"/>
          <w:docGrid w:type="lines" w:linePitch="312" w:charSpace="0"/>
        </w:sectPr>
      </w:pPr>
    </w:p>
    <w:p w14:paraId="FF433D2A">
      <w:pPr>
        <w:pStyle w:val="2"/>
        <w:bidi w:val="0"/>
        <w:rPr>
          <w:rFonts w:hint="default"/>
        </w:rPr>
      </w:pPr>
      <w:bookmarkStart w:id="8" w:name="_Toc4310"/>
      <w:r>
        <w:rPr>
          <w:rFonts w:hint="default"/>
        </w:rPr>
        <w:t>6.0 Reference</w:t>
      </w:r>
      <w:bookmarkEnd w:id="8"/>
    </w:p>
    <w:p w14:paraId="217AC290">
      <w:pPr>
        <w:bidi w:val="0"/>
        <w:spacing w:line="480" w:lineRule="auto"/>
        <w:rPr>
          <w:rFonts w:hint="default"/>
        </w:rPr>
      </w:pPr>
    </w:p>
    <w:p w14:paraId="2053A8B5">
      <w:pPr>
        <w:bidi w:val="0"/>
        <w:spacing w:line="480" w:lineRule="auto"/>
        <w:rPr>
          <w:rFonts w:hint="default"/>
        </w:rPr>
      </w:pPr>
      <w:r>
        <w:rPr>
          <w:rFonts w:hint="default"/>
        </w:rPr>
        <w:t>1. Adler, N. J., &amp; Gundersen, A. (2008). International dimensions of organizational behavior (5th ed.). Thomson South-Western.</w:t>
      </w:r>
    </w:p>
    <w:p w14:paraId="71902EB2">
      <w:pPr>
        <w:bidi w:val="0"/>
        <w:spacing w:line="480" w:lineRule="auto"/>
        <w:rPr>
          <w:rFonts w:hint="default"/>
        </w:rPr>
      </w:pPr>
    </w:p>
    <w:p w14:paraId="63CD6EFA">
      <w:pPr>
        <w:bidi w:val="0"/>
        <w:spacing w:line="480" w:lineRule="auto"/>
        <w:rPr>
          <w:rFonts w:hint="default"/>
        </w:rPr>
      </w:pPr>
      <w:r>
        <w:rPr>
          <w:rFonts w:hint="default"/>
        </w:rPr>
        <w:t>2. Chen, G. M., &amp; Starosta, W. J. (2005). Foundations of intercultural communication. University Press of America.</w:t>
      </w:r>
    </w:p>
    <w:p w14:paraId="01412C4F">
      <w:pPr>
        <w:bidi w:val="0"/>
        <w:spacing w:line="480" w:lineRule="auto"/>
        <w:rPr>
          <w:rFonts w:hint="default"/>
        </w:rPr>
      </w:pPr>
    </w:p>
    <w:p w14:paraId="2FAB53E9">
      <w:pPr>
        <w:bidi w:val="0"/>
        <w:spacing w:line="480" w:lineRule="auto"/>
        <w:rPr>
          <w:rFonts w:hint="default"/>
        </w:rPr>
      </w:pPr>
      <w:r>
        <w:rPr>
          <w:rFonts w:hint="default"/>
        </w:rPr>
        <w:t>3. Czinkota, M. R., Ronkainen, I. A., &amp; Gupta, S. (2021). International business (9th ed.). Cambridge University Press.</w:t>
      </w:r>
    </w:p>
    <w:p w14:paraId="2AF0CC7C">
      <w:pPr>
        <w:bidi w:val="0"/>
        <w:spacing w:line="480" w:lineRule="auto"/>
        <w:rPr>
          <w:rFonts w:hint="default"/>
        </w:rPr>
      </w:pPr>
    </w:p>
    <w:p w14:paraId="3C4E5460">
      <w:pPr>
        <w:bidi w:val="0"/>
        <w:spacing w:line="480" w:lineRule="auto"/>
        <w:rPr>
          <w:rFonts w:hint="default"/>
        </w:rPr>
      </w:pPr>
      <w:r>
        <w:rPr>
          <w:rFonts w:hint="default"/>
        </w:rPr>
        <w:t>4. Deresky, H. (2017). International management: Managing across borders and cultures (9th ed.). Pearson.</w:t>
      </w:r>
    </w:p>
    <w:p w14:paraId="27F4DF49">
      <w:pPr>
        <w:bidi w:val="0"/>
        <w:spacing w:line="480" w:lineRule="auto"/>
        <w:rPr>
          <w:rFonts w:hint="default"/>
        </w:rPr>
      </w:pPr>
    </w:p>
    <w:p w14:paraId="F1ACEC9B">
      <w:pPr>
        <w:bidi w:val="0"/>
        <w:spacing w:line="480" w:lineRule="auto"/>
        <w:rPr>
          <w:rFonts w:hint="default"/>
        </w:rPr>
      </w:pPr>
      <w:r>
        <w:rPr>
          <w:rFonts w:hint="default"/>
        </w:rPr>
        <w:t>5. Fang, T. (2003). A critique of Hofstede’s fifth national culture dimension. International Journal of Cross Cultural Management, 3(3), 347-368.</w:t>
      </w:r>
    </w:p>
    <w:p w14:paraId="0040C1A3">
      <w:pPr>
        <w:bidi w:val="0"/>
        <w:spacing w:line="480" w:lineRule="auto"/>
        <w:rPr>
          <w:rFonts w:hint="default"/>
        </w:rPr>
      </w:pPr>
    </w:p>
    <w:p w14:paraId="6D58E71E">
      <w:pPr>
        <w:bidi w:val="0"/>
        <w:spacing w:line="480" w:lineRule="auto"/>
        <w:rPr>
          <w:rFonts w:hint="default"/>
        </w:rPr>
      </w:pPr>
      <w:r>
        <w:rPr>
          <w:rFonts w:hint="default"/>
        </w:rPr>
        <w:t>6. Gesteland, R. R. (2012). Cross-cultural business behavior: A guide for global management (5th ed.). Copenhagen Business School Press.</w:t>
      </w:r>
    </w:p>
    <w:p w14:paraId="6B514E2D">
      <w:pPr>
        <w:bidi w:val="0"/>
        <w:spacing w:line="480" w:lineRule="auto"/>
        <w:rPr>
          <w:rFonts w:hint="default"/>
        </w:rPr>
      </w:pPr>
    </w:p>
    <w:p w14:paraId="717765A5">
      <w:pPr>
        <w:bidi w:val="0"/>
        <w:spacing w:line="480" w:lineRule="auto"/>
        <w:rPr>
          <w:rFonts w:hint="default"/>
        </w:rPr>
      </w:pPr>
      <w:r>
        <w:rPr>
          <w:rFonts w:hint="default"/>
        </w:rPr>
        <w:t>7. Gudykunst, W. B., &amp; Kim, Y. Y. (2003). Communicating with strangers: An approach to intercultural communication (4th ed.). McGraw-Hill.</w:t>
      </w:r>
    </w:p>
    <w:p w14:paraId="3FD0F87A">
      <w:pPr>
        <w:bidi w:val="0"/>
        <w:spacing w:line="480" w:lineRule="auto"/>
        <w:rPr>
          <w:rFonts w:hint="default"/>
        </w:rPr>
      </w:pPr>
    </w:p>
    <w:p w14:paraId="36D76CB3">
      <w:pPr>
        <w:bidi w:val="0"/>
        <w:spacing w:line="480" w:lineRule="auto"/>
        <w:rPr>
          <w:rFonts w:hint="default"/>
        </w:rPr>
      </w:pPr>
      <w:r>
        <w:rPr>
          <w:rFonts w:hint="default"/>
        </w:rPr>
        <w:t>8. Hall, E. T. (1976). Beyond culture. Anchor Books.</w:t>
      </w:r>
    </w:p>
    <w:p w14:paraId="05052214">
      <w:pPr>
        <w:bidi w:val="0"/>
        <w:spacing w:line="480" w:lineRule="auto"/>
        <w:rPr>
          <w:rFonts w:hint="default"/>
        </w:rPr>
      </w:pPr>
    </w:p>
    <w:p w14:paraId="520DF33F">
      <w:pPr>
        <w:bidi w:val="0"/>
        <w:spacing w:line="480" w:lineRule="auto"/>
        <w:rPr>
          <w:rFonts w:hint="default"/>
        </w:rPr>
      </w:pPr>
      <w:r>
        <w:rPr>
          <w:rFonts w:hint="default"/>
        </w:rPr>
        <w:t>9. Hampden-Turner, C., &amp; Trompenaars, F. (2000). Building cross-cultural competence: How to create wealth from conflicting values. Yale University Press.</w:t>
      </w:r>
    </w:p>
    <w:p w14:paraId="0BEE0688">
      <w:pPr>
        <w:bidi w:val="0"/>
        <w:spacing w:line="480" w:lineRule="auto"/>
        <w:rPr>
          <w:rFonts w:hint="default"/>
        </w:rPr>
      </w:pPr>
    </w:p>
    <w:p w14:paraId="6CBB4FCB">
      <w:pPr>
        <w:bidi w:val="0"/>
        <w:spacing w:line="480" w:lineRule="auto"/>
        <w:rPr>
          <w:rFonts w:hint="default"/>
        </w:rPr>
      </w:pPr>
      <w:r>
        <w:rPr>
          <w:rFonts w:hint="default"/>
        </w:rPr>
        <w:t>10. Hofstede, G., Hofstede, G. J., &amp; Minkov, M. (2010). Cultures and organizations: Software of the mind (3rd ed.). McGraw-Hill.</w:t>
      </w:r>
    </w:p>
    <w:p w14:paraId="EF9163B6">
      <w:pPr>
        <w:bidi w:val="0"/>
        <w:spacing w:line="480" w:lineRule="auto"/>
        <w:rPr>
          <w:rFonts w:hint="default"/>
        </w:rPr>
      </w:pPr>
    </w:p>
    <w:p w14:paraId="5D51D513">
      <w:pPr>
        <w:bidi w:val="0"/>
        <w:spacing w:line="480" w:lineRule="auto"/>
        <w:rPr>
          <w:rFonts w:hint="default"/>
        </w:rPr>
      </w:pPr>
      <w:r>
        <w:rPr>
          <w:rFonts w:hint="default"/>
        </w:rPr>
        <w:t>11. House, R. J., Hanges, P. J., Javidan, M., Dorfman, P. W., &amp; Gupta, V. (Eds.). (2004). Culture, leadership, and organizations: The GLOBE study of 62 societies. Sage Publications.</w:t>
      </w:r>
    </w:p>
    <w:p w14:paraId="D8FE8BFA">
      <w:pPr>
        <w:bidi w:val="0"/>
        <w:spacing w:line="480" w:lineRule="auto"/>
        <w:rPr>
          <w:rFonts w:hint="default"/>
        </w:rPr>
      </w:pPr>
    </w:p>
    <w:p w14:paraId="4ED1559F">
      <w:pPr>
        <w:bidi w:val="0"/>
        <w:spacing w:line="480" w:lineRule="auto"/>
        <w:rPr>
          <w:rFonts w:hint="default"/>
        </w:rPr>
      </w:pPr>
      <w:r>
        <w:rPr>
          <w:rFonts w:hint="default"/>
        </w:rPr>
        <w:t>12. Jandt, F. E. (2018). An introduction to intercultural communication: Identities in a global community (9th ed.). Sage Publications.</w:t>
      </w:r>
    </w:p>
    <w:p w14:paraId="B8D54689">
      <w:pPr>
        <w:bidi w:val="0"/>
        <w:spacing w:line="480" w:lineRule="auto"/>
        <w:rPr>
          <w:rFonts w:hint="default"/>
        </w:rPr>
      </w:pPr>
    </w:p>
    <w:p w14:paraId="7F86E9DF">
      <w:pPr>
        <w:bidi w:val="0"/>
        <w:spacing w:line="480" w:lineRule="auto"/>
        <w:rPr>
          <w:rFonts w:hint="default"/>
        </w:rPr>
      </w:pPr>
      <w:r>
        <w:rPr>
          <w:rFonts w:hint="default"/>
        </w:rPr>
        <w:t>13. Lewis, R. D. (2006). When cultures collide: Leading across cultures (3rd ed.). Nicholas Brealey Publishing.</w:t>
      </w:r>
    </w:p>
    <w:p w14:paraId="8CAE24C4">
      <w:pPr>
        <w:bidi w:val="0"/>
        <w:spacing w:line="480" w:lineRule="auto"/>
        <w:rPr>
          <w:rFonts w:hint="default"/>
        </w:rPr>
      </w:pPr>
    </w:p>
    <w:p w14:paraId="1E613FE4">
      <w:pPr>
        <w:bidi w:val="0"/>
        <w:spacing w:line="480" w:lineRule="auto"/>
        <w:rPr>
          <w:rFonts w:hint="default"/>
        </w:rPr>
      </w:pPr>
      <w:r>
        <w:rPr>
          <w:rFonts w:hint="default"/>
        </w:rPr>
        <w:t>14. Lustig, M. W., &amp; Koester, J. (2013). Intercultural competence: Interpersonal communication across cultures (7th ed.). Pearson.</w:t>
      </w:r>
    </w:p>
    <w:p w14:paraId="51FABAFA">
      <w:pPr>
        <w:bidi w:val="0"/>
        <w:spacing w:line="480" w:lineRule="auto"/>
        <w:rPr>
          <w:rFonts w:hint="default"/>
        </w:rPr>
      </w:pPr>
    </w:p>
    <w:p w14:paraId="1FCEFA83">
      <w:pPr>
        <w:bidi w:val="0"/>
        <w:spacing w:line="480" w:lineRule="auto"/>
        <w:rPr>
          <w:rFonts w:hint="default"/>
        </w:rPr>
      </w:pPr>
      <w:r>
        <w:rPr>
          <w:rFonts w:hint="default"/>
        </w:rPr>
        <w:t>15. Luthans, F., &amp; Doh, J. P. (2021). International management: Culture, strategy, and behavior (12th ed.). McGraw-Hill.</w:t>
      </w:r>
    </w:p>
    <w:p w14:paraId="4C82E437">
      <w:pPr>
        <w:bidi w:val="0"/>
        <w:spacing w:line="480" w:lineRule="auto"/>
        <w:rPr>
          <w:rFonts w:hint="default"/>
        </w:rPr>
      </w:pPr>
    </w:p>
    <w:p w14:paraId="6B6A8948">
      <w:pPr>
        <w:bidi w:val="0"/>
        <w:spacing w:line="480" w:lineRule="auto"/>
        <w:rPr>
          <w:rFonts w:hint="default"/>
        </w:rPr>
      </w:pPr>
      <w:r>
        <w:rPr>
          <w:rFonts w:hint="default"/>
        </w:rPr>
        <w:t>16. Meyer, E. (2014). The culture map: Breaking through the invisible boundaries of global business. PublicAffairs.</w:t>
      </w:r>
    </w:p>
    <w:p w14:paraId="5A432B51">
      <w:pPr>
        <w:bidi w:val="0"/>
        <w:spacing w:line="480" w:lineRule="auto"/>
        <w:rPr>
          <w:rFonts w:hint="default"/>
        </w:rPr>
      </w:pPr>
    </w:p>
    <w:p w14:paraId="2EE64C06">
      <w:pPr>
        <w:bidi w:val="0"/>
        <w:spacing w:line="480" w:lineRule="auto"/>
        <w:rPr>
          <w:rFonts w:hint="default"/>
        </w:rPr>
      </w:pPr>
      <w:r>
        <w:rPr>
          <w:rFonts w:hint="default"/>
        </w:rPr>
        <w:t>17. Nardon, L., &amp; Steers,  R. M. (2009). The culture theory jungle: Divergence and convergence in models of national culture. In Cambridge handbook of culture, organizations, and work (pp. 3-22). Cambridge University Press.</w:t>
      </w:r>
    </w:p>
    <w:p w14:paraId="88A6964D">
      <w:pPr>
        <w:bidi w:val="0"/>
        <w:spacing w:line="480" w:lineRule="auto"/>
        <w:rPr>
          <w:rFonts w:hint="default"/>
        </w:rPr>
      </w:pPr>
    </w:p>
    <w:p w14:paraId="24C1A5EA">
      <w:pPr>
        <w:bidi w:val="0"/>
        <w:spacing w:line="480" w:lineRule="auto"/>
        <w:rPr>
          <w:rFonts w:hint="default"/>
        </w:rPr>
      </w:pPr>
      <w:r>
        <w:rPr>
          <w:rFonts w:hint="default"/>
        </w:rPr>
        <w:t>18. Schneider, S. C., &amp; Barsoux, J. L. (2003). Managing across cultures (2nd ed.). Pearson Education.</w:t>
      </w:r>
    </w:p>
    <w:p w14:paraId="42F754A9">
      <w:pPr>
        <w:bidi w:val="0"/>
        <w:spacing w:line="480" w:lineRule="auto"/>
        <w:rPr>
          <w:rFonts w:hint="default"/>
        </w:rPr>
      </w:pPr>
    </w:p>
    <w:p w14:paraId="259C633C">
      <w:pPr>
        <w:bidi w:val="0"/>
        <w:spacing w:line="480" w:lineRule="auto"/>
        <w:rPr>
          <w:rFonts w:hint="default"/>
        </w:rPr>
      </w:pPr>
      <w:r>
        <w:rPr>
          <w:rFonts w:hint="default"/>
        </w:rPr>
        <w:t>19. Storti, C. (2007). Speaking of India: Bridging the communication gap when working with Indians. Intercultural Press.</w:t>
      </w:r>
    </w:p>
    <w:p w14:paraId="BD8B8239">
      <w:pPr>
        <w:bidi w:val="0"/>
        <w:spacing w:line="480" w:lineRule="auto"/>
        <w:rPr>
          <w:rFonts w:hint="default"/>
        </w:rPr>
      </w:pPr>
    </w:p>
    <w:p w14:paraId="22A4265B">
      <w:pPr>
        <w:bidi w:val="0"/>
        <w:spacing w:line="480" w:lineRule="auto"/>
        <w:rPr>
          <w:rFonts w:hint="default"/>
        </w:rPr>
      </w:pPr>
      <w:r>
        <w:rPr>
          <w:rFonts w:hint="default"/>
        </w:rPr>
        <w:t>20. Thomas, D. C., &amp; Peterson, M. F. (2018). Cross-cultural management: Essential concepts (4th ed.). Sage Publications.</w:t>
      </w:r>
    </w:p>
    <w:p w14:paraId="FF4E8F0A">
      <w:pPr>
        <w:bidi w:val="0"/>
        <w:spacing w:line="480" w:lineRule="auto"/>
        <w:rPr>
          <w:rFonts w:hint="default"/>
        </w:rPr>
      </w:pPr>
    </w:p>
    <w:p w14:paraId="6A906FCE">
      <w:pPr>
        <w:bidi w:val="0"/>
        <w:spacing w:line="480" w:lineRule="auto"/>
        <w:rPr>
          <w:rFonts w:hint="default"/>
        </w:rPr>
      </w:pPr>
      <w:r>
        <w:rPr>
          <w:rFonts w:hint="default"/>
        </w:rPr>
        <w:t>21. Ting-Toomey, S., &amp; Chung, L. C. (2012). Understanding intercultural communication (2nd ed.). Oxford University Press.</w:t>
      </w:r>
    </w:p>
    <w:p w14:paraId="A423B688">
      <w:pPr>
        <w:bidi w:val="0"/>
        <w:spacing w:line="480" w:lineRule="auto"/>
        <w:rPr>
          <w:rFonts w:hint="default"/>
        </w:rPr>
      </w:pPr>
    </w:p>
    <w:p w14:paraId="06776890">
      <w:pPr>
        <w:bidi w:val="0"/>
        <w:spacing w:line="480" w:lineRule="auto"/>
        <w:rPr>
          <w:rFonts w:hint="default"/>
        </w:rPr>
      </w:pPr>
      <w:r>
        <w:rPr>
          <w:rFonts w:hint="default"/>
        </w:rPr>
        <w:t>22. Trompenaars, F., &amp; Hampden-Turner, C. (2012). Riding the waves of culture: Understanding diversity in global business (3rd ed.). Nicholas Brealey Publishing.</w:t>
      </w:r>
    </w:p>
    <w:p w14:paraId="56DF26CD">
      <w:pPr>
        <w:bidi w:val="0"/>
        <w:spacing w:line="480" w:lineRule="auto"/>
        <w:rPr>
          <w:rFonts w:hint="default"/>
        </w:rPr>
      </w:pPr>
    </w:p>
    <w:p w14:paraId="2B87508A">
      <w:pPr>
        <w:bidi w:val="0"/>
        <w:spacing w:line="480" w:lineRule="auto"/>
        <w:rPr>
          <w:rFonts w:hint="default"/>
        </w:rPr>
      </w:pPr>
      <w:r>
        <w:rPr>
          <w:rFonts w:hint="default"/>
        </w:rPr>
        <w:t>23. Usunier, J. C., &amp; Lee, J. A. (2013). Marketing across cultures (6th ed.). Pearson Education.</w:t>
      </w:r>
    </w:p>
    <w:p w14:paraId="C23217EB">
      <w:pPr>
        <w:bidi w:val="0"/>
        <w:spacing w:line="480" w:lineRule="auto"/>
        <w:rPr>
          <w:rFonts w:hint="default"/>
        </w:rPr>
      </w:pPr>
    </w:p>
    <w:p w14:paraId="765625C3">
      <w:pPr>
        <w:bidi w:val="0"/>
        <w:spacing w:line="480" w:lineRule="auto"/>
        <w:rPr>
          <w:rFonts w:hint="default"/>
        </w:rPr>
      </w:pPr>
      <w:r>
        <w:rPr>
          <w:rFonts w:hint="default"/>
        </w:rPr>
        <w:t>24. Varner, I., &amp; Beamer, L. (2011). Intercultural communication in the global workplace (5th ed.). McGraw-Hill/Irwin.</w:t>
      </w:r>
    </w:p>
    <w:p w14:paraId="6EBDA2FF">
      <w:pPr>
        <w:bidi w:val="0"/>
        <w:spacing w:line="480" w:lineRule="auto"/>
        <w:rPr>
          <w:rFonts w:hint="default"/>
        </w:rPr>
      </w:pPr>
    </w:p>
    <w:p w14:paraId="6A004A24">
      <w:pPr>
        <w:bidi w:val="0"/>
        <w:spacing w:line="480" w:lineRule="auto"/>
        <w:rPr>
          <w:rFonts w:hint="default"/>
        </w:rPr>
      </w:pPr>
      <w:r>
        <w:rPr>
          <w:rFonts w:hint="default"/>
        </w:rPr>
        <w:t>25. International Journal of Business Communication. (Various Issues). Sage Publications.</w:t>
      </w:r>
    </w:p>
    <w:sectPr>
      <w:pgSz w:w="11900" w:h="16840"/>
      <w:pgMar w:top="1134" w:right="1134" w:bottom="850" w:left="1134"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Ti">
    <w:altName w:val="Segoe Print"/>
    <w:panose1 w:val="00000000000000000000"/>
    <w:charset w:val="00"/>
    <w:family w:val="auto"/>
    <w:pitch w:val="default"/>
    <w:sig w:usb0="00000000" w:usb1="00000000" w:usb2="00000000" w:usb3="00000000" w:csb0="00000000" w:csb1="00000000"/>
  </w:font>
  <w:font w:name="Tim">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036395A">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33A60B6B">
                          <w:pPr>
                            <w:pStyle w:val="4"/>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14:paraId="33A60B6B">
                    <w:pPr>
                      <w:pStyle w:val="4"/>
                    </w:pPr>
                    <w:r>
                      <w:fldChar w:fldCharType="begin"/>
                    </w:r>
                    <w:r>
                      <w:instrText xml:space="preserve"> PAGE  \* MERGEFORMAT </w:instrText>
                    </w:r>
                    <w:r>
                      <w:fldChar w:fldCharType="separate"/>
                    </w:r>
                    <w:r>
                      <w:t>3</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569"/>
    <w:rsid w:val="000E1712"/>
    <w:rsid w:val="0028768E"/>
    <w:rsid w:val="005533ED"/>
    <w:rsid w:val="00702569"/>
    <w:rsid w:val="0089293C"/>
    <w:rsid w:val="00B176CB"/>
    <w:rsid w:val="00F54202"/>
    <w:rsid w:val="2F577AAC"/>
    <w:rsid w:val="49CD6B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nhideWhenUsed="0" w:uiPriority="99" w:semiHidden="0" w:name="heading 1"/>
    <w:lsdException w:uiPriority="99" w:semiHidden="0" w:name="heading 2"/>
    <w:lsdException w:uiPriority="99" w:name="heading 3"/>
    <w:lsdException w:uiPriority="99" w:name="heading 4"/>
    <w:lsdException w:uiPriority="99" w:name="heading 5"/>
    <w:lsdException w:uiPriority="99" w:name="heading 6"/>
    <w:lsdException w:uiPriority="99" w:name="heading 7"/>
    <w:lsdException w:uiPriority="99" w:name="heading 8"/>
    <w:lsdException w:uiPriority="9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99" w:name="toc 1"/>
    <w:lsdException w:uiPriority="99" w:name="toc 2"/>
    <w:lsdException w:uiPriority="99" w:name="toc 3"/>
    <w:lsdException w:uiPriority="99" w:name="toc 4"/>
    <w:lsdException w:uiPriority="99" w:name="toc 5"/>
    <w:lsdException w:uiPriority="99" w:name="toc 6"/>
    <w:lsdException w:uiPriority="99" w:name="toc 7"/>
    <w:lsdException w:uiPriority="99" w:name="toc 8"/>
    <w:lsdException w:uiPriority="9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uiPriority="99"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99"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99"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unhideWhenUsed="0" w:uiPriority="99" w:semiHidden="0" w:name="Strong"/>
    <w:lsdException w:unhideWhenUsed="0" w:uiPriority="99"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imes New Roman" w:cstheme="minorBidi"/>
      <w:kern w:val="2"/>
      <w:sz w:val="24"/>
      <w:szCs w:val="24"/>
      <w:lang w:val="en-US" w:eastAsia="zh-CN" w:bidi="ar-SA"/>
    </w:rPr>
  </w:style>
  <w:style w:type="paragraph" w:styleId="2">
    <w:name w:val="heading 1"/>
    <w:basedOn w:val="1"/>
    <w:next w:val="1"/>
    <w:link w:val="10"/>
    <w:uiPriority w:val="99"/>
    <w:pPr>
      <w:keepNext/>
      <w:keepLines/>
      <w:spacing w:before="340" w:beforeLines="0" w:beforeAutospacing="0" w:after="330" w:afterLines="0" w:afterAutospacing="0" w:line="576" w:lineRule="auto"/>
      <w:outlineLvl w:val="0"/>
    </w:pPr>
    <w:rPr>
      <w:rFonts w:ascii="Times New Roman" w:hAnsi="Times New Roman" w:eastAsia="Times New Roman"/>
      <w:b/>
      <w:kern w:val="44"/>
      <w:sz w:val="24"/>
    </w:rPr>
  </w:style>
  <w:style w:type="paragraph" w:styleId="3">
    <w:name w:val="heading 2"/>
    <w:basedOn w:val="1"/>
    <w:next w:val="1"/>
    <w:unhideWhenUsed/>
    <w:uiPriority w:val="99"/>
    <w:pPr>
      <w:keepNext/>
      <w:keepLines/>
      <w:spacing w:before="260" w:beforeLines="0" w:beforeAutospacing="0" w:after="260" w:afterLines="0" w:afterAutospacing="0" w:line="413" w:lineRule="auto"/>
      <w:outlineLvl w:val="1"/>
    </w:pPr>
    <w:rPr>
      <w:rFonts w:ascii="Times New Roman" w:hAnsi="Times New Roman" w:eastAsia="Times New Roman"/>
      <w:b/>
      <w:sz w:val="24"/>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semiHidden/>
    <w:unhideWhenUsed/>
    <w:uiPriority w:val="99"/>
  </w:style>
  <w:style w:type="paragraph" w:styleId="7">
    <w:name w:val="toc 2"/>
    <w:basedOn w:val="1"/>
    <w:next w:val="1"/>
    <w:semiHidden/>
    <w:unhideWhenUsed/>
    <w:uiPriority w:val="99"/>
    <w:pPr>
      <w:ind w:left="420" w:leftChars="200"/>
    </w:pPr>
  </w:style>
  <w:style w:type="character" w:customStyle="1" w:styleId="10">
    <w:name w:val="标题 1 Char"/>
    <w:link w:val="2"/>
    <w:uiPriority w:val="0"/>
    <w:rPr>
      <w:rFonts w:ascii="Times New Roman" w:hAnsi="Times New Roman" w:eastAsia="Times New Roman"/>
      <w:b/>
      <w:kern w:val="44"/>
      <w:sz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lumMod val="102000"/>
                <a:satMod val="103000"/>
                <a:tint val="94000"/>
              </a:schemeClr>
            </a:gs>
            <a:gs pos="50000">
              <a:schemeClr val="phClr">
                <a:lumMod val="100000"/>
                <a:satMod val="11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shade val="98000"/>
                <a:tint val="93000"/>
              </a:schemeClr>
            </a:gs>
            <a:gs pos="50000">
              <a:schemeClr val="phClr">
                <a:lumMod val="103000"/>
                <a:satMod val="130000"/>
                <a:shade val="90000"/>
                <a:tint val="98000"/>
              </a:schemeClr>
            </a:gs>
            <a:gs pos="100000">
              <a:schemeClr val="phClr">
                <a:satMod val="120000"/>
                <a:shade val="63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2268</Words>
  <Characters>13396</Characters>
  <Lines>0</Lines>
  <Paragraphs>0</Paragraphs>
  <TotalTime>3</TotalTime>
  <ScaleCrop>false</ScaleCrop>
  <LinksUpToDate>false</LinksUpToDate>
  <CharactersWithSpaces>15610</CharactersWithSpaces>
  <Application>WPS Office_12.1.0.23542_F1E327BC-269C-435d-A152-05C5408002CA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2020-07-21T13:27:00Z</dcterms:created>
  <dc:creator>T148778</dc:creator>
  <cp:lastModifiedBy>WPS_1685952203</cp:lastModifiedBy>
  <dcterms:modified xsi:type="dcterms:W3CDTF">2025-12-12T19:51:03Z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eyJoZGlkIjoiMDdhNjhiYmI2YzIxZDFiNzk4ZjE2ZjJiNmM4NGM2MDAiLCJ1c2VySWQiOiIxNDk4MTk5NTc0In0=</vt:lpwstr>
  </property>
  <property fmtid="{D5CDD505-2E9C-101B-9397-08002B2CF9AE}" pid="3" name="KSOProductBuildVer">
    <vt:lpwstr>2052-12.1.0.23542</vt:lpwstr>
  </property>
  <property fmtid="{D5CDD505-2E9C-101B-9397-08002B2CF9AE}" pid="4" name="ICV">
    <vt:lpwstr>9902274D94B14D5DAF62E778FA9BB267_12</vt:lpwstr>
  </property>
</Properties>
</file>