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B2264" w14:textId="77777777" w:rsidR="00DF4049" w:rsidRDefault="00000000">
      <w:pPr>
        <w:pStyle w:val="Title"/>
      </w:pPr>
      <w:r>
        <w:t>Stakeholder Engagement for the Launch of Motorola’s Moto G X Smartwatch in the UK</w:t>
      </w:r>
    </w:p>
    <w:p w14:paraId="3A5320A8" w14:textId="5C232742" w:rsidR="00DF4049" w:rsidRDefault="00000000">
      <w:r>
        <w:t xml:space="preserve">Prepared by: </w:t>
      </w:r>
      <w:r w:rsidR="0083607C">
        <w:t xml:space="preserve">MUHAMMAD ASIM MAJEED </w:t>
      </w:r>
      <w:r w:rsidR="0061015D">
        <w:t>(</w:t>
      </w:r>
      <w:r w:rsidR="0083607C">
        <w:t>2319372</w:t>
      </w:r>
      <w:r w:rsidR="0061015D">
        <w:t>)</w:t>
      </w:r>
    </w:p>
    <w:p w14:paraId="642E57DA" w14:textId="053EA023" w:rsidR="005C28C7" w:rsidRDefault="005C28C7">
      <w:r>
        <w:t>Tuter Name</w:t>
      </w:r>
      <w:r w:rsidR="000E2ACB">
        <w:t xml:space="preserve">: </w:t>
      </w:r>
      <w:r w:rsidR="00462E0C">
        <w:t>D</w:t>
      </w:r>
      <w:r w:rsidR="00FF1E59">
        <w:t xml:space="preserve">r </w:t>
      </w:r>
      <w:r w:rsidR="00B069D7">
        <w:t>Sharin</w:t>
      </w:r>
      <w:r w:rsidR="00462E0C">
        <w:t xml:space="preserve"> </w:t>
      </w:r>
      <w:proofErr w:type="spellStart"/>
      <w:r w:rsidR="00462E0C">
        <w:t>Mcdowall-Emefiele</w:t>
      </w:r>
      <w:proofErr w:type="spellEnd"/>
    </w:p>
    <w:p w14:paraId="2218AE11" w14:textId="48E63A6D" w:rsidR="00DF4049" w:rsidRPr="006E69B9" w:rsidRDefault="00000000">
      <w:pPr>
        <w:rPr>
          <w:lang w:val="en-GB"/>
        </w:rPr>
      </w:pPr>
      <w:r>
        <w:t xml:space="preserve">Course/Module: </w:t>
      </w:r>
      <w:r w:rsidR="00BD0FEE" w:rsidRPr="006E69B9">
        <w:rPr>
          <w:lang w:val="en-GB"/>
        </w:rPr>
        <w:t>Understanding and Engaging Stakeholders (LCLM5001)</w:t>
      </w:r>
    </w:p>
    <w:p w14:paraId="27DA7E45" w14:textId="6B10DE6D" w:rsidR="00DF4049" w:rsidRDefault="00000000">
      <w:r>
        <w:t xml:space="preserve">Submission Date: 24 </w:t>
      </w:r>
      <w:r w:rsidR="006E69B9">
        <w:t>November</w:t>
      </w:r>
      <w:r>
        <w:t xml:space="preserve"> 2025</w:t>
      </w:r>
    </w:p>
    <w:p w14:paraId="042AEA79" w14:textId="77777777" w:rsidR="00DF4049" w:rsidRDefault="00000000">
      <w:r>
        <w:t>Company Address: Motorola UK, Nova South, 160 Victoria Street, London SW1E 5LB</w:t>
      </w:r>
    </w:p>
    <w:p w14:paraId="7D71C96B" w14:textId="1372E343" w:rsidR="00DF4049" w:rsidRDefault="00000000" w:rsidP="005D1C90">
      <w:pPr>
        <w:pStyle w:val="Heading1"/>
      </w:pPr>
      <w:r>
        <w:br w:type="page"/>
      </w:r>
      <w:r w:rsidR="005F0EF6" w:rsidRPr="005F0EF6">
        <w:lastRenderedPageBreak/>
        <w:t xml:space="preserve">Table of contents </w:t>
      </w:r>
    </w:p>
    <w:p w14:paraId="701CEC77" w14:textId="45F74C24" w:rsidR="005D1C90" w:rsidRPr="00535D51" w:rsidRDefault="005D1C90" w:rsidP="00535D51">
      <w:pPr>
        <w:pStyle w:val="ListParagraph"/>
        <w:numPr>
          <w:ilvl w:val="0"/>
          <w:numId w:val="21"/>
        </w:numPr>
        <w:rPr>
          <w:rFonts w:ascii="Arial" w:hAnsi="Arial" w:cs="Arial"/>
        </w:rPr>
      </w:pPr>
      <w:r w:rsidRPr="00535D51">
        <w:rPr>
          <w:rFonts w:ascii="Arial" w:hAnsi="Arial" w:cs="Arial"/>
        </w:rPr>
        <w:t>Summary</w:t>
      </w:r>
    </w:p>
    <w:p w14:paraId="51A71724" w14:textId="553648E6" w:rsidR="005D1C90" w:rsidRPr="00535D51" w:rsidRDefault="005D1C90" w:rsidP="00535D51">
      <w:pPr>
        <w:pStyle w:val="ListParagraph"/>
        <w:numPr>
          <w:ilvl w:val="0"/>
          <w:numId w:val="21"/>
        </w:numPr>
        <w:rPr>
          <w:rFonts w:ascii="Arial" w:hAnsi="Arial" w:cs="Arial"/>
        </w:rPr>
      </w:pPr>
      <w:r w:rsidRPr="00535D51">
        <w:rPr>
          <w:rFonts w:ascii="Arial" w:hAnsi="Arial" w:cs="Arial"/>
        </w:rPr>
        <w:t>Introduction</w:t>
      </w:r>
    </w:p>
    <w:p w14:paraId="02230A92" w14:textId="483BC79A" w:rsidR="005D1C90" w:rsidRPr="00535D51" w:rsidRDefault="006160D7" w:rsidP="00535D51">
      <w:pPr>
        <w:pStyle w:val="ListParagraph"/>
        <w:numPr>
          <w:ilvl w:val="0"/>
          <w:numId w:val="21"/>
        </w:numPr>
        <w:rPr>
          <w:rFonts w:ascii="Arial" w:hAnsi="Arial" w:cs="Arial"/>
        </w:rPr>
      </w:pPr>
      <w:r w:rsidRPr="00535D51">
        <w:rPr>
          <w:rFonts w:ascii="Arial" w:hAnsi="Arial" w:cs="Arial"/>
        </w:rPr>
        <w:t xml:space="preserve">Swot analysis </w:t>
      </w:r>
    </w:p>
    <w:p w14:paraId="1BFE82B0" w14:textId="6AF028D2" w:rsidR="006160D7" w:rsidRPr="00535D51" w:rsidRDefault="006160D7" w:rsidP="00535D51">
      <w:pPr>
        <w:pStyle w:val="ListParagraph"/>
        <w:numPr>
          <w:ilvl w:val="0"/>
          <w:numId w:val="21"/>
        </w:numPr>
        <w:rPr>
          <w:rFonts w:ascii="Arial" w:hAnsi="Arial" w:cs="Arial"/>
        </w:rPr>
      </w:pPr>
      <w:r w:rsidRPr="00535D51">
        <w:rPr>
          <w:rFonts w:ascii="Arial" w:hAnsi="Arial" w:cs="Arial"/>
        </w:rPr>
        <w:t>Internal and external stakehol</w:t>
      </w:r>
      <w:r w:rsidR="00002703" w:rsidRPr="00535D51">
        <w:rPr>
          <w:rFonts w:ascii="Arial" w:hAnsi="Arial" w:cs="Arial"/>
        </w:rPr>
        <w:t>ders</w:t>
      </w:r>
    </w:p>
    <w:p w14:paraId="2D4914E3" w14:textId="3CEC145D" w:rsidR="007057CC" w:rsidRPr="00535D51" w:rsidRDefault="00535D51" w:rsidP="00535D51">
      <w:pPr>
        <w:pStyle w:val="ListParagraph"/>
        <w:numPr>
          <w:ilvl w:val="0"/>
          <w:numId w:val="21"/>
        </w:numPr>
        <w:rPr>
          <w:rFonts w:ascii="Arial" w:hAnsi="Arial" w:cs="Arial"/>
        </w:rPr>
      </w:pPr>
      <w:r w:rsidRPr="00535D51">
        <w:rPr>
          <w:rFonts w:ascii="Arial" w:hAnsi="Arial" w:cs="Arial"/>
        </w:rPr>
        <w:t>Stakeholders’</w:t>
      </w:r>
      <w:r w:rsidR="007057CC" w:rsidRPr="00535D51">
        <w:rPr>
          <w:rFonts w:ascii="Arial" w:hAnsi="Arial" w:cs="Arial"/>
        </w:rPr>
        <w:t xml:space="preserve"> </w:t>
      </w:r>
      <w:r w:rsidR="008A7007" w:rsidRPr="00535D51">
        <w:rPr>
          <w:rFonts w:ascii="Arial" w:hAnsi="Arial" w:cs="Arial"/>
        </w:rPr>
        <w:t>frameworks</w:t>
      </w:r>
      <w:r w:rsidR="007057CC" w:rsidRPr="00535D51">
        <w:rPr>
          <w:rFonts w:ascii="Arial" w:hAnsi="Arial" w:cs="Arial"/>
        </w:rPr>
        <w:t xml:space="preserve"> and models </w:t>
      </w:r>
    </w:p>
    <w:p w14:paraId="24E0E7BF" w14:textId="2A3C3565" w:rsidR="008B4C5F" w:rsidRPr="00535D51" w:rsidRDefault="008A7007" w:rsidP="00535D51">
      <w:pPr>
        <w:pStyle w:val="ListParagraph"/>
        <w:numPr>
          <w:ilvl w:val="0"/>
          <w:numId w:val="21"/>
        </w:numPr>
        <w:rPr>
          <w:rFonts w:ascii="Arial" w:hAnsi="Arial" w:cs="Arial"/>
        </w:rPr>
      </w:pPr>
      <w:r w:rsidRPr="00535D51">
        <w:rPr>
          <w:rFonts w:ascii="Arial" w:hAnsi="Arial" w:cs="Arial"/>
        </w:rPr>
        <w:t>Stakeholders’</w:t>
      </w:r>
      <w:r w:rsidR="008B4C5F" w:rsidRPr="00535D51">
        <w:rPr>
          <w:rFonts w:ascii="Arial" w:hAnsi="Arial" w:cs="Arial"/>
        </w:rPr>
        <w:t xml:space="preserve"> engagement and process and conflict ma</w:t>
      </w:r>
      <w:r w:rsidR="00535D51" w:rsidRPr="00535D51">
        <w:rPr>
          <w:rFonts w:ascii="Arial" w:hAnsi="Arial" w:cs="Arial"/>
        </w:rPr>
        <w:t>nage</w:t>
      </w:r>
      <w:r w:rsidR="008B4C5F" w:rsidRPr="00535D51">
        <w:rPr>
          <w:rFonts w:ascii="Arial" w:hAnsi="Arial" w:cs="Arial"/>
        </w:rPr>
        <w:t xml:space="preserve">ment </w:t>
      </w:r>
    </w:p>
    <w:p w14:paraId="6265A895" w14:textId="50E639DA" w:rsidR="008B4C5F" w:rsidRPr="00535D51" w:rsidRDefault="001F7BB8" w:rsidP="00535D51">
      <w:pPr>
        <w:pStyle w:val="ListParagraph"/>
        <w:numPr>
          <w:ilvl w:val="0"/>
          <w:numId w:val="21"/>
        </w:numPr>
        <w:rPr>
          <w:rFonts w:ascii="Arial" w:hAnsi="Arial" w:cs="Arial"/>
        </w:rPr>
      </w:pPr>
      <w:r w:rsidRPr="00535D51">
        <w:rPr>
          <w:rFonts w:ascii="Arial" w:hAnsi="Arial" w:cs="Arial"/>
        </w:rPr>
        <w:t>Evaluation of impact and recommendation</w:t>
      </w:r>
    </w:p>
    <w:p w14:paraId="3EB78DC1" w14:textId="2957A54F" w:rsidR="001F7BB8" w:rsidRPr="00535D51" w:rsidRDefault="008A7007" w:rsidP="00535D51">
      <w:pPr>
        <w:pStyle w:val="ListParagraph"/>
        <w:numPr>
          <w:ilvl w:val="0"/>
          <w:numId w:val="21"/>
        </w:numPr>
        <w:rPr>
          <w:rFonts w:ascii="Arial" w:hAnsi="Arial" w:cs="Arial"/>
        </w:rPr>
      </w:pPr>
      <w:r w:rsidRPr="00535D51">
        <w:rPr>
          <w:rFonts w:ascii="Arial" w:hAnsi="Arial" w:cs="Arial"/>
        </w:rPr>
        <w:t xml:space="preserve">Conclusion </w:t>
      </w:r>
    </w:p>
    <w:p w14:paraId="42D83F0E" w14:textId="02F25647" w:rsidR="00535D51" w:rsidRPr="00535D51" w:rsidRDefault="00535D51" w:rsidP="00535D51">
      <w:pPr>
        <w:pStyle w:val="ListParagraph"/>
        <w:numPr>
          <w:ilvl w:val="0"/>
          <w:numId w:val="21"/>
        </w:numPr>
        <w:rPr>
          <w:rFonts w:ascii="Arial" w:hAnsi="Arial" w:cs="Arial"/>
        </w:rPr>
      </w:pPr>
      <w:r w:rsidRPr="00535D51">
        <w:rPr>
          <w:rFonts w:ascii="Arial" w:hAnsi="Arial" w:cs="Arial"/>
        </w:rPr>
        <w:t xml:space="preserve">References </w:t>
      </w:r>
    </w:p>
    <w:p w14:paraId="1EEECE64" w14:textId="77777777" w:rsidR="007B6C0C" w:rsidRDefault="007B6C0C" w:rsidP="00D12FD8">
      <w:pPr>
        <w:pStyle w:val="Heading1"/>
      </w:pPr>
    </w:p>
    <w:p w14:paraId="5ACF95BD" w14:textId="77777777" w:rsidR="007B6C0C" w:rsidRDefault="007B6C0C" w:rsidP="00D12FD8">
      <w:pPr>
        <w:pStyle w:val="Heading1"/>
      </w:pPr>
    </w:p>
    <w:p w14:paraId="39A54C8C" w14:textId="77F3FC74" w:rsidR="00DF4049" w:rsidRDefault="00000000" w:rsidP="00D12FD8">
      <w:pPr>
        <w:pStyle w:val="Heading1"/>
      </w:pPr>
      <w:r>
        <w:t>Executive Summary</w:t>
      </w:r>
    </w:p>
    <w:p w14:paraId="64B1950E" w14:textId="7B035737" w:rsidR="004C3291" w:rsidRDefault="00D12FD8">
      <w:r w:rsidRPr="00D12FD8">
        <w:t xml:space="preserve">This report examines how Motorola UK will effectively engage its stakeholders in the development and launch of the new Moto G X </w:t>
      </w:r>
      <w:proofErr w:type="gramStart"/>
      <w:r w:rsidRPr="00D12FD8">
        <w:t>Smartwatch</w:t>
      </w:r>
      <w:proofErr w:type="gramEnd"/>
      <w:r w:rsidRPr="00D12FD8">
        <w:t xml:space="preserve"> a wearable device designed to monitor heart rate, oxygen saturation, and sleep quality. As the appointed project manager, the aim is to ensure that all internal and external stakeholders are aligned, motivated, and working collaboratively toward the successful launch scheduled in six months.</w:t>
      </w:r>
      <w:r w:rsidRPr="00D12FD8">
        <w:br/>
        <w:t>The report explores Motorola’s current position within the health technology market, conducts a situational analysis using tools such as SWOT and PESTLE, and identifies key stakeholders who play a central role in the project’s success. Using frameworks such as the RACI Matrix, Stakeholder Mapping, and the 4C’s Model (communication, coordination, cooperation, and collaboration), the report outlines how to manage stakeholder relationships, address potential conflicts, and maintain engagement throughout the project lifecycle.</w:t>
      </w:r>
      <w:r w:rsidRPr="00D12FD8">
        <w:br/>
        <w:t>Finally, the report evaluates how stakeholder engagement contributes to overall business performance and proposes recommendations to strengthen Motorola’s long-term stakeholder strategy.</w:t>
      </w:r>
    </w:p>
    <w:p w14:paraId="157672B9" w14:textId="77777777" w:rsidR="00DF4049" w:rsidRDefault="00000000">
      <w:r>
        <w:br w:type="page"/>
      </w:r>
    </w:p>
    <w:p w14:paraId="7C1BF134" w14:textId="66892D42" w:rsidR="00DF4049" w:rsidRDefault="00000000" w:rsidP="00113915">
      <w:pPr>
        <w:pStyle w:val="Heading1"/>
        <w:numPr>
          <w:ilvl w:val="0"/>
          <w:numId w:val="20"/>
        </w:numPr>
      </w:pPr>
      <w:r>
        <w:lastRenderedPageBreak/>
        <w:t>Introduction</w:t>
      </w:r>
    </w:p>
    <w:p w14:paraId="3AE7B7F6" w14:textId="3508E44F" w:rsidR="00113915" w:rsidRPr="00113915" w:rsidRDefault="00F70583" w:rsidP="00113915">
      <w:r w:rsidRPr="00F70583">
        <w:t xml:space="preserve">Motorola UK, headquartered at Nova South on Victoria Street in London, operates as a key branch of a long-established global brand whose reputation rests on decades of telecommunications innovation. While the legacy narrative often </w:t>
      </w:r>
      <w:proofErr w:type="spellStart"/>
      <w:r w:rsidRPr="00F70583">
        <w:t>centres</w:t>
      </w:r>
      <w:proofErr w:type="spellEnd"/>
      <w:r w:rsidRPr="00F70583">
        <w:t xml:space="preserve"> on the company’s early breakthroughs, what </w:t>
      </w:r>
      <w:proofErr w:type="gramStart"/>
      <w:r w:rsidRPr="00F70583">
        <w:t>actually sustains</w:t>
      </w:r>
      <w:proofErr w:type="gramEnd"/>
      <w:r w:rsidRPr="00F70583">
        <w:t xml:space="preserve"> its relevance today is its ability to reposition itself in markets shaped by rapid shifts in consumer </w:t>
      </w:r>
      <w:proofErr w:type="spellStart"/>
      <w:r w:rsidRPr="00F70583">
        <w:t>behaviour</w:t>
      </w:r>
      <w:proofErr w:type="spellEnd"/>
      <w:r w:rsidRPr="00F70583">
        <w:t xml:space="preserve"> and regulatory expectations. The Moto G X Smartwatch initiative illustrates this adaptive strategy. Although smartwatches are a competitive space, the project aims to differentiate itself by integrating health-tracking features</w:t>
      </w:r>
      <w:r>
        <w:t xml:space="preserve"> </w:t>
      </w:r>
      <w:r w:rsidRPr="00F70583">
        <w:t>heart rate, oxygen saturation, and sleep monitoring</w:t>
      </w:r>
      <w:r>
        <w:t xml:space="preserve"> </w:t>
      </w:r>
      <w:r w:rsidRPr="00F70583">
        <w:t xml:space="preserve">into an ecosystem that </w:t>
      </w:r>
      <w:proofErr w:type="spellStart"/>
      <w:r w:rsidRPr="00F70583">
        <w:t>prioritises</w:t>
      </w:r>
      <w:proofErr w:type="spellEnd"/>
      <w:r w:rsidRPr="00F70583">
        <w:t xml:space="preserve"> usability and meaningful insights rather than simply adding more sensors. This is particularly important given that increasing public enthusiasm for digital health tools does not automatically translate into trust or long-term engagement; consumers expect accuracy, transparency, and seamless compatibility with their existing devices. As project manager, the task extends beyond routine coordination: it requires navigating conflicting priorities among engineering, marketing, finance, supply chain, and external partners, all while ensuring compliance with evolving health-tech regulations. The real measure of success is not just timely delivery or budget discipline but the ability to shape a product that withstands </w:t>
      </w:r>
      <w:proofErr w:type="gramStart"/>
      <w:r w:rsidRPr="00F70583">
        <w:t>scrutiny</w:t>
      </w:r>
      <w:r>
        <w:t xml:space="preserve">  </w:t>
      </w:r>
      <w:r w:rsidRPr="00F70583">
        <w:t>technical</w:t>
      </w:r>
      <w:proofErr w:type="gramEnd"/>
      <w:r w:rsidRPr="00F70583">
        <w:t xml:space="preserve">, ethical, and </w:t>
      </w:r>
      <w:proofErr w:type="spellStart"/>
      <w:proofErr w:type="gramStart"/>
      <w:r w:rsidRPr="00F70583">
        <w:t>competitiveand</w:t>
      </w:r>
      <w:proofErr w:type="spellEnd"/>
      <w:proofErr w:type="gramEnd"/>
      <w:r w:rsidRPr="00F70583">
        <w:t xml:space="preserve"> genuinely earns its place in the market. In that sense, the project is not merely an expansion into health technology but a test of Motorola’s capacity to remain credible in a sector where expectations are rising faster than the technology itself.</w:t>
      </w:r>
    </w:p>
    <w:p w14:paraId="38350CCC" w14:textId="77777777" w:rsidR="00DF4049" w:rsidRDefault="00000000">
      <w:pPr>
        <w:pStyle w:val="Heading1"/>
      </w:pPr>
      <w:r>
        <w:t>2. Strategic Appraisal</w:t>
      </w:r>
    </w:p>
    <w:p w14:paraId="3CC981F5" w14:textId="77777777" w:rsidR="008B41DB" w:rsidRPr="008B41DB" w:rsidRDefault="008B41DB" w:rsidP="008B41DB">
      <w:pPr>
        <w:rPr>
          <w:b/>
          <w:bCs/>
          <w:lang w:val="en-GB"/>
        </w:rPr>
      </w:pPr>
      <w:r w:rsidRPr="008B41DB">
        <w:rPr>
          <w:b/>
          <w:bCs/>
          <w:lang w:val="en-GB"/>
        </w:rPr>
        <w:t>SWOT and PESTLE Analysis</w:t>
      </w:r>
    </w:p>
    <w:p w14:paraId="198B6108" w14:textId="77777777" w:rsidR="008B41DB" w:rsidRPr="008B41DB" w:rsidRDefault="008B41DB" w:rsidP="008B41DB">
      <w:pPr>
        <w:rPr>
          <w:b/>
          <w:bCs/>
          <w:lang w:val="en-GB"/>
        </w:rPr>
      </w:pPr>
      <w:r w:rsidRPr="008B41DB">
        <w:rPr>
          <w:b/>
          <w:bCs/>
          <w:lang w:val="en-GB"/>
        </w:rPr>
        <w:t>SWOT Analysis</w:t>
      </w:r>
    </w:p>
    <w:p w14:paraId="13163F42" w14:textId="77777777" w:rsidR="008B41DB" w:rsidRPr="008B41DB" w:rsidRDefault="008B41DB" w:rsidP="008B41DB">
      <w:pPr>
        <w:rPr>
          <w:lang w:val="en-GB"/>
        </w:rPr>
      </w:pPr>
      <w:r w:rsidRPr="008B41DB">
        <w:rPr>
          <w:b/>
          <w:bCs/>
          <w:lang w:val="en-GB"/>
        </w:rPr>
        <w:t>Strengths</w:t>
      </w:r>
    </w:p>
    <w:p w14:paraId="5785882A" w14:textId="77777777" w:rsidR="008B41DB" w:rsidRPr="008B41DB" w:rsidRDefault="008B41DB" w:rsidP="008B41DB">
      <w:pPr>
        <w:numPr>
          <w:ilvl w:val="0"/>
          <w:numId w:val="10"/>
        </w:numPr>
        <w:rPr>
          <w:lang w:val="en-GB"/>
        </w:rPr>
      </w:pPr>
      <w:r w:rsidRPr="008B41DB">
        <w:rPr>
          <w:lang w:val="en-GB"/>
        </w:rPr>
        <w:t>Global brand reputation and long-standing trust in consumer electronics.</w:t>
      </w:r>
    </w:p>
    <w:p w14:paraId="38C58E26" w14:textId="77777777" w:rsidR="008B41DB" w:rsidRPr="008B41DB" w:rsidRDefault="008B41DB" w:rsidP="008B41DB">
      <w:pPr>
        <w:numPr>
          <w:ilvl w:val="0"/>
          <w:numId w:val="10"/>
        </w:numPr>
        <w:rPr>
          <w:lang w:val="en-GB"/>
        </w:rPr>
      </w:pPr>
      <w:r w:rsidRPr="008B41DB">
        <w:rPr>
          <w:lang w:val="en-GB"/>
        </w:rPr>
        <w:t>Strong R&amp;D infrastructure and manufacturing capability.</w:t>
      </w:r>
    </w:p>
    <w:p w14:paraId="0DEB07F2" w14:textId="77777777" w:rsidR="008B41DB" w:rsidRPr="008B41DB" w:rsidRDefault="008B41DB" w:rsidP="008B41DB">
      <w:pPr>
        <w:numPr>
          <w:ilvl w:val="0"/>
          <w:numId w:val="10"/>
        </w:numPr>
        <w:rPr>
          <w:lang w:val="en-GB"/>
        </w:rPr>
      </w:pPr>
      <w:r w:rsidRPr="008B41DB">
        <w:rPr>
          <w:lang w:val="en-GB"/>
        </w:rPr>
        <w:t>Integration with Google Fit and other Android ecosystems, creating convenience for users.</w:t>
      </w:r>
    </w:p>
    <w:p w14:paraId="0C9C94FA" w14:textId="77777777" w:rsidR="008B41DB" w:rsidRPr="008B41DB" w:rsidRDefault="008B41DB" w:rsidP="008B41DB">
      <w:pPr>
        <w:numPr>
          <w:ilvl w:val="0"/>
          <w:numId w:val="10"/>
        </w:numPr>
        <w:rPr>
          <w:lang w:val="en-GB"/>
        </w:rPr>
      </w:pPr>
      <w:r w:rsidRPr="008B41DB">
        <w:rPr>
          <w:lang w:val="en-GB"/>
        </w:rPr>
        <w:t>Skilled workforce with expertise in mobile and wearable technologies.</w:t>
      </w:r>
    </w:p>
    <w:p w14:paraId="6E0BE7ED" w14:textId="77777777" w:rsidR="008B41DB" w:rsidRPr="008B41DB" w:rsidRDefault="008B41DB" w:rsidP="008B41DB">
      <w:pPr>
        <w:rPr>
          <w:lang w:val="en-GB"/>
        </w:rPr>
      </w:pPr>
      <w:r w:rsidRPr="008B41DB">
        <w:rPr>
          <w:b/>
          <w:bCs/>
          <w:lang w:val="en-GB"/>
        </w:rPr>
        <w:t>Weaknesses</w:t>
      </w:r>
    </w:p>
    <w:p w14:paraId="59CD5646" w14:textId="77777777" w:rsidR="008B41DB" w:rsidRPr="008B41DB" w:rsidRDefault="008B41DB" w:rsidP="008B41DB">
      <w:pPr>
        <w:numPr>
          <w:ilvl w:val="0"/>
          <w:numId w:val="11"/>
        </w:numPr>
        <w:rPr>
          <w:lang w:val="en-GB"/>
        </w:rPr>
      </w:pPr>
      <w:r w:rsidRPr="008B41DB">
        <w:rPr>
          <w:lang w:val="en-GB"/>
        </w:rPr>
        <w:t>Late entry into the health-wearable segment dominated by Apple Watch and Fitbit.</w:t>
      </w:r>
    </w:p>
    <w:p w14:paraId="357399EA" w14:textId="77777777" w:rsidR="008B41DB" w:rsidRPr="008B41DB" w:rsidRDefault="008B41DB" w:rsidP="008B41DB">
      <w:pPr>
        <w:numPr>
          <w:ilvl w:val="0"/>
          <w:numId w:val="11"/>
        </w:numPr>
        <w:rPr>
          <w:lang w:val="en-GB"/>
        </w:rPr>
      </w:pPr>
      <w:r w:rsidRPr="008B41DB">
        <w:rPr>
          <w:lang w:val="en-GB"/>
        </w:rPr>
        <w:t>Moderate financial resources compared to global tech giants.</w:t>
      </w:r>
    </w:p>
    <w:p w14:paraId="2EE481B9" w14:textId="77777777" w:rsidR="008B41DB" w:rsidRPr="008B41DB" w:rsidRDefault="008B41DB" w:rsidP="008B41DB">
      <w:pPr>
        <w:numPr>
          <w:ilvl w:val="0"/>
          <w:numId w:val="11"/>
        </w:numPr>
        <w:rPr>
          <w:lang w:val="en-GB"/>
        </w:rPr>
      </w:pPr>
      <w:r w:rsidRPr="008B41DB">
        <w:rPr>
          <w:lang w:val="en-GB"/>
        </w:rPr>
        <w:t>Limited healthcare regulatory experience.</w:t>
      </w:r>
    </w:p>
    <w:p w14:paraId="0F515646" w14:textId="77777777" w:rsidR="008B41DB" w:rsidRPr="008B41DB" w:rsidRDefault="008B41DB" w:rsidP="008B41DB">
      <w:pPr>
        <w:numPr>
          <w:ilvl w:val="0"/>
          <w:numId w:val="11"/>
        </w:numPr>
        <w:rPr>
          <w:lang w:val="en-GB"/>
        </w:rPr>
      </w:pPr>
      <w:r w:rsidRPr="008B41DB">
        <w:rPr>
          <w:lang w:val="en-GB"/>
        </w:rPr>
        <w:lastRenderedPageBreak/>
        <w:t>Potential dependence on suppliers for medical-grade sensors.</w:t>
      </w:r>
    </w:p>
    <w:p w14:paraId="3E677A85" w14:textId="77777777" w:rsidR="008B41DB" w:rsidRPr="008B41DB" w:rsidRDefault="008B41DB" w:rsidP="008B41DB">
      <w:pPr>
        <w:rPr>
          <w:lang w:val="en-GB"/>
        </w:rPr>
      </w:pPr>
      <w:r w:rsidRPr="008B41DB">
        <w:rPr>
          <w:b/>
          <w:bCs/>
          <w:lang w:val="en-GB"/>
        </w:rPr>
        <w:t>Opportunities</w:t>
      </w:r>
    </w:p>
    <w:p w14:paraId="22D417E9" w14:textId="77777777" w:rsidR="008B41DB" w:rsidRPr="008B41DB" w:rsidRDefault="008B41DB" w:rsidP="008B41DB">
      <w:pPr>
        <w:numPr>
          <w:ilvl w:val="0"/>
          <w:numId w:val="12"/>
        </w:numPr>
        <w:rPr>
          <w:lang w:val="en-GB"/>
        </w:rPr>
      </w:pPr>
      <w:r w:rsidRPr="008B41DB">
        <w:rPr>
          <w:lang w:val="en-GB"/>
        </w:rPr>
        <w:t>Rising global demand for health-monitoring devices post-COVID-19.</w:t>
      </w:r>
    </w:p>
    <w:p w14:paraId="3DA60615" w14:textId="77777777" w:rsidR="008B41DB" w:rsidRPr="008B41DB" w:rsidRDefault="008B41DB" w:rsidP="008B41DB">
      <w:pPr>
        <w:numPr>
          <w:ilvl w:val="0"/>
          <w:numId w:val="12"/>
        </w:numPr>
        <w:rPr>
          <w:lang w:val="en-GB"/>
        </w:rPr>
      </w:pPr>
      <w:r w:rsidRPr="008B41DB">
        <w:rPr>
          <w:lang w:val="en-GB"/>
        </w:rPr>
        <w:t>Partnerships with healthcare providers and insurance firms.</w:t>
      </w:r>
    </w:p>
    <w:p w14:paraId="25443590" w14:textId="77777777" w:rsidR="008B41DB" w:rsidRPr="008B41DB" w:rsidRDefault="008B41DB" w:rsidP="008B41DB">
      <w:pPr>
        <w:numPr>
          <w:ilvl w:val="0"/>
          <w:numId w:val="12"/>
        </w:numPr>
        <w:rPr>
          <w:lang w:val="en-GB"/>
        </w:rPr>
      </w:pPr>
      <w:r w:rsidRPr="008B41DB">
        <w:rPr>
          <w:lang w:val="en-GB"/>
        </w:rPr>
        <w:t>Increasing UK government support for digital-health innovation.</w:t>
      </w:r>
    </w:p>
    <w:p w14:paraId="44C7984C" w14:textId="77777777" w:rsidR="008B41DB" w:rsidRPr="008B41DB" w:rsidRDefault="008B41DB" w:rsidP="008B41DB">
      <w:pPr>
        <w:numPr>
          <w:ilvl w:val="0"/>
          <w:numId w:val="12"/>
        </w:numPr>
        <w:rPr>
          <w:lang w:val="en-GB"/>
        </w:rPr>
      </w:pPr>
      <w:r w:rsidRPr="008B41DB">
        <w:rPr>
          <w:lang w:val="en-GB"/>
        </w:rPr>
        <w:t>Expansion into data analytics for personalised health insights.</w:t>
      </w:r>
    </w:p>
    <w:p w14:paraId="382A8449" w14:textId="77777777" w:rsidR="008B41DB" w:rsidRPr="008B41DB" w:rsidRDefault="008B41DB" w:rsidP="008B41DB">
      <w:pPr>
        <w:rPr>
          <w:lang w:val="en-GB"/>
        </w:rPr>
      </w:pPr>
      <w:r w:rsidRPr="008B41DB">
        <w:rPr>
          <w:b/>
          <w:bCs/>
          <w:lang w:val="en-GB"/>
        </w:rPr>
        <w:t>Threats</w:t>
      </w:r>
    </w:p>
    <w:p w14:paraId="5221B4D8" w14:textId="77777777" w:rsidR="008B41DB" w:rsidRPr="008B41DB" w:rsidRDefault="008B41DB" w:rsidP="008B41DB">
      <w:pPr>
        <w:numPr>
          <w:ilvl w:val="0"/>
          <w:numId w:val="13"/>
        </w:numPr>
        <w:rPr>
          <w:lang w:val="en-GB"/>
        </w:rPr>
      </w:pPr>
      <w:r w:rsidRPr="008B41DB">
        <w:rPr>
          <w:lang w:val="en-GB"/>
        </w:rPr>
        <w:t>Intense competition and rapid technological obsolescence.</w:t>
      </w:r>
    </w:p>
    <w:p w14:paraId="72239184" w14:textId="77777777" w:rsidR="008B41DB" w:rsidRPr="008B41DB" w:rsidRDefault="008B41DB" w:rsidP="008B41DB">
      <w:pPr>
        <w:numPr>
          <w:ilvl w:val="0"/>
          <w:numId w:val="13"/>
        </w:numPr>
        <w:rPr>
          <w:lang w:val="en-GB"/>
        </w:rPr>
      </w:pPr>
      <w:r w:rsidRPr="008B41DB">
        <w:rPr>
          <w:lang w:val="en-GB"/>
        </w:rPr>
        <w:t>Stringent data-protection and medical-device regulations (GDPR, MHRA).</w:t>
      </w:r>
    </w:p>
    <w:p w14:paraId="599266FE" w14:textId="77777777" w:rsidR="008B41DB" w:rsidRPr="008B41DB" w:rsidRDefault="008B41DB" w:rsidP="008B41DB">
      <w:pPr>
        <w:numPr>
          <w:ilvl w:val="0"/>
          <w:numId w:val="13"/>
        </w:numPr>
        <w:rPr>
          <w:lang w:val="en-GB"/>
        </w:rPr>
      </w:pPr>
      <w:r w:rsidRPr="008B41DB">
        <w:rPr>
          <w:lang w:val="en-GB"/>
        </w:rPr>
        <w:t>Supply-chain disruptions and component shortages.</w:t>
      </w:r>
    </w:p>
    <w:p w14:paraId="608609CB" w14:textId="77777777" w:rsidR="008B41DB" w:rsidRPr="008B41DB" w:rsidRDefault="008B41DB" w:rsidP="008B41DB">
      <w:pPr>
        <w:numPr>
          <w:ilvl w:val="0"/>
          <w:numId w:val="13"/>
        </w:numPr>
        <w:rPr>
          <w:lang w:val="en-GB"/>
        </w:rPr>
      </w:pPr>
      <w:r w:rsidRPr="008B41DB">
        <w:rPr>
          <w:lang w:val="en-GB"/>
        </w:rPr>
        <w:t>Consumer scepticism about data privacy and accuracy.</w:t>
      </w:r>
    </w:p>
    <w:p w14:paraId="768B5352" w14:textId="62E7554E" w:rsidR="00370F59" w:rsidRDefault="00370F59" w:rsidP="002D4795">
      <w:pPr>
        <w:pStyle w:val="NormalWeb"/>
      </w:pPr>
      <w:r>
        <w:t>A critical reading of the SWOT analysis shows that while Motorola brings meaningful assets into the health-wearable space, its position is far from secure. The strengths listed</w:t>
      </w:r>
      <w:r w:rsidR="00342371">
        <w:t xml:space="preserve"> </w:t>
      </w:r>
      <w:r>
        <w:t>brand recognition, R&amp;D capability, and alignment with the Android ecosystem</w:t>
      </w:r>
      <w:r w:rsidR="00342371">
        <w:t xml:space="preserve"> </w:t>
      </w:r>
      <w:r>
        <w:t>do give the company credibility in technology and consumer electronics. However, these strengths do not automatically translate into legitimacy in health technology, a sector where trust is built less on brand familiarity and more on clinical accuracy, regulatory compliance, and long-term reliability. The workforce expertise in wearables is valuable, but success in health monitoring requires deeper competencies in biomedical engineering, sensor validation, and medical-grade data governance</w:t>
      </w:r>
      <w:r w:rsidR="00342371">
        <w:t xml:space="preserve"> </w:t>
      </w:r>
      <w:r>
        <w:t>areas where Motorola currently appears less established.</w:t>
      </w:r>
    </w:p>
    <w:p w14:paraId="5A0863E1" w14:textId="77777777" w:rsidR="00370F59" w:rsidRDefault="00370F59" w:rsidP="002D4795">
      <w:pPr>
        <w:pStyle w:val="NormalWeb"/>
      </w:pPr>
      <w:r>
        <w:t>The weaknesses reveal more than mere gaps; they point to structural disadvantages. Entering late into a market dominated by Apple and Fitbit means Motorola must compete not only with product features but with entrenched ecosystems, user habits, and established trust in health-accuracy claims. Limited regulatory experience is particularly significant: health tech is unforgiving toward errors, and missteps could damage credibility quickly. Dependence on external suppliers for medical-grade sensors further complicates quality control and can undermine Motorola’s ability to differentiate its product.</w:t>
      </w:r>
    </w:p>
    <w:p w14:paraId="0551BAC4" w14:textId="4AA53F49" w:rsidR="00D67A61" w:rsidRDefault="000F0C14" w:rsidP="002D4795">
      <w:pPr>
        <w:pStyle w:val="NormalWeb"/>
      </w:pPr>
      <w:r>
        <w:t xml:space="preserve">  </w:t>
      </w:r>
      <w:r w:rsidR="00370F59">
        <w:t>The threats outlined are realistic but arguably understated. Competition is not only intense; it is accelerating, with companies integrating AI-driven features, deeper ecosystem ties, and clinically validated sensors. Regulatory pressures are far from static</w:t>
      </w:r>
      <w:r w:rsidR="00342371">
        <w:t xml:space="preserve"> </w:t>
      </w:r>
      <w:r w:rsidR="00370F59">
        <w:t xml:space="preserve">both GDPR and MHRA requirements are tightening, and failure to meet these evolving standards could halt the product’s progression entirely. Supply-chain vulnerabilities remain a global concern, especially for specialised components. Lastly, consumer </w:t>
      </w:r>
      <w:r w:rsidR="00370F59">
        <w:lastRenderedPageBreak/>
        <w:t>scepticism about data handling is one of the most serious risks: trust, once lost, is almost impossible to regain in the health-tech market.</w:t>
      </w:r>
    </w:p>
    <w:p w14:paraId="509C1ED1" w14:textId="465E6F4E" w:rsidR="00AB0E10" w:rsidRPr="00D67A61" w:rsidRDefault="00370F59" w:rsidP="00D67A61">
      <w:pPr>
        <w:pStyle w:val="NormalWeb"/>
      </w:pPr>
      <w:r>
        <w:t>.</w:t>
      </w:r>
    </w:p>
    <w:p w14:paraId="1132A3B0" w14:textId="3BF211A8" w:rsidR="008B41DB" w:rsidRPr="008B41DB" w:rsidRDefault="008B41DB" w:rsidP="008B41DB">
      <w:pPr>
        <w:rPr>
          <w:b/>
          <w:bCs/>
          <w:lang w:val="en-GB"/>
        </w:rPr>
      </w:pPr>
      <w:r w:rsidRPr="008B41DB">
        <w:rPr>
          <w:b/>
          <w:bCs/>
          <w:lang w:val="en-GB"/>
        </w:rPr>
        <w:t>PESTLE Analysis</w:t>
      </w:r>
    </w:p>
    <w:p w14:paraId="5EBE62D7" w14:textId="77777777" w:rsidR="008B41DB" w:rsidRPr="008B41DB" w:rsidRDefault="008B41DB" w:rsidP="008B41DB">
      <w:pPr>
        <w:numPr>
          <w:ilvl w:val="0"/>
          <w:numId w:val="14"/>
        </w:numPr>
        <w:rPr>
          <w:lang w:val="en-GB"/>
        </w:rPr>
      </w:pPr>
      <w:r w:rsidRPr="008B41DB">
        <w:rPr>
          <w:b/>
          <w:bCs/>
          <w:lang w:val="en-GB"/>
        </w:rPr>
        <w:t>Political:</w:t>
      </w:r>
      <w:r w:rsidRPr="008B41DB">
        <w:rPr>
          <w:lang w:val="en-GB"/>
        </w:rPr>
        <w:t xml:space="preserve"> UK regulatory environment for medical-grade wearables is evolving, with increased scrutiny from MHRA and NHS Digital.</w:t>
      </w:r>
    </w:p>
    <w:p w14:paraId="48E2AC05" w14:textId="77777777" w:rsidR="008B41DB" w:rsidRPr="008B41DB" w:rsidRDefault="008B41DB" w:rsidP="008B41DB">
      <w:pPr>
        <w:numPr>
          <w:ilvl w:val="0"/>
          <w:numId w:val="14"/>
        </w:numPr>
        <w:rPr>
          <w:lang w:val="en-GB"/>
        </w:rPr>
      </w:pPr>
      <w:r w:rsidRPr="008B41DB">
        <w:rPr>
          <w:b/>
          <w:bCs/>
          <w:lang w:val="en-GB"/>
        </w:rPr>
        <w:t>Economic:</w:t>
      </w:r>
      <w:r w:rsidRPr="008B41DB">
        <w:rPr>
          <w:lang w:val="en-GB"/>
        </w:rPr>
        <w:t xml:space="preserve"> Inflation and currency fluctuations could affect production costs and pricing strategy.</w:t>
      </w:r>
    </w:p>
    <w:p w14:paraId="3AEE1475" w14:textId="77777777" w:rsidR="008B41DB" w:rsidRPr="008B41DB" w:rsidRDefault="008B41DB" w:rsidP="008B41DB">
      <w:pPr>
        <w:numPr>
          <w:ilvl w:val="0"/>
          <w:numId w:val="14"/>
        </w:numPr>
        <w:rPr>
          <w:lang w:val="en-GB"/>
        </w:rPr>
      </w:pPr>
      <w:r w:rsidRPr="008B41DB">
        <w:rPr>
          <w:b/>
          <w:bCs/>
          <w:lang w:val="en-GB"/>
        </w:rPr>
        <w:t>Social:</w:t>
      </w:r>
      <w:r w:rsidRPr="008B41DB">
        <w:rPr>
          <w:lang w:val="en-GB"/>
        </w:rPr>
        <w:t xml:space="preserve"> Growing health awareness and an ageing population create strong demand for preventive health technologies.</w:t>
      </w:r>
    </w:p>
    <w:p w14:paraId="5A93A1C5" w14:textId="77777777" w:rsidR="008B41DB" w:rsidRPr="008B41DB" w:rsidRDefault="008B41DB" w:rsidP="008B41DB">
      <w:pPr>
        <w:numPr>
          <w:ilvl w:val="0"/>
          <w:numId w:val="14"/>
        </w:numPr>
        <w:rPr>
          <w:lang w:val="en-GB"/>
        </w:rPr>
      </w:pPr>
      <w:r w:rsidRPr="008B41DB">
        <w:rPr>
          <w:b/>
          <w:bCs/>
          <w:lang w:val="en-GB"/>
        </w:rPr>
        <w:t>Technological:</w:t>
      </w:r>
      <w:r w:rsidRPr="008B41DB">
        <w:rPr>
          <w:lang w:val="en-GB"/>
        </w:rPr>
        <w:t xml:space="preserve"> Advances in sensor accuracy, AI, and cloud analytics improve product competitiveness.</w:t>
      </w:r>
    </w:p>
    <w:p w14:paraId="6CB1F787" w14:textId="77777777" w:rsidR="008B41DB" w:rsidRPr="008B41DB" w:rsidRDefault="008B41DB" w:rsidP="008B41DB">
      <w:pPr>
        <w:numPr>
          <w:ilvl w:val="0"/>
          <w:numId w:val="14"/>
        </w:numPr>
        <w:rPr>
          <w:lang w:val="en-GB"/>
        </w:rPr>
      </w:pPr>
      <w:r w:rsidRPr="008B41DB">
        <w:rPr>
          <w:b/>
          <w:bCs/>
          <w:lang w:val="en-GB"/>
        </w:rPr>
        <w:t>Legal:</w:t>
      </w:r>
      <w:r w:rsidRPr="008B41DB">
        <w:rPr>
          <w:lang w:val="en-GB"/>
        </w:rPr>
        <w:t xml:space="preserve"> Compliance with GDPR, UK Data Protection Act, and ISO medical standards is essential.</w:t>
      </w:r>
    </w:p>
    <w:p w14:paraId="0271E4A4" w14:textId="77777777" w:rsidR="008B41DB" w:rsidRPr="008B41DB" w:rsidRDefault="008B41DB" w:rsidP="008B41DB">
      <w:pPr>
        <w:numPr>
          <w:ilvl w:val="0"/>
          <w:numId w:val="14"/>
        </w:numPr>
        <w:rPr>
          <w:lang w:val="en-GB"/>
        </w:rPr>
      </w:pPr>
      <w:r w:rsidRPr="008B41DB">
        <w:rPr>
          <w:b/>
          <w:bCs/>
          <w:lang w:val="en-GB"/>
        </w:rPr>
        <w:t>Environmental:</w:t>
      </w:r>
      <w:r w:rsidRPr="008B41DB">
        <w:rPr>
          <w:lang w:val="en-GB"/>
        </w:rPr>
        <w:t xml:space="preserve"> Sustainability in manufacturing and e-waste recycling policies enhance corporate reputation.</w:t>
      </w:r>
    </w:p>
    <w:p w14:paraId="665D1EF3" w14:textId="77777777" w:rsidR="008B41DB" w:rsidRPr="008B41DB" w:rsidRDefault="008B41DB" w:rsidP="008B41DB">
      <w:pPr>
        <w:rPr>
          <w:b/>
          <w:bCs/>
          <w:lang w:val="en-GB"/>
        </w:rPr>
      </w:pPr>
      <w:r w:rsidRPr="008B41DB">
        <w:rPr>
          <w:b/>
          <w:bCs/>
          <w:lang w:val="en-GB"/>
        </w:rPr>
        <w:t>SMART Objectives</w:t>
      </w:r>
    </w:p>
    <w:p w14:paraId="1D79330A" w14:textId="77777777" w:rsidR="008B41DB" w:rsidRPr="008B41DB" w:rsidRDefault="008B41DB" w:rsidP="008B41DB">
      <w:pPr>
        <w:numPr>
          <w:ilvl w:val="0"/>
          <w:numId w:val="15"/>
        </w:numPr>
        <w:rPr>
          <w:lang w:val="en-GB"/>
        </w:rPr>
      </w:pPr>
      <w:r w:rsidRPr="008B41DB">
        <w:rPr>
          <w:b/>
          <w:bCs/>
          <w:lang w:val="en-GB"/>
        </w:rPr>
        <w:t>Specific:</w:t>
      </w:r>
      <w:r w:rsidRPr="008B41DB">
        <w:rPr>
          <w:lang w:val="en-GB"/>
        </w:rPr>
        <w:t xml:space="preserve"> Launch the Moto G X Smartwatch in the UK within six months.</w:t>
      </w:r>
    </w:p>
    <w:p w14:paraId="4DA7BA2F" w14:textId="77777777" w:rsidR="008B41DB" w:rsidRPr="008B41DB" w:rsidRDefault="008B41DB" w:rsidP="008B41DB">
      <w:pPr>
        <w:numPr>
          <w:ilvl w:val="0"/>
          <w:numId w:val="15"/>
        </w:numPr>
        <w:rPr>
          <w:lang w:val="en-GB"/>
        </w:rPr>
      </w:pPr>
      <w:r w:rsidRPr="008B41DB">
        <w:rPr>
          <w:b/>
          <w:bCs/>
          <w:lang w:val="en-GB"/>
        </w:rPr>
        <w:t>Measurable:</w:t>
      </w:r>
      <w:r w:rsidRPr="008B41DB">
        <w:rPr>
          <w:lang w:val="en-GB"/>
        </w:rPr>
        <w:t xml:space="preserve"> Achieve 10 % market share in the UK wearable-health sector within 12 months.</w:t>
      </w:r>
    </w:p>
    <w:p w14:paraId="369E75B7" w14:textId="77777777" w:rsidR="008B41DB" w:rsidRPr="008B41DB" w:rsidRDefault="008B41DB" w:rsidP="008B41DB">
      <w:pPr>
        <w:numPr>
          <w:ilvl w:val="0"/>
          <w:numId w:val="15"/>
        </w:numPr>
        <w:rPr>
          <w:lang w:val="en-GB"/>
        </w:rPr>
      </w:pPr>
      <w:r w:rsidRPr="008B41DB">
        <w:rPr>
          <w:b/>
          <w:bCs/>
          <w:lang w:val="en-GB"/>
        </w:rPr>
        <w:t>Achievable:</w:t>
      </w:r>
      <w:r w:rsidRPr="008B41DB">
        <w:rPr>
          <w:lang w:val="en-GB"/>
        </w:rPr>
        <w:t xml:space="preserve"> Leverage Motorola’s R&amp;D and supply-chain expertise to ensure scalable production.</w:t>
      </w:r>
    </w:p>
    <w:p w14:paraId="7816C2BF" w14:textId="77777777" w:rsidR="008B41DB" w:rsidRPr="008B41DB" w:rsidRDefault="008B41DB" w:rsidP="008B41DB">
      <w:pPr>
        <w:numPr>
          <w:ilvl w:val="0"/>
          <w:numId w:val="15"/>
        </w:numPr>
        <w:rPr>
          <w:lang w:val="en-GB"/>
        </w:rPr>
      </w:pPr>
      <w:r w:rsidRPr="008B41DB">
        <w:rPr>
          <w:b/>
          <w:bCs/>
          <w:lang w:val="en-GB"/>
        </w:rPr>
        <w:t>Relevant:</w:t>
      </w:r>
      <w:r w:rsidRPr="008B41DB">
        <w:rPr>
          <w:lang w:val="en-GB"/>
        </w:rPr>
        <w:t xml:space="preserve"> Align product goals with global digital-health trends.</w:t>
      </w:r>
    </w:p>
    <w:p w14:paraId="2C24BDE6" w14:textId="257D7002" w:rsidR="00DF4049" w:rsidRPr="00A43788" w:rsidRDefault="008B41DB" w:rsidP="00A43788">
      <w:pPr>
        <w:numPr>
          <w:ilvl w:val="0"/>
          <w:numId w:val="15"/>
        </w:numPr>
        <w:rPr>
          <w:lang w:val="en-GB"/>
        </w:rPr>
      </w:pPr>
      <w:r w:rsidRPr="008B41DB">
        <w:rPr>
          <w:b/>
          <w:bCs/>
          <w:lang w:val="en-GB"/>
        </w:rPr>
        <w:t>Time-Bound:</w:t>
      </w:r>
      <w:r w:rsidRPr="008B41DB">
        <w:rPr>
          <w:lang w:val="en-GB"/>
        </w:rPr>
        <w:t xml:space="preserve"> Complete stakeholder engagement milestones monthly to ensure on-time launch.</w:t>
      </w:r>
      <w:r>
        <w:br w:type="page"/>
      </w:r>
    </w:p>
    <w:p w14:paraId="1895E604" w14:textId="77777777" w:rsidR="00DF4049" w:rsidRDefault="00000000">
      <w:pPr>
        <w:pStyle w:val="Heading1"/>
      </w:pPr>
      <w:r>
        <w:lastRenderedPageBreak/>
        <w:t>3. Key Stakeholders</w:t>
      </w:r>
    </w:p>
    <w:p w14:paraId="294E7D93" w14:textId="77777777" w:rsidR="00A04DFB" w:rsidRPr="00A04DFB" w:rsidRDefault="00A04DFB" w:rsidP="00A04DFB">
      <w:pPr>
        <w:rPr>
          <w:lang w:val="en-GB"/>
        </w:rPr>
      </w:pPr>
      <w:r w:rsidRPr="00A04DFB">
        <w:rPr>
          <w:lang w:val="en-GB"/>
        </w:rPr>
        <w:t xml:space="preserve">Stakeholders are divided into </w:t>
      </w:r>
      <w:r w:rsidRPr="00A04DFB">
        <w:rPr>
          <w:b/>
          <w:bCs/>
          <w:lang w:val="en-GB"/>
        </w:rPr>
        <w:t>internal</w:t>
      </w:r>
      <w:r w:rsidRPr="00A04DFB">
        <w:rPr>
          <w:lang w:val="en-GB"/>
        </w:rPr>
        <w:t xml:space="preserve"> and </w:t>
      </w:r>
      <w:r w:rsidRPr="00A04DFB">
        <w:rPr>
          <w:b/>
          <w:bCs/>
          <w:lang w:val="en-GB"/>
        </w:rPr>
        <w:t>external</w:t>
      </w:r>
      <w:r w:rsidRPr="00A04DFB">
        <w:rPr>
          <w:lang w:val="en-GB"/>
        </w:rPr>
        <w:t xml:space="preserve"> categories.</w:t>
      </w:r>
    </w:p>
    <w:p w14:paraId="43343F60" w14:textId="77777777" w:rsidR="00A04DFB" w:rsidRPr="00A04DFB" w:rsidRDefault="00A04DFB" w:rsidP="00A04DFB">
      <w:pPr>
        <w:numPr>
          <w:ilvl w:val="0"/>
          <w:numId w:val="16"/>
        </w:numPr>
        <w:rPr>
          <w:lang w:val="en-GB"/>
        </w:rPr>
      </w:pPr>
      <w:r w:rsidRPr="00A04DFB">
        <w:rPr>
          <w:b/>
          <w:bCs/>
          <w:lang w:val="en-GB"/>
        </w:rPr>
        <w:t>Internal Stakeholders:</w:t>
      </w:r>
      <w:r w:rsidRPr="00A04DFB">
        <w:rPr>
          <w:lang w:val="en-GB"/>
        </w:rPr>
        <w:t xml:space="preserve"> product development and design teams, marketing and sales departments, finance and operations, senior management, and HR.</w:t>
      </w:r>
    </w:p>
    <w:p w14:paraId="467030F3" w14:textId="77777777" w:rsidR="00A04DFB" w:rsidRDefault="00A04DFB" w:rsidP="00A04DFB">
      <w:pPr>
        <w:numPr>
          <w:ilvl w:val="0"/>
          <w:numId w:val="16"/>
        </w:numPr>
        <w:rPr>
          <w:lang w:val="en-GB"/>
        </w:rPr>
      </w:pPr>
      <w:r w:rsidRPr="00A04DFB">
        <w:rPr>
          <w:b/>
          <w:bCs/>
          <w:lang w:val="en-GB"/>
        </w:rPr>
        <w:t>External Stakeholders:</w:t>
      </w:r>
      <w:r w:rsidRPr="00A04DFB">
        <w:rPr>
          <w:lang w:val="en-GB"/>
        </w:rPr>
        <w:t xml:space="preserve"> customers, suppliers, retail partners, healthcare organizations, regulators (such as the MHRA and NHS Digital), and investors.</w:t>
      </w:r>
    </w:p>
    <w:p w14:paraId="66CD1385" w14:textId="3BC8BE08" w:rsidR="00004640" w:rsidRDefault="00004640" w:rsidP="00F133E9">
      <w:pPr>
        <w:pStyle w:val="NormalWeb"/>
        <w:ind w:left="360"/>
      </w:pPr>
      <w:r>
        <w:t xml:space="preserve">A critical look at the internal–external stakeholder divide shows that while the categories themselves are straightforward, the dynamics within and between these groups are far more complex. Internal </w:t>
      </w:r>
      <w:proofErr w:type="gramStart"/>
      <w:r>
        <w:t>stakeholders</w:t>
      </w:r>
      <w:proofErr w:type="gramEnd"/>
      <w:r w:rsidR="000A6ABA">
        <w:t xml:space="preserve"> </w:t>
      </w:r>
      <w:r>
        <w:t>product development, design, marketing, sales, finance, operations, senior management, and HR</w:t>
      </w:r>
      <w:r w:rsidR="000A6ABA">
        <w:t xml:space="preserve"> </w:t>
      </w:r>
      <w:r>
        <w:t>may all belong to the same organisation, but their priorities often differ sharply. Product development and design teams are driven by technical accuracy, performance, and innovation. Their focus on perfecting hardware and sensor reliability is essential for a health-focused wearable, yet it can lead to tension with other departments when timelines or budgets become strained. Marketing and sales, for example, operate under pressure to deliver compelling messaging, secure retailer confidence, and meet commercial targets. If they feel technical teams are slow or overly perfectionist, friction emerges. Conversely, rushing a health-related device to market without adequate validation weakens trust and risks regulatory complications.</w:t>
      </w:r>
    </w:p>
    <w:p w14:paraId="21FDBD71" w14:textId="1571CE0A" w:rsidR="00004640" w:rsidRDefault="00004640" w:rsidP="00004640">
      <w:pPr>
        <w:pStyle w:val="NormalWeb"/>
        <w:ind w:left="360"/>
      </w:pPr>
      <w:r>
        <w:t>External stakeholders introduce even greater complexity. Customers today are far more cautious and informed, especially in health monitoring technology. Their expectations around data accuracy, privacy, and transparency are high, and any misstep can quickly erode trust. Suppliers, particularly those providing sensors or specialised components, are another potential vulnerability. A single weak link in the supply chain</w:t>
      </w:r>
      <w:r w:rsidR="00F133E9">
        <w:t xml:space="preserve"> </w:t>
      </w:r>
      <w:r>
        <w:t xml:space="preserve">whether due to quality issues or delivery </w:t>
      </w:r>
      <w:r w:rsidR="00342371">
        <w:t>delays can</w:t>
      </w:r>
      <w:r>
        <w:t xml:space="preserve"> compromise product performance or regulatory approval.</w:t>
      </w:r>
    </w:p>
    <w:p w14:paraId="1E59635B" w14:textId="3A43D9B8" w:rsidR="00004640" w:rsidRDefault="00004640" w:rsidP="00004640">
      <w:pPr>
        <w:pStyle w:val="NormalWeb"/>
        <w:ind w:left="360"/>
      </w:pPr>
      <w:r>
        <w:t xml:space="preserve">Retail partners demand reliability, consistency, and clear product positioning. Their buying decisions directly influence visibility and market penetration. Healthcare organisations and regulators, including the MHRA and NHS Digital, hold significant power: they determine whether the device is legally compliant, safe, and ethically positioned. Their requirements may force design changes late into development, adding operational strain. Investors, meanwhile, monitor financial performance and </w:t>
      </w:r>
    </w:p>
    <w:p w14:paraId="122DB4BD" w14:textId="77777777" w:rsidR="00AA7063" w:rsidRPr="00A04DFB" w:rsidRDefault="00AA7063" w:rsidP="00004640">
      <w:pPr>
        <w:ind w:left="360"/>
        <w:rPr>
          <w:lang w:val="en-GB"/>
        </w:rPr>
      </w:pPr>
    </w:p>
    <w:p w14:paraId="18E3D06C" w14:textId="77777777" w:rsidR="00DF4049" w:rsidRDefault="00000000">
      <w:pPr>
        <w:pStyle w:val="Heading1"/>
      </w:pPr>
      <w:r>
        <w:t>4. Roles, Responsibilities, Benefits, and Challenges</w:t>
      </w:r>
    </w:p>
    <w:p w14:paraId="57349B18" w14:textId="77777777" w:rsidR="007E7C31" w:rsidRDefault="00F83E01" w:rsidP="00F83E01">
      <w:pPr>
        <w:rPr>
          <w:lang w:val="en-GB"/>
        </w:rPr>
      </w:pPr>
      <w:r w:rsidRPr="00F83E01">
        <w:rPr>
          <w:lang w:val="en-GB"/>
        </w:rPr>
        <w:t xml:space="preserve">Every stakeholder involved in the Moto G X Smartwatch project carries a specific responsibility that shapes how smoothly the product moves from concept to market. While their roles differ, the project ultimately succeeds only when these pieces fit together without friction. </w:t>
      </w:r>
    </w:p>
    <w:p w14:paraId="33A3B7DB" w14:textId="4CC25B47" w:rsidR="00F83E01" w:rsidRPr="00F83E01" w:rsidRDefault="00F83E01" w:rsidP="00F83E01">
      <w:pPr>
        <w:rPr>
          <w:lang w:val="en-GB"/>
        </w:rPr>
      </w:pPr>
      <w:r w:rsidRPr="00F83E01">
        <w:rPr>
          <w:lang w:val="en-GB"/>
        </w:rPr>
        <w:lastRenderedPageBreak/>
        <w:t>The product development team forms the technical backbone of the project. They translate ideas into hardware and software that must function reliably, meet regulatory requirements, and deliver a user experience that can compete with well-established brands already dominating the wearable market. Their work demands constant iteration, coordination with suppliers, and close alignment with regulatory expectations, especially given the health-related nature of the device.</w:t>
      </w:r>
    </w:p>
    <w:p w14:paraId="2AD11970" w14:textId="77777777" w:rsidR="00F83E01" w:rsidRPr="00F83E01" w:rsidRDefault="00F83E01" w:rsidP="00F83E01">
      <w:pPr>
        <w:rPr>
          <w:lang w:val="en-GB"/>
        </w:rPr>
      </w:pPr>
      <w:r w:rsidRPr="00F83E01">
        <w:rPr>
          <w:lang w:val="en-GB"/>
        </w:rPr>
        <w:t>Meanwhile, the marketing and sales teams hold the responsibility of shaping consumer perception. Their task goes far beyond promotional campaigns; they must understand the product deeply, anticipate market reactions, and craft narratives that build trust with users who increasingly rely on wearables for meaningful health insights. Their success depends heavily on timely information from development teams, clear positioning from leadership, and dependable data from early testing phases. Sales teams must also be prepared to communicate the smartwatch’s value convincingly to retailers, distributors, and potential commercial partners such as healthcare providers or corporate wellness programmes.</w:t>
      </w:r>
    </w:p>
    <w:p w14:paraId="32C99F1A" w14:textId="77777777" w:rsidR="00F83E01" w:rsidRPr="00F83E01" w:rsidRDefault="00F83E01" w:rsidP="00F83E01">
      <w:pPr>
        <w:rPr>
          <w:lang w:val="en-GB"/>
        </w:rPr>
      </w:pPr>
      <w:r w:rsidRPr="00F83E01">
        <w:rPr>
          <w:lang w:val="en-GB"/>
        </w:rPr>
        <w:t>The finance team, often overlooked in fast-moving technology projects, plays a crucial balancing role. They ensure that the enthusiastic ambitions of development and marketing remain grounded in financial reality. Their job includes budget allocation, risk forecasting, and ongoing financial monitoring to prevent overspending while ensuring the product retains the quality necessary to compete in a saturated market. A misalignment here can jeopardise timelines, delay launches, or force compromises on features that users value.</w:t>
      </w:r>
    </w:p>
    <w:p w14:paraId="7BE971DF" w14:textId="15A4E082" w:rsidR="00F83E01" w:rsidRPr="00F83E01" w:rsidRDefault="00F83E01" w:rsidP="00F83E01">
      <w:pPr>
        <w:rPr>
          <w:lang w:val="en-GB"/>
        </w:rPr>
      </w:pPr>
      <w:r w:rsidRPr="00F83E01">
        <w:rPr>
          <w:lang w:val="en-GB"/>
        </w:rPr>
        <w:t xml:space="preserve">Regulators and compliance professionals form another crucial group. With a health-tracking product, regulatory oversight isn’t just </w:t>
      </w:r>
      <w:proofErr w:type="spellStart"/>
      <w:r w:rsidRPr="00F83E01">
        <w:rPr>
          <w:lang w:val="en-GB"/>
        </w:rPr>
        <w:t>proceduralit</w:t>
      </w:r>
      <w:proofErr w:type="spellEnd"/>
      <w:r w:rsidRPr="00F83E01">
        <w:rPr>
          <w:lang w:val="en-GB"/>
        </w:rPr>
        <w:t xml:space="preserve"> is central to credibility. These stakeholders ensure that the device meets standards set by bodies such as the MHRA and that all data handling complies with GDPR. Their involvement changes the project dynamic, as compliance issues can reshape timelines, require redesigns, or influence the final feature set.</w:t>
      </w:r>
    </w:p>
    <w:p w14:paraId="2D15D9F5" w14:textId="49FA2163" w:rsidR="00DF4049" w:rsidRPr="00F83E01" w:rsidRDefault="00000000">
      <w:pPr>
        <w:rPr>
          <w:lang w:val="en-GB"/>
        </w:rPr>
      </w:pPr>
      <w:r>
        <w:br w:type="page"/>
      </w:r>
    </w:p>
    <w:p w14:paraId="3A57623F" w14:textId="77777777" w:rsidR="00DF4049" w:rsidRDefault="00000000">
      <w:pPr>
        <w:pStyle w:val="Heading1"/>
      </w:pPr>
      <w:r>
        <w:lastRenderedPageBreak/>
        <w:t>5. Engagement Frameworks, Models, and Tools</w:t>
      </w:r>
    </w:p>
    <w:p w14:paraId="7B1C7285" w14:textId="1F6A86DF" w:rsidR="00995444" w:rsidRDefault="00995444" w:rsidP="00FD4136">
      <w:pPr>
        <w:pStyle w:val="NormalWeb"/>
      </w:pPr>
      <w:r>
        <w:t>Managing a project as complex and cross-functional as the Moto G X Smartwatch requires more than informal coordination or occasional check-ins. It demands a structured approach to organising people, expectations, and communication so that every stakeholder</w:t>
      </w:r>
      <w:r>
        <w:t xml:space="preserve"> </w:t>
      </w:r>
      <w:r>
        <w:t>internal or external</w:t>
      </w:r>
      <w:r>
        <w:t xml:space="preserve"> </w:t>
      </w:r>
      <w:r>
        <w:t>understands their role and feels meaningfully involved in the process. To accomplish this, a set of well-established tools and frameworks will guide how engagement is planned, delivered, and continuously improved throughout the project lifecycle.</w:t>
      </w:r>
    </w:p>
    <w:p w14:paraId="0D6264CF" w14:textId="77777777" w:rsidR="00995444" w:rsidRDefault="00995444" w:rsidP="00FD4136">
      <w:pPr>
        <w:pStyle w:val="NormalWeb"/>
      </w:pPr>
      <w:r>
        <w:t>One of the most fundamental tools is the Stakeholder Matrix. This allows the team to map out all stakeholders according to their level of influence and interest. By doing so, it becomes clear who needs intensive, ongoing engagement and who requires periodic updates. For instance, regulators and senior leadership fall into the high-power, high-interest quadrant, meaning they need consistent involvement and visibility of project risks. Meanwhile, peripheral suppliers or support teams may fall into lower-interest categories, requiring only essential updates. This matrix prevents the project from over-communicating to some groups while unintentionally neglecting others—an issue that often leads to friction or avoidable escalation.</w:t>
      </w:r>
    </w:p>
    <w:p w14:paraId="5F3E8084" w14:textId="7BD5400F" w:rsidR="00AC1BB9" w:rsidRDefault="00AC1BB9" w:rsidP="00FD4136">
      <w:pPr>
        <w:pStyle w:val="NormalWeb"/>
      </w:pPr>
      <w:r w:rsidRPr="00A04DFB">
        <w:t xml:space="preserve">These stakeholders can be </w:t>
      </w:r>
      <w:proofErr w:type="spellStart"/>
      <w:r w:rsidRPr="00A04DFB">
        <w:t>analyzed</w:t>
      </w:r>
      <w:proofErr w:type="spellEnd"/>
      <w:r w:rsidRPr="00A04DFB">
        <w:t xml:space="preserve"> using </w:t>
      </w:r>
      <w:r w:rsidRPr="00A04DFB">
        <w:rPr>
          <w:b/>
          <w:bCs/>
        </w:rPr>
        <w:t>Mendelow’s Power–Interest Matrix</w:t>
      </w:r>
      <w:r w:rsidRPr="00A04DFB">
        <w:t>, which classifies them based on their level of influence and interest in the project. For example, senior management and regulatory bodies have high power and high interest, requiring close engagement, whereas some external suppliers may have lower influence and require periodic updates.</w:t>
      </w:r>
    </w:p>
    <w:p w14:paraId="55177D8D" w14:textId="77777777" w:rsidR="001D6A38" w:rsidRPr="001D6A38" w:rsidRDefault="001D6A38" w:rsidP="001D6A38">
      <w:pPr>
        <w:pStyle w:val="NormalWeb"/>
      </w:pPr>
      <w:r w:rsidRPr="001D6A38">
        <w:t xml:space="preserve">Here’s a RACI matrix tailored for a </w:t>
      </w:r>
      <w:r w:rsidRPr="001D6A38">
        <w:rPr>
          <w:b/>
          <w:bCs/>
        </w:rPr>
        <w:t>smartwatch project</w:t>
      </w:r>
      <w:r w:rsidRPr="001D6A38">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7"/>
        <w:gridCol w:w="1695"/>
        <w:gridCol w:w="1360"/>
        <w:gridCol w:w="2221"/>
        <w:gridCol w:w="1487"/>
      </w:tblGrid>
      <w:tr w:rsidR="000A6ABA" w:rsidRPr="001D6A38" w14:paraId="46AE85F5" w14:textId="77777777" w:rsidTr="00436A92">
        <w:trPr>
          <w:tblHeader/>
          <w:tblCellSpacing w:w="15" w:type="dxa"/>
        </w:trPr>
        <w:tc>
          <w:tcPr>
            <w:tcW w:w="0" w:type="auto"/>
            <w:vAlign w:val="center"/>
            <w:hideMark/>
          </w:tcPr>
          <w:p w14:paraId="01386E68" w14:textId="77777777" w:rsidR="001D6A38" w:rsidRPr="001D6A38" w:rsidRDefault="001D6A38" w:rsidP="001D6A38">
            <w:pPr>
              <w:pStyle w:val="NormalWeb"/>
              <w:rPr>
                <w:b/>
                <w:bCs/>
              </w:rPr>
            </w:pPr>
            <w:r w:rsidRPr="001D6A38">
              <w:rPr>
                <w:b/>
                <w:bCs/>
              </w:rPr>
              <w:t>Task</w:t>
            </w:r>
          </w:p>
        </w:tc>
        <w:tc>
          <w:tcPr>
            <w:tcW w:w="0" w:type="auto"/>
            <w:vAlign w:val="center"/>
            <w:hideMark/>
          </w:tcPr>
          <w:p w14:paraId="6CF039A3" w14:textId="77777777" w:rsidR="001D6A38" w:rsidRPr="001D6A38" w:rsidRDefault="001D6A38" w:rsidP="001D6A38">
            <w:pPr>
              <w:pStyle w:val="NormalWeb"/>
              <w:rPr>
                <w:b/>
                <w:bCs/>
              </w:rPr>
            </w:pPr>
            <w:r w:rsidRPr="001D6A38">
              <w:rPr>
                <w:b/>
                <w:bCs/>
              </w:rPr>
              <w:t>Responsible</w:t>
            </w:r>
          </w:p>
        </w:tc>
        <w:tc>
          <w:tcPr>
            <w:tcW w:w="0" w:type="auto"/>
            <w:vAlign w:val="center"/>
            <w:hideMark/>
          </w:tcPr>
          <w:p w14:paraId="56E00259" w14:textId="77777777" w:rsidR="001D6A38" w:rsidRPr="001D6A38" w:rsidRDefault="001D6A38" w:rsidP="001D6A38">
            <w:pPr>
              <w:pStyle w:val="NormalWeb"/>
              <w:rPr>
                <w:b/>
                <w:bCs/>
              </w:rPr>
            </w:pPr>
            <w:r w:rsidRPr="001D6A38">
              <w:rPr>
                <w:b/>
                <w:bCs/>
              </w:rPr>
              <w:t>Accountable</w:t>
            </w:r>
          </w:p>
        </w:tc>
        <w:tc>
          <w:tcPr>
            <w:tcW w:w="0" w:type="auto"/>
            <w:vAlign w:val="center"/>
            <w:hideMark/>
          </w:tcPr>
          <w:p w14:paraId="6AC6F782" w14:textId="77777777" w:rsidR="001D6A38" w:rsidRPr="001D6A38" w:rsidRDefault="001D6A38" w:rsidP="001D6A38">
            <w:pPr>
              <w:pStyle w:val="NormalWeb"/>
              <w:rPr>
                <w:b/>
                <w:bCs/>
              </w:rPr>
            </w:pPr>
            <w:r w:rsidRPr="001D6A38">
              <w:rPr>
                <w:b/>
                <w:bCs/>
              </w:rPr>
              <w:t>Consulted</w:t>
            </w:r>
          </w:p>
        </w:tc>
        <w:tc>
          <w:tcPr>
            <w:tcW w:w="0" w:type="auto"/>
            <w:vAlign w:val="center"/>
            <w:hideMark/>
          </w:tcPr>
          <w:p w14:paraId="6E1214A2" w14:textId="77777777" w:rsidR="001D6A38" w:rsidRPr="001D6A38" w:rsidRDefault="001D6A38" w:rsidP="001D6A38">
            <w:pPr>
              <w:pStyle w:val="NormalWeb"/>
              <w:rPr>
                <w:b/>
                <w:bCs/>
              </w:rPr>
            </w:pPr>
            <w:r w:rsidRPr="001D6A38">
              <w:rPr>
                <w:b/>
                <w:bCs/>
              </w:rPr>
              <w:t>Informed</w:t>
            </w:r>
          </w:p>
        </w:tc>
      </w:tr>
      <w:tr w:rsidR="000A6ABA" w:rsidRPr="001D6A38" w14:paraId="4F499EE8" w14:textId="77777777" w:rsidTr="00436A92">
        <w:trPr>
          <w:tblCellSpacing w:w="15" w:type="dxa"/>
        </w:trPr>
        <w:tc>
          <w:tcPr>
            <w:tcW w:w="0" w:type="auto"/>
            <w:vAlign w:val="center"/>
            <w:hideMark/>
          </w:tcPr>
          <w:p w14:paraId="3055F2A1" w14:textId="77777777" w:rsidR="001D6A38" w:rsidRPr="001D6A38" w:rsidRDefault="001D6A38" w:rsidP="001D6A38">
            <w:pPr>
              <w:pStyle w:val="NormalWeb"/>
            </w:pPr>
            <w:r w:rsidRPr="001D6A38">
              <w:t>Define the Project</w:t>
            </w:r>
          </w:p>
        </w:tc>
        <w:tc>
          <w:tcPr>
            <w:tcW w:w="0" w:type="auto"/>
            <w:vAlign w:val="center"/>
            <w:hideMark/>
          </w:tcPr>
          <w:p w14:paraId="6C49D02B" w14:textId="77777777" w:rsidR="001D6A38" w:rsidRPr="001D6A38" w:rsidRDefault="001D6A38" w:rsidP="001D6A38">
            <w:pPr>
              <w:pStyle w:val="NormalWeb"/>
            </w:pPr>
            <w:r w:rsidRPr="001D6A38">
              <w:t>John (Project Manager)</w:t>
            </w:r>
          </w:p>
        </w:tc>
        <w:tc>
          <w:tcPr>
            <w:tcW w:w="0" w:type="auto"/>
            <w:vAlign w:val="center"/>
            <w:hideMark/>
          </w:tcPr>
          <w:p w14:paraId="66C3FEF9" w14:textId="77777777" w:rsidR="001D6A38" w:rsidRPr="001D6A38" w:rsidRDefault="001D6A38" w:rsidP="001D6A38">
            <w:pPr>
              <w:pStyle w:val="NormalWeb"/>
            </w:pPr>
            <w:r w:rsidRPr="001D6A38">
              <w:t>Jerry (COO)</w:t>
            </w:r>
          </w:p>
        </w:tc>
        <w:tc>
          <w:tcPr>
            <w:tcW w:w="0" w:type="auto"/>
            <w:vAlign w:val="center"/>
            <w:hideMark/>
          </w:tcPr>
          <w:p w14:paraId="08199251" w14:textId="77777777" w:rsidR="001D6A38" w:rsidRPr="001D6A38" w:rsidRDefault="001D6A38" w:rsidP="001D6A38">
            <w:pPr>
              <w:pStyle w:val="NormalWeb"/>
            </w:pPr>
            <w:r w:rsidRPr="001D6A38">
              <w:t>Alice (CEO)</w:t>
            </w:r>
          </w:p>
        </w:tc>
        <w:tc>
          <w:tcPr>
            <w:tcW w:w="0" w:type="auto"/>
            <w:vAlign w:val="center"/>
            <w:hideMark/>
          </w:tcPr>
          <w:p w14:paraId="580EEA91" w14:textId="77777777" w:rsidR="001D6A38" w:rsidRPr="001D6A38" w:rsidRDefault="001D6A38" w:rsidP="001D6A38">
            <w:pPr>
              <w:pStyle w:val="NormalWeb"/>
            </w:pPr>
            <w:r w:rsidRPr="001D6A38">
              <w:t>Angela (Board Chair)</w:t>
            </w:r>
          </w:p>
        </w:tc>
      </w:tr>
      <w:tr w:rsidR="000A6ABA" w:rsidRPr="001D6A38" w14:paraId="6FF60C6F" w14:textId="77777777" w:rsidTr="00436A92">
        <w:trPr>
          <w:tblCellSpacing w:w="15" w:type="dxa"/>
        </w:trPr>
        <w:tc>
          <w:tcPr>
            <w:tcW w:w="0" w:type="auto"/>
            <w:vAlign w:val="center"/>
            <w:hideMark/>
          </w:tcPr>
          <w:p w14:paraId="56620924" w14:textId="77777777" w:rsidR="001D6A38" w:rsidRPr="001D6A38" w:rsidRDefault="001D6A38" w:rsidP="001D6A38">
            <w:pPr>
              <w:pStyle w:val="NormalWeb"/>
            </w:pPr>
            <w:r w:rsidRPr="001D6A38">
              <w:t>Design Smartwatch Interface</w:t>
            </w:r>
          </w:p>
        </w:tc>
        <w:tc>
          <w:tcPr>
            <w:tcW w:w="0" w:type="auto"/>
            <w:vAlign w:val="center"/>
            <w:hideMark/>
          </w:tcPr>
          <w:p w14:paraId="0A058246" w14:textId="77EED042" w:rsidR="001D6A38" w:rsidRPr="001D6A38" w:rsidRDefault="001D6A38" w:rsidP="001D6A38">
            <w:pPr>
              <w:pStyle w:val="NormalWeb"/>
            </w:pPr>
            <w:r w:rsidRPr="001D6A38">
              <w:t xml:space="preserve"> (UX/UI Designer)</w:t>
            </w:r>
          </w:p>
        </w:tc>
        <w:tc>
          <w:tcPr>
            <w:tcW w:w="0" w:type="auto"/>
            <w:vAlign w:val="center"/>
            <w:hideMark/>
          </w:tcPr>
          <w:p w14:paraId="106362E4" w14:textId="337ED969" w:rsidR="001D6A38" w:rsidRPr="001D6A38" w:rsidRDefault="001D6A38" w:rsidP="001D6A38">
            <w:pPr>
              <w:pStyle w:val="NormalWeb"/>
            </w:pPr>
            <w:r w:rsidRPr="001D6A38">
              <w:t xml:space="preserve"> (PM)</w:t>
            </w:r>
          </w:p>
        </w:tc>
        <w:tc>
          <w:tcPr>
            <w:tcW w:w="0" w:type="auto"/>
            <w:vAlign w:val="center"/>
            <w:hideMark/>
          </w:tcPr>
          <w:p w14:paraId="4FD585CA" w14:textId="58AE3AFD" w:rsidR="001D6A38" w:rsidRPr="001D6A38" w:rsidRDefault="001D6A38" w:rsidP="001D6A38">
            <w:pPr>
              <w:pStyle w:val="NormalWeb"/>
            </w:pPr>
            <w:r w:rsidRPr="001D6A38">
              <w:t>(COO), (CEO)</w:t>
            </w:r>
          </w:p>
        </w:tc>
        <w:tc>
          <w:tcPr>
            <w:tcW w:w="0" w:type="auto"/>
            <w:vAlign w:val="center"/>
            <w:hideMark/>
          </w:tcPr>
          <w:p w14:paraId="4D7A82BB" w14:textId="6CC060EB" w:rsidR="001D6A38" w:rsidRPr="001D6A38" w:rsidRDefault="001D6A38" w:rsidP="001D6A38">
            <w:pPr>
              <w:pStyle w:val="NormalWeb"/>
            </w:pPr>
            <w:r w:rsidRPr="001D6A38">
              <w:t>(Board</w:t>
            </w:r>
            <w:r w:rsidR="000A6ABA">
              <w:t>),</w:t>
            </w:r>
            <w:r w:rsidRPr="001D6A38">
              <w:t xml:space="preserve"> Chair)</w:t>
            </w:r>
          </w:p>
        </w:tc>
      </w:tr>
      <w:tr w:rsidR="000A6ABA" w:rsidRPr="001D6A38" w14:paraId="273CD117" w14:textId="77777777" w:rsidTr="00436A92">
        <w:trPr>
          <w:tblCellSpacing w:w="15" w:type="dxa"/>
        </w:trPr>
        <w:tc>
          <w:tcPr>
            <w:tcW w:w="0" w:type="auto"/>
            <w:vAlign w:val="center"/>
            <w:hideMark/>
          </w:tcPr>
          <w:p w14:paraId="4D47E99F" w14:textId="77777777" w:rsidR="001D6A38" w:rsidRPr="001D6A38" w:rsidRDefault="001D6A38" w:rsidP="001D6A38">
            <w:pPr>
              <w:pStyle w:val="NormalWeb"/>
            </w:pPr>
            <w:r w:rsidRPr="001D6A38">
              <w:t>Develop Smartwatch Software</w:t>
            </w:r>
          </w:p>
        </w:tc>
        <w:tc>
          <w:tcPr>
            <w:tcW w:w="0" w:type="auto"/>
            <w:vAlign w:val="center"/>
            <w:hideMark/>
          </w:tcPr>
          <w:p w14:paraId="5ADA56CC" w14:textId="261D2BFC" w:rsidR="001D6A38" w:rsidRPr="001D6A38" w:rsidRDefault="001D6A38" w:rsidP="001D6A38">
            <w:pPr>
              <w:pStyle w:val="NormalWeb"/>
            </w:pPr>
            <w:r w:rsidRPr="001D6A38">
              <w:t xml:space="preserve"> (Software Lead)</w:t>
            </w:r>
          </w:p>
        </w:tc>
        <w:tc>
          <w:tcPr>
            <w:tcW w:w="0" w:type="auto"/>
            <w:vAlign w:val="center"/>
            <w:hideMark/>
          </w:tcPr>
          <w:p w14:paraId="0540A861" w14:textId="53C5C376" w:rsidR="001D6A38" w:rsidRPr="001D6A38" w:rsidRDefault="001D6A38" w:rsidP="001D6A38">
            <w:pPr>
              <w:pStyle w:val="NormalWeb"/>
            </w:pPr>
            <w:r w:rsidRPr="001D6A38">
              <w:t xml:space="preserve"> (PM)</w:t>
            </w:r>
          </w:p>
        </w:tc>
        <w:tc>
          <w:tcPr>
            <w:tcW w:w="0" w:type="auto"/>
            <w:vAlign w:val="center"/>
            <w:hideMark/>
          </w:tcPr>
          <w:p w14:paraId="1C8843AB" w14:textId="2CAA3525" w:rsidR="001D6A38" w:rsidRPr="001D6A38" w:rsidRDefault="001D6A38" w:rsidP="001D6A38">
            <w:pPr>
              <w:pStyle w:val="NormalWeb"/>
            </w:pPr>
            <w:r w:rsidRPr="001D6A38">
              <w:t>(Designer), (COO)</w:t>
            </w:r>
          </w:p>
        </w:tc>
        <w:tc>
          <w:tcPr>
            <w:tcW w:w="0" w:type="auto"/>
            <w:vAlign w:val="center"/>
            <w:hideMark/>
          </w:tcPr>
          <w:p w14:paraId="48E51C1F" w14:textId="77777777" w:rsidR="002B2DBF" w:rsidRDefault="001D6A38" w:rsidP="001D6A38">
            <w:pPr>
              <w:pStyle w:val="NormalWeb"/>
            </w:pPr>
            <w:r w:rsidRPr="001D6A38">
              <w:t>(CEO)</w:t>
            </w:r>
          </w:p>
          <w:p w14:paraId="3298B3F7" w14:textId="18066889" w:rsidR="001D6A38" w:rsidRPr="001D6A38" w:rsidRDefault="001D6A38" w:rsidP="001D6A38">
            <w:pPr>
              <w:pStyle w:val="NormalWeb"/>
            </w:pPr>
            <w:r w:rsidRPr="001D6A38">
              <w:t xml:space="preserve"> (Board Chair)</w:t>
            </w:r>
          </w:p>
        </w:tc>
      </w:tr>
      <w:tr w:rsidR="000A6ABA" w:rsidRPr="001D6A38" w14:paraId="1142D27F" w14:textId="77777777" w:rsidTr="00436A92">
        <w:trPr>
          <w:tblCellSpacing w:w="15" w:type="dxa"/>
        </w:trPr>
        <w:tc>
          <w:tcPr>
            <w:tcW w:w="0" w:type="auto"/>
            <w:vAlign w:val="center"/>
            <w:hideMark/>
          </w:tcPr>
          <w:p w14:paraId="632E2855" w14:textId="77777777" w:rsidR="001D6A38" w:rsidRPr="001D6A38" w:rsidRDefault="001D6A38" w:rsidP="001D6A38">
            <w:pPr>
              <w:pStyle w:val="NormalWeb"/>
            </w:pPr>
            <w:r w:rsidRPr="001D6A38">
              <w:t>Create Marketing Content</w:t>
            </w:r>
          </w:p>
        </w:tc>
        <w:tc>
          <w:tcPr>
            <w:tcW w:w="0" w:type="auto"/>
            <w:vAlign w:val="center"/>
            <w:hideMark/>
          </w:tcPr>
          <w:p w14:paraId="7CCE41EE" w14:textId="114FC3F3" w:rsidR="001D6A38" w:rsidRPr="001D6A38" w:rsidRDefault="001D6A38" w:rsidP="001D6A38">
            <w:pPr>
              <w:pStyle w:val="NormalWeb"/>
            </w:pPr>
            <w:r w:rsidRPr="001D6A38">
              <w:t>(Marketing Lead)</w:t>
            </w:r>
          </w:p>
        </w:tc>
        <w:tc>
          <w:tcPr>
            <w:tcW w:w="0" w:type="auto"/>
            <w:vAlign w:val="center"/>
            <w:hideMark/>
          </w:tcPr>
          <w:p w14:paraId="0FC44DBC" w14:textId="6A64A4FE" w:rsidR="001D6A38" w:rsidRPr="001D6A38" w:rsidRDefault="001D6A38" w:rsidP="001D6A38">
            <w:pPr>
              <w:pStyle w:val="NormalWeb"/>
            </w:pPr>
            <w:r w:rsidRPr="001D6A38">
              <w:t xml:space="preserve"> (PM)</w:t>
            </w:r>
          </w:p>
        </w:tc>
        <w:tc>
          <w:tcPr>
            <w:tcW w:w="0" w:type="auto"/>
            <w:vAlign w:val="center"/>
            <w:hideMark/>
          </w:tcPr>
          <w:p w14:paraId="78E6EBF3" w14:textId="77777777" w:rsidR="001D6A38" w:rsidRPr="001D6A38" w:rsidRDefault="001D6A38" w:rsidP="001D6A38">
            <w:pPr>
              <w:pStyle w:val="NormalWeb"/>
            </w:pPr>
            <w:r w:rsidRPr="001D6A38">
              <w:t>Jerry (COO), Alice (CEO)</w:t>
            </w:r>
          </w:p>
        </w:tc>
        <w:tc>
          <w:tcPr>
            <w:tcW w:w="0" w:type="auto"/>
            <w:vAlign w:val="center"/>
            <w:hideMark/>
          </w:tcPr>
          <w:p w14:paraId="4DF6D47E" w14:textId="5F77BCAD" w:rsidR="001D6A38" w:rsidRPr="001D6A38" w:rsidRDefault="001D6A38" w:rsidP="001D6A38">
            <w:pPr>
              <w:pStyle w:val="NormalWeb"/>
            </w:pPr>
            <w:r w:rsidRPr="001D6A38">
              <w:t xml:space="preserve"> (Board Chair)</w:t>
            </w:r>
          </w:p>
        </w:tc>
      </w:tr>
      <w:tr w:rsidR="000A6ABA" w:rsidRPr="001D6A38" w14:paraId="68057580" w14:textId="77777777" w:rsidTr="00436A92">
        <w:trPr>
          <w:tblCellSpacing w:w="15" w:type="dxa"/>
        </w:trPr>
        <w:tc>
          <w:tcPr>
            <w:tcW w:w="0" w:type="auto"/>
            <w:vAlign w:val="center"/>
            <w:hideMark/>
          </w:tcPr>
          <w:p w14:paraId="4B921B1E" w14:textId="77777777" w:rsidR="001D6A38" w:rsidRPr="001D6A38" w:rsidRDefault="001D6A38" w:rsidP="001D6A38">
            <w:pPr>
              <w:pStyle w:val="NormalWeb"/>
            </w:pPr>
            <w:r w:rsidRPr="001D6A38">
              <w:t>Test &amp; QA Smartwatch Features</w:t>
            </w:r>
          </w:p>
        </w:tc>
        <w:tc>
          <w:tcPr>
            <w:tcW w:w="0" w:type="auto"/>
            <w:vAlign w:val="center"/>
            <w:hideMark/>
          </w:tcPr>
          <w:p w14:paraId="3F272497" w14:textId="51BBCDBA" w:rsidR="001D6A38" w:rsidRPr="001D6A38" w:rsidRDefault="001D6A38" w:rsidP="001D6A38">
            <w:pPr>
              <w:pStyle w:val="NormalWeb"/>
            </w:pPr>
            <w:r w:rsidRPr="001D6A38">
              <w:t>(QA Lead)</w:t>
            </w:r>
          </w:p>
        </w:tc>
        <w:tc>
          <w:tcPr>
            <w:tcW w:w="0" w:type="auto"/>
            <w:vAlign w:val="center"/>
            <w:hideMark/>
          </w:tcPr>
          <w:p w14:paraId="5BB394C3" w14:textId="72BAB419" w:rsidR="001D6A38" w:rsidRPr="001D6A38" w:rsidRDefault="001D6A38" w:rsidP="001D6A38">
            <w:pPr>
              <w:pStyle w:val="NormalWeb"/>
            </w:pPr>
            <w:r w:rsidRPr="001D6A38">
              <w:t xml:space="preserve"> (PM)</w:t>
            </w:r>
          </w:p>
        </w:tc>
        <w:tc>
          <w:tcPr>
            <w:tcW w:w="0" w:type="auto"/>
            <w:vAlign w:val="center"/>
            <w:hideMark/>
          </w:tcPr>
          <w:p w14:paraId="135EE9DD" w14:textId="77777777" w:rsidR="001D6A38" w:rsidRPr="001D6A38" w:rsidRDefault="001D6A38" w:rsidP="001D6A38">
            <w:pPr>
              <w:pStyle w:val="NormalWeb"/>
            </w:pPr>
            <w:r w:rsidRPr="001D6A38">
              <w:t>Maria (Designer), Liam (Software Lead)</w:t>
            </w:r>
          </w:p>
        </w:tc>
        <w:tc>
          <w:tcPr>
            <w:tcW w:w="0" w:type="auto"/>
            <w:vAlign w:val="center"/>
            <w:hideMark/>
          </w:tcPr>
          <w:p w14:paraId="3B3E81C7" w14:textId="32F1A186" w:rsidR="001D6A38" w:rsidRPr="001D6A38" w:rsidRDefault="001D6A38" w:rsidP="001D6A38">
            <w:pPr>
              <w:pStyle w:val="NormalWeb"/>
            </w:pPr>
            <w:r w:rsidRPr="001D6A38">
              <w:t xml:space="preserve"> (COO</w:t>
            </w:r>
            <w:proofErr w:type="gramStart"/>
            <w:r w:rsidRPr="001D6A38">
              <w:t>),  (</w:t>
            </w:r>
            <w:proofErr w:type="gramEnd"/>
            <w:r w:rsidRPr="001D6A38">
              <w:t>CEO)</w:t>
            </w:r>
          </w:p>
        </w:tc>
      </w:tr>
    </w:tbl>
    <w:p w14:paraId="704577F0" w14:textId="77777777" w:rsidR="005A78F7" w:rsidRDefault="005A78F7" w:rsidP="00FD4136">
      <w:pPr>
        <w:pStyle w:val="NormalWeb"/>
      </w:pPr>
    </w:p>
    <w:p w14:paraId="0950511D" w14:textId="77777777" w:rsidR="00891A8C" w:rsidRDefault="00891A8C" w:rsidP="00FD4136">
      <w:pPr>
        <w:pStyle w:val="NormalWeb"/>
      </w:pPr>
    </w:p>
    <w:p w14:paraId="78DEC845" w14:textId="3E744AD8" w:rsidR="0013323A" w:rsidRDefault="00995444" w:rsidP="004A65D3">
      <w:pPr>
        <w:pStyle w:val="NormalWeb"/>
      </w:pPr>
      <w:r>
        <w:t xml:space="preserve">The RACI Matrix is another essential tool, offering clarity around responsibility. In a project with engineers, marketers, legal teams, compliance officers, and finance working in parallel, confusion around decision-making can slow progress dramatically. </w:t>
      </w:r>
    </w:p>
    <w:p w14:paraId="3CBFF43D" w14:textId="77777777" w:rsidR="00995444" w:rsidRDefault="00995444" w:rsidP="0013323A">
      <w:pPr>
        <w:pStyle w:val="NormalWeb"/>
      </w:pPr>
      <w:r>
        <w:t xml:space="preserve">Alongside these structural tools, the Engagement Plan outlines how each stakeholder or stakeholder group will be approached, how often they will be engaged, and what communication style best suits their needs. Not everyone requires detailed technical updates, just as not every team </w:t>
      </w:r>
      <w:proofErr w:type="gramStart"/>
      <w:r>
        <w:t>benefits</w:t>
      </w:r>
      <w:proofErr w:type="gramEnd"/>
      <w:r>
        <w:t xml:space="preserve"> from high-level summaries. The Engagement Plan ensures that communication feels intentional rather than generic, fostering trust and demonstrating respect for stakeholder time and expertise.</w:t>
      </w:r>
    </w:p>
    <w:p w14:paraId="2B09A958" w14:textId="77777777" w:rsidR="00995444" w:rsidRDefault="00995444" w:rsidP="0013323A">
      <w:pPr>
        <w:pStyle w:val="NormalWeb"/>
      </w:pPr>
      <w:r>
        <w:t>Complementing the Engagement Plan, the Communication Plan digs deeper into the mechanics of how information will move through the project. This includes meeting schedules, reporting formats, escalation pathways, and feedback loops. The key aim is to ensure that communication is predictable, transparent, and reciprocal. Feedback loops</w:t>
      </w:r>
      <w:proofErr w:type="gramStart"/>
      <w:r>
        <w:t>, in particular, ensure</w:t>
      </w:r>
      <w:proofErr w:type="gramEnd"/>
      <w:r>
        <w:t xml:space="preserve"> that stakeholders not only receive information but also have structured opportunities to influence the project. This closes the gap between communication and collaboration, turning passive updates into active dialogue.</w:t>
      </w:r>
    </w:p>
    <w:p w14:paraId="342BEF16" w14:textId="77777777" w:rsidR="00DF4049" w:rsidRDefault="00000000">
      <w:pPr>
        <w:pStyle w:val="Heading1"/>
      </w:pPr>
      <w:r>
        <w:t>6. Stakeholder Engagement Process and Conflict Management</w:t>
      </w:r>
    </w:p>
    <w:p w14:paraId="5B1A20BC" w14:textId="77777777" w:rsidR="00F253B5" w:rsidRPr="00F253B5" w:rsidRDefault="00F253B5" w:rsidP="00F253B5">
      <w:pPr>
        <w:rPr>
          <w:lang w:val="en-GB"/>
        </w:rPr>
      </w:pPr>
      <w:r w:rsidRPr="00F253B5">
        <w:rPr>
          <w:lang w:val="en-GB"/>
        </w:rPr>
        <w:t xml:space="preserve">As the </w:t>
      </w:r>
      <w:r w:rsidRPr="00F253B5">
        <w:rPr>
          <w:b/>
          <w:bCs/>
          <w:lang w:val="en-GB"/>
        </w:rPr>
        <w:t>Project Manager</w:t>
      </w:r>
      <w:r w:rsidRPr="00F253B5">
        <w:rPr>
          <w:lang w:val="en-GB"/>
        </w:rPr>
        <w:t xml:space="preserve"> for the Moto G X Smartwatch, the central operational imperative is establishing and sustaining </w:t>
      </w:r>
      <w:r w:rsidRPr="00F253B5">
        <w:rPr>
          <w:b/>
          <w:bCs/>
          <w:lang w:val="en-GB"/>
        </w:rPr>
        <w:t>structured engagement</w:t>
      </w:r>
      <w:r w:rsidRPr="00F253B5">
        <w:rPr>
          <w:lang w:val="en-GB"/>
        </w:rPr>
        <w:t xml:space="preserve"> to foster effective relationships across all internal departments and critical external partners. Successful execution hinges not merely on task completion but on the ability to cultivate a dynamic environment where teams can reliably share information, align efforts, and jointly solve complex problems.</w:t>
      </w:r>
    </w:p>
    <w:p w14:paraId="1466C037" w14:textId="77777777" w:rsidR="00F253B5" w:rsidRPr="00F253B5" w:rsidRDefault="00F253B5" w:rsidP="00F253B5">
      <w:pPr>
        <w:rPr>
          <w:b/>
          <w:bCs/>
          <w:lang w:val="en-GB"/>
        </w:rPr>
      </w:pPr>
      <w:r w:rsidRPr="00F253B5">
        <w:rPr>
          <w:b/>
          <w:bCs/>
          <w:lang w:val="en-GB"/>
        </w:rPr>
        <w:t>The 4C's Framework for Enhanced Teamwork</w:t>
      </w:r>
    </w:p>
    <w:p w14:paraId="44E8B162" w14:textId="77777777" w:rsidR="00F253B5" w:rsidRPr="00F253B5" w:rsidRDefault="00F253B5" w:rsidP="00F253B5">
      <w:pPr>
        <w:rPr>
          <w:lang w:val="en-GB"/>
        </w:rPr>
      </w:pPr>
      <w:r w:rsidRPr="00F253B5">
        <w:rPr>
          <w:lang w:val="en-GB"/>
        </w:rPr>
        <w:t xml:space="preserve">To manage this complex web of interactions efficiently, the </w:t>
      </w:r>
      <w:r w:rsidRPr="00F253B5">
        <w:rPr>
          <w:b/>
          <w:bCs/>
          <w:lang w:val="en-GB"/>
        </w:rPr>
        <w:t>4C’s Model</w:t>
      </w:r>
      <w:r w:rsidRPr="00F253B5">
        <w:rPr>
          <w:lang w:val="en-GB"/>
        </w:rPr>
        <w:t xml:space="preserve"> serves as a robust and easily communicable framework for defining and evaluating successful cross-functional interaction:</w:t>
      </w:r>
    </w:p>
    <w:p w14:paraId="2DE9C74E" w14:textId="77777777" w:rsidR="00F253B5" w:rsidRPr="00F253B5" w:rsidRDefault="00F253B5" w:rsidP="00F253B5">
      <w:pPr>
        <w:rPr>
          <w:b/>
          <w:bCs/>
          <w:lang w:val="en-GB"/>
        </w:rPr>
      </w:pPr>
      <w:r w:rsidRPr="00F253B5">
        <w:rPr>
          <w:b/>
          <w:bCs/>
          <w:lang w:val="en-GB"/>
        </w:rPr>
        <w:t>1. Communication: The Foundation of Transparency</w:t>
      </w:r>
    </w:p>
    <w:p w14:paraId="7C8FD8D8" w14:textId="77777777" w:rsidR="00F253B5" w:rsidRPr="00F253B5" w:rsidRDefault="00F253B5" w:rsidP="00F253B5">
      <w:pPr>
        <w:rPr>
          <w:lang w:val="en-GB"/>
        </w:rPr>
      </w:pPr>
      <w:r w:rsidRPr="00F253B5">
        <w:rPr>
          <w:b/>
          <w:bCs/>
          <w:lang w:val="en-GB"/>
        </w:rPr>
        <w:t>Communication</w:t>
      </w:r>
      <w:r w:rsidRPr="00F253B5">
        <w:rPr>
          <w:lang w:val="en-GB"/>
        </w:rPr>
        <w:t xml:space="preserve"> is the bedrock upon which all successful project execution is built. The primary goal is to ensure a </w:t>
      </w:r>
      <w:r w:rsidRPr="00F253B5">
        <w:rPr>
          <w:b/>
          <w:bCs/>
          <w:lang w:val="en-GB"/>
        </w:rPr>
        <w:t>transparent, timely, and consistent flow of information</w:t>
      </w:r>
      <w:r w:rsidRPr="00F253B5">
        <w:rPr>
          <w:lang w:val="en-GB"/>
        </w:rPr>
        <w:t xml:space="preserve"> across all stakeholder groups. This involves establishing clear reporting mechanisms, conducting regular status meetings, and utilizing a centralized platform for documentation and updates. Crucially, effective communication is a two-way process; the Project Manager must not only disseminate decisions and updates but also actively solicit feedback and listen to concerns from departments like R&amp;D, Marketing, Legal, and Manufacturing. Maintaining transparency minimizes misunderstandings, builds accountability, and ensures </w:t>
      </w:r>
      <w:r w:rsidRPr="00F253B5">
        <w:rPr>
          <w:lang w:val="en-GB"/>
        </w:rPr>
        <w:lastRenderedPageBreak/>
        <w:t>that all parties are operating from the same accurate source of truth regarding the project's status, risks, and next steps.</w:t>
      </w:r>
    </w:p>
    <w:p w14:paraId="357ECAAF" w14:textId="77777777" w:rsidR="00F253B5" w:rsidRPr="00F253B5" w:rsidRDefault="00F253B5" w:rsidP="00F253B5">
      <w:pPr>
        <w:rPr>
          <w:b/>
          <w:bCs/>
          <w:lang w:val="en-GB"/>
        </w:rPr>
      </w:pPr>
      <w:r w:rsidRPr="00F253B5">
        <w:rPr>
          <w:b/>
          <w:bCs/>
          <w:lang w:val="en-GB"/>
        </w:rPr>
        <w:t>2. Coordination: Aligning Tasks and Timelines</w:t>
      </w:r>
    </w:p>
    <w:p w14:paraId="5C326AEC" w14:textId="77777777" w:rsidR="00F253B5" w:rsidRPr="00F253B5" w:rsidRDefault="00F253B5" w:rsidP="00F253B5">
      <w:pPr>
        <w:rPr>
          <w:lang w:val="en-GB"/>
        </w:rPr>
      </w:pPr>
      <w:r w:rsidRPr="00F253B5">
        <w:rPr>
          <w:b/>
          <w:bCs/>
          <w:lang w:val="en-GB"/>
        </w:rPr>
        <w:t>Coordination</w:t>
      </w:r>
      <w:r w:rsidRPr="00F253B5">
        <w:rPr>
          <w:lang w:val="en-GB"/>
        </w:rPr>
        <w:t xml:space="preserve"> moves beyond simply sharing information to actively aligning activities. This involves meticulously integrating the distinct tasks, milestones, and </w:t>
      </w:r>
      <w:r w:rsidRPr="00F253B5">
        <w:rPr>
          <w:b/>
          <w:bCs/>
          <w:lang w:val="en-GB"/>
        </w:rPr>
        <w:t>deliverables</w:t>
      </w:r>
      <w:r w:rsidRPr="00F253B5">
        <w:rPr>
          <w:lang w:val="en-GB"/>
        </w:rPr>
        <w:t xml:space="preserve"> of disparate teams into a unified master schedule. For the Moto G X launch, this means aligning the engineering team's sensor validation timelines with the manufacturing team's supply chain ordering and the marketing team's creative asset development. The Project Manager uses detailed planning tools (like Gantt charts and dependency maps) to identify critical paths and potential bottlenecks. Effective coordination ensures that dependencies are managed proactively, resources are utilized optimally, and the overall project schedule remains on track, preventing one department's delay from cascading throughout the entire project.</w:t>
      </w:r>
    </w:p>
    <w:p w14:paraId="153CC74A" w14:textId="77777777" w:rsidR="00F253B5" w:rsidRPr="00F253B5" w:rsidRDefault="00F253B5" w:rsidP="00F253B5">
      <w:pPr>
        <w:rPr>
          <w:b/>
          <w:bCs/>
          <w:lang w:val="en-GB"/>
        </w:rPr>
      </w:pPr>
      <w:r w:rsidRPr="00F253B5">
        <w:rPr>
          <w:b/>
          <w:bCs/>
          <w:lang w:val="en-GB"/>
        </w:rPr>
        <w:t>3. Cooperation: Fostering Mutual Support</w:t>
      </w:r>
    </w:p>
    <w:p w14:paraId="57B61668" w14:textId="77777777" w:rsidR="00F253B5" w:rsidRPr="00F253B5" w:rsidRDefault="00F253B5" w:rsidP="00F253B5">
      <w:pPr>
        <w:rPr>
          <w:lang w:val="en-GB"/>
        </w:rPr>
      </w:pPr>
      <w:r w:rsidRPr="00F253B5">
        <w:rPr>
          <w:b/>
          <w:bCs/>
          <w:lang w:val="en-GB"/>
        </w:rPr>
        <w:t>Cooperation</w:t>
      </w:r>
      <w:r w:rsidRPr="00F253B5">
        <w:rPr>
          <w:lang w:val="en-GB"/>
        </w:rPr>
        <w:t xml:space="preserve"> is the psychological and cultural prerequisite for high-performing teams. It requires fostering an environment of </w:t>
      </w:r>
      <w:r w:rsidRPr="00F253B5">
        <w:rPr>
          <w:b/>
          <w:bCs/>
          <w:lang w:val="en-GB"/>
        </w:rPr>
        <w:t>mutual support and a shared sense of purpose</w:t>
      </w:r>
      <w:r w:rsidRPr="00F253B5">
        <w:rPr>
          <w:lang w:val="en-GB"/>
        </w:rPr>
        <w:t xml:space="preserve"> toward the overarching goal of a successful smartwatch launch. This is achieved by ensuring that departmental Key Performance Indicators (KPIs) are secondary to the primary project goal. For instance, the legal department cooperates by fast-tracking necessary regulatory approvals, while manufacturing cooperates by making short-term capacity adjustments. The Project Manager facilitates cooperation by clearly defining roles, celebrating cross-functional successes, and actively removing barriers that cause teams to become siloed or protective of their resources.</w:t>
      </w:r>
    </w:p>
    <w:p w14:paraId="7F867A48" w14:textId="77777777" w:rsidR="00F253B5" w:rsidRPr="00F253B5" w:rsidRDefault="00F253B5" w:rsidP="00F253B5">
      <w:pPr>
        <w:rPr>
          <w:b/>
          <w:bCs/>
          <w:lang w:val="en-GB"/>
        </w:rPr>
      </w:pPr>
      <w:r w:rsidRPr="00F253B5">
        <w:rPr>
          <w:b/>
          <w:bCs/>
          <w:lang w:val="en-GB"/>
        </w:rPr>
        <w:t>4. Collaboration: Driving Innovation and Co-Creation</w:t>
      </w:r>
    </w:p>
    <w:p w14:paraId="650E0893" w14:textId="44B87D83" w:rsidR="00F253B5" w:rsidRPr="00F253B5" w:rsidRDefault="00F253B5" w:rsidP="00F253B5">
      <w:pPr>
        <w:rPr>
          <w:lang w:val="en-GB"/>
        </w:rPr>
      </w:pPr>
      <w:r w:rsidRPr="00F253B5">
        <w:rPr>
          <w:lang w:val="en-GB"/>
        </w:rPr>
        <w:t xml:space="preserve">The highest level of integration is </w:t>
      </w:r>
      <w:r w:rsidRPr="00F253B5">
        <w:rPr>
          <w:b/>
          <w:bCs/>
          <w:lang w:val="en-GB"/>
        </w:rPr>
        <w:t>Collaboration</w:t>
      </w:r>
      <w:r w:rsidRPr="00F253B5">
        <w:rPr>
          <w:lang w:val="en-GB"/>
        </w:rPr>
        <w:t xml:space="preserve">, which focuses on </w:t>
      </w:r>
      <w:r w:rsidRPr="00F253B5">
        <w:rPr>
          <w:b/>
          <w:bCs/>
          <w:lang w:val="en-GB"/>
        </w:rPr>
        <w:t>co-creation and joint problem-solving</w:t>
      </w:r>
      <w:r w:rsidRPr="00F253B5">
        <w:rPr>
          <w:lang w:val="en-GB"/>
        </w:rPr>
        <w:t xml:space="preserve">. Unlike cooperation, where teams assist each other within their defined functions, collaboration requires teams to work </w:t>
      </w:r>
      <w:r w:rsidRPr="00F253B5">
        <w:rPr>
          <w:i/>
          <w:iCs/>
          <w:lang w:val="en-GB"/>
        </w:rPr>
        <w:t>together</w:t>
      </w:r>
      <w:r w:rsidRPr="00F253B5">
        <w:rPr>
          <w:lang w:val="en-GB"/>
        </w:rPr>
        <w:t xml:space="preserve"> to develop solutions that neither could achieve alone. In the context of the Moto G X Smartwatch, this might mean having the software team (Android integration) work directly with the hardware team (sensor placement) and the user experience (UX) team to jointly design the most effective health dashboard interface. Collaboration is essential for navigating the inevitable </w:t>
      </w:r>
      <w:r w:rsidRPr="00F253B5">
        <w:rPr>
          <w:b/>
          <w:bCs/>
          <w:lang w:val="en-GB"/>
        </w:rPr>
        <w:t>complex, non-routine problems</w:t>
      </w:r>
      <w:r w:rsidR="00077020">
        <w:rPr>
          <w:lang w:val="en-GB"/>
        </w:rPr>
        <w:t xml:space="preserve"> </w:t>
      </w:r>
      <w:r w:rsidRPr="00F253B5">
        <w:rPr>
          <w:lang w:val="en-GB"/>
        </w:rPr>
        <w:t xml:space="preserve">such as technical integration failures or unexpected regulatory </w:t>
      </w:r>
      <w:proofErr w:type="gramStart"/>
      <w:r w:rsidRPr="00F253B5">
        <w:rPr>
          <w:lang w:val="en-GB"/>
        </w:rPr>
        <w:t>hurdles</w:t>
      </w:r>
      <w:r w:rsidR="00077020">
        <w:rPr>
          <w:lang w:val="en-GB"/>
        </w:rPr>
        <w:t xml:space="preserve">  </w:t>
      </w:r>
      <w:r w:rsidRPr="00F253B5">
        <w:rPr>
          <w:lang w:val="en-GB"/>
        </w:rPr>
        <w:t>that</w:t>
      </w:r>
      <w:proofErr w:type="gramEnd"/>
      <w:r w:rsidRPr="00F253B5">
        <w:rPr>
          <w:lang w:val="en-GB"/>
        </w:rPr>
        <w:t xml:space="preserve"> define large-scale product development.</w:t>
      </w:r>
    </w:p>
    <w:p w14:paraId="666BE94F" w14:textId="77777777" w:rsidR="00F253B5" w:rsidRPr="00F253B5" w:rsidRDefault="00000000" w:rsidP="00F253B5">
      <w:pPr>
        <w:rPr>
          <w:lang w:val="en-GB"/>
        </w:rPr>
      </w:pPr>
      <w:r>
        <w:rPr>
          <w:lang w:val="en-GB"/>
        </w:rPr>
        <w:pict w14:anchorId="170CA4C7">
          <v:rect id="_x0000_i1025" style="width:0;height:1.5pt" o:hralign="center" o:hrstd="t" o:hr="t" fillcolor="#a0a0a0" stroked="f"/>
        </w:pict>
      </w:r>
    </w:p>
    <w:p w14:paraId="54E269D8" w14:textId="0EC77249" w:rsidR="00F253B5" w:rsidRPr="00F253B5" w:rsidRDefault="00F253B5" w:rsidP="00F253B5">
      <w:pPr>
        <w:rPr>
          <w:b/>
          <w:bCs/>
          <w:lang w:val="en-GB"/>
        </w:rPr>
      </w:pPr>
      <w:r w:rsidRPr="00F253B5">
        <w:rPr>
          <w:b/>
          <w:bCs/>
          <w:lang w:val="en-GB"/>
        </w:rPr>
        <w:t xml:space="preserve"> Conflict Management and Leadership</w:t>
      </w:r>
    </w:p>
    <w:p w14:paraId="0D035DC3" w14:textId="77777777" w:rsidR="00F253B5" w:rsidRPr="00F253B5" w:rsidRDefault="00F253B5" w:rsidP="00F253B5">
      <w:pPr>
        <w:rPr>
          <w:lang w:val="en-GB"/>
        </w:rPr>
      </w:pPr>
      <w:r w:rsidRPr="00F253B5">
        <w:rPr>
          <w:lang w:val="en-GB"/>
        </w:rPr>
        <w:t xml:space="preserve">Despite rigorous application of the 4C's model, disagreements and conflicts are inevitable, especially in a high-stakes, multi-disciplinary project like a product launch. The Project </w:t>
      </w:r>
      <w:r w:rsidRPr="00F253B5">
        <w:rPr>
          <w:lang w:val="en-GB"/>
        </w:rPr>
        <w:lastRenderedPageBreak/>
        <w:t>Manager must be prepared to address these disagreements systematically to prevent them from derailing momentum or eroding stakeholder trust.</w:t>
      </w:r>
    </w:p>
    <w:p w14:paraId="5530B098" w14:textId="77777777" w:rsidR="00F253B5" w:rsidRPr="00F253B5" w:rsidRDefault="00F253B5" w:rsidP="00F253B5">
      <w:pPr>
        <w:rPr>
          <w:b/>
          <w:bCs/>
          <w:lang w:val="en-GB"/>
        </w:rPr>
      </w:pPr>
      <w:r w:rsidRPr="00F253B5">
        <w:rPr>
          <w:b/>
          <w:bCs/>
          <w:lang w:val="en-GB"/>
        </w:rPr>
        <w:t>Applying the Thomas-Kilmann Conflict Model</w:t>
      </w:r>
    </w:p>
    <w:p w14:paraId="47F39E3F" w14:textId="77777777" w:rsidR="00F253B5" w:rsidRPr="00F253B5" w:rsidRDefault="00F253B5" w:rsidP="00F253B5">
      <w:pPr>
        <w:rPr>
          <w:lang w:val="en-GB"/>
        </w:rPr>
      </w:pPr>
      <w:r w:rsidRPr="00F253B5">
        <w:rPr>
          <w:lang w:val="en-GB"/>
        </w:rPr>
        <w:t xml:space="preserve">Effective conflict resolution can be achieved by utilizing structured strategies, such as those derived from the </w:t>
      </w:r>
      <w:r w:rsidRPr="00F253B5">
        <w:rPr>
          <w:b/>
          <w:bCs/>
          <w:lang w:val="en-GB"/>
        </w:rPr>
        <w:t>Thomas-Kilmann Conflict Mode Instrument (TKI)</w:t>
      </w:r>
      <w:r w:rsidRPr="00F253B5">
        <w:rPr>
          <w:lang w:val="en-GB"/>
        </w:rPr>
        <w:t>, which categorizes approaches based on the degree of assertiveness and cooperativeness:</w:t>
      </w:r>
    </w:p>
    <w:p w14:paraId="680AA75C" w14:textId="77777777" w:rsidR="00F253B5" w:rsidRPr="00F253B5" w:rsidRDefault="00F253B5" w:rsidP="00F253B5">
      <w:pPr>
        <w:numPr>
          <w:ilvl w:val="0"/>
          <w:numId w:val="19"/>
        </w:numPr>
        <w:rPr>
          <w:lang w:val="en-GB"/>
        </w:rPr>
      </w:pPr>
      <w:r w:rsidRPr="00F253B5">
        <w:rPr>
          <w:b/>
          <w:bCs/>
          <w:lang w:val="en-GB"/>
        </w:rPr>
        <w:t>Compromising:</w:t>
      </w:r>
      <w:r w:rsidRPr="00F253B5">
        <w:rPr>
          <w:lang w:val="en-GB"/>
        </w:rPr>
        <w:t xml:space="preserve"> This middle-ground strategy is often appropriate when time is short, and both parties have equally important goals. It involves quickly finding a mutually acceptable solution where each side gives up something.</w:t>
      </w:r>
    </w:p>
    <w:p w14:paraId="7BC35168" w14:textId="77777777" w:rsidR="00F253B5" w:rsidRPr="00F253B5" w:rsidRDefault="00F253B5" w:rsidP="00F253B5">
      <w:pPr>
        <w:numPr>
          <w:ilvl w:val="0"/>
          <w:numId w:val="19"/>
        </w:numPr>
        <w:rPr>
          <w:lang w:val="en-GB"/>
        </w:rPr>
      </w:pPr>
      <w:r w:rsidRPr="00F253B5">
        <w:rPr>
          <w:b/>
          <w:bCs/>
          <w:lang w:val="en-GB"/>
        </w:rPr>
        <w:t>Collaborating (Problem-Solving):</w:t>
      </w:r>
      <w:r w:rsidRPr="00F253B5">
        <w:rPr>
          <w:lang w:val="en-GB"/>
        </w:rPr>
        <w:t xml:space="preserve"> This is the most constructive approach and should be preferred when the stakes are high and finding the optimal solution is critical. It involves exploring the root causes of the conflict and working together to find a solution that fully satisfies the needs of both parties—a true 'win-win.'</w:t>
      </w:r>
    </w:p>
    <w:p w14:paraId="0F16EC95" w14:textId="77777777" w:rsidR="00F253B5" w:rsidRPr="00F253B5" w:rsidRDefault="00F253B5" w:rsidP="00F253B5">
      <w:pPr>
        <w:rPr>
          <w:lang w:val="en-GB"/>
        </w:rPr>
      </w:pPr>
      <w:r w:rsidRPr="00F253B5">
        <w:rPr>
          <w:lang w:val="en-GB"/>
        </w:rPr>
        <w:t>The selection of the appropriate conflict strategy must be intentional, tailored to the specific nature of the disagreement (e.g., technical dispute, resource allocation, or personality clash).</w:t>
      </w:r>
    </w:p>
    <w:p w14:paraId="2DC5AA89" w14:textId="77777777" w:rsidR="007B6C0C" w:rsidRDefault="007B6C0C" w:rsidP="00F253B5">
      <w:pPr>
        <w:rPr>
          <w:b/>
          <w:bCs/>
          <w:lang w:val="en-GB"/>
        </w:rPr>
      </w:pPr>
    </w:p>
    <w:p w14:paraId="7D7ED5E2" w14:textId="36F345B3" w:rsidR="00F253B5" w:rsidRPr="00F253B5" w:rsidRDefault="00F253B5" w:rsidP="00F253B5">
      <w:pPr>
        <w:rPr>
          <w:b/>
          <w:bCs/>
          <w:lang w:val="en-GB"/>
        </w:rPr>
      </w:pPr>
      <w:r w:rsidRPr="00F253B5">
        <w:rPr>
          <w:b/>
          <w:bCs/>
          <w:lang w:val="en-GB"/>
        </w:rPr>
        <w:t>The Role of Leadership and Emotional Intelligence</w:t>
      </w:r>
    </w:p>
    <w:p w14:paraId="05E0436E" w14:textId="3551E175" w:rsidR="00F253B5" w:rsidRPr="00F253B5" w:rsidRDefault="00F253B5" w:rsidP="00F253B5">
      <w:pPr>
        <w:rPr>
          <w:lang w:val="en-GB"/>
        </w:rPr>
      </w:pPr>
      <w:r w:rsidRPr="00F253B5">
        <w:rPr>
          <w:lang w:val="en-GB"/>
        </w:rPr>
        <w:t xml:space="preserve">Ultimately, the successful maintenance of stakeholder trust and project momentum is dependent on the Project Manager’s leadership qualities. </w:t>
      </w:r>
      <w:r w:rsidRPr="00F253B5">
        <w:rPr>
          <w:b/>
          <w:bCs/>
          <w:lang w:val="en-GB"/>
        </w:rPr>
        <w:t>Strong leadership</w:t>
      </w:r>
      <w:r w:rsidRPr="00F253B5">
        <w:rPr>
          <w:lang w:val="en-GB"/>
        </w:rPr>
        <w:t xml:space="preserve"> is required to set the clear vision and hold teams accountable to the defined objectives. Furthermore, the application of </w:t>
      </w:r>
      <w:r w:rsidRPr="00F253B5">
        <w:rPr>
          <w:b/>
          <w:bCs/>
          <w:lang w:val="en-GB"/>
        </w:rPr>
        <w:t>emotional intelligence (EQ)</w:t>
      </w:r>
      <w:r w:rsidRPr="00F253B5">
        <w:rPr>
          <w:lang w:val="en-GB"/>
        </w:rPr>
        <w:t xml:space="preserve"> is critical</w:t>
      </w:r>
      <w:r w:rsidR="00077020">
        <w:rPr>
          <w:lang w:val="en-GB"/>
        </w:rPr>
        <w:t xml:space="preserve"> </w:t>
      </w:r>
      <w:r w:rsidRPr="00F253B5">
        <w:rPr>
          <w:lang w:val="en-GB"/>
        </w:rPr>
        <w:t>it allows the Project Manager to accurately perceive the political undercurrents of the organization, understand the emotional state of key stakeholders, and tailor communication appropriately</w:t>
      </w:r>
    </w:p>
    <w:p w14:paraId="3B87BEF3" w14:textId="65F8BC53" w:rsidR="0053773D" w:rsidRPr="0053773D" w:rsidRDefault="0053773D" w:rsidP="00F253B5">
      <w:pPr>
        <w:rPr>
          <w:lang w:val="en-GB"/>
        </w:rPr>
      </w:pPr>
    </w:p>
    <w:p w14:paraId="147FFA55" w14:textId="3BA08E9F" w:rsidR="00DF4049" w:rsidRDefault="00DF4049"/>
    <w:p w14:paraId="0CB35278" w14:textId="77777777" w:rsidR="00DF4049" w:rsidRDefault="00000000">
      <w:r>
        <w:br w:type="page"/>
      </w:r>
    </w:p>
    <w:p w14:paraId="566F72ED" w14:textId="7EBDAB03" w:rsidR="00DF4049" w:rsidRDefault="00C353DA" w:rsidP="00C353DA">
      <w:pPr>
        <w:pStyle w:val="Heading1"/>
        <w:ind w:left="360"/>
      </w:pPr>
      <w:proofErr w:type="gramStart"/>
      <w:r>
        <w:lastRenderedPageBreak/>
        <w:t xml:space="preserve">7 </w:t>
      </w:r>
      <w:r w:rsidR="001F5F38">
        <w:t>.</w:t>
      </w:r>
      <w:r>
        <w:t>Evaluation</w:t>
      </w:r>
      <w:proofErr w:type="gramEnd"/>
      <w:r>
        <w:t xml:space="preserve"> and Recommendations</w:t>
      </w:r>
    </w:p>
    <w:p w14:paraId="283EF2E7" w14:textId="77777777" w:rsidR="00C40D5F" w:rsidRPr="00C40D5F" w:rsidRDefault="00C40D5F" w:rsidP="00C40D5F">
      <w:pPr>
        <w:ind w:left="360"/>
        <w:rPr>
          <w:lang w:val="en-GB"/>
        </w:rPr>
      </w:pPr>
      <w:r w:rsidRPr="00C40D5F">
        <w:rPr>
          <w:lang w:val="en-GB"/>
        </w:rPr>
        <w:t xml:space="preserve">The success of the Moto G X Smartwatch project, extending beyond timely technical delivery, is intrinsically tied to the quality and depth of our </w:t>
      </w:r>
      <w:r w:rsidRPr="00C40D5F">
        <w:rPr>
          <w:b/>
          <w:bCs/>
          <w:lang w:val="en-GB"/>
        </w:rPr>
        <w:t>stakeholder engagement</w:t>
      </w:r>
      <w:r w:rsidRPr="00C40D5F">
        <w:rPr>
          <w:lang w:val="en-GB"/>
        </w:rPr>
        <w:t xml:space="preserve">. Effective collaboration directly influences core project outcomes, ranging from </w:t>
      </w:r>
      <w:r w:rsidRPr="00C40D5F">
        <w:rPr>
          <w:b/>
          <w:bCs/>
          <w:lang w:val="en-GB"/>
        </w:rPr>
        <w:t>timely delivery</w:t>
      </w:r>
      <w:r w:rsidRPr="00C40D5F">
        <w:rPr>
          <w:lang w:val="en-GB"/>
        </w:rPr>
        <w:t xml:space="preserve"> and </w:t>
      </w:r>
      <w:r w:rsidRPr="00C40D5F">
        <w:rPr>
          <w:b/>
          <w:bCs/>
          <w:lang w:val="en-GB"/>
        </w:rPr>
        <w:t>product quality</w:t>
      </w:r>
      <w:r w:rsidRPr="00C40D5F">
        <w:rPr>
          <w:lang w:val="en-GB"/>
        </w:rPr>
        <w:t xml:space="preserve"> to </w:t>
      </w:r>
      <w:r w:rsidRPr="00C40D5F">
        <w:rPr>
          <w:b/>
          <w:bCs/>
          <w:lang w:val="en-GB"/>
        </w:rPr>
        <w:t>brand reputation</w:t>
      </w:r>
      <w:r w:rsidRPr="00C40D5F">
        <w:rPr>
          <w:lang w:val="en-GB"/>
        </w:rPr>
        <w:t xml:space="preserve"> and essential </w:t>
      </w:r>
      <w:r w:rsidRPr="00C40D5F">
        <w:rPr>
          <w:b/>
          <w:bCs/>
          <w:lang w:val="en-GB"/>
        </w:rPr>
        <w:t>post-launch sales performance</w:t>
      </w:r>
      <w:r w:rsidRPr="00C40D5F">
        <w:rPr>
          <w:lang w:val="en-GB"/>
        </w:rPr>
        <w:t>. Therefore, a structured approach to evaluating the engagement strategy is as crucial as the strategy itself. Following this evaluation, a set of targeted recommendations will solidify Motorola’s position as a reliable and innovative player in the UK health technology landscape.</w:t>
      </w:r>
    </w:p>
    <w:p w14:paraId="11F956BF" w14:textId="214323B1" w:rsidR="00C40D5F" w:rsidRPr="00C40D5F" w:rsidRDefault="00C40D5F" w:rsidP="00077020">
      <w:pPr>
        <w:rPr>
          <w:lang w:val="en-GB"/>
        </w:rPr>
      </w:pPr>
    </w:p>
    <w:p w14:paraId="25819429" w14:textId="5526ED66" w:rsidR="00C40D5F" w:rsidRPr="00C40D5F" w:rsidRDefault="00C40D5F" w:rsidP="00C40D5F">
      <w:pPr>
        <w:ind w:left="360"/>
        <w:rPr>
          <w:b/>
          <w:bCs/>
          <w:lang w:val="en-GB"/>
        </w:rPr>
      </w:pPr>
      <w:r w:rsidRPr="00C40D5F">
        <w:rPr>
          <w:b/>
          <w:bCs/>
          <w:lang w:val="en-GB"/>
        </w:rPr>
        <w:t xml:space="preserve"> Project Evaluation and Key Performance Indicators (KPIs)</w:t>
      </w:r>
    </w:p>
    <w:p w14:paraId="771DBA43" w14:textId="77777777" w:rsidR="00C40D5F" w:rsidRPr="00C40D5F" w:rsidRDefault="00C40D5F" w:rsidP="00C40D5F">
      <w:pPr>
        <w:ind w:left="360"/>
        <w:rPr>
          <w:lang w:val="en-GB"/>
        </w:rPr>
      </w:pPr>
      <w:r w:rsidRPr="00C40D5F">
        <w:rPr>
          <w:lang w:val="en-GB"/>
        </w:rPr>
        <w:t>To accurately gauge the effectiveness of the collaboration model used during the smartwatch development and launch, specific Key Performance Indicators (KPIs) must be utilized. These metrics move beyond simple budget and schedule tracking to assess the intangible but critical dimensions of team health and external perception.</w:t>
      </w:r>
    </w:p>
    <w:p w14:paraId="4A7FA695" w14:textId="77777777" w:rsidR="00C40D5F" w:rsidRPr="00C40D5F" w:rsidRDefault="00C40D5F" w:rsidP="00C40D5F">
      <w:pPr>
        <w:ind w:left="360"/>
        <w:rPr>
          <w:b/>
          <w:bCs/>
          <w:lang w:val="en-GB"/>
        </w:rPr>
      </w:pPr>
      <w:r w:rsidRPr="00C40D5F">
        <w:rPr>
          <w:b/>
          <w:bCs/>
          <w:lang w:val="en-GB"/>
        </w:rPr>
        <w:t>Stakeholder Satisfaction Index</w:t>
      </w:r>
    </w:p>
    <w:p w14:paraId="1E2680EA" w14:textId="77777777" w:rsidR="00C40D5F" w:rsidRPr="00C40D5F" w:rsidRDefault="00C40D5F" w:rsidP="00C40D5F">
      <w:pPr>
        <w:ind w:left="360"/>
        <w:rPr>
          <w:lang w:val="en-GB"/>
        </w:rPr>
      </w:pPr>
      <w:r w:rsidRPr="00C40D5F">
        <w:rPr>
          <w:lang w:val="en-GB"/>
        </w:rPr>
        <w:t>This is a paramount measure of internal and external relationship success. A high satisfaction index indicates that partners and internal departments felt informed, valued, and that their input was genuinely incorporated. Measurement involves regular, confidential surveys targeting key stakeholders across Legal, Marketing, R&amp;D, and external suppliers. Questions must focus on the perceived clarity of the project scope, the fairness of resource allocation decisions, and the overall trust placed in the Project Management Office (PMO). Low satisfaction scores are a crucial early warning signal for potential future political conflict or passive resistance, both of which severely impair the momentum of subsequent projects or product iterations. By measuring and actively improving this satisfaction index, we ensure sustained political support for Motorola’s continued expansion into regulated health technology sectors.</w:t>
      </w:r>
    </w:p>
    <w:p w14:paraId="462C623B" w14:textId="77777777" w:rsidR="00C40D5F" w:rsidRPr="00C40D5F" w:rsidRDefault="00C40D5F" w:rsidP="00C40D5F">
      <w:pPr>
        <w:ind w:left="360"/>
        <w:rPr>
          <w:b/>
          <w:bCs/>
          <w:lang w:val="en-GB"/>
        </w:rPr>
      </w:pPr>
      <w:r w:rsidRPr="00C40D5F">
        <w:rPr>
          <w:b/>
          <w:bCs/>
          <w:lang w:val="en-GB"/>
        </w:rPr>
        <w:t>Communication Efficiency Rate</w:t>
      </w:r>
    </w:p>
    <w:p w14:paraId="2FC14761" w14:textId="77777777" w:rsidR="00C40D5F" w:rsidRPr="00C40D5F" w:rsidRDefault="00C40D5F" w:rsidP="00C40D5F">
      <w:pPr>
        <w:ind w:left="360"/>
        <w:rPr>
          <w:lang w:val="en-GB"/>
        </w:rPr>
      </w:pPr>
      <w:r w:rsidRPr="00C40D5F">
        <w:rPr>
          <w:lang w:val="en-GB"/>
        </w:rPr>
        <w:t xml:space="preserve">While volume of communication is easy to track, efficiency is far more important. This KPI measures the effectiveness and speed of information flow, often quantified by metrics such as </w:t>
      </w:r>
      <w:r w:rsidRPr="00C40D5F">
        <w:rPr>
          <w:b/>
          <w:bCs/>
          <w:lang w:val="en-GB"/>
        </w:rPr>
        <w:t>response time to critical queries</w:t>
      </w:r>
      <w:r w:rsidRPr="00C40D5F">
        <w:rPr>
          <w:lang w:val="en-GB"/>
        </w:rPr>
        <w:t xml:space="preserve"> and the </w:t>
      </w:r>
      <w:r w:rsidRPr="00C40D5F">
        <w:rPr>
          <w:b/>
          <w:bCs/>
          <w:lang w:val="en-GB"/>
        </w:rPr>
        <w:t>reduction in non-value-add status updates</w:t>
      </w:r>
      <w:r w:rsidRPr="00C40D5F">
        <w:rPr>
          <w:lang w:val="en-GB"/>
        </w:rPr>
        <w:t xml:space="preserve">. The goal is to maximize transparent information dissemination while minimizing friction. High efficiency is demonstrated when fewer escalations occur due to information gaps, and when teams can reliably locate the 'single source of truth' without repeated requests. Evaluation should include an analysis of retrospective meeting summaries and the average time taken to resolve inter-departmental queries regarding regulatory or technical specifications. Optimizing communication efficiency </w:t>
      </w:r>
      <w:r w:rsidRPr="00C40D5F">
        <w:rPr>
          <w:lang w:val="en-GB"/>
        </w:rPr>
        <w:lastRenderedPageBreak/>
        <w:t>frees up crucial senior management time, allowing them to focus on high-value strategic decision-making rather than resolving preventable informational conflicts.</w:t>
      </w:r>
    </w:p>
    <w:p w14:paraId="24DC14D4" w14:textId="77777777" w:rsidR="00C40D5F" w:rsidRPr="00C40D5F" w:rsidRDefault="00C40D5F" w:rsidP="00C40D5F">
      <w:pPr>
        <w:ind w:left="360"/>
        <w:rPr>
          <w:b/>
          <w:bCs/>
          <w:lang w:val="en-GB"/>
        </w:rPr>
      </w:pPr>
      <w:r w:rsidRPr="00C40D5F">
        <w:rPr>
          <w:b/>
          <w:bCs/>
          <w:lang w:val="en-GB"/>
        </w:rPr>
        <w:t>Customer and Partner Feedback Integration Score</w:t>
      </w:r>
    </w:p>
    <w:p w14:paraId="6EF4196C" w14:textId="78B212A5" w:rsidR="00C40D5F" w:rsidRPr="00C40D5F" w:rsidRDefault="00C40D5F" w:rsidP="00077020">
      <w:pPr>
        <w:ind w:left="360"/>
        <w:rPr>
          <w:lang w:val="en-GB"/>
        </w:rPr>
      </w:pPr>
      <w:r w:rsidRPr="00C40D5F">
        <w:rPr>
          <w:lang w:val="en-GB"/>
        </w:rPr>
        <w:t xml:space="preserve">Ultimately, the quality of stakeholder engagement translates directly into the quality of the final product and its market acceptance. The Customer Feedback KPI measures how effectively pre-launch pilot data, user testing results, and critical early market feedback are captured, processed, and integrated back into the product’s continuous improvement cycle. </w:t>
      </w:r>
    </w:p>
    <w:p w14:paraId="25802DA9" w14:textId="3942DD0C" w:rsidR="00C40D5F" w:rsidRPr="00C40D5F" w:rsidRDefault="00C40D5F" w:rsidP="00C40D5F">
      <w:pPr>
        <w:ind w:left="360"/>
        <w:rPr>
          <w:b/>
          <w:bCs/>
          <w:lang w:val="en-GB"/>
        </w:rPr>
      </w:pPr>
      <w:r w:rsidRPr="00C40D5F">
        <w:rPr>
          <w:b/>
          <w:bCs/>
          <w:lang w:val="en-GB"/>
        </w:rPr>
        <w:t xml:space="preserve"> Strategic Recommendations for Sustained Engagement</w:t>
      </w:r>
    </w:p>
    <w:p w14:paraId="416475C0" w14:textId="77777777" w:rsidR="00C40D5F" w:rsidRPr="00C40D5F" w:rsidRDefault="00C40D5F" w:rsidP="00C40D5F">
      <w:pPr>
        <w:ind w:left="360"/>
        <w:rPr>
          <w:lang w:val="en-GB"/>
        </w:rPr>
      </w:pPr>
      <w:r w:rsidRPr="00C40D5F">
        <w:rPr>
          <w:lang w:val="en-GB"/>
        </w:rPr>
        <w:t>To build upon the successes of the Moto G X launch and address identified weaknesses in cross-functional integration, we propose three core strategic recommendations focused on tools, process, and lifecycle management.</w:t>
      </w:r>
    </w:p>
    <w:p w14:paraId="460619EC" w14:textId="77777777" w:rsidR="00C40D5F" w:rsidRPr="00C40D5F" w:rsidRDefault="00C40D5F" w:rsidP="00C40D5F">
      <w:pPr>
        <w:ind w:left="360"/>
        <w:rPr>
          <w:b/>
          <w:bCs/>
          <w:lang w:val="en-GB"/>
        </w:rPr>
      </w:pPr>
      <w:r w:rsidRPr="00C40D5F">
        <w:rPr>
          <w:b/>
          <w:bCs/>
          <w:lang w:val="en-GB"/>
        </w:rPr>
        <w:t>1. Adopting Advanced Collaboration Toolsets</w:t>
      </w:r>
    </w:p>
    <w:p w14:paraId="731D3E09" w14:textId="70CCB7BF" w:rsidR="00C40D5F" w:rsidRPr="00C40D5F" w:rsidRDefault="00C40D5F" w:rsidP="00C40D5F">
      <w:pPr>
        <w:ind w:left="360"/>
        <w:rPr>
          <w:lang w:val="en-GB"/>
        </w:rPr>
      </w:pPr>
      <w:r w:rsidRPr="00C40D5F">
        <w:rPr>
          <w:lang w:val="en-GB"/>
        </w:rPr>
        <w:t xml:space="preserve">We recommend the mandatory adoption of a centralized, </w:t>
      </w:r>
      <w:r w:rsidRPr="00C40D5F">
        <w:rPr>
          <w:b/>
          <w:bCs/>
          <w:lang w:val="en-GB"/>
        </w:rPr>
        <w:t>advanced collaboration tool</w:t>
      </w:r>
      <w:r w:rsidR="00D91196">
        <w:rPr>
          <w:lang w:val="en-GB"/>
        </w:rPr>
        <w:t xml:space="preserve"> </w:t>
      </w:r>
      <w:r w:rsidRPr="00C40D5F">
        <w:rPr>
          <w:lang w:val="en-GB"/>
        </w:rPr>
        <w:t>such as a digital dashboard or integrated project management platform</w:t>
      </w:r>
      <w:r w:rsidR="00D91196">
        <w:rPr>
          <w:lang w:val="en-GB"/>
        </w:rPr>
        <w:t xml:space="preserve"> </w:t>
      </w:r>
      <w:r w:rsidRPr="00C40D5F">
        <w:rPr>
          <w:lang w:val="en-GB"/>
        </w:rPr>
        <w:t xml:space="preserve">accessible to all core internal departments and key external partners. This tool must serve as the unequivocal </w:t>
      </w:r>
      <w:r w:rsidRPr="00C40D5F">
        <w:rPr>
          <w:b/>
          <w:bCs/>
          <w:lang w:val="en-GB"/>
        </w:rPr>
        <w:t>single source of truth</w:t>
      </w:r>
      <w:r w:rsidRPr="00C40D5F">
        <w:rPr>
          <w:lang w:val="en-GB"/>
        </w:rPr>
        <w:t xml:space="preserve"> for documentation, schedule, risk logs, and technical specifications. The key differentiator for an </w:t>
      </w:r>
      <w:r w:rsidRPr="00C40D5F">
        <w:rPr>
          <w:i/>
          <w:iCs/>
          <w:lang w:val="en-GB"/>
        </w:rPr>
        <w:t>advanced</w:t>
      </w:r>
      <w:r w:rsidRPr="00C40D5F">
        <w:rPr>
          <w:lang w:val="en-GB"/>
        </w:rPr>
        <w:t xml:space="preserve"> tool is its capacity for </w:t>
      </w:r>
      <w:r w:rsidRPr="00C40D5F">
        <w:rPr>
          <w:b/>
          <w:bCs/>
          <w:lang w:val="en-GB"/>
        </w:rPr>
        <w:t>real-time data visualization</w:t>
      </w:r>
      <w:r w:rsidRPr="00C40D5F">
        <w:rPr>
          <w:lang w:val="en-GB"/>
        </w:rPr>
        <w:t>, which transparently displays key project metrics (e.g., sensor approval status, sales forecasts, defect tracking) tailored to the audience. This move eliminates email dependencies for critical updates, significantly boosts the Communication Efficiency Rate</w:t>
      </w:r>
      <w:r w:rsidR="00077020">
        <w:rPr>
          <w:lang w:val="en-GB"/>
        </w:rPr>
        <w:t>.</w:t>
      </w:r>
    </w:p>
    <w:p w14:paraId="43E1CE2A" w14:textId="77777777" w:rsidR="00C40D5F" w:rsidRPr="00C40D5F" w:rsidRDefault="00C40D5F" w:rsidP="00C40D5F">
      <w:pPr>
        <w:ind w:left="360"/>
        <w:rPr>
          <w:b/>
          <w:bCs/>
          <w:lang w:val="en-GB"/>
        </w:rPr>
      </w:pPr>
      <w:r w:rsidRPr="00C40D5F">
        <w:rPr>
          <w:b/>
          <w:bCs/>
          <w:lang w:val="en-GB"/>
        </w:rPr>
        <w:t>2. Implementing Regular Stakeholder Workshops</w:t>
      </w:r>
    </w:p>
    <w:p w14:paraId="48AEF481" w14:textId="0E57D682" w:rsidR="00C40D5F" w:rsidRPr="00C40D5F" w:rsidRDefault="00C40D5F" w:rsidP="00C40D5F">
      <w:pPr>
        <w:ind w:left="360"/>
        <w:rPr>
          <w:lang w:val="en-GB"/>
        </w:rPr>
      </w:pPr>
      <w:r w:rsidRPr="00C40D5F">
        <w:rPr>
          <w:lang w:val="en-GB"/>
        </w:rPr>
        <w:t xml:space="preserve">To transition collaboration from reactive problem-solving to proactive value creation, we must introduce a schedule of </w:t>
      </w:r>
      <w:r w:rsidRPr="00C40D5F">
        <w:rPr>
          <w:b/>
          <w:bCs/>
          <w:lang w:val="en-GB"/>
        </w:rPr>
        <w:t>regular, mandatory stakeholder workshops</w:t>
      </w:r>
      <w:r w:rsidRPr="00C40D5F">
        <w:rPr>
          <w:lang w:val="en-GB"/>
        </w:rPr>
        <w:t>. These workshops should be cross-functional, involving representatives from the most disparate departments (e.g., Legal, Supply Chain, and Marketing) to tackle complex future-state scenarios, such as the V2 product roadmap or global market expansion. Unlike traditional status meetings</w:t>
      </w:r>
      <w:r w:rsidR="00077020">
        <w:rPr>
          <w:lang w:val="en-GB"/>
        </w:rPr>
        <w:t>.</w:t>
      </w:r>
      <w:r w:rsidRPr="00C40D5F">
        <w:rPr>
          <w:lang w:val="en-GB"/>
        </w:rPr>
        <w:t xml:space="preserve"> department begins work. These sessions are instrumental in fostering </w:t>
      </w:r>
      <w:r w:rsidRPr="00C40D5F">
        <w:rPr>
          <w:b/>
          <w:bCs/>
          <w:lang w:val="en-GB"/>
        </w:rPr>
        <w:t>Cooperation</w:t>
      </w:r>
      <w:r w:rsidRPr="00C40D5F">
        <w:rPr>
          <w:lang w:val="en-GB"/>
        </w:rPr>
        <w:t xml:space="preserve"> and dramatically improving the Stakeholder Satisfaction Index by giving all parties a meaningful voice in strategic direction.</w:t>
      </w:r>
    </w:p>
    <w:p w14:paraId="7AE6CB22" w14:textId="77777777" w:rsidR="00C40D5F" w:rsidRPr="00C40D5F" w:rsidRDefault="00C40D5F" w:rsidP="00C40D5F">
      <w:pPr>
        <w:ind w:left="360"/>
        <w:rPr>
          <w:b/>
          <w:bCs/>
          <w:lang w:val="en-GB"/>
        </w:rPr>
      </w:pPr>
      <w:r w:rsidRPr="00C40D5F">
        <w:rPr>
          <w:b/>
          <w:bCs/>
          <w:lang w:val="en-GB"/>
        </w:rPr>
        <w:t>3. Institutionalizing Continuous Improvement Cycles</w:t>
      </w:r>
    </w:p>
    <w:p w14:paraId="030BC221" w14:textId="5D959E0F" w:rsidR="00C40D5F" w:rsidRPr="00C40D5F" w:rsidRDefault="00C40D5F" w:rsidP="00C40D5F">
      <w:pPr>
        <w:ind w:left="360"/>
        <w:rPr>
          <w:lang w:val="en-GB"/>
        </w:rPr>
      </w:pPr>
      <w:r w:rsidRPr="00C40D5F">
        <w:rPr>
          <w:lang w:val="en-GB"/>
        </w:rPr>
        <w:t xml:space="preserve">Project success must be viewed not as a finishing line but as the start of a </w:t>
      </w:r>
      <w:r w:rsidRPr="00C40D5F">
        <w:rPr>
          <w:b/>
          <w:bCs/>
          <w:lang w:val="en-GB"/>
        </w:rPr>
        <w:t>continuous improvement cycle</w:t>
      </w:r>
      <w:r w:rsidRPr="00C40D5F">
        <w:rPr>
          <w:lang w:val="en-GB"/>
        </w:rPr>
        <w:t xml:space="preserve">. It is recommended that the PMO formally institutionalizes the process of integrating </w:t>
      </w:r>
      <w:r w:rsidRPr="00C40D5F">
        <w:rPr>
          <w:b/>
          <w:bCs/>
          <w:lang w:val="en-GB"/>
        </w:rPr>
        <w:t>post-launch feedback</w:t>
      </w:r>
      <w:r w:rsidR="00077020">
        <w:rPr>
          <w:lang w:val="en-GB"/>
        </w:rPr>
        <w:t xml:space="preserve"> </w:t>
      </w:r>
      <w:r w:rsidRPr="00C40D5F">
        <w:rPr>
          <w:lang w:val="en-GB"/>
        </w:rPr>
        <w:t>including customer reviews, warranty claims, and technical performance data</w:t>
      </w:r>
      <w:r w:rsidR="00077020">
        <w:rPr>
          <w:lang w:val="en-GB"/>
        </w:rPr>
        <w:t xml:space="preserve"> </w:t>
      </w:r>
      <w:r w:rsidRPr="00C40D5F">
        <w:rPr>
          <w:lang w:val="en-GB"/>
        </w:rPr>
        <w:t xml:space="preserve">back into the planning phases of future product iterations. This requires adopting an iterative, </w:t>
      </w:r>
      <w:r w:rsidRPr="00C40D5F">
        <w:rPr>
          <w:b/>
          <w:bCs/>
          <w:lang w:val="en-GB"/>
        </w:rPr>
        <w:t>Agile-adjacent methodology</w:t>
      </w:r>
      <w:r w:rsidRPr="00C40D5F">
        <w:rPr>
          <w:lang w:val="en-GB"/>
        </w:rPr>
        <w:t xml:space="preserve"> for V2 and </w:t>
      </w:r>
      <w:r w:rsidRPr="00C40D5F">
        <w:rPr>
          <w:lang w:val="en-GB"/>
        </w:rPr>
        <w:lastRenderedPageBreak/>
        <w:t xml:space="preserve">V3 planning, ensuring a rapid, responsive loop between the market and the development team. The technical data gathered on the Moto G X’s performance will be a critical input for its successors. </w:t>
      </w:r>
    </w:p>
    <w:p w14:paraId="75231951" w14:textId="71A3F034" w:rsidR="00C40D5F" w:rsidRPr="00C40D5F" w:rsidRDefault="00C40D5F" w:rsidP="00C40D5F">
      <w:pPr>
        <w:ind w:left="360"/>
        <w:rPr>
          <w:b/>
          <w:bCs/>
          <w:lang w:val="en-GB"/>
        </w:rPr>
      </w:pPr>
      <w:r w:rsidRPr="00C40D5F">
        <w:rPr>
          <w:b/>
          <w:bCs/>
          <w:lang w:val="en-GB"/>
        </w:rPr>
        <w:t xml:space="preserve"> Maintaining Long-Term Ecosystem Trust</w:t>
      </w:r>
    </w:p>
    <w:p w14:paraId="5E8F3482" w14:textId="44183B84" w:rsidR="00C40D5F" w:rsidRPr="00C40D5F" w:rsidRDefault="00C40D5F" w:rsidP="00C40D5F">
      <w:pPr>
        <w:ind w:left="360"/>
        <w:rPr>
          <w:lang w:val="en-GB"/>
        </w:rPr>
      </w:pPr>
      <w:r w:rsidRPr="00C40D5F">
        <w:rPr>
          <w:lang w:val="en-GB"/>
        </w:rPr>
        <w:t xml:space="preserve">Implementing these evaluation metrics and recommendations forms the backbone of a </w:t>
      </w:r>
      <w:r w:rsidRPr="00C40D5F">
        <w:rPr>
          <w:b/>
          <w:bCs/>
          <w:lang w:val="en-GB"/>
        </w:rPr>
        <w:t>long-term engagement strategy</w:t>
      </w:r>
      <w:r w:rsidRPr="00C40D5F">
        <w:rPr>
          <w:lang w:val="en-GB"/>
        </w:rPr>
        <w:t xml:space="preserve">. This strategy is essential to ensure that Motorola moves beyond being a transactional vendor and becomes a trusted, reliable partner within the competitive </w:t>
      </w:r>
      <w:r w:rsidRPr="00C40D5F">
        <w:rPr>
          <w:b/>
          <w:bCs/>
          <w:lang w:val="en-GB"/>
        </w:rPr>
        <w:t>UK health technology ecosystem</w:t>
      </w:r>
      <w:r w:rsidRPr="00C40D5F">
        <w:rPr>
          <w:lang w:val="en-GB"/>
        </w:rPr>
        <w:t xml:space="preserve">. By fostering a culture of </w:t>
      </w:r>
      <w:r w:rsidRPr="00C40D5F">
        <w:rPr>
          <w:b/>
          <w:bCs/>
          <w:lang w:val="en-GB"/>
        </w:rPr>
        <w:t>trust</w:t>
      </w:r>
      <w:r w:rsidRPr="00C40D5F">
        <w:rPr>
          <w:lang w:val="en-GB"/>
        </w:rPr>
        <w:t xml:space="preserve"> through transparent communication, demonstrating </w:t>
      </w:r>
      <w:r w:rsidRPr="00C40D5F">
        <w:rPr>
          <w:b/>
          <w:bCs/>
          <w:lang w:val="en-GB"/>
        </w:rPr>
        <w:t>innovation</w:t>
      </w:r>
      <w:r w:rsidRPr="00C40D5F">
        <w:rPr>
          <w:lang w:val="en-GB"/>
        </w:rPr>
        <w:t xml:space="preserve"> through rapid feedback integration, and proving </w:t>
      </w:r>
      <w:r w:rsidRPr="00C40D5F">
        <w:rPr>
          <w:b/>
          <w:bCs/>
          <w:lang w:val="en-GB"/>
        </w:rPr>
        <w:t>responsiveness</w:t>
      </w:r>
      <w:r w:rsidRPr="00C40D5F">
        <w:rPr>
          <w:lang w:val="en-GB"/>
        </w:rPr>
        <w:t xml:space="preserve"> through efficient coordination, Motorola secures not only the success of the Moto G X Smartwatch</w:t>
      </w:r>
      <w:r w:rsidR="00D91196">
        <w:rPr>
          <w:lang w:val="en-GB"/>
        </w:rPr>
        <w:t>.</w:t>
      </w:r>
    </w:p>
    <w:p w14:paraId="42B16496" w14:textId="77777777" w:rsidR="006D6E06" w:rsidRDefault="006D6E06" w:rsidP="006D6E06">
      <w:pPr>
        <w:ind w:left="360"/>
      </w:pPr>
    </w:p>
    <w:p w14:paraId="60D3F5C5" w14:textId="77777777" w:rsidR="00AD3DF2" w:rsidRPr="006D6E06" w:rsidRDefault="00AD3DF2" w:rsidP="006D6E06">
      <w:pPr>
        <w:ind w:left="360"/>
      </w:pPr>
    </w:p>
    <w:p w14:paraId="3054F853" w14:textId="3810F7CD" w:rsidR="00DF4049" w:rsidRDefault="00000000">
      <w:pPr>
        <w:pStyle w:val="Heading1"/>
      </w:pPr>
      <w:r>
        <w:t>8. Conclusion</w:t>
      </w:r>
      <w:r w:rsidR="00C7235C">
        <w:t xml:space="preserve"> </w:t>
      </w:r>
    </w:p>
    <w:p w14:paraId="7A1710D2" w14:textId="77302583" w:rsidR="005308C1" w:rsidRPr="005308C1" w:rsidRDefault="005308C1" w:rsidP="005308C1">
      <w:pPr>
        <w:rPr>
          <w:lang w:val="en-GB"/>
        </w:rPr>
      </w:pPr>
      <w:r w:rsidRPr="005308C1">
        <w:rPr>
          <w:lang w:val="en-GB"/>
        </w:rPr>
        <w:t>In conclusion, the Moto G X Smartwatch project stands as a pivotal moment for Motorola UK</w:t>
      </w:r>
      <w:r w:rsidR="00E02B9D">
        <w:rPr>
          <w:lang w:val="en-GB"/>
        </w:rPr>
        <w:t xml:space="preserve"> </w:t>
      </w:r>
      <w:r w:rsidRPr="005308C1">
        <w:rPr>
          <w:lang w:val="en-GB"/>
        </w:rPr>
        <w:t>one that goes far beyond releasing another consumer device. This initiative represents a deliberate and ambitious shift into a sector where expectations for accuracy, trust, and long-term reliability are far higher than in traditional consumer electronics. To succeed, Motorola must deliver more than an appealing product; it must demonstrate that it can operate confidently and responsibly within a highly regulated health-technology landscape. The foundations built throughout this project</w:t>
      </w:r>
      <w:r w:rsidR="00E02B9D">
        <w:rPr>
          <w:lang w:val="en-GB"/>
        </w:rPr>
        <w:t xml:space="preserve"> </w:t>
      </w:r>
      <w:r w:rsidRPr="005308C1">
        <w:rPr>
          <w:lang w:val="en-GB"/>
        </w:rPr>
        <w:t>rigorous market analysis, clear SMART objectives, and a structured stakeholder engagement model</w:t>
      </w:r>
      <w:r w:rsidR="00E02B9D">
        <w:rPr>
          <w:lang w:val="en-GB"/>
        </w:rPr>
        <w:t xml:space="preserve"> </w:t>
      </w:r>
      <w:r w:rsidRPr="005308C1">
        <w:rPr>
          <w:lang w:val="en-GB"/>
        </w:rPr>
        <w:t>provide a solid platform for that transition. But the true test will come from how consistently and intelligently the organisation applies these principles as the product enters the market and evolves through its next iterations.</w:t>
      </w:r>
    </w:p>
    <w:p w14:paraId="61ED4E2F" w14:textId="14EA892E" w:rsidR="005308C1" w:rsidRPr="005308C1" w:rsidRDefault="005308C1" w:rsidP="005308C1">
      <w:pPr>
        <w:rPr>
          <w:lang w:val="en-GB"/>
        </w:rPr>
      </w:pPr>
      <w:r w:rsidRPr="005308C1">
        <w:rPr>
          <w:lang w:val="en-GB"/>
        </w:rPr>
        <w:t>What becomes evident through the project’s lifecycle is that collaboration has been just as critical as engineering. Motorola’s internal strengths</w:t>
      </w:r>
      <w:r w:rsidR="00E02B9D">
        <w:rPr>
          <w:lang w:val="en-GB"/>
        </w:rPr>
        <w:t xml:space="preserve"> </w:t>
      </w:r>
      <w:r w:rsidRPr="005308C1">
        <w:rPr>
          <w:lang w:val="en-GB"/>
        </w:rPr>
        <w:t>its global brand reputation, strong R&amp;D capabilities, and established supply chain</w:t>
      </w:r>
      <w:r w:rsidR="00E02B9D">
        <w:rPr>
          <w:lang w:val="en-GB"/>
        </w:rPr>
        <w:t xml:space="preserve"> </w:t>
      </w:r>
      <w:r w:rsidRPr="005308C1">
        <w:rPr>
          <w:lang w:val="en-GB"/>
        </w:rPr>
        <w:t>only become meaningful advantages when paired with transparent communication, cross-functional coordination, and a culture that encourages teams to challenge assumptions rather than operate in silos. The 4C’s model has proven especially valuable in keeping the organisation aligned, allowing legal, regulatory, technical, and marketing teams to anticipate obstacles before they escalate. Likewise, applying conflict-management frameworks has helped maintain focus during periods of pressure, ensuring decisions are made based on evidence rather than frustration or departmental bias.</w:t>
      </w:r>
    </w:p>
    <w:p w14:paraId="465CC6B3" w14:textId="348B3E95" w:rsidR="00C7235C" w:rsidRPr="005308C1" w:rsidRDefault="005308C1" w:rsidP="00C7235C">
      <w:pPr>
        <w:rPr>
          <w:lang w:val="en-GB"/>
        </w:rPr>
      </w:pPr>
      <w:r w:rsidRPr="005308C1">
        <w:rPr>
          <w:lang w:val="en-GB"/>
        </w:rPr>
        <w:t xml:space="preserve">As Motorola prepares to scale the Moto G X beyond its launch phase, the company’s ability to maintain this engagement discipline will determine its long-term credibility in the UK </w:t>
      </w:r>
      <w:r w:rsidRPr="005308C1">
        <w:rPr>
          <w:lang w:val="en-GB"/>
        </w:rPr>
        <w:lastRenderedPageBreak/>
        <w:t>health-tech market. Competitors like Apple and Fitbit have entrenched ecosystems and consumer trust, meaning Motorola’s competitive edge will come not from imitation but from responsiveness</w:t>
      </w:r>
      <w:r w:rsidR="00E02B9D">
        <w:rPr>
          <w:lang w:val="en-GB"/>
        </w:rPr>
        <w:t xml:space="preserve"> </w:t>
      </w:r>
      <w:r w:rsidRPr="005308C1">
        <w:rPr>
          <w:lang w:val="en-GB"/>
        </w:rPr>
        <w:t>how quickly it adapts to customer feedback, regulatory updates, and emerging health-technology trends. If the organisation continues refining its collaboration processes, integrating post-launch insights, and investing in the relationships that underpin cross-functional work, it can establish itself not just as a newcomer, but as a reliable and innovative presence in the sector. Ultimately, the Moto G X Smartwatch is more than a product launch; it is Motorola’s opportunity to redefine its identity in a rapidly growing industry where trust and technological integrity are paramount.</w:t>
      </w:r>
    </w:p>
    <w:p w14:paraId="00C8EE58" w14:textId="77777777" w:rsidR="00DF4049" w:rsidRDefault="00000000">
      <w:pPr>
        <w:pStyle w:val="Heading1"/>
      </w:pPr>
      <w:r>
        <w:t>References</w:t>
      </w:r>
    </w:p>
    <w:p w14:paraId="07403E94" w14:textId="77777777" w:rsidR="00F25CB0" w:rsidRPr="00F25CB0" w:rsidRDefault="00F25CB0" w:rsidP="00F25CB0">
      <w:pPr>
        <w:rPr>
          <w:lang w:val="en-GB"/>
        </w:rPr>
      </w:pPr>
      <w:proofErr w:type="gramStart"/>
      <w:r w:rsidRPr="00F25CB0">
        <w:rPr>
          <w:lang w:val="en-GB"/>
        </w:rPr>
        <w:t>  Freeman</w:t>
      </w:r>
      <w:proofErr w:type="gramEnd"/>
      <w:r w:rsidRPr="00F25CB0">
        <w:rPr>
          <w:lang w:val="en-GB"/>
        </w:rPr>
        <w:t xml:space="preserve">, R.E. (1984) </w:t>
      </w:r>
      <w:r w:rsidRPr="00F25CB0">
        <w:rPr>
          <w:i/>
          <w:iCs/>
          <w:lang w:val="en-GB"/>
        </w:rPr>
        <w:t>Strategic Management: A Stakeholder Approach.</w:t>
      </w:r>
      <w:r w:rsidRPr="00F25CB0">
        <w:rPr>
          <w:lang w:val="en-GB"/>
        </w:rPr>
        <w:t xml:space="preserve"> Boston: Pitman.</w:t>
      </w:r>
    </w:p>
    <w:p w14:paraId="46AD5D20" w14:textId="77777777" w:rsidR="00F25CB0" w:rsidRPr="00F25CB0" w:rsidRDefault="00F25CB0" w:rsidP="00F25CB0">
      <w:pPr>
        <w:rPr>
          <w:lang w:val="en-GB"/>
        </w:rPr>
      </w:pPr>
      <w:proofErr w:type="gramStart"/>
      <w:r w:rsidRPr="00F25CB0">
        <w:rPr>
          <w:lang w:val="en-GB"/>
        </w:rPr>
        <w:t>  Mendelow</w:t>
      </w:r>
      <w:proofErr w:type="gramEnd"/>
      <w:r w:rsidRPr="00F25CB0">
        <w:rPr>
          <w:lang w:val="en-GB"/>
        </w:rPr>
        <w:t xml:space="preserve">, A.L. (1991) ‘Environmental Scanning: The Impact of the Stakeholder Concept’, </w:t>
      </w:r>
      <w:r w:rsidRPr="00F25CB0">
        <w:rPr>
          <w:i/>
          <w:iCs/>
          <w:lang w:val="en-GB"/>
        </w:rPr>
        <w:t>ICIS Proceedings</w:t>
      </w:r>
      <w:r w:rsidRPr="00F25CB0">
        <w:rPr>
          <w:lang w:val="en-GB"/>
        </w:rPr>
        <w:t>, 407–421.</w:t>
      </w:r>
    </w:p>
    <w:p w14:paraId="03DA78A9" w14:textId="77777777" w:rsidR="00F25CB0" w:rsidRPr="00F25CB0" w:rsidRDefault="00F25CB0" w:rsidP="00F25CB0">
      <w:pPr>
        <w:rPr>
          <w:lang w:val="en-GB"/>
        </w:rPr>
      </w:pPr>
      <w:proofErr w:type="gramStart"/>
      <w:r w:rsidRPr="00F25CB0">
        <w:rPr>
          <w:lang w:val="en-GB"/>
        </w:rPr>
        <w:t>  Mitchell</w:t>
      </w:r>
      <w:proofErr w:type="gramEnd"/>
      <w:r w:rsidRPr="00F25CB0">
        <w:rPr>
          <w:lang w:val="en-GB"/>
        </w:rPr>
        <w:t xml:space="preserve">, R.K., Agle, B.R. and Wood, D.J. (1997) ‘Toward a Theory of Stakeholder Identification and Salience: Defining the Principle of Who and What Really Counts’, </w:t>
      </w:r>
      <w:r w:rsidRPr="00F25CB0">
        <w:rPr>
          <w:i/>
          <w:iCs/>
          <w:lang w:val="en-GB"/>
        </w:rPr>
        <w:t>Academy of Management Review</w:t>
      </w:r>
      <w:r w:rsidRPr="00F25CB0">
        <w:rPr>
          <w:lang w:val="en-GB"/>
        </w:rPr>
        <w:t>, 22(4), pp. 853–886.</w:t>
      </w:r>
    </w:p>
    <w:p w14:paraId="6F538B50" w14:textId="77777777" w:rsidR="00F25CB0" w:rsidRPr="00F25CB0" w:rsidRDefault="00F25CB0" w:rsidP="00F25CB0">
      <w:pPr>
        <w:rPr>
          <w:lang w:val="en-GB"/>
        </w:rPr>
      </w:pPr>
      <w:proofErr w:type="gramStart"/>
      <w:r w:rsidRPr="00F25CB0">
        <w:rPr>
          <w:lang w:val="en-GB"/>
        </w:rPr>
        <w:t>  Thomas</w:t>
      </w:r>
      <w:proofErr w:type="gramEnd"/>
      <w:r w:rsidRPr="00F25CB0">
        <w:rPr>
          <w:lang w:val="en-GB"/>
        </w:rPr>
        <w:t xml:space="preserve">, K.W. and Kilmann, R.H. (1974) </w:t>
      </w:r>
      <w:r w:rsidRPr="00F25CB0">
        <w:rPr>
          <w:i/>
          <w:iCs/>
          <w:lang w:val="en-GB"/>
        </w:rPr>
        <w:t>Thomas-Kilmann Conflict Mode Instrument</w:t>
      </w:r>
      <w:r w:rsidRPr="00F25CB0">
        <w:rPr>
          <w:lang w:val="en-GB"/>
        </w:rPr>
        <w:t xml:space="preserve">. Tuxedo, NY: </w:t>
      </w:r>
      <w:proofErr w:type="spellStart"/>
      <w:r w:rsidRPr="00F25CB0">
        <w:rPr>
          <w:lang w:val="en-GB"/>
        </w:rPr>
        <w:t>Xicom</w:t>
      </w:r>
      <w:proofErr w:type="spellEnd"/>
      <w:r w:rsidRPr="00F25CB0">
        <w:rPr>
          <w:lang w:val="en-GB"/>
        </w:rPr>
        <w:t>.</w:t>
      </w:r>
    </w:p>
    <w:p w14:paraId="7314646F" w14:textId="77777777" w:rsidR="00F25CB0" w:rsidRPr="00F25CB0" w:rsidRDefault="00F25CB0" w:rsidP="00F25CB0">
      <w:pPr>
        <w:rPr>
          <w:lang w:val="en-GB"/>
        </w:rPr>
      </w:pPr>
      <w:proofErr w:type="gramStart"/>
      <w:r w:rsidRPr="00F25CB0">
        <w:rPr>
          <w:lang w:val="en-GB"/>
        </w:rPr>
        <w:t>  Goleman</w:t>
      </w:r>
      <w:proofErr w:type="gramEnd"/>
      <w:r w:rsidRPr="00F25CB0">
        <w:rPr>
          <w:lang w:val="en-GB"/>
        </w:rPr>
        <w:t xml:space="preserve">, D. (1995) </w:t>
      </w:r>
      <w:r w:rsidRPr="00F25CB0">
        <w:rPr>
          <w:i/>
          <w:iCs/>
          <w:lang w:val="en-GB"/>
        </w:rPr>
        <w:t>Emotional Intelligence</w:t>
      </w:r>
      <w:r w:rsidRPr="00F25CB0">
        <w:rPr>
          <w:lang w:val="en-GB"/>
        </w:rPr>
        <w:t>. New York: Bantam Books.</w:t>
      </w:r>
    </w:p>
    <w:p w14:paraId="705DF793" w14:textId="77777777" w:rsidR="00F25CB0" w:rsidRPr="00F25CB0" w:rsidRDefault="00F25CB0" w:rsidP="00F25CB0">
      <w:pPr>
        <w:rPr>
          <w:lang w:val="en-GB"/>
        </w:rPr>
      </w:pPr>
      <w:proofErr w:type="gramStart"/>
      <w:r w:rsidRPr="00F25CB0">
        <w:rPr>
          <w:lang w:val="en-GB"/>
        </w:rPr>
        <w:t>  Project</w:t>
      </w:r>
      <w:proofErr w:type="gramEnd"/>
      <w:r w:rsidRPr="00F25CB0">
        <w:rPr>
          <w:lang w:val="en-GB"/>
        </w:rPr>
        <w:t xml:space="preserve"> Management Institute (PMI) (2021) </w:t>
      </w:r>
      <w:r w:rsidRPr="00F25CB0">
        <w:rPr>
          <w:i/>
          <w:iCs/>
          <w:lang w:val="en-GB"/>
        </w:rPr>
        <w:t>A Guide to the Project Management Body of Knowledge (PMBOK Guide)</w:t>
      </w:r>
      <w:r w:rsidRPr="00F25CB0">
        <w:rPr>
          <w:lang w:val="en-GB"/>
        </w:rPr>
        <w:t xml:space="preserve">, 7th </w:t>
      </w:r>
      <w:proofErr w:type="spellStart"/>
      <w:r w:rsidRPr="00F25CB0">
        <w:rPr>
          <w:lang w:val="en-GB"/>
        </w:rPr>
        <w:t>edn</w:t>
      </w:r>
      <w:proofErr w:type="spellEnd"/>
      <w:r w:rsidRPr="00F25CB0">
        <w:rPr>
          <w:lang w:val="en-GB"/>
        </w:rPr>
        <w:t>. Newtown Square: PMI.</w:t>
      </w:r>
    </w:p>
    <w:p w14:paraId="5FEFA8FA" w14:textId="77777777" w:rsidR="00F25CB0" w:rsidRPr="00F25CB0" w:rsidRDefault="00F25CB0" w:rsidP="00F25CB0">
      <w:pPr>
        <w:rPr>
          <w:lang w:val="en-GB"/>
        </w:rPr>
      </w:pPr>
      <w:proofErr w:type="gramStart"/>
      <w:r w:rsidRPr="00F25CB0">
        <w:rPr>
          <w:lang w:val="en-GB"/>
        </w:rPr>
        <w:t>  Motorola</w:t>
      </w:r>
      <w:proofErr w:type="gramEnd"/>
      <w:r w:rsidRPr="00F25CB0">
        <w:rPr>
          <w:lang w:val="en-GB"/>
        </w:rPr>
        <w:t xml:space="preserve"> UK (2023) Company Overview. Available at: </w:t>
      </w:r>
      <w:hyperlink r:id="rId9" w:tgtFrame="_new" w:history="1">
        <w:r w:rsidRPr="00F25CB0">
          <w:rPr>
            <w:rStyle w:val="Hyperlink"/>
            <w:lang w:val="en-GB"/>
          </w:rPr>
          <w:t>www.motorola.co.uk</w:t>
        </w:r>
      </w:hyperlink>
      <w:r w:rsidRPr="00F25CB0">
        <w:rPr>
          <w:lang w:val="en-GB"/>
        </w:rPr>
        <w:t xml:space="preserve"> (Accessed: 24 October 2025).</w:t>
      </w:r>
    </w:p>
    <w:p w14:paraId="4FD05D32" w14:textId="3E11F07D" w:rsidR="00DF4049" w:rsidRPr="00E41300" w:rsidRDefault="00F25CB0">
      <w:pPr>
        <w:rPr>
          <w:lang w:val="en-GB"/>
        </w:rPr>
      </w:pPr>
      <w:proofErr w:type="gramStart"/>
      <w:r w:rsidRPr="00F25CB0">
        <w:rPr>
          <w:lang w:val="en-GB"/>
        </w:rPr>
        <w:t>  Statista</w:t>
      </w:r>
      <w:proofErr w:type="gramEnd"/>
      <w:r w:rsidRPr="00F25CB0">
        <w:rPr>
          <w:lang w:val="en-GB"/>
        </w:rPr>
        <w:t xml:space="preserve"> (2024) </w:t>
      </w:r>
      <w:r w:rsidRPr="00F25CB0">
        <w:rPr>
          <w:i/>
          <w:iCs/>
          <w:lang w:val="en-GB"/>
        </w:rPr>
        <w:t>Wearable Technology Market in the UK</w:t>
      </w:r>
      <w:r w:rsidRPr="00F25CB0">
        <w:rPr>
          <w:lang w:val="en-GB"/>
        </w:rPr>
        <w:t xml:space="preserve">. Available at: </w:t>
      </w:r>
      <w:hyperlink r:id="rId10" w:tgtFrame="_new" w:history="1">
        <w:r w:rsidRPr="00F25CB0">
          <w:rPr>
            <w:rStyle w:val="Hyperlink"/>
            <w:lang w:val="en-GB"/>
          </w:rPr>
          <w:t>www.statista.com</w:t>
        </w:r>
      </w:hyperlink>
      <w:r w:rsidRPr="00F25CB0">
        <w:rPr>
          <w:lang w:val="en-GB"/>
        </w:rPr>
        <w:t xml:space="preserve"> (Accessed: 24 October 2025).</w:t>
      </w:r>
    </w:p>
    <w:sectPr w:rsidR="00DF4049" w:rsidRPr="00E4130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B46634"/>
    <w:multiLevelType w:val="multilevel"/>
    <w:tmpl w:val="6F64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0C3212"/>
    <w:multiLevelType w:val="multilevel"/>
    <w:tmpl w:val="36C0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0A34E7"/>
    <w:multiLevelType w:val="multilevel"/>
    <w:tmpl w:val="60C6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9138C1"/>
    <w:multiLevelType w:val="multilevel"/>
    <w:tmpl w:val="0A22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E2363D"/>
    <w:multiLevelType w:val="multilevel"/>
    <w:tmpl w:val="207A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F914DD"/>
    <w:multiLevelType w:val="hybridMultilevel"/>
    <w:tmpl w:val="302EC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0E7254"/>
    <w:multiLevelType w:val="multilevel"/>
    <w:tmpl w:val="7E063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DF3E8A"/>
    <w:multiLevelType w:val="hybridMultilevel"/>
    <w:tmpl w:val="CC72D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307642"/>
    <w:multiLevelType w:val="multilevel"/>
    <w:tmpl w:val="292C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12488"/>
    <w:multiLevelType w:val="multilevel"/>
    <w:tmpl w:val="4118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9B63E7"/>
    <w:multiLevelType w:val="multilevel"/>
    <w:tmpl w:val="BFA8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A4287B"/>
    <w:multiLevelType w:val="multilevel"/>
    <w:tmpl w:val="4EC6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1689307">
    <w:abstractNumId w:val="8"/>
  </w:num>
  <w:num w:numId="2" w16cid:durableId="2049602271">
    <w:abstractNumId w:val="6"/>
  </w:num>
  <w:num w:numId="3" w16cid:durableId="1916040289">
    <w:abstractNumId w:val="5"/>
  </w:num>
  <w:num w:numId="4" w16cid:durableId="1539513234">
    <w:abstractNumId w:val="4"/>
  </w:num>
  <w:num w:numId="5" w16cid:durableId="1663200253">
    <w:abstractNumId w:val="7"/>
  </w:num>
  <w:num w:numId="6" w16cid:durableId="2095468875">
    <w:abstractNumId w:val="3"/>
  </w:num>
  <w:num w:numId="7" w16cid:durableId="1336108842">
    <w:abstractNumId w:val="2"/>
  </w:num>
  <w:num w:numId="8" w16cid:durableId="1206216336">
    <w:abstractNumId w:val="1"/>
  </w:num>
  <w:num w:numId="9" w16cid:durableId="394091470">
    <w:abstractNumId w:val="0"/>
  </w:num>
  <w:num w:numId="10" w16cid:durableId="842546803">
    <w:abstractNumId w:val="13"/>
  </w:num>
  <w:num w:numId="11" w16cid:durableId="1655186283">
    <w:abstractNumId w:val="20"/>
  </w:num>
  <w:num w:numId="12" w16cid:durableId="1422330730">
    <w:abstractNumId w:val="19"/>
  </w:num>
  <w:num w:numId="13" w16cid:durableId="33847730">
    <w:abstractNumId w:val="10"/>
  </w:num>
  <w:num w:numId="14" w16cid:durableId="2091268902">
    <w:abstractNumId w:val="9"/>
  </w:num>
  <w:num w:numId="15" w16cid:durableId="1219246821">
    <w:abstractNumId w:val="15"/>
  </w:num>
  <w:num w:numId="16" w16cid:durableId="523250875">
    <w:abstractNumId w:val="11"/>
  </w:num>
  <w:num w:numId="17" w16cid:durableId="220678181">
    <w:abstractNumId w:val="12"/>
  </w:num>
  <w:num w:numId="18" w16cid:durableId="809055618">
    <w:abstractNumId w:val="18"/>
  </w:num>
  <w:num w:numId="19" w16cid:durableId="564068402">
    <w:abstractNumId w:val="17"/>
  </w:num>
  <w:num w:numId="20" w16cid:durableId="1498766198">
    <w:abstractNumId w:val="14"/>
  </w:num>
  <w:num w:numId="21" w16cid:durableId="20651801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703"/>
    <w:rsid w:val="00004640"/>
    <w:rsid w:val="00034616"/>
    <w:rsid w:val="0006063C"/>
    <w:rsid w:val="00077020"/>
    <w:rsid w:val="000A6ABA"/>
    <w:rsid w:val="000D40FC"/>
    <w:rsid w:val="000E2ACB"/>
    <w:rsid w:val="000F0C14"/>
    <w:rsid w:val="00113915"/>
    <w:rsid w:val="0013323A"/>
    <w:rsid w:val="0015074B"/>
    <w:rsid w:val="0016536A"/>
    <w:rsid w:val="001D6A38"/>
    <w:rsid w:val="001F5F38"/>
    <w:rsid w:val="001F7BB8"/>
    <w:rsid w:val="0029639D"/>
    <w:rsid w:val="002B2DBF"/>
    <w:rsid w:val="002D26A0"/>
    <w:rsid w:val="002D4795"/>
    <w:rsid w:val="00314636"/>
    <w:rsid w:val="00326F90"/>
    <w:rsid w:val="00342371"/>
    <w:rsid w:val="00362C55"/>
    <w:rsid w:val="00370F59"/>
    <w:rsid w:val="00396EE1"/>
    <w:rsid w:val="003C6A45"/>
    <w:rsid w:val="003E64E8"/>
    <w:rsid w:val="00436A92"/>
    <w:rsid w:val="00462E0C"/>
    <w:rsid w:val="0048033A"/>
    <w:rsid w:val="004A65D3"/>
    <w:rsid w:val="004C3291"/>
    <w:rsid w:val="005308C1"/>
    <w:rsid w:val="00535D51"/>
    <w:rsid w:val="0053773D"/>
    <w:rsid w:val="00583013"/>
    <w:rsid w:val="005A78F7"/>
    <w:rsid w:val="005C28C7"/>
    <w:rsid w:val="005D1C90"/>
    <w:rsid w:val="005F0EF6"/>
    <w:rsid w:val="0061015D"/>
    <w:rsid w:val="006160D7"/>
    <w:rsid w:val="006561A3"/>
    <w:rsid w:val="00682B03"/>
    <w:rsid w:val="006D6E06"/>
    <w:rsid w:val="006E69B9"/>
    <w:rsid w:val="007057CC"/>
    <w:rsid w:val="007A4085"/>
    <w:rsid w:val="007B6C0C"/>
    <w:rsid w:val="007E7C31"/>
    <w:rsid w:val="0083607C"/>
    <w:rsid w:val="008404BA"/>
    <w:rsid w:val="00891A8C"/>
    <w:rsid w:val="008A7007"/>
    <w:rsid w:val="008B41DB"/>
    <w:rsid w:val="008B4C5F"/>
    <w:rsid w:val="009053AE"/>
    <w:rsid w:val="00934DFE"/>
    <w:rsid w:val="00995444"/>
    <w:rsid w:val="009D5F98"/>
    <w:rsid w:val="00A04DFB"/>
    <w:rsid w:val="00A131DF"/>
    <w:rsid w:val="00A43788"/>
    <w:rsid w:val="00AA1D8D"/>
    <w:rsid w:val="00AA7063"/>
    <w:rsid w:val="00AB0E10"/>
    <w:rsid w:val="00AC1BB9"/>
    <w:rsid w:val="00AD3DF2"/>
    <w:rsid w:val="00B069D7"/>
    <w:rsid w:val="00B23620"/>
    <w:rsid w:val="00B47730"/>
    <w:rsid w:val="00BD0FEE"/>
    <w:rsid w:val="00BD7D52"/>
    <w:rsid w:val="00C0341A"/>
    <w:rsid w:val="00C353DA"/>
    <w:rsid w:val="00C40D5F"/>
    <w:rsid w:val="00C45519"/>
    <w:rsid w:val="00C7235C"/>
    <w:rsid w:val="00CB0664"/>
    <w:rsid w:val="00CC2E0A"/>
    <w:rsid w:val="00CF505C"/>
    <w:rsid w:val="00D12FD8"/>
    <w:rsid w:val="00D67A61"/>
    <w:rsid w:val="00D91196"/>
    <w:rsid w:val="00D92AF1"/>
    <w:rsid w:val="00DA67A1"/>
    <w:rsid w:val="00DD3E8C"/>
    <w:rsid w:val="00DF4049"/>
    <w:rsid w:val="00E02B9D"/>
    <w:rsid w:val="00E41300"/>
    <w:rsid w:val="00F133E9"/>
    <w:rsid w:val="00F253B5"/>
    <w:rsid w:val="00F25CB0"/>
    <w:rsid w:val="00F27F70"/>
    <w:rsid w:val="00F70583"/>
    <w:rsid w:val="00F83E01"/>
    <w:rsid w:val="00FC693F"/>
    <w:rsid w:val="00FD4136"/>
    <w:rsid w:val="00FE0DC2"/>
    <w:rsid w:val="00FF1E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2F8286"/>
  <w14:defaultImageDpi w14:val="300"/>
  <w15:docId w15:val="{3F3D262D-07A8-47B5-929A-9F1F6F30C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25CB0"/>
    <w:rPr>
      <w:color w:val="0000FF" w:themeColor="hyperlink"/>
      <w:u w:val="single"/>
    </w:rPr>
  </w:style>
  <w:style w:type="character" w:styleId="UnresolvedMention">
    <w:name w:val="Unresolved Mention"/>
    <w:basedOn w:val="DefaultParagraphFont"/>
    <w:uiPriority w:val="99"/>
    <w:semiHidden/>
    <w:unhideWhenUsed/>
    <w:rsid w:val="00F25CB0"/>
    <w:rPr>
      <w:color w:val="605E5C"/>
      <w:shd w:val="clear" w:color="auto" w:fill="E1DFDD"/>
    </w:rPr>
  </w:style>
  <w:style w:type="paragraph" w:styleId="NormalWeb">
    <w:name w:val="Normal (Web)"/>
    <w:basedOn w:val="Normal"/>
    <w:uiPriority w:val="99"/>
    <w:unhideWhenUsed/>
    <w:rsid w:val="007A4085"/>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statista.com" TargetMode="External"/><Relationship Id="rId4" Type="http://schemas.openxmlformats.org/officeDocument/2006/relationships/customXml" Target="../customXml/item4.xml"/><Relationship Id="rId9" Type="http://schemas.openxmlformats.org/officeDocument/2006/relationships/hyperlink" Target="https://www.motorol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01f9f989151f38bceb027586bf8af8df">
  <xsd:schema xmlns:xsd="http://www.w3.org/2001/XMLSchema" xmlns:xs="http://www.w3.org/2001/XMLSchema" xmlns:p="http://schemas.microsoft.com/office/2006/metadata/properties" xmlns:ns3="0085e1a2-9cbf-4b92-866b-21f3c89040b6" targetNamespace="http://schemas.microsoft.com/office/2006/metadata/properties" ma:root="true" ma:fieldsID="e23538cfe364baaac13cbd5226519e5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41FDBC-7CA4-48CC-A671-DF26ACA96E4C}">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293D73AC-8612-4924-AA31-9CC945301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40EDAB-F7E2-43B4-8BA5-D76958C627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4352</Words>
  <Characters>28072</Characters>
  <Application>Microsoft Office Word</Application>
  <DocSecurity>0</DocSecurity>
  <Lines>484</Lines>
  <Paragraphs>179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Muhammad Asim Majeed (2319372)</cp:lastModifiedBy>
  <cp:revision>45</cp:revision>
  <dcterms:created xsi:type="dcterms:W3CDTF">2025-11-14T14:57:00Z</dcterms:created>
  <dcterms:modified xsi:type="dcterms:W3CDTF">2025-11-14T16:04:00Z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