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BEDE273" w:rsidR="00F04242" w:rsidRDefault="7298EA01" w:rsidP="5DA8E0B4">
      <w:pPr>
        <w:pStyle w:val="Normal0"/>
        <w:ind w:left="0" w:hanging="2"/>
      </w:pPr>
      <w:r>
        <w:rPr>
          <w:noProof/>
        </w:rPr>
        <w:drawing>
          <wp:inline distT="0" distB="0" distL="0" distR="0" wp14:anchorId="75D19F1B" wp14:editId="7298EA01">
            <wp:extent cx="3362325" cy="1676400"/>
            <wp:effectExtent l="0" t="0" r="0" b="0"/>
            <wp:docPr id="142371460" name="Picture 14237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62325" cy="1676400"/>
                    </a:xfrm>
                    <a:prstGeom prst="rect">
                      <a:avLst/>
                    </a:prstGeom>
                  </pic:spPr>
                </pic:pic>
              </a:graphicData>
            </a:graphic>
          </wp:inline>
        </w:drawing>
      </w:r>
    </w:p>
    <w:p w14:paraId="00000002" w14:textId="77777777" w:rsidR="00F04242" w:rsidRDefault="00F04242">
      <w:pPr>
        <w:jc w:val="center"/>
        <w:rPr>
          <w:rFonts w:ascii="Times New Roman" w:eastAsia="Times New Roman" w:hAnsi="Times New Roman" w:cs="Times New Roman"/>
          <w:sz w:val="24"/>
          <w:szCs w:val="24"/>
        </w:rPr>
      </w:pPr>
    </w:p>
    <w:p w14:paraId="00000003" w14:textId="77777777" w:rsidR="00F04242" w:rsidRDefault="00F04242">
      <w:pPr>
        <w:rPr>
          <w:rFonts w:ascii="Times New Roman" w:eastAsia="Times New Roman" w:hAnsi="Times New Roman" w:cs="Times New Roman"/>
          <w:sz w:val="24"/>
          <w:szCs w:val="24"/>
        </w:rPr>
      </w:pPr>
    </w:p>
    <w:p w14:paraId="00000005" w14:textId="77777777" w:rsidR="00F04242" w:rsidRDefault="00F04242" w:rsidP="5DA8E0B4">
      <w:pPr>
        <w:pStyle w:val="Normal0"/>
        <w:ind w:left="0" w:hanging="2"/>
        <w:rPr>
          <w:rFonts w:ascii="Times New Roman" w:eastAsia="Times New Roman" w:hAnsi="Times New Roman" w:cs="Times New Roman"/>
          <w:b/>
          <w:bCs/>
          <w:sz w:val="24"/>
          <w:szCs w:val="24"/>
        </w:rPr>
      </w:pPr>
    </w:p>
    <w:p w14:paraId="00000006" w14:textId="77777777" w:rsidR="00F04242" w:rsidRDefault="5DA8E0B4">
      <w:pPr>
        <w:rPr>
          <w:rFonts w:ascii="Arial" w:eastAsia="Arial" w:hAnsi="Arial" w:cs="Arial"/>
          <w:b/>
        </w:rPr>
      </w:pPr>
      <w:r w:rsidRPr="5DA8E0B4">
        <w:rPr>
          <w:rFonts w:ascii="Arial" w:eastAsia="Arial" w:hAnsi="Arial" w:cs="Arial"/>
          <w:b/>
          <w:bCs/>
        </w:rPr>
        <w:t xml:space="preserve">Name of </w:t>
      </w:r>
      <w:proofErr w:type="spellStart"/>
      <w:proofErr w:type="gramStart"/>
      <w:r w:rsidRPr="5DA8E0B4">
        <w:rPr>
          <w:rFonts w:ascii="Arial" w:eastAsia="Arial" w:hAnsi="Arial" w:cs="Arial"/>
          <w:b/>
          <w:bCs/>
        </w:rPr>
        <w:t>Student:Emmanuella</w:t>
      </w:r>
      <w:proofErr w:type="spellEnd"/>
      <w:proofErr w:type="gramEnd"/>
      <w:r w:rsidRPr="5DA8E0B4">
        <w:rPr>
          <w:rFonts w:ascii="Arial" w:eastAsia="Arial" w:hAnsi="Arial" w:cs="Arial"/>
          <w:b/>
          <w:bCs/>
        </w:rPr>
        <w:t xml:space="preserve"> </w:t>
      </w:r>
      <w:proofErr w:type="spellStart"/>
      <w:r w:rsidRPr="5DA8E0B4">
        <w:rPr>
          <w:rFonts w:ascii="Arial" w:eastAsia="Arial" w:hAnsi="Arial" w:cs="Arial"/>
          <w:b/>
          <w:bCs/>
        </w:rPr>
        <w:t>sesay</w:t>
      </w:r>
      <w:proofErr w:type="spellEnd"/>
      <w:r w:rsidRPr="5DA8E0B4">
        <w:rPr>
          <w:rFonts w:ascii="Arial" w:eastAsia="Arial" w:hAnsi="Arial" w:cs="Arial"/>
          <w:b/>
          <w:bCs/>
        </w:rPr>
        <w:t xml:space="preserve"> </w:t>
      </w:r>
    </w:p>
    <w:p w14:paraId="28BF5703" w14:textId="0F159D17" w:rsidR="5A7CB20F" w:rsidRDefault="5A7CB20F" w:rsidP="5DA8E0B4">
      <w:pPr>
        <w:pStyle w:val="Normal0"/>
        <w:ind w:left="0" w:hanging="2"/>
        <w:rPr>
          <w:rFonts w:ascii="Arial" w:eastAsia="Arial" w:hAnsi="Arial" w:cs="Arial"/>
          <w:b/>
          <w:bCs/>
        </w:rPr>
      </w:pPr>
      <w:r w:rsidRPr="5DA8E0B4">
        <w:rPr>
          <w:rFonts w:ascii="Arial" w:eastAsia="Arial" w:hAnsi="Arial" w:cs="Arial"/>
          <w:b/>
          <w:bCs/>
        </w:rPr>
        <w:t>Student ID:1916051</w:t>
      </w:r>
    </w:p>
    <w:p w14:paraId="1B9DCA8C" w14:textId="1F917497" w:rsidR="5A7CB20F" w:rsidRDefault="5A7CB20F" w:rsidP="5DA8E0B4">
      <w:pPr>
        <w:pStyle w:val="Normal0"/>
        <w:ind w:left="0" w:hanging="2"/>
        <w:rPr>
          <w:rFonts w:ascii="Arial" w:eastAsia="Arial" w:hAnsi="Arial" w:cs="Arial"/>
          <w:b/>
          <w:bCs/>
        </w:rPr>
      </w:pPr>
      <w:r w:rsidRPr="5DA8E0B4">
        <w:rPr>
          <w:rFonts w:ascii="Arial" w:eastAsia="Arial" w:hAnsi="Arial" w:cs="Arial"/>
          <w:b/>
          <w:bCs/>
        </w:rPr>
        <w:t>Lecture name :diola Bijlhout</w:t>
      </w:r>
    </w:p>
    <w:p w14:paraId="0FB31915" w14:textId="10BEA315" w:rsidR="5A7CB20F" w:rsidRDefault="5A7CB20F" w:rsidP="5DA8E0B4">
      <w:pPr>
        <w:pStyle w:val="Normal0"/>
        <w:ind w:left="0" w:hanging="2"/>
        <w:rPr>
          <w:rFonts w:ascii="Arial" w:eastAsia="Arial" w:hAnsi="Arial" w:cs="Arial"/>
          <w:b/>
          <w:bCs/>
        </w:rPr>
      </w:pPr>
      <w:r w:rsidRPr="5DA8E0B4">
        <w:rPr>
          <w:rFonts w:ascii="Arial" w:eastAsia="Arial" w:hAnsi="Arial" w:cs="Arial"/>
          <w:b/>
          <w:bCs/>
        </w:rPr>
        <w:t>Moudule number:</w:t>
      </w:r>
      <w:r w:rsidR="4035BB0C" w:rsidRPr="5DA8E0B4">
        <w:rPr>
          <w:rFonts w:ascii="Arial" w:eastAsia="Arial" w:hAnsi="Arial" w:cs="Arial"/>
          <w:b/>
          <w:bCs/>
        </w:rPr>
        <w:t>BMHP6021-LON</w:t>
      </w:r>
    </w:p>
    <w:p w14:paraId="42EA8267" w14:textId="17BC94E4" w:rsidR="5DA8E0B4" w:rsidRDefault="5DA8E0B4" w:rsidP="5DA8E0B4">
      <w:pPr>
        <w:pStyle w:val="Normal0"/>
        <w:ind w:left="0" w:hanging="2"/>
      </w:pPr>
    </w:p>
    <w:p w14:paraId="00000007" w14:textId="77777777" w:rsidR="00F04242" w:rsidRDefault="00F04242">
      <w:pPr>
        <w:jc w:val="center"/>
        <w:rPr>
          <w:rFonts w:ascii="Arial" w:eastAsia="Arial" w:hAnsi="Arial" w:cs="Arial"/>
          <w:b/>
        </w:rPr>
      </w:pPr>
    </w:p>
    <w:p w14:paraId="00000008" w14:textId="77777777" w:rsidR="00F04242" w:rsidRDefault="00F04242">
      <w:pPr>
        <w:keepNext/>
        <w:keepLines/>
        <w:spacing w:before="240" w:after="0" w:line="360" w:lineRule="auto"/>
        <w:jc w:val="both"/>
        <w:rPr>
          <w:rFonts w:ascii="Arial" w:eastAsia="Arial" w:hAnsi="Arial" w:cs="Arial"/>
          <w:b/>
        </w:rPr>
      </w:pPr>
    </w:p>
    <w:p w14:paraId="00000009" w14:textId="77777777" w:rsidR="00F04242" w:rsidRDefault="00F04242">
      <w:pPr>
        <w:keepNext/>
        <w:keepLines/>
        <w:spacing w:before="240" w:after="0" w:line="360" w:lineRule="auto"/>
        <w:jc w:val="both"/>
        <w:rPr>
          <w:rFonts w:ascii="Arial" w:eastAsia="Arial" w:hAnsi="Arial" w:cs="Arial"/>
          <w:b/>
        </w:rPr>
      </w:pPr>
    </w:p>
    <w:p w14:paraId="0000000A" w14:textId="77777777" w:rsidR="00F04242" w:rsidRDefault="00F04242">
      <w:pPr>
        <w:keepNext/>
        <w:keepLines/>
        <w:spacing w:before="240" w:after="0" w:line="360" w:lineRule="auto"/>
        <w:jc w:val="both"/>
        <w:rPr>
          <w:rFonts w:ascii="Arial" w:eastAsia="Arial" w:hAnsi="Arial" w:cs="Arial"/>
          <w:b/>
        </w:rPr>
      </w:pPr>
    </w:p>
    <w:p w14:paraId="0000000B" w14:textId="77777777" w:rsidR="00F04242" w:rsidRDefault="00F04242">
      <w:pPr>
        <w:keepNext/>
        <w:keepLines/>
        <w:spacing w:before="240" w:after="0" w:line="360" w:lineRule="auto"/>
        <w:jc w:val="both"/>
        <w:rPr>
          <w:rFonts w:ascii="Arial" w:eastAsia="Arial" w:hAnsi="Arial" w:cs="Arial"/>
          <w:b/>
        </w:rPr>
      </w:pPr>
    </w:p>
    <w:p w14:paraId="0000000C" w14:textId="77777777" w:rsidR="00F04242" w:rsidRDefault="00F04242">
      <w:pPr>
        <w:keepNext/>
        <w:keepLines/>
        <w:spacing w:before="240" w:after="0" w:line="360" w:lineRule="auto"/>
        <w:jc w:val="both"/>
        <w:rPr>
          <w:rFonts w:ascii="Arial" w:eastAsia="Arial" w:hAnsi="Arial" w:cs="Arial"/>
          <w:b/>
        </w:rPr>
      </w:pPr>
    </w:p>
    <w:p w14:paraId="0000000D" w14:textId="77777777" w:rsidR="00F04242" w:rsidRDefault="00F04242">
      <w:pPr>
        <w:keepNext/>
        <w:keepLines/>
        <w:spacing w:before="240" w:after="0" w:line="360" w:lineRule="auto"/>
        <w:jc w:val="both"/>
        <w:rPr>
          <w:rFonts w:ascii="Arial" w:eastAsia="Arial" w:hAnsi="Arial" w:cs="Arial"/>
          <w:b/>
        </w:rPr>
      </w:pPr>
    </w:p>
    <w:p w14:paraId="0000000E" w14:textId="77777777" w:rsidR="00F04242" w:rsidRDefault="00F04242">
      <w:pPr>
        <w:keepNext/>
        <w:keepLines/>
        <w:spacing w:before="240" w:after="0" w:line="360" w:lineRule="auto"/>
        <w:jc w:val="both"/>
        <w:rPr>
          <w:rFonts w:ascii="Arial" w:eastAsia="Arial" w:hAnsi="Arial" w:cs="Arial"/>
          <w:b/>
        </w:rPr>
      </w:pPr>
    </w:p>
    <w:p w14:paraId="0000000F" w14:textId="77777777" w:rsidR="00F04242" w:rsidRDefault="00F04242">
      <w:pPr>
        <w:keepNext/>
        <w:keepLines/>
        <w:spacing w:before="240" w:after="0" w:line="360" w:lineRule="auto"/>
        <w:jc w:val="both"/>
        <w:rPr>
          <w:rFonts w:ascii="Arial" w:eastAsia="Arial" w:hAnsi="Arial" w:cs="Arial"/>
          <w:b/>
        </w:rPr>
      </w:pPr>
    </w:p>
    <w:p w14:paraId="00000010" w14:textId="77777777" w:rsidR="00F04242" w:rsidRDefault="00F04242">
      <w:pPr>
        <w:keepNext/>
        <w:keepLines/>
        <w:spacing w:before="240" w:after="0" w:line="360" w:lineRule="auto"/>
        <w:jc w:val="both"/>
        <w:rPr>
          <w:rFonts w:ascii="Arial" w:eastAsia="Arial" w:hAnsi="Arial" w:cs="Arial"/>
          <w:b/>
        </w:rPr>
      </w:pPr>
    </w:p>
    <w:p w14:paraId="00000011" w14:textId="77777777" w:rsidR="00F04242" w:rsidRDefault="00F04242">
      <w:pPr>
        <w:keepNext/>
        <w:keepLines/>
        <w:spacing w:before="240" w:after="0" w:line="360" w:lineRule="auto"/>
        <w:jc w:val="both"/>
        <w:rPr>
          <w:rFonts w:ascii="Arial" w:eastAsia="Arial" w:hAnsi="Arial" w:cs="Arial"/>
          <w:b/>
        </w:rPr>
      </w:pPr>
    </w:p>
    <w:p w14:paraId="00000012" w14:textId="77777777" w:rsidR="00F04242" w:rsidRDefault="00F04242">
      <w:pPr>
        <w:keepNext/>
        <w:keepLines/>
        <w:spacing w:before="240" w:after="0" w:line="360" w:lineRule="auto"/>
        <w:jc w:val="both"/>
        <w:rPr>
          <w:rFonts w:ascii="Arial" w:eastAsia="Arial" w:hAnsi="Arial" w:cs="Arial"/>
          <w:b/>
        </w:rPr>
      </w:pPr>
    </w:p>
    <w:p w14:paraId="00000013" w14:textId="77777777" w:rsidR="00F04242" w:rsidRDefault="00F04242">
      <w:pPr>
        <w:keepNext/>
        <w:keepLines/>
        <w:spacing w:before="240" w:after="0" w:line="360" w:lineRule="auto"/>
        <w:jc w:val="both"/>
        <w:rPr>
          <w:rFonts w:ascii="Arial" w:eastAsia="Arial" w:hAnsi="Arial" w:cs="Arial"/>
          <w:b/>
        </w:rPr>
      </w:pPr>
    </w:p>
    <w:p w14:paraId="00000014" w14:textId="77777777" w:rsidR="00F04242" w:rsidRDefault="00F04242">
      <w:pPr>
        <w:keepNext/>
        <w:keepLines/>
        <w:spacing w:before="240" w:after="0" w:line="360" w:lineRule="auto"/>
        <w:jc w:val="both"/>
        <w:rPr>
          <w:rFonts w:ascii="Arial" w:eastAsia="Arial" w:hAnsi="Arial" w:cs="Arial"/>
          <w:b/>
        </w:rPr>
      </w:pPr>
    </w:p>
    <w:p w14:paraId="00000015" w14:textId="77777777" w:rsidR="00F04242" w:rsidRDefault="00F04242">
      <w:pPr>
        <w:keepNext/>
        <w:keepLines/>
        <w:spacing w:before="240" w:after="0" w:line="360" w:lineRule="auto"/>
        <w:jc w:val="both"/>
        <w:rPr>
          <w:rFonts w:ascii="Arial" w:eastAsia="Arial" w:hAnsi="Arial" w:cs="Arial"/>
          <w:b/>
        </w:rPr>
      </w:pPr>
    </w:p>
    <w:p w14:paraId="00000016" w14:textId="77777777" w:rsidR="00F04242" w:rsidRDefault="00F04242">
      <w:pPr>
        <w:keepNext/>
        <w:keepLines/>
        <w:spacing w:before="240" w:after="0" w:line="360" w:lineRule="auto"/>
        <w:jc w:val="both"/>
        <w:rPr>
          <w:rFonts w:ascii="Arial" w:eastAsia="Arial" w:hAnsi="Arial" w:cs="Arial"/>
          <w:b/>
        </w:rPr>
      </w:pPr>
    </w:p>
    <w:p w14:paraId="00000017" w14:textId="77777777" w:rsidR="00F04242" w:rsidRDefault="00F04242">
      <w:pPr>
        <w:keepNext/>
        <w:keepLines/>
        <w:spacing w:before="240" w:after="0" w:line="360" w:lineRule="auto"/>
        <w:jc w:val="both"/>
        <w:rPr>
          <w:rFonts w:ascii="Arial" w:eastAsia="Arial" w:hAnsi="Arial" w:cs="Arial"/>
          <w:b/>
        </w:rPr>
      </w:pPr>
    </w:p>
    <w:p w14:paraId="00000018" w14:textId="77777777" w:rsidR="00F04242" w:rsidRDefault="00F04242">
      <w:pPr>
        <w:keepNext/>
        <w:keepLines/>
        <w:spacing w:before="240" w:after="0" w:line="360" w:lineRule="auto"/>
        <w:jc w:val="both"/>
        <w:rPr>
          <w:rFonts w:ascii="Arial" w:eastAsia="Arial" w:hAnsi="Arial" w:cs="Arial"/>
          <w:b/>
        </w:rPr>
      </w:pPr>
    </w:p>
    <w:p w14:paraId="00000019" w14:textId="77777777" w:rsidR="00F04242" w:rsidRDefault="00F04242">
      <w:pPr>
        <w:keepNext/>
        <w:keepLines/>
        <w:spacing w:before="240" w:after="0" w:line="360" w:lineRule="auto"/>
        <w:jc w:val="both"/>
        <w:rPr>
          <w:rFonts w:ascii="Arial" w:eastAsia="Arial" w:hAnsi="Arial" w:cs="Arial"/>
          <w:b/>
        </w:rPr>
      </w:pPr>
    </w:p>
    <w:p w14:paraId="0000001A" w14:textId="77777777" w:rsidR="00F04242" w:rsidRDefault="00F04242">
      <w:pPr>
        <w:keepNext/>
        <w:keepLines/>
        <w:spacing w:before="240" w:after="0" w:line="360" w:lineRule="auto"/>
        <w:jc w:val="both"/>
        <w:rPr>
          <w:rFonts w:ascii="Arial" w:eastAsia="Arial" w:hAnsi="Arial" w:cs="Arial"/>
          <w:b/>
        </w:rPr>
      </w:pPr>
    </w:p>
    <w:p w14:paraId="0000001B" w14:textId="77777777" w:rsidR="00F04242" w:rsidRDefault="00F04242">
      <w:pPr>
        <w:keepNext/>
        <w:keepLines/>
        <w:spacing w:before="240" w:after="0" w:line="360" w:lineRule="auto"/>
        <w:jc w:val="both"/>
        <w:rPr>
          <w:rFonts w:ascii="Arial" w:eastAsia="Arial" w:hAnsi="Arial" w:cs="Arial"/>
          <w:b/>
        </w:rPr>
      </w:pPr>
    </w:p>
    <w:p w14:paraId="0000001C" w14:textId="77777777" w:rsidR="00F04242" w:rsidRDefault="00F04242">
      <w:pPr>
        <w:keepNext/>
        <w:keepLines/>
        <w:spacing w:before="240" w:after="0" w:line="360" w:lineRule="auto"/>
        <w:jc w:val="both"/>
        <w:rPr>
          <w:rFonts w:ascii="Arial" w:eastAsia="Arial" w:hAnsi="Arial" w:cs="Arial"/>
          <w:b/>
        </w:rPr>
      </w:pPr>
    </w:p>
    <w:p w14:paraId="0000001D" w14:textId="77777777" w:rsidR="00F04242" w:rsidRDefault="00F04242">
      <w:pPr>
        <w:keepNext/>
        <w:keepLines/>
        <w:spacing w:before="240" w:after="0" w:line="360" w:lineRule="auto"/>
        <w:jc w:val="both"/>
        <w:rPr>
          <w:rFonts w:ascii="Arial" w:eastAsia="Arial" w:hAnsi="Arial" w:cs="Arial"/>
          <w:b/>
        </w:rPr>
      </w:pPr>
    </w:p>
    <w:p w14:paraId="0000001E" w14:textId="77777777" w:rsidR="00F04242" w:rsidRDefault="00F04242">
      <w:pPr>
        <w:keepNext/>
        <w:keepLines/>
        <w:spacing w:before="240" w:after="0" w:line="360" w:lineRule="auto"/>
        <w:jc w:val="both"/>
        <w:rPr>
          <w:rFonts w:ascii="Arial" w:eastAsia="Arial" w:hAnsi="Arial" w:cs="Arial"/>
          <w:b/>
        </w:rPr>
      </w:pPr>
    </w:p>
    <w:p w14:paraId="0000001F" w14:textId="77777777" w:rsidR="00F04242" w:rsidRDefault="00E4496D">
      <w:pPr>
        <w:keepNext/>
        <w:keepLines/>
        <w:spacing w:before="240" w:after="0" w:line="360" w:lineRule="auto"/>
        <w:rPr>
          <w:rFonts w:ascii="Arial" w:eastAsia="Arial" w:hAnsi="Arial" w:cs="Arial"/>
          <w:b/>
          <w:color w:val="2F5496"/>
        </w:rPr>
      </w:pPr>
      <w:r>
        <w:rPr>
          <w:rFonts w:ascii="Arial" w:eastAsia="Arial" w:hAnsi="Arial" w:cs="Arial"/>
          <w:b/>
        </w:rPr>
        <w:lastRenderedPageBreak/>
        <w:t>Table of Contents</w:t>
      </w:r>
    </w:p>
    <w:sdt>
      <w:sdtPr>
        <w:id w:val="1252872220"/>
        <w:docPartObj>
          <w:docPartGallery w:val="Table of Contents"/>
          <w:docPartUnique/>
        </w:docPartObj>
      </w:sdtPr>
      <w:sdtEndPr/>
      <w:sdtContent>
        <w:p w14:paraId="00000020" w14:textId="77777777" w:rsidR="00F04242" w:rsidRDefault="00E4496D">
          <w:pPr>
            <w:tabs>
              <w:tab w:val="right" w:pos="9017"/>
            </w:tabs>
            <w:spacing w:after="100" w:line="360" w:lineRule="auto"/>
            <w:rPr>
              <w:rFonts w:ascii="Arial" w:eastAsia="Arial" w:hAnsi="Arial" w:cs="Arial"/>
              <w:b/>
            </w:rPr>
          </w:pPr>
          <w:r>
            <w:fldChar w:fldCharType="begin"/>
          </w:r>
          <w:r>
            <w:instrText xml:space="preserve"> TOC \h \u \z </w:instrText>
          </w:r>
          <w:r>
            <w:fldChar w:fldCharType="separate"/>
          </w:r>
          <w:hyperlink r:id="rId9" w:anchor="heading=h.gjdgxs">
            <w:r>
              <w:rPr>
                <w:rFonts w:ascii="Arial" w:eastAsia="Arial" w:hAnsi="Arial" w:cs="Arial"/>
                <w:b/>
              </w:rPr>
              <w:t>Introduction</w:t>
            </w:r>
            <w:r>
              <w:rPr>
                <w:rFonts w:ascii="Arial" w:eastAsia="Arial" w:hAnsi="Arial" w:cs="Arial"/>
                <w:b/>
              </w:rPr>
              <w:tab/>
            </w:r>
          </w:hyperlink>
          <w:r>
            <w:rPr>
              <w:rFonts w:ascii="Arial" w:eastAsia="Arial" w:hAnsi="Arial" w:cs="Arial"/>
              <w:b/>
            </w:rPr>
            <w:t>2</w:t>
          </w:r>
        </w:p>
        <w:p w14:paraId="00000021" w14:textId="77777777" w:rsidR="00F04242" w:rsidRDefault="00E4496D">
          <w:pPr>
            <w:tabs>
              <w:tab w:val="right" w:pos="9017"/>
            </w:tabs>
            <w:spacing w:after="100" w:line="360" w:lineRule="auto"/>
            <w:rPr>
              <w:rFonts w:ascii="Arial" w:eastAsia="Arial" w:hAnsi="Arial" w:cs="Arial"/>
              <w:b/>
            </w:rPr>
          </w:pPr>
          <w:hyperlink r:id="rId10" w:anchor="heading=h.30j0zll">
            <w:r>
              <w:rPr>
                <w:rFonts w:ascii="Arial" w:eastAsia="Arial" w:hAnsi="Arial" w:cs="Arial"/>
                <w:b/>
              </w:rPr>
              <w:t>Sustainable Development Goals (SDGs).</w:t>
            </w:r>
            <w:r>
              <w:rPr>
                <w:rFonts w:ascii="Arial" w:eastAsia="Arial" w:hAnsi="Arial" w:cs="Arial"/>
                <w:b/>
              </w:rPr>
              <w:tab/>
            </w:r>
          </w:hyperlink>
          <w:r>
            <w:rPr>
              <w:rFonts w:ascii="Arial" w:eastAsia="Arial" w:hAnsi="Arial" w:cs="Arial"/>
              <w:b/>
            </w:rPr>
            <w:t>2</w:t>
          </w:r>
        </w:p>
        <w:p w14:paraId="00000022" w14:textId="77777777" w:rsidR="00F04242" w:rsidRDefault="00E4496D">
          <w:pPr>
            <w:tabs>
              <w:tab w:val="right" w:pos="9017"/>
            </w:tabs>
            <w:spacing w:after="100" w:line="360" w:lineRule="auto"/>
            <w:rPr>
              <w:rFonts w:ascii="Arial" w:eastAsia="Arial" w:hAnsi="Arial" w:cs="Arial"/>
              <w:b/>
            </w:rPr>
          </w:pPr>
          <w:hyperlink r:id="rId11" w:anchor="heading=h.1fob9te">
            <w:r>
              <w:rPr>
                <w:rFonts w:ascii="Arial" w:eastAsia="Arial" w:hAnsi="Arial" w:cs="Arial"/>
                <w:b/>
              </w:rPr>
              <w:t>Discussion on the major three goals of SDG</w:t>
            </w:r>
            <w:r>
              <w:rPr>
                <w:rFonts w:ascii="Arial" w:eastAsia="Arial" w:hAnsi="Arial" w:cs="Arial"/>
                <w:b/>
              </w:rPr>
              <w:tab/>
            </w:r>
          </w:hyperlink>
          <w:r>
            <w:rPr>
              <w:rFonts w:ascii="Arial" w:eastAsia="Arial" w:hAnsi="Arial" w:cs="Arial"/>
              <w:b/>
            </w:rPr>
            <w:t>3</w:t>
          </w:r>
        </w:p>
        <w:p w14:paraId="00000023" w14:textId="77777777" w:rsidR="00F04242" w:rsidRDefault="00E4496D">
          <w:pPr>
            <w:tabs>
              <w:tab w:val="right" w:pos="8797"/>
            </w:tabs>
            <w:spacing w:after="100" w:line="360" w:lineRule="auto"/>
            <w:ind w:left="220"/>
            <w:rPr>
              <w:rFonts w:ascii="Arial" w:eastAsia="Arial" w:hAnsi="Arial" w:cs="Arial"/>
              <w:b/>
            </w:rPr>
          </w:pPr>
          <w:hyperlink r:id="rId12" w:anchor="heading=h.3znysh7">
            <w:r>
              <w:rPr>
                <w:rFonts w:ascii="Arial" w:eastAsia="Arial" w:hAnsi="Arial" w:cs="Arial"/>
                <w:b/>
              </w:rPr>
              <w:t>Goal 3: Good Health &amp; Wellbeing</w:t>
            </w:r>
            <w:r>
              <w:rPr>
                <w:rFonts w:ascii="Arial" w:eastAsia="Arial" w:hAnsi="Arial" w:cs="Arial"/>
                <w:b/>
              </w:rPr>
              <w:tab/>
            </w:r>
          </w:hyperlink>
          <w:r>
            <w:rPr>
              <w:rFonts w:ascii="Arial" w:eastAsia="Arial" w:hAnsi="Arial" w:cs="Arial"/>
              <w:b/>
            </w:rPr>
            <w:t>3</w:t>
          </w:r>
        </w:p>
        <w:p w14:paraId="00000024" w14:textId="77777777" w:rsidR="00F04242" w:rsidRDefault="00E4496D">
          <w:pPr>
            <w:tabs>
              <w:tab w:val="right" w:pos="8797"/>
            </w:tabs>
            <w:spacing w:after="100" w:line="360" w:lineRule="auto"/>
            <w:ind w:left="220"/>
            <w:rPr>
              <w:rFonts w:ascii="Arial" w:eastAsia="Arial" w:hAnsi="Arial" w:cs="Arial"/>
              <w:b/>
            </w:rPr>
          </w:pPr>
          <w:hyperlink r:id="rId13" w:anchor="heading=h.2et92p0">
            <w:r>
              <w:rPr>
                <w:rFonts w:ascii="Arial" w:eastAsia="Arial" w:hAnsi="Arial" w:cs="Arial"/>
                <w:b/>
              </w:rPr>
              <w:t>Goal 4: Quality Education</w:t>
            </w:r>
            <w:r>
              <w:rPr>
                <w:rFonts w:ascii="Arial" w:eastAsia="Arial" w:hAnsi="Arial" w:cs="Arial"/>
                <w:b/>
              </w:rPr>
              <w:tab/>
            </w:r>
          </w:hyperlink>
          <w:r>
            <w:rPr>
              <w:rFonts w:ascii="Arial" w:eastAsia="Arial" w:hAnsi="Arial" w:cs="Arial"/>
              <w:b/>
            </w:rPr>
            <w:t>4</w:t>
          </w:r>
        </w:p>
        <w:p w14:paraId="00000025" w14:textId="77777777" w:rsidR="00F04242" w:rsidRDefault="00E4496D">
          <w:pPr>
            <w:tabs>
              <w:tab w:val="right" w:pos="8797"/>
            </w:tabs>
            <w:spacing w:after="100" w:line="360" w:lineRule="auto"/>
            <w:ind w:left="220"/>
            <w:rPr>
              <w:rFonts w:ascii="Arial" w:eastAsia="Arial" w:hAnsi="Arial" w:cs="Arial"/>
              <w:b/>
            </w:rPr>
          </w:pPr>
          <w:hyperlink r:id="rId14" w:anchor="heading=h.tyjcwt">
            <w:r>
              <w:rPr>
                <w:rFonts w:ascii="Arial" w:eastAsia="Arial" w:hAnsi="Arial" w:cs="Arial"/>
                <w:b/>
              </w:rPr>
              <w:t>Goal 17: Partnershi</w:t>
            </w:r>
            <w:r>
              <w:rPr>
                <w:rFonts w:ascii="Arial" w:eastAsia="Arial" w:hAnsi="Arial" w:cs="Arial"/>
                <w:b/>
              </w:rPr>
              <w:t>ps</w:t>
            </w:r>
            <w:r>
              <w:rPr>
                <w:rFonts w:ascii="Arial" w:eastAsia="Arial" w:hAnsi="Arial" w:cs="Arial"/>
                <w:b/>
              </w:rPr>
              <w:tab/>
            </w:r>
          </w:hyperlink>
          <w:r>
            <w:rPr>
              <w:rFonts w:ascii="Arial" w:eastAsia="Arial" w:hAnsi="Arial" w:cs="Arial"/>
              <w:b/>
            </w:rPr>
            <w:t>5</w:t>
          </w:r>
        </w:p>
        <w:p w14:paraId="00000026" w14:textId="77777777" w:rsidR="00F04242" w:rsidRDefault="00E4496D">
          <w:pPr>
            <w:tabs>
              <w:tab w:val="right" w:pos="9017"/>
            </w:tabs>
            <w:spacing w:after="100" w:line="360" w:lineRule="auto"/>
            <w:rPr>
              <w:rFonts w:ascii="Arial" w:eastAsia="Arial" w:hAnsi="Arial" w:cs="Arial"/>
              <w:b/>
            </w:rPr>
          </w:pPr>
          <w:hyperlink r:id="rId15" w:anchor="heading=h.3rdcrjn">
            <w:r>
              <w:rPr>
                <w:rFonts w:ascii="Arial" w:eastAsia="Arial" w:hAnsi="Arial" w:cs="Arial"/>
                <w:b/>
              </w:rPr>
              <w:t>Conclusion</w:t>
            </w:r>
            <w:r>
              <w:rPr>
                <w:rFonts w:ascii="Arial" w:eastAsia="Arial" w:hAnsi="Arial" w:cs="Arial"/>
                <w:b/>
              </w:rPr>
              <w:tab/>
            </w:r>
          </w:hyperlink>
          <w:r>
            <w:rPr>
              <w:rFonts w:ascii="Arial" w:eastAsia="Arial" w:hAnsi="Arial" w:cs="Arial"/>
              <w:b/>
            </w:rPr>
            <w:t>10</w:t>
          </w:r>
        </w:p>
        <w:p w14:paraId="00000027" w14:textId="77777777" w:rsidR="00F04242" w:rsidRDefault="00E4496D">
          <w:pPr>
            <w:tabs>
              <w:tab w:val="right" w:pos="9017"/>
            </w:tabs>
            <w:spacing w:after="100" w:line="360" w:lineRule="auto"/>
            <w:rPr>
              <w:rFonts w:ascii="Arial" w:eastAsia="Arial" w:hAnsi="Arial" w:cs="Arial"/>
              <w:b/>
            </w:rPr>
          </w:pPr>
          <w:hyperlink r:id="rId16" w:anchor="heading=h.26in1rg">
            <w:r>
              <w:rPr>
                <w:rFonts w:ascii="Arial" w:eastAsia="Arial" w:hAnsi="Arial" w:cs="Arial"/>
                <w:b/>
              </w:rPr>
              <w:t>References</w:t>
            </w:r>
            <w:r>
              <w:rPr>
                <w:rFonts w:ascii="Arial" w:eastAsia="Arial" w:hAnsi="Arial" w:cs="Arial"/>
                <w:b/>
              </w:rPr>
              <w:tab/>
            </w:r>
          </w:hyperlink>
          <w:r>
            <w:rPr>
              <w:rFonts w:ascii="Arial" w:eastAsia="Arial" w:hAnsi="Arial" w:cs="Arial"/>
              <w:b/>
            </w:rPr>
            <w:t>12</w:t>
          </w:r>
          <w:r>
            <w:fldChar w:fldCharType="end"/>
          </w:r>
        </w:p>
      </w:sdtContent>
    </w:sdt>
    <w:p w14:paraId="00000028" w14:textId="77777777" w:rsidR="00F04242" w:rsidRDefault="00E4496D">
      <w:pPr>
        <w:rPr>
          <w:rFonts w:ascii="Arial" w:eastAsia="Arial" w:hAnsi="Arial" w:cs="Arial"/>
          <w:b/>
        </w:rPr>
      </w:pPr>
      <w:r>
        <w:br w:type="page"/>
      </w:r>
    </w:p>
    <w:p w14:paraId="00000029" w14:textId="77777777" w:rsidR="00F04242" w:rsidRDefault="00E4496D">
      <w:pPr>
        <w:rPr>
          <w:rFonts w:ascii="Arial" w:eastAsia="Arial" w:hAnsi="Arial" w:cs="Arial"/>
          <w:b/>
        </w:rPr>
      </w:pPr>
      <w:proofErr w:type="gramStart"/>
      <w:r>
        <w:rPr>
          <w:rFonts w:ascii="Arial" w:eastAsia="Arial" w:hAnsi="Arial" w:cs="Arial"/>
          <w:b/>
        </w:rPr>
        <w:lastRenderedPageBreak/>
        <w:t>Introduction :</w:t>
      </w:r>
      <w:proofErr w:type="gramEnd"/>
    </w:p>
    <w:p w14:paraId="0000002A" w14:textId="77777777" w:rsidR="00F04242" w:rsidRDefault="00E4496D">
      <w:pPr>
        <w:rPr>
          <w:rFonts w:ascii="Arial" w:eastAsia="Arial" w:hAnsi="Arial" w:cs="Arial"/>
          <w:b/>
        </w:rPr>
      </w:pPr>
      <w:r>
        <w:rPr>
          <w:rFonts w:ascii="Arial" w:eastAsia="Arial" w:hAnsi="Arial" w:cs="Arial"/>
          <w:b/>
        </w:rPr>
        <w:t>The Sustainable Development Goals (SDGs), otherwise known as the Global Goals, are a set of 17 inter</w:t>
      </w:r>
      <w:r>
        <w:rPr>
          <w:rFonts w:ascii="Arial" w:eastAsia="Arial" w:hAnsi="Arial" w:cs="Arial"/>
          <w:b/>
        </w:rPr>
        <w:t>twined objectives designed to transform the world. In 2015, the United Nations designed these Global Goals as a blueprint to attain a better, more sustainable future for all. They aim at ending poverty, preserving the planet, and bringing peace and prosper</w:t>
      </w:r>
      <w:r>
        <w:rPr>
          <w:rFonts w:ascii="Arial" w:eastAsia="Arial" w:hAnsi="Arial" w:cs="Arial"/>
          <w:b/>
        </w:rPr>
        <w:t xml:space="preserve">ity to all by 2030. All the 17 SDGs are cohesive. As such, action on one, automatically influences outcome </w:t>
      </w:r>
      <w:r>
        <w:rPr>
          <w:rFonts w:ascii="Arial" w:eastAsia="Arial" w:hAnsi="Arial" w:cs="Arial"/>
          <w:b/>
        </w:rPr>
        <w:t>on others</w:t>
      </w:r>
      <w:r>
        <w:rPr>
          <w:rFonts w:ascii="Arial" w:eastAsia="Arial" w:hAnsi="Arial" w:cs="Arial"/>
          <w:b/>
        </w:rPr>
        <w:t xml:space="preserve">. They recognize and acknowledge that development must contribute to steady social, economic, and environmental sustainability. </w:t>
      </w:r>
    </w:p>
    <w:p w14:paraId="0000002B" w14:textId="77777777" w:rsidR="00F04242" w:rsidRDefault="00E4496D">
      <w:pPr>
        <w:rPr>
          <w:rFonts w:ascii="Arial" w:eastAsia="Arial" w:hAnsi="Arial" w:cs="Arial"/>
          <w:b/>
        </w:rPr>
      </w:pPr>
      <w:r>
        <w:rPr>
          <w:rFonts w:ascii="Arial" w:eastAsia="Arial" w:hAnsi="Arial" w:cs="Arial"/>
          <w:b/>
        </w:rPr>
        <w:t xml:space="preserve">What makes </w:t>
      </w:r>
      <w:r>
        <w:rPr>
          <w:rFonts w:ascii="Arial" w:eastAsia="Arial" w:hAnsi="Arial" w:cs="Arial"/>
          <w:b/>
        </w:rPr>
        <w:t>the SDGs Important</w:t>
      </w:r>
    </w:p>
    <w:p w14:paraId="0000002C" w14:textId="77777777" w:rsidR="00F04242" w:rsidRDefault="00E4496D">
      <w:pPr>
        <w:rPr>
          <w:rFonts w:ascii="Arial" w:eastAsia="Arial" w:hAnsi="Arial" w:cs="Arial"/>
          <w:b/>
        </w:rPr>
      </w:pPr>
      <w:r>
        <w:rPr>
          <w:rFonts w:ascii="Arial" w:eastAsia="Arial" w:hAnsi="Arial" w:cs="Arial"/>
          <w:b/>
        </w:rPr>
        <w:t xml:space="preserve">Each SD Goal aims at reducing poverty and climate change, while promoting health, education, and economic growth throughout the globe. Currently, the world is in the middle of a climate crisis, a fact that heightens the value and significance of the SDGs. </w:t>
      </w:r>
      <w:r>
        <w:rPr>
          <w:rFonts w:ascii="Arial" w:eastAsia="Arial" w:hAnsi="Arial" w:cs="Arial"/>
          <w:b/>
        </w:rPr>
        <w:t>Since all the 17 goals are intertwined, the key to attaining one is normally embedded within another.</w:t>
      </w:r>
    </w:p>
    <w:p w14:paraId="0000002D" w14:textId="77777777" w:rsidR="00F04242" w:rsidRDefault="00E4496D">
      <w:pPr>
        <w:rPr>
          <w:rFonts w:ascii="Arial" w:eastAsia="Arial" w:hAnsi="Arial" w:cs="Arial"/>
          <w:b/>
        </w:rPr>
      </w:pPr>
      <w:r>
        <w:rPr>
          <w:rFonts w:ascii="Arial" w:eastAsia="Arial" w:hAnsi="Arial" w:cs="Arial"/>
          <w:b/>
        </w:rPr>
        <w:t>Sustainable development entails the effective growth and expansion of land, communities, cities, and businesses. It aims at achieving current needs withou</w:t>
      </w:r>
      <w:r>
        <w:rPr>
          <w:rFonts w:ascii="Arial" w:eastAsia="Arial" w:hAnsi="Arial" w:cs="Arial"/>
          <w:b/>
        </w:rPr>
        <w:t xml:space="preserve">t affecting the ability of future generations to meet their own needs. The environment supports each of the SD goals. They aim at elevating the living conditions of all people, without accumulating an increase in the consumption of natural resources. </w:t>
      </w:r>
    </w:p>
    <w:p w14:paraId="0000002E" w14:textId="77777777" w:rsidR="00F04242" w:rsidRDefault="00E4496D">
      <w:pPr>
        <w:rPr>
          <w:rFonts w:ascii="Arial" w:eastAsia="Arial" w:hAnsi="Arial" w:cs="Arial"/>
          <w:b/>
          <w:color w:val="000000"/>
        </w:rPr>
      </w:pPr>
      <w:r>
        <w:rPr>
          <w:rFonts w:ascii="Arial" w:eastAsia="Arial" w:hAnsi="Arial" w:cs="Arial"/>
          <w:b/>
          <w:color w:val="000000"/>
        </w:rPr>
        <w:t xml:space="preserve">The </w:t>
      </w:r>
      <w:r>
        <w:rPr>
          <w:rFonts w:ascii="Arial" w:eastAsia="Arial" w:hAnsi="Arial" w:cs="Arial"/>
          <w:b/>
          <w:color w:val="000000"/>
        </w:rPr>
        <w:t>17 Global Goals set to transform the world include:</w:t>
      </w:r>
    </w:p>
    <w:p w14:paraId="0000002F"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17">
        <w:r>
          <w:rPr>
            <w:rFonts w:ascii="Arial" w:eastAsia="Arial" w:hAnsi="Arial" w:cs="Arial"/>
            <w:b/>
            <w:color w:val="000000"/>
          </w:rPr>
          <w:t>GOAL 1: No Poverty</w:t>
        </w:r>
      </w:hyperlink>
    </w:p>
    <w:p w14:paraId="00000030"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18">
        <w:r>
          <w:rPr>
            <w:rFonts w:ascii="Arial" w:eastAsia="Arial" w:hAnsi="Arial" w:cs="Arial"/>
            <w:b/>
            <w:color w:val="000000"/>
          </w:rPr>
          <w:t>GOAL 2: Zero Hunger</w:t>
        </w:r>
      </w:hyperlink>
    </w:p>
    <w:p w14:paraId="00000031"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19">
        <w:r>
          <w:rPr>
            <w:rFonts w:ascii="Arial" w:eastAsia="Arial" w:hAnsi="Arial" w:cs="Arial"/>
            <w:b/>
            <w:color w:val="000000"/>
          </w:rPr>
          <w:t>GOAL 3: Good Health and Well-being</w:t>
        </w:r>
      </w:hyperlink>
    </w:p>
    <w:p w14:paraId="00000032"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0">
        <w:r>
          <w:rPr>
            <w:rFonts w:ascii="Arial" w:eastAsia="Arial" w:hAnsi="Arial" w:cs="Arial"/>
            <w:b/>
            <w:color w:val="000000"/>
          </w:rPr>
          <w:t>GOAL 4: Quality Education</w:t>
        </w:r>
      </w:hyperlink>
    </w:p>
    <w:p w14:paraId="00000033"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1">
        <w:r>
          <w:rPr>
            <w:rFonts w:ascii="Arial" w:eastAsia="Arial" w:hAnsi="Arial" w:cs="Arial"/>
            <w:b/>
            <w:color w:val="000000"/>
          </w:rPr>
          <w:t>GOAL 5: Gender Equality</w:t>
        </w:r>
      </w:hyperlink>
    </w:p>
    <w:p w14:paraId="00000034"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2">
        <w:r>
          <w:rPr>
            <w:rFonts w:ascii="Arial" w:eastAsia="Arial" w:hAnsi="Arial" w:cs="Arial"/>
            <w:b/>
            <w:color w:val="000000"/>
          </w:rPr>
          <w:t>GOAL 6: Clean Water and Sanitation</w:t>
        </w:r>
      </w:hyperlink>
    </w:p>
    <w:p w14:paraId="00000035"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3">
        <w:r>
          <w:rPr>
            <w:rFonts w:ascii="Arial" w:eastAsia="Arial" w:hAnsi="Arial" w:cs="Arial"/>
            <w:b/>
            <w:color w:val="000000"/>
          </w:rPr>
          <w:t>GOAL 7: Affordable and Clean Energy</w:t>
        </w:r>
      </w:hyperlink>
    </w:p>
    <w:p w14:paraId="00000036"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4">
        <w:r>
          <w:rPr>
            <w:rFonts w:ascii="Arial" w:eastAsia="Arial" w:hAnsi="Arial" w:cs="Arial"/>
            <w:b/>
            <w:color w:val="000000"/>
          </w:rPr>
          <w:t>GOAL 8: Decent Work and Economic Growth</w:t>
        </w:r>
      </w:hyperlink>
    </w:p>
    <w:p w14:paraId="00000037"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5">
        <w:r>
          <w:rPr>
            <w:rFonts w:ascii="Arial" w:eastAsia="Arial" w:hAnsi="Arial" w:cs="Arial"/>
            <w:b/>
            <w:color w:val="000000"/>
          </w:rPr>
          <w:t>GOAL 9: Industry, Innovation and Infrastructure</w:t>
        </w:r>
      </w:hyperlink>
    </w:p>
    <w:p w14:paraId="00000038"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6">
        <w:r>
          <w:rPr>
            <w:rFonts w:ascii="Arial" w:eastAsia="Arial" w:hAnsi="Arial" w:cs="Arial"/>
            <w:b/>
            <w:color w:val="000000"/>
          </w:rPr>
          <w:t>GOAL 10: Reduced Inequality</w:t>
        </w:r>
      </w:hyperlink>
    </w:p>
    <w:p w14:paraId="00000039"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7">
        <w:r>
          <w:rPr>
            <w:rFonts w:ascii="Arial" w:eastAsia="Arial" w:hAnsi="Arial" w:cs="Arial"/>
            <w:b/>
            <w:color w:val="000000"/>
          </w:rPr>
          <w:t>GOAL 11: Sustainable Cities and Communities</w:t>
        </w:r>
      </w:hyperlink>
    </w:p>
    <w:p w14:paraId="0000003A"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8">
        <w:r>
          <w:rPr>
            <w:rFonts w:ascii="Arial" w:eastAsia="Arial" w:hAnsi="Arial" w:cs="Arial"/>
            <w:b/>
            <w:color w:val="000000"/>
          </w:rPr>
          <w:t>GOAL 12: Responsible Consumption and Production</w:t>
        </w:r>
      </w:hyperlink>
    </w:p>
    <w:p w14:paraId="0000003B"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29">
        <w:r>
          <w:rPr>
            <w:rFonts w:ascii="Arial" w:eastAsia="Arial" w:hAnsi="Arial" w:cs="Arial"/>
            <w:b/>
            <w:color w:val="000000"/>
          </w:rPr>
          <w:t>GOAL 13: Climate Action</w:t>
        </w:r>
      </w:hyperlink>
    </w:p>
    <w:p w14:paraId="0000003C"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30">
        <w:r>
          <w:rPr>
            <w:rFonts w:ascii="Arial" w:eastAsia="Arial" w:hAnsi="Arial" w:cs="Arial"/>
            <w:b/>
            <w:color w:val="000000"/>
          </w:rPr>
          <w:t>GOAL 14: Life Below Water</w:t>
        </w:r>
      </w:hyperlink>
    </w:p>
    <w:p w14:paraId="0000003D"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31">
        <w:r>
          <w:rPr>
            <w:rFonts w:ascii="Arial" w:eastAsia="Arial" w:hAnsi="Arial" w:cs="Arial"/>
            <w:b/>
            <w:color w:val="000000"/>
          </w:rPr>
          <w:t>GOAL 15: Life on L</w:t>
        </w:r>
        <w:r>
          <w:rPr>
            <w:rFonts w:ascii="Arial" w:eastAsia="Arial" w:hAnsi="Arial" w:cs="Arial"/>
            <w:b/>
            <w:color w:val="000000"/>
          </w:rPr>
          <w:t>and</w:t>
        </w:r>
      </w:hyperlink>
    </w:p>
    <w:p w14:paraId="0000003E" w14:textId="77777777" w:rsidR="00F04242" w:rsidRDefault="00E4496D">
      <w:pPr>
        <w:pBdr>
          <w:top w:val="nil"/>
          <w:left w:val="nil"/>
          <w:bottom w:val="nil"/>
          <w:right w:val="nil"/>
          <w:between w:val="nil"/>
        </w:pBdr>
        <w:shd w:val="clear" w:color="auto" w:fill="FFFFFF"/>
        <w:spacing w:after="0" w:line="240" w:lineRule="auto"/>
        <w:rPr>
          <w:rFonts w:ascii="Arial" w:eastAsia="Arial" w:hAnsi="Arial" w:cs="Arial"/>
          <w:b/>
          <w:color w:val="000000"/>
        </w:rPr>
      </w:pPr>
      <w:hyperlink r:id="rId32">
        <w:r>
          <w:rPr>
            <w:rFonts w:ascii="Arial" w:eastAsia="Arial" w:hAnsi="Arial" w:cs="Arial"/>
            <w:b/>
            <w:color w:val="000000"/>
          </w:rPr>
          <w:t>GOAL 16: Peace and Justice Strong Institutions</w:t>
        </w:r>
      </w:hyperlink>
    </w:p>
    <w:p w14:paraId="0000003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hyperlink r:id="rId33">
        <w:r>
          <w:rPr>
            <w:rFonts w:ascii="Arial" w:eastAsia="Arial" w:hAnsi="Arial" w:cs="Arial"/>
            <w:b/>
            <w:color w:val="000000"/>
          </w:rPr>
          <w:t>GOAL 17: Partnerships to achieve the Goal</w:t>
        </w:r>
      </w:hyperlink>
    </w:p>
    <w:p w14:paraId="00000040"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Executive Summary</w:t>
      </w:r>
    </w:p>
    <w:p w14:paraId="00000041"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In 2015, the UK took center stage in pushing for the construction and adaptation </w:t>
      </w:r>
      <w:r>
        <w:rPr>
          <w:rFonts w:ascii="Arial" w:eastAsia="Arial" w:hAnsi="Arial" w:cs="Arial"/>
          <w:b/>
        </w:rPr>
        <w:t>of the UN's</w:t>
      </w:r>
      <w:r>
        <w:rPr>
          <w:rFonts w:ascii="Arial" w:eastAsia="Arial" w:hAnsi="Arial" w:cs="Arial"/>
          <w:b/>
          <w:color w:val="000000"/>
        </w:rPr>
        <w:t xml:space="preserve"> 2030 Agenda for Sustainable Development. The UK exerted a lot of pressure to have others commit to the strive</w:t>
      </w:r>
      <w:r>
        <w:rPr>
          <w:rFonts w:ascii="Arial" w:eastAsia="Arial" w:hAnsi="Arial" w:cs="Arial"/>
          <w:b/>
          <w:color w:val="000000"/>
        </w:rPr>
        <w:t xml:space="preserve"> toward gender equality, peace, and security, as well as the supporting promise not to leave anyone behind. To date, these </w:t>
      </w:r>
      <w:proofErr w:type="gramStart"/>
      <w:r>
        <w:rPr>
          <w:rFonts w:ascii="Arial" w:eastAsia="Arial" w:hAnsi="Arial" w:cs="Arial"/>
          <w:b/>
          <w:color w:val="000000"/>
        </w:rPr>
        <w:t>still remain</w:t>
      </w:r>
      <w:proofErr w:type="gramEnd"/>
      <w:r>
        <w:rPr>
          <w:rFonts w:ascii="Arial" w:eastAsia="Arial" w:hAnsi="Arial" w:cs="Arial"/>
          <w:b/>
          <w:color w:val="000000"/>
        </w:rPr>
        <w:t xml:space="preserve"> among the country’s top priorities.</w:t>
      </w:r>
    </w:p>
    <w:p w14:paraId="00000042"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The UK is dedicated to </w:t>
      </w:r>
      <w:r>
        <w:rPr>
          <w:rFonts w:ascii="Arial" w:eastAsia="Arial" w:hAnsi="Arial" w:cs="Arial"/>
          <w:b/>
        </w:rPr>
        <w:t>executing</w:t>
      </w:r>
      <w:r>
        <w:rPr>
          <w:rFonts w:ascii="Arial" w:eastAsia="Arial" w:hAnsi="Arial" w:cs="Arial"/>
          <w:b/>
          <w:color w:val="000000"/>
        </w:rPr>
        <w:t xml:space="preserve"> the SDGs as well as the 2030 Agenda at national and</w:t>
      </w:r>
      <w:r>
        <w:rPr>
          <w:rFonts w:ascii="Arial" w:eastAsia="Arial" w:hAnsi="Arial" w:cs="Arial"/>
          <w:b/>
          <w:color w:val="000000"/>
        </w:rPr>
        <w:t xml:space="preserve"> international levels. Although there is still a lot to be done, significant progress has </w:t>
      </w:r>
      <w:r>
        <w:rPr>
          <w:rFonts w:ascii="Arial" w:eastAsia="Arial" w:hAnsi="Arial" w:cs="Arial"/>
          <w:b/>
          <w:color w:val="000000"/>
        </w:rPr>
        <w:lastRenderedPageBreak/>
        <w:t xml:space="preserve">been made. To implement the goals, </w:t>
      </w:r>
      <w:r>
        <w:rPr>
          <w:rFonts w:ascii="Arial" w:eastAsia="Arial" w:hAnsi="Arial" w:cs="Arial"/>
          <w:b/>
        </w:rPr>
        <w:t>the UK uses</w:t>
      </w:r>
      <w:r>
        <w:rPr>
          <w:rFonts w:ascii="Arial" w:eastAsia="Arial" w:hAnsi="Arial" w:cs="Arial"/>
          <w:b/>
          <w:color w:val="000000"/>
        </w:rPr>
        <w:t xml:space="preserve"> its national frameworks to seize related government priorities. To streamline the process and strengthen delivery throu</w:t>
      </w:r>
      <w:r>
        <w:rPr>
          <w:rFonts w:ascii="Arial" w:eastAsia="Arial" w:hAnsi="Arial" w:cs="Arial"/>
          <w:b/>
          <w:color w:val="000000"/>
        </w:rPr>
        <w:t xml:space="preserve">ghout the country, UK works </w:t>
      </w:r>
      <w:proofErr w:type="gramStart"/>
      <w:r>
        <w:rPr>
          <w:rFonts w:ascii="Arial" w:eastAsia="Arial" w:hAnsi="Arial" w:cs="Arial"/>
          <w:b/>
          <w:color w:val="000000"/>
        </w:rPr>
        <w:t>hand-in-hand</w:t>
      </w:r>
      <w:proofErr w:type="gramEnd"/>
      <w:r>
        <w:rPr>
          <w:rFonts w:ascii="Arial" w:eastAsia="Arial" w:hAnsi="Arial" w:cs="Arial"/>
          <w:b/>
          <w:color w:val="000000"/>
        </w:rPr>
        <w:t xml:space="preserve"> with multiple-level faculties within its system. This strategy recognizes and puts value on the devolution settlements in Wales, Scotland, and Northern Ireland, and allows each to develop and implement policies cust</w:t>
      </w:r>
      <w:r>
        <w:rPr>
          <w:rFonts w:ascii="Arial" w:eastAsia="Arial" w:hAnsi="Arial" w:cs="Arial"/>
          <w:b/>
          <w:color w:val="000000"/>
        </w:rPr>
        <w:t xml:space="preserve">omized to their needs. As such, they develop strategies that are responsive to local and national needs. </w:t>
      </w:r>
    </w:p>
    <w:p w14:paraId="00000043"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UK is performing exceptionally well with 3 of the SDGs including Goals 3 Good Health &amp; Wellbeing, Goal 4 Quality Education, and Goal 17 Partnershi</w:t>
      </w:r>
      <w:r>
        <w:rPr>
          <w:rFonts w:ascii="Arial" w:eastAsia="Arial" w:hAnsi="Arial" w:cs="Arial"/>
          <w:b/>
          <w:color w:val="000000"/>
        </w:rPr>
        <w:t>ps to achieve the Goals. Find below a detailed discussion on how the country achieves these goals.</w:t>
      </w:r>
    </w:p>
    <w:p w14:paraId="00000044"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Understanding Goal 3: Good Health and Well-being</w:t>
      </w:r>
    </w:p>
    <w:p w14:paraId="00000045"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SDG 3 strives to promote the </w:t>
      </w:r>
      <w:r>
        <w:rPr>
          <w:rFonts w:ascii="Arial" w:eastAsia="Arial" w:hAnsi="Arial" w:cs="Arial"/>
          <w:b/>
        </w:rPr>
        <w:t>health</w:t>
      </w:r>
      <w:r>
        <w:rPr>
          <w:rFonts w:ascii="Arial" w:eastAsia="Arial" w:hAnsi="Arial" w:cs="Arial"/>
          <w:b/>
          <w:color w:val="000000"/>
        </w:rPr>
        <w:t xml:space="preserve"> and wellbeing of all by eradicating AIDS, malaria, tuberculosis, and any</w:t>
      </w:r>
      <w:r>
        <w:rPr>
          <w:rFonts w:ascii="Arial" w:eastAsia="Arial" w:hAnsi="Arial" w:cs="Arial"/>
          <w:b/>
          <w:color w:val="000000"/>
        </w:rPr>
        <w:t xml:space="preserve"> communicable diseases by the end of 2030. Its main objective entails attaining universal health coverage, and availing access to safe and effective medication and vaccination to all people, at all ages throughout the globe (Satterthwaite, </w:t>
      </w:r>
      <w:proofErr w:type="spellStart"/>
      <w:r>
        <w:rPr>
          <w:rFonts w:ascii="Arial" w:eastAsia="Arial" w:hAnsi="Arial" w:cs="Arial"/>
          <w:b/>
          <w:color w:val="000000"/>
        </w:rPr>
        <w:t>McGranahan</w:t>
      </w:r>
      <w:proofErr w:type="spellEnd"/>
      <w:r>
        <w:rPr>
          <w:rFonts w:ascii="Arial" w:eastAsia="Arial" w:hAnsi="Arial" w:cs="Arial"/>
          <w:b/>
          <w:color w:val="000000"/>
        </w:rPr>
        <w:t xml:space="preserve">, &amp; </w:t>
      </w:r>
      <w:proofErr w:type="spellStart"/>
      <w:r>
        <w:rPr>
          <w:rFonts w:ascii="Arial" w:eastAsia="Arial" w:hAnsi="Arial" w:cs="Arial"/>
          <w:b/>
          <w:color w:val="000000"/>
        </w:rPr>
        <w:t>Ta</w:t>
      </w:r>
      <w:r>
        <w:rPr>
          <w:rFonts w:ascii="Arial" w:eastAsia="Arial" w:hAnsi="Arial" w:cs="Arial"/>
          <w:b/>
          <w:color w:val="000000"/>
        </w:rPr>
        <w:t>coli</w:t>
      </w:r>
      <w:proofErr w:type="spellEnd"/>
      <w:r>
        <w:rPr>
          <w:rFonts w:ascii="Arial" w:eastAsia="Arial" w:hAnsi="Arial" w:cs="Arial"/>
          <w:b/>
          <w:color w:val="000000"/>
        </w:rPr>
        <w:t xml:space="preserve">, 2010). </w:t>
      </w:r>
    </w:p>
    <w:p w14:paraId="00000046"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b/>
        <w:t>This goal targets and addresses major priorities in health including the reproductive sector (newborn, maternal, child, and adolescent health); infectious / non-infectious diseases; global health coverage; and ready access to effective, safe</w:t>
      </w:r>
      <w:r>
        <w:rPr>
          <w:rFonts w:ascii="Arial" w:eastAsia="Arial" w:hAnsi="Arial" w:cs="Arial"/>
          <w:b/>
          <w:color w:val="000000"/>
        </w:rPr>
        <w:t>, quality, and affordable care (medicines and vaccines) to all.</w:t>
      </w:r>
    </w:p>
    <w:p w14:paraId="00000047"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SDG 3 intends to avert unnecessary suffering and premature deaths caused by preventable diseases. To achieve that, this goal supports the engagement of vital targets that promote the health of</w:t>
      </w:r>
      <w:r>
        <w:rPr>
          <w:rFonts w:ascii="Arial" w:eastAsia="Arial" w:hAnsi="Arial" w:cs="Arial"/>
          <w:b/>
          <w:color w:val="000000"/>
        </w:rPr>
        <w:t xml:space="preserve"> entire populations across nations (Bai, et al., 2012). It encourages the prioritization of areas with the highest disease burden and deserted population groups. As such, it necessitates profound investments in the research process to develop substantial h</w:t>
      </w:r>
      <w:r>
        <w:rPr>
          <w:rFonts w:ascii="Arial" w:eastAsia="Arial" w:hAnsi="Arial" w:cs="Arial"/>
          <w:b/>
          <w:color w:val="000000"/>
        </w:rPr>
        <w:t>ealth financing and as a result contribute to a significant decrease in health risks.</w:t>
      </w:r>
    </w:p>
    <w:p w14:paraId="00000048"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UK’s Take on SDG 3</w:t>
      </w:r>
    </w:p>
    <w:p w14:paraId="00000049"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Health is a huge part </w:t>
      </w:r>
      <w:r>
        <w:rPr>
          <w:rFonts w:ascii="Arial" w:eastAsia="Arial" w:hAnsi="Arial" w:cs="Arial"/>
          <w:b/>
        </w:rPr>
        <w:t>of the UK's</w:t>
      </w:r>
      <w:r>
        <w:rPr>
          <w:rFonts w:ascii="Arial" w:eastAsia="Arial" w:hAnsi="Arial" w:cs="Arial"/>
          <w:b/>
          <w:color w:val="000000"/>
        </w:rPr>
        <w:t xml:space="preserve"> fundamental resources. The country’s healthcare system is effectively promoting the possibility of a healthier, faire</w:t>
      </w:r>
      <w:r>
        <w:rPr>
          <w:rFonts w:ascii="Arial" w:eastAsia="Arial" w:hAnsi="Arial" w:cs="Arial"/>
          <w:b/>
          <w:color w:val="000000"/>
        </w:rPr>
        <w:t xml:space="preserve">r, and more prosperous future by improving its economy, health, and happiness status while averting disease. </w:t>
      </w:r>
    </w:p>
    <w:p w14:paraId="0000004A"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Although it continues dealing with the hardships of having an increasing, elderly, and diversifying population, as well as an upsurge in problems </w:t>
      </w:r>
      <w:r>
        <w:rPr>
          <w:rFonts w:ascii="Arial" w:eastAsia="Arial" w:hAnsi="Arial" w:cs="Arial"/>
          <w:b/>
          <w:color w:val="000000"/>
        </w:rPr>
        <w:t>relating to social and lifestyle diseases, the UK continues to honor its pledge to deliver high-quality healthcare services that are freely accessible to all (Woodcock, et al., 2009).</w:t>
      </w:r>
    </w:p>
    <w:p w14:paraId="0000004B"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UK actively aims at transforming its health care system and the over</w:t>
      </w:r>
      <w:r>
        <w:rPr>
          <w:rFonts w:ascii="Arial" w:eastAsia="Arial" w:hAnsi="Arial" w:cs="Arial"/>
          <w:b/>
          <w:color w:val="000000"/>
        </w:rPr>
        <w:t>all delivery of healthcare within the country and on a global scope as well. It acknowledges and utilizes its potential as a world leader in technological development to initiate positive change in promoting healthcare, prevention, and treatment.</w:t>
      </w:r>
    </w:p>
    <w:p w14:paraId="0000004C"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Preventio</w:t>
      </w:r>
      <w:r>
        <w:rPr>
          <w:rFonts w:ascii="Arial" w:eastAsia="Arial" w:hAnsi="Arial" w:cs="Arial"/>
          <w:b/>
          <w:color w:val="000000"/>
        </w:rPr>
        <w:t xml:space="preserve">n is always better than cure. As such, the UK supports and promotes the need to make healthy choices </w:t>
      </w:r>
      <w:proofErr w:type="gramStart"/>
      <w:r>
        <w:rPr>
          <w:rFonts w:ascii="Arial" w:eastAsia="Arial" w:hAnsi="Arial" w:cs="Arial"/>
          <w:b/>
          <w:color w:val="000000"/>
        </w:rPr>
        <w:t>as a way to</w:t>
      </w:r>
      <w:proofErr w:type="gramEnd"/>
      <w:r>
        <w:rPr>
          <w:rFonts w:ascii="Arial" w:eastAsia="Arial" w:hAnsi="Arial" w:cs="Arial"/>
          <w:b/>
          <w:color w:val="000000"/>
        </w:rPr>
        <w:t xml:space="preserve"> create healthier and longer lives for all. In its approach, the UK engages in vital illness protection tactics and overcoming inequalities in t</w:t>
      </w:r>
      <w:r>
        <w:rPr>
          <w:rFonts w:ascii="Arial" w:eastAsia="Arial" w:hAnsi="Arial" w:cs="Arial"/>
          <w:b/>
          <w:color w:val="000000"/>
        </w:rPr>
        <w:t>he system to promote the health of deprived populations fastest.</w:t>
      </w:r>
    </w:p>
    <w:p w14:paraId="0000004D"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lastRenderedPageBreak/>
        <w:t xml:space="preserve">The UK is an international health and wellness supporter. As a leader in the field, the country is dedicated to overcoming the issue of disease and promoting worldwide health security. It is </w:t>
      </w:r>
      <w:r>
        <w:rPr>
          <w:rFonts w:ascii="Arial" w:eastAsia="Arial" w:hAnsi="Arial" w:cs="Arial"/>
          <w:b/>
          <w:color w:val="000000"/>
        </w:rPr>
        <w:t xml:space="preserve">focused on strengthening healthcare systems throughout the globe to provide superior health outcomes for everyone in the world. </w:t>
      </w:r>
    </w:p>
    <w:p w14:paraId="0000004E"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Understanding Goal 4: Quality Education</w:t>
      </w:r>
    </w:p>
    <w:p w14:paraId="0000004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Goal 4 targets to attain comprehensive and equitable quality education to enhance lasti</w:t>
      </w:r>
      <w:r>
        <w:rPr>
          <w:rFonts w:ascii="Arial" w:eastAsia="Arial" w:hAnsi="Arial" w:cs="Arial"/>
          <w:b/>
          <w:color w:val="000000"/>
        </w:rPr>
        <w:t>ng learning opportunities for everyone. This goal aims at bridging the gap in education by decreasing differences and discriminations in accessing quality education. It identifies the importance of providing quality education to all, and more so to vulnera</w:t>
      </w:r>
      <w:r>
        <w:rPr>
          <w:rFonts w:ascii="Arial" w:eastAsia="Arial" w:hAnsi="Arial" w:cs="Arial"/>
          <w:b/>
          <w:color w:val="000000"/>
        </w:rPr>
        <w:t xml:space="preserve">ble populations such as: those living in rural areas, poor children, refugee children, indigenous people, and special needs children. </w:t>
      </w:r>
    </w:p>
    <w:p w14:paraId="00000050"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Goal 4 is highly important, especially because it plays a major role in influencing the success of the other SDGs (Satter</w:t>
      </w:r>
      <w:r>
        <w:rPr>
          <w:rFonts w:ascii="Arial" w:eastAsia="Arial" w:hAnsi="Arial" w:cs="Arial"/>
          <w:b/>
          <w:color w:val="000000"/>
        </w:rPr>
        <w:t xml:space="preserve">thwaite, </w:t>
      </w:r>
      <w:proofErr w:type="spellStart"/>
      <w:r>
        <w:rPr>
          <w:rFonts w:ascii="Arial" w:eastAsia="Arial" w:hAnsi="Arial" w:cs="Arial"/>
          <w:b/>
          <w:color w:val="000000"/>
        </w:rPr>
        <w:t>McGranahan</w:t>
      </w:r>
      <w:proofErr w:type="spellEnd"/>
      <w:r>
        <w:rPr>
          <w:rFonts w:ascii="Arial" w:eastAsia="Arial" w:hAnsi="Arial" w:cs="Arial"/>
          <w:b/>
          <w:color w:val="000000"/>
        </w:rPr>
        <w:t xml:space="preserve">, &amp; </w:t>
      </w:r>
      <w:proofErr w:type="spellStart"/>
      <w:r>
        <w:rPr>
          <w:rFonts w:ascii="Arial" w:eastAsia="Arial" w:hAnsi="Arial" w:cs="Arial"/>
          <w:b/>
          <w:color w:val="000000"/>
        </w:rPr>
        <w:t>Tacoli</w:t>
      </w:r>
      <w:proofErr w:type="spellEnd"/>
      <w:r>
        <w:rPr>
          <w:rFonts w:ascii="Arial" w:eastAsia="Arial" w:hAnsi="Arial" w:cs="Arial"/>
          <w:b/>
          <w:color w:val="000000"/>
        </w:rPr>
        <w:t xml:space="preserve">, 2010). Sustainable development balances on each child with access to quality education. </w:t>
      </w:r>
      <w:r>
        <w:rPr>
          <w:rFonts w:ascii="Arial" w:eastAsia="Arial" w:hAnsi="Arial" w:cs="Arial"/>
          <w:b/>
        </w:rPr>
        <w:t>Availability of</w:t>
      </w:r>
      <w:r>
        <w:rPr>
          <w:rFonts w:ascii="Arial" w:eastAsia="Arial" w:hAnsi="Arial" w:cs="Arial"/>
          <w:b/>
          <w:color w:val="000000"/>
        </w:rPr>
        <w:t xml:space="preserve"> children with the tools they need to effectively develop their full potential prepares them to become productive in adult</w:t>
      </w:r>
      <w:r>
        <w:rPr>
          <w:rFonts w:ascii="Arial" w:eastAsia="Arial" w:hAnsi="Arial" w:cs="Arial"/>
          <w:b/>
          <w:color w:val="000000"/>
        </w:rPr>
        <w:t>hood, which in turn creates industrious communities thus breaking the chain of poverty. Education supports an upsurging socioeconomic mobility.</w:t>
      </w:r>
    </w:p>
    <w:p w14:paraId="00000051"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b/>
        <w:t>Over the last decade, there has been extensive development in the education sector. More people across the glob</w:t>
      </w:r>
      <w:r>
        <w:rPr>
          <w:rFonts w:ascii="Arial" w:eastAsia="Arial" w:hAnsi="Arial" w:cs="Arial"/>
          <w:b/>
          <w:color w:val="000000"/>
        </w:rPr>
        <w:t>e now have access to quality and effective education, especially with the increased enrollment rates across various levels. More girls are now receiving education.</w:t>
      </w:r>
    </w:p>
    <w:p w14:paraId="00000052"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b/>
        <w:t>Despite UNICEF’s effort to contribute to increased access to quality education opportunitie</w:t>
      </w:r>
      <w:r>
        <w:rPr>
          <w:rFonts w:ascii="Arial" w:eastAsia="Arial" w:hAnsi="Arial" w:cs="Arial"/>
          <w:b/>
          <w:color w:val="000000"/>
        </w:rPr>
        <w:t xml:space="preserve">s and talent growth programs, 260 million children were not in school in 2018 (Haines, et al., 2012). This figure rounds off to approximately a fifth of the entire population of school going children globally. Besides, over half of the global children and </w:t>
      </w:r>
      <w:r>
        <w:rPr>
          <w:rFonts w:ascii="Arial" w:eastAsia="Arial" w:hAnsi="Arial" w:cs="Arial"/>
          <w:b/>
          <w:color w:val="000000"/>
        </w:rPr>
        <w:t xml:space="preserve">adolescent population exhibit below minimum proficiency skills in reading and mathematics. </w:t>
      </w:r>
    </w:p>
    <w:p w14:paraId="00000053"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UNICEF continues to work with governments across the globe to increase inclusivity and the provision of quality education.</w:t>
      </w:r>
    </w:p>
    <w:p w14:paraId="00000054"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UK’s Take on SDG 4</w:t>
      </w:r>
    </w:p>
    <w:p w14:paraId="00000055"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Education is a vital faucet in the accomplishment of Sustainable Development. It is the key to transforming lives, which means that each generation should have improved access to quality education than the preceding one. </w:t>
      </w:r>
    </w:p>
    <w:p w14:paraId="00000056"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UK has set high education stan</w:t>
      </w:r>
      <w:r>
        <w:rPr>
          <w:rFonts w:ascii="Arial" w:eastAsia="Arial" w:hAnsi="Arial" w:cs="Arial"/>
          <w:b/>
          <w:color w:val="000000"/>
        </w:rPr>
        <w:t>dards. The country ensures that the quality of these standards keeps increasing to cultivate improved literacy and numeracy. In the UK, all education providers display competent levels of accountability and autonomy. They also present a well-developed curr</w:t>
      </w:r>
      <w:r>
        <w:rPr>
          <w:rFonts w:ascii="Arial" w:eastAsia="Arial" w:hAnsi="Arial" w:cs="Arial"/>
          <w:b/>
          <w:color w:val="000000"/>
        </w:rPr>
        <w:t xml:space="preserve">iculum. Students in Wales, England, and Northern Ireland particularly have access to developing and innovative programs and policies. </w:t>
      </w:r>
    </w:p>
    <w:p w14:paraId="00000057"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UK is doing exceptionally well on the education front when compared to other countries across the globe, however, the</w:t>
      </w:r>
      <w:r>
        <w:rPr>
          <w:rFonts w:ascii="Arial" w:eastAsia="Arial" w:hAnsi="Arial" w:cs="Arial"/>
          <w:b/>
          <w:color w:val="000000"/>
        </w:rPr>
        <w:t>re is still a huge gap between disadvantaged groups and the more affluent ones. The country also needs to develop technical education to match the quality of academic education. As a result, it will significantly increase the value and number of skilled wo</w:t>
      </w:r>
      <w:r>
        <w:rPr>
          <w:rFonts w:ascii="Arial" w:eastAsia="Arial" w:hAnsi="Arial" w:cs="Arial"/>
          <w:b/>
          <w:color w:val="000000"/>
        </w:rPr>
        <w:t xml:space="preserve">rkforces to support its future endeavors. </w:t>
      </w:r>
      <w:r>
        <w:rPr>
          <w:rFonts w:ascii="Arial" w:eastAsia="Arial" w:hAnsi="Arial" w:cs="Arial"/>
          <w:b/>
          <w:color w:val="000000"/>
        </w:rPr>
        <w:lastRenderedPageBreak/>
        <w:t xml:space="preserve">The UK should implement these changes while still sustaining an active and engaged teaching workforce. </w:t>
      </w:r>
    </w:p>
    <w:p w14:paraId="00000058"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Inclusivity is at the core </w:t>
      </w:r>
      <w:r>
        <w:rPr>
          <w:rFonts w:ascii="Arial" w:eastAsia="Arial" w:hAnsi="Arial" w:cs="Arial"/>
          <w:b/>
        </w:rPr>
        <w:t>of the UK's</w:t>
      </w:r>
      <w:r>
        <w:rPr>
          <w:rFonts w:ascii="Arial" w:eastAsia="Arial" w:hAnsi="Arial" w:cs="Arial"/>
          <w:b/>
          <w:color w:val="000000"/>
        </w:rPr>
        <w:t xml:space="preserve"> education system. The inclusivity policy ensures that the country culti</w:t>
      </w:r>
      <w:r>
        <w:rPr>
          <w:rFonts w:ascii="Arial" w:eastAsia="Arial" w:hAnsi="Arial" w:cs="Arial"/>
          <w:b/>
          <w:color w:val="000000"/>
        </w:rPr>
        <w:t>vates the full potential of all learners irrespective of age. Internationally, The UK is a global leader in helping combat extreme poverty through education. It has remained steadfast and continues to put in all efforts to get through to the most marginali</w:t>
      </w:r>
      <w:r>
        <w:rPr>
          <w:rFonts w:ascii="Arial" w:eastAsia="Arial" w:hAnsi="Arial" w:cs="Arial"/>
          <w:b/>
          <w:color w:val="000000"/>
        </w:rPr>
        <w:t>zed communities.</w:t>
      </w:r>
    </w:p>
    <w:p w14:paraId="00000059"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Understanding Goal 17: Partnerships to achieve the Goals</w:t>
      </w:r>
    </w:p>
    <w:p w14:paraId="0000005A"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Goal 17 seeks to reinforce implementation resources and revive international partnerships for sustainable development. Partnerships are the pathway to successful SDG implementation. </w:t>
      </w:r>
      <w:r>
        <w:rPr>
          <w:rFonts w:ascii="Arial" w:eastAsia="Arial" w:hAnsi="Arial" w:cs="Arial"/>
          <w:b/>
          <w:color w:val="000000"/>
        </w:rPr>
        <w:t xml:space="preserve">They are also the key to making the 2030 Agenda a reality. Goal 17 seeks to exploit all possibilities for strong and effective partnerships with diverse stakeholders across borders. </w:t>
      </w:r>
    </w:p>
    <w:p w14:paraId="0000005B"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Goal 17 targets constitute the basic tools required in the successful gro</w:t>
      </w:r>
      <w:r>
        <w:rPr>
          <w:rFonts w:ascii="Arial" w:eastAsia="Arial" w:hAnsi="Arial" w:cs="Arial"/>
          <w:b/>
          <w:color w:val="000000"/>
        </w:rPr>
        <w:t>wth and development of child rights and well-being throughout the globe. For instance, it describes the availability of data needed to identify children faced with the highest risk of being left behind. It also evaluates if the available data is sufficient</w:t>
      </w:r>
      <w:r>
        <w:rPr>
          <w:rFonts w:ascii="Arial" w:eastAsia="Arial" w:hAnsi="Arial" w:cs="Arial"/>
          <w:b/>
          <w:color w:val="000000"/>
        </w:rPr>
        <w:t xml:space="preserve"> to conduct a strong survey.</w:t>
      </w:r>
    </w:p>
    <w:p w14:paraId="0000005C"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In 2018, more countries implemented national statistics plans than the preceding years. However, many lacked adequate funding for successful implementation. In sub-Saharan Africa, for example, only 23% of the plans managed to s</w:t>
      </w:r>
      <w:r>
        <w:rPr>
          <w:rFonts w:ascii="Arial" w:eastAsia="Arial" w:hAnsi="Arial" w:cs="Arial"/>
          <w:b/>
          <w:color w:val="000000"/>
        </w:rPr>
        <w:t xml:space="preserve">ecure full funding. While </w:t>
      </w:r>
      <w:r>
        <w:rPr>
          <w:rFonts w:ascii="Arial" w:eastAsia="Arial" w:hAnsi="Arial" w:cs="Arial"/>
          <w:b/>
        </w:rPr>
        <w:t>gathering</w:t>
      </w:r>
      <w:r>
        <w:rPr>
          <w:rFonts w:ascii="Arial" w:eastAsia="Arial" w:hAnsi="Arial" w:cs="Arial"/>
          <w:b/>
          <w:color w:val="000000"/>
        </w:rPr>
        <w:t xml:space="preserve"> enough data on all SDGs is a prerequisite for the actualization of child rights, UNICEF prioritizes work on the Global Goals pointers that screen the frameworks that have the most direct effect on children. </w:t>
      </w:r>
    </w:p>
    <w:p w14:paraId="0000005D"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Data coverag</w:t>
      </w:r>
      <w:r>
        <w:rPr>
          <w:rFonts w:ascii="Arial" w:eastAsia="Arial" w:hAnsi="Arial" w:cs="Arial"/>
          <w:b/>
          <w:color w:val="000000"/>
        </w:rPr>
        <w:t xml:space="preserve">e on these indicators has significantly increased over the years. However, most of them convey insufficient data or deficient progress to effectively attain SDG targets by 2030 (Haines, et al., 2012). </w:t>
      </w:r>
    </w:p>
    <w:p w14:paraId="0000005E"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UK’s Take on Goal 17</w:t>
      </w:r>
    </w:p>
    <w:p w14:paraId="0000005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Partnerships are vital to the att</w:t>
      </w:r>
      <w:r>
        <w:rPr>
          <w:rFonts w:ascii="Arial" w:eastAsia="Arial" w:hAnsi="Arial" w:cs="Arial"/>
          <w:b/>
          <w:color w:val="000000"/>
        </w:rPr>
        <w:t>ainment of the 2030 agenda. To successfully realize the goals of the 2030 Agenda, all countries must combine efforts to raise sufficient resources and mobilize them effectively. Precise investment together with the sufficient capacity of various government</w:t>
      </w:r>
      <w:r>
        <w:rPr>
          <w:rFonts w:ascii="Arial" w:eastAsia="Arial" w:hAnsi="Arial" w:cs="Arial"/>
          <w:b/>
          <w:color w:val="000000"/>
        </w:rPr>
        <w:t xml:space="preserve">s can efficiently bring together strong global systems to empower partners to contribute. </w:t>
      </w:r>
    </w:p>
    <w:p w14:paraId="00000060"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The UK government is a major partner and taking charge of vital roles. In 2013, for example, the UK was the first G20 nation to attain UN’s target to assign 0.7% of </w:t>
      </w:r>
      <w:r>
        <w:rPr>
          <w:rFonts w:ascii="Arial" w:eastAsia="Arial" w:hAnsi="Arial" w:cs="Arial"/>
          <w:b/>
          <w:color w:val="000000"/>
        </w:rPr>
        <w:t xml:space="preserve">its gross national income to the Official Development Assistance. Over the years, UK has continued to meet this target years after another. </w:t>
      </w:r>
    </w:p>
    <w:p w14:paraId="00000061"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More importantly, the UK constantly seeks to attain the highest standards to support results, transparency, effecti</w:t>
      </w:r>
      <w:r>
        <w:rPr>
          <w:rFonts w:ascii="Arial" w:eastAsia="Arial" w:hAnsi="Arial" w:cs="Arial"/>
          <w:b/>
          <w:color w:val="000000"/>
        </w:rPr>
        <w:t>veness, and value for money. These ambitions have been conveyed in various writings including the Aid Reviews, Civil Society Partnership Review (2016); Economic Development Strategy (2017) for international development; and its Transparency Agenda – Open A</w:t>
      </w:r>
      <w:r>
        <w:rPr>
          <w:rFonts w:ascii="Arial" w:eastAsia="Arial" w:hAnsi="Arial" w:cs="Arial"/>
          <w:b/>
          <w:color w:val="000000"/>
        </w:rPr>
        <w:t>id, Open Societies (2018)</w:t>
      </w:r>
    </w:p>
    <w:p w14:paraId="00000062"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The UK is constantly developing its relationships and joining forces with new and existing partners to tackle evolving challenges (Capon, 2007). The UK public is also </w:t>
      </w:r>
      <w:r>
        <w:rPr>
          <w:rFonts w:ascii="Arial" w:eastAsia="Arial" w:hAnsi="Arial" w:cs="Arial"/>
          <w:b/>
          <w:color w:val="000000"/>
        </w:rPr>
        <w:lastRenderedPageBreak/>
        <w:t xml:space="preserve">actively involved in the execution of the agenda, and they are </w:t>
      </w:r>
      <w:r>
        <w:rPr>
          <w:rFonts w:ascii="Arial" w:eastAsia="Arial" w:hAnsi="Arial" w:cs="Arial"/>
          <w:b/>
          <w:color w:val="000000"/>
        </w:rPr>
        <w:t>effectively contributing to the achievement of goals both at national and international levels. UK citizens are generously donating money and time to support causes they believe in, and such initiatives as UK Aid Match and employer-backed volunteering.</w:t>
      </w:r>
    </w:p>
    <w:p w14:paraId="00000063"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Act</w:t>
      </w:r>
      <w:r>
        <w:rPr>
          <w:rFonts w:ascii="Arial" w:eastAsia="Arial" w:hAnsi="Arial" w:cs="Arial"/>
          <w:b/>
          <w:color w:val="000000"/>
        </w:rPr>
        <w:t>ion in the UK: Policies Adopted by the UK Government to Meet these 3 Goals</w:t>
      </w:r>
    </w:p>
    <w:p w14:paraId="00000064"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Goal 3: Policies Adopted to Meet Good Health and Well-being </w:t>
      </w:r>
    </w:p>
    <w:p w14:paraId="00000065"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All nations within the UK have an unwavering commitment toward the National Health Service that’s free and accessible to</w:t>
      </w:r>
      <w:r>
        <w:rPr>
          <w:rFonts w:ascii="Arial" w:eastAsia="Arial" w:hAnsi="Arial" w:cs="Arial"/>
          <w:b/>
          <w:color w:val="000000"/>
        </w:rPr>
        <w:t xml:space="preserve"> all, which also </w:t>
      </w:r>
      <w:r>
        <w:rPr>
          <w:rFonts w:ascii="Arial" w:eastAsia="Arial" w:hAnsi="Arial" w:cs="Arial"/>
          <w:b/>
        </w:rPr>
        <w:t>provides high-quality</w:t>
      </w:r>
      <w:r>
        <w:rPr>
          <w:rFonts w:ascii="Arial" w:eastAsia="Arial" w:hAnsi="Arial" w:cs="Arial"/>
          <w:b/>
          <w:color w:val="000000"/>
        </w:rPr>
        <w:t xml:space="preserve"> care based on medical need. </w:t>
      </w:r>
    </w:p>
    <w:p w14:paraId="00000066"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In England alone, over 6 million people have accessed NHS services starting from 2013. The NHS program is the biggest prevention program across the world. It is a free for all program that</w:t>
      </w:r>
      <w:r>
        <w:rPr>
          <w:rFonts w:ascii="Arial" w:eastAsia="Arial" w:hAnsi="Arial" w:cs="Arial"/>
          <w:b/>
          <w:color w:val="000000"/>
        </w:rPr>
        <w:t xml:space="preserve"> is accessible to the most disadvantaged communities, making them the biggest population of NHS’s beneficiaries (Bai, et al., 2012). </w:t>
      </w:r>
    </w:p>
    <w:p w14:paraId="00000067"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There are several goals under goal three including maternal; neonatal; communicable diseases; sexual and reproductive heal</w:t>
      </w:r>
      <w:r>
        <w:rPr>
          <w:rFonts w:ascii="Arial" w:eastAsia="Arial" w:hAnsi="Arial" w:cs="Arial"/>
          <w:b/>
          <w:color w:val="000000"/>
        </w:rPr>
        <w:t>th; healthy and safe environment; healthy minds, bodies, and lifestyles; and prevention and treatment among others (Proust, et al., 2012). Some of these goals are discussed below to establish the policies employed across various goals in different countrie</w:t>
      </w:r>
      <w:r>
        <w:rPr>
          <w:rFonts w:ascii="Arial" w:eastAsia="Arial" w:hAnsi="Arial" w:cs="Arial"/>
          <w:b/>
          <w:color w:val="000000"/>
        </w:rPr>
        <w:t>s within the UK and the resultant outcomes.</w:t>
      </w:r>
    </w:p>
    <w:p w14:paraId="00000068"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England</w:t>
      </w:r>
    </w:p>
    <w:p w14:paraId="00000069" w14:textId="77777777" w:rsidR="00F04242" w:rsidRDefault="00E4496D">
      <w:pPr>
        <w:numPr>
          <w:ilvl w:val="0"/>
          <w:numId w:val="6"/>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Goal 3.1 Maternal and Goal 3.2 Neonatal</w:t>
      </w:r>
    </w:p>
    <w:p w14:paraId="0000006A"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Since 2010, the rate of stillbirths in England </w:t>
      </w:r>
      <w:r>
        <w:rPr>
          <w:rFonts w:ascii="Arial" w:eastAsia="Arial" w:hAnsi="Arial" w:cs="Arial"/>
          <w:b/>
        </w:rPr>
        <w:t>has</w:t>
      </w:r>
      <w:r>
        <w:rPr>
          <w:rFonts w:ascii="Arial" w:eastAsia="Arial" w:hAnsi="Arial" w:cs="Arial"/>
          <w:b/>
          <w:color w:val="000000"/>
        </w:rPr>
        <w:t xml:space="preserve"> fallen by over 18.8%, while that of neonatal mortality has experienced a 5.8% decrease. To achieve these results, the nation had invested over £40 million in its maternity services for the period between 2010 and 2018. In 2017, the country invested an add</w:t>
      </w:r>
      <w:r>
        <w:rPr>
          <w:rFonts w:ascii="Arial" w:eastAsia="Arial" w:hAnsi="Arial" w:cs="Arial"/>
          <w:b/>
          <w:color w:val="000000"/>
        </w:rPr>
        <w:t>itional £9 million to aid such activities as safety training for their maternity teams (Griggs, et al., 2013). These measures support the 2030 Agenda and aim to reduce the rates of stillbirths, maternal and neonatal deaths, and brain injury in babies durin</w:t>
      </w:r>
      <w:r>
        <w:rPr>
          <w:rFonts w:ascii="Arial" w:eastAsia="Arial" w:hAnsi="Arial" w:cs="Arial"/>
          <w:b/>
          <w:color w:val="000000"/>
        </w:rPr>
        <w:t xml:space="preserve">g </w:t>
      </w:r>
      <w:r>
        <w:rPr>
          <w:rFonts w:ascii="Arial" w:eastAsia="Arial" w:hAnsi="Arial" w:cs="Arial"/>
          <w:b/>
        </w:rPr>
        <w:t>childbirth</w:t>
      </w:r>
      <w:r>
        <w:rPr>
          <w:rFonts w:ascii="Arial" w:eastAsia="Arial" w:hAnsi="Arial" w:cs="Arial"/>
          <w:b/>
          <w:color w:val="000000"/>
        </w:rPr>
        <w:t xml:space="preserve"> by 50% by 2025. </w:t>
      </w:r>
    </w:p>
    <w:p w14:paraId="0000006B" w14:textId="77777777" w:rsidR="00F04242" w:rsidRDefault="00E4496D">
      <w:pPr>
        <w:numPr>
          <w:ilvl w:val="0"/>
          <w:numId w:val="6"/>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Communicable Diseases (Goals 3.3, 3.6, &amp; 3.8)</w:t>
      </w:r>
    </w:p>
    <w:p w14:paraId="0000006C"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Between 2015 and 2017, England’s strategies to stop new HIV transmissions resulted in a 28% decrease in new infections. Vaccination is the second most efficient public health inter</w:t>
      </w:r>
      <w:r>
        <w:rPr>
          <w:rFonts w:ascii="Arial" w:eastAsia="Arial" w:hAnsi="Arial" w:cs="Arial"/>
          <w:b/>
          <w:color w:val="000000"/>
        </w:rPr>
        <w:t>vention after clean water usage. It is highly effective in protecting children as well as adults from diseases (Woodcock, et al., 2009). According to the World Health Organization hesitancy to vaccination is among the top 10 threats to global health by 201</w:t>
      </w:r>
      <w:r>
        <w:rPr>
          <w:rFonts w:ascii="Arial" w:eastAsia="Arial" w:hAnsi="Arial" w:cs="Arial"/>
          <w:b/>
          <w:color w:val="000000"/>
        </w:rPr>
        <w:t>9. Infection prevention by vaccination and practicing effective Infection Prevention and Control (IPC) have been vital in England’s fight against antimicrobial resistance.</w:t>
      </w:r>
    </w:p>
    <w:p w14:paraId="0000006D" w14:textId="77777777" w:rsidR="00F04242" w:rsidRDefault="00E4496D">
      <w:pPr>
        <w:numPr>
          <w:ilvl w:val="0"/>
          <w:numId w:val="6"/>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Healthy and Safe Environment (Goals 3.6 and 3.9)</w:t>
      </w:r>
    </w:p>
    <w:p w14:paraId="0000006E"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UK has adopted the Clean Air St</w:t>
      </w:r>
      <w:r>
        <w:rPr>
          <w:rFonts w:ascii="Arial" w:eastAsia="Arial" w:hAnsi="Arial" w:cs="Arial"/>
          <w:b/>
          <w:color w:val="000000"/>
        </w:rPr>
        <w:t xml:space="preserve">rategy to combat one of the biggest challenges facing the state of its public’s health. In 2017, 5.1% of adult fatalities in England were ascribed to particulate air pollution (Dannenberg, </w:t>
      </w:r>
      <w:proofErr w:type="spellStart"/>
      <w:r>
        <w:rPr>
          <w:rFonts w:ascii="Arial" w:eastAsia="Arial" w:hAnsi="Arial" w:cs="Arial"/>
          <w:b/>
          <w:color w:val="000000"/>
        </w:rPr>
        <w:t>Frumkin</w:t>
      </w:r>
      <w:proofErr w:type="spellEnd"/>
      <w:r>
        <w:rPr>
          <w:rFonts w:ascii="Arial" w:eastAsia="Arial" w:hAnsi="Arial" w:cs="Arial"/>
          <w:b/>
          <w:color w:val="000000"/>
        </w:rPr>
        <w:t xml:space="preserve">, &amp; Jackson, 2011). The policy aims at reducing by half the </w:t>
      </w:r>
      <w:r>
        <w:rPr>
          <w:rFonts w:ascii="Arial" w:eastAsia="Arial" w:hAnsi="Arial" w:cs="Arial"/>
          <w:b/>
          <w:color w:val="000000"/>
        </w:rPr>
        <w:t xml:space="preserve">population of those living in </w:t>
      </w:r>
      <w:r>
        <w:rPr>
          <w:rFonts w:ascii="Arial" w:eastAsia="Arial" w:hAnsi="Arial" w:cs="Arial"/>
          <w:b/>
        </w:rPr>
        <w:t>areas that</w:t>
      </w:r>
      <w:r>
        <w:rPr>
          <w:rFonts w:ascii="Arial" w:eastAsia="Arial" w:hAnsi="Arial" w:cs="Arial"/>
          <w:b/>
          <w:color w:val="000000"/>
        </w:rPr>
        <w:t xml:space="preserve"> fail to adhere to WHO’s guidelines regarding particulate substances by 2025. </w:t>
      </w:r>
    </w:p>
    <w:p w14:paraId="0000006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lastRenderedPageBreak/>
        <w:t>Scotland</w:t>
      </w:r>
    </w:p>
    <w:p w14:paraId="00000070" w14:textId="77777777" w:rsidR="00F04242" w:rsidRDefault="00E4496D">
      <w:pPr>
        <w:numPr>
          <w:ilvl w:val="0"/>
          <w:numId w:val="7"/>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Prevention and Treatment (Goals 3.3, 3.4, 3.5, 3.6, and 3.7)</w:t>
      </w:r>
    </w:p>
    <w:p w14:paraId="00000071"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Drugs, smoking, alcohol, and diet pose a major health threat to the citizens of Scotland. However, actions are effectively being pursued to curb these problems (McMichael, 2000). The Alcohol Framework 2018: Preventing Harm is craftly working on decreasing </w:t>
      </w:r>
      <w:r>
        <w:rPr>
          <w:rFonts w:ascii="Arial" w:eastAsia="Arial" w:hAnsi="Arial" w:cs="Arial"/>
          <w:b/>
          <w:color w:val="000000"/>
        </w:rPr>
        <w:t xml:space="preserve">health iniquities relating to alcohol and drug consumption within the Scottish public. In June 2018, they developed a five-year plan to create a tobacco-free generation by contributing to a 5% decrease in the overall number of tobacco consumers within the </w:t>
      </w:r>
      <w:r>
        <w:rPr>
          <w:rFonts w:ascii="Arial" w:eastAsia="Arial" w:hAnsi="Arial" w:cs="Arial"/>
          <w:b/>
          <w:color w:val="000000"/>
        </w:rPr>
        <w:t>nation by 2034.</w:t>
      </w:r>
    </w:p>
    <w:p w14:paraId="00000072" w14:textId="77777777" w:rsidR="00F04242" w:rsidRDefault="00E4496D">
      <w:pPr>
        <w:numPr>
          <w:ilvl w:val="0"/>
          <w:numId w:val="7"/>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Mental Health</w:t>
      </w:r>
    </w:p>
    <w:p w14:paraId="00000073"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Mental health is a major problem that negatively influences public health. In Scotland, the rate of suicides attributable to mental health have been decreasing steadily since 2002.In 2017, Scotland’s male suicide rate was over</w:t>
      </w:r>
      <w:r>
        <w:rPr>
          <w:rFonts w:ascii="Arial" w:eastAsia="Arial" w:hAnsi="Arial" w:cs="Arial"/>
          <w:b/>
          <w:color w:val="000000"/>
        </w:rPr>
        <w:t xml:space="preserve"> three times higher than that of females. According to research, there is a strong bond between deprivation and suicide. </w:t>
      </w:r>
    </w:p>
    <w:p w14:paraId="00000074"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In </w:t>
      </w:r>
      <w:r>
        <w:rPr>
          <w:rFonts w:ascii="Arial" w:eastAsia="Arial" w:hAnsi="Arial" w:cs="Arial"/>
          <w:b/>
        </w:rPr>
        <w:t>view</w:t>
      </w:r>
      <w:r>
        <w:rPr>
          <w:rFonts w:ascii="Arial" w:eastAsia="Arial" w:hAnsi="Arial" w:cs="Arial"/>
          <w:b/>
          <w:color w:val="000000"/>
        </w:rPr>
        <w:t xml:space="preserve"> of this information, Scotland developed Scotland’s Mental Health Strategy 2017-2027 that provides actions to help people dealing with mental health issues to receive appropriate help in a timely fashion. The policy delivers packages that help mentally ill</w:t>
      </w:r>
      <w:r>
        <w:rPr>
          <w:rFonts w:ascii="Arial" w:eastAsia="Arial" w:hAnsi="Arial" w:cs="Arial"/>
          <w:b/>
          <w:color w:val="000000"/>
        </w:rPr>
        <w:t xml:space="preserve"> people to work toward recovery and later live a guilt free life without any stigma. Through this strategy, Scotland is availing guidance and counseling to all in need by deploying nurses and </w:t>
      </w:r>
      <w:r>
        <w:rPr>
          <w:rFonts w:ascii="Arial" w:eastAsia="Arial" w:hAnsi="Arial" w:cs="Arial"/>
          <w:b/>
        </w:rPr>
        <w:t>counselors</w:t>
      </w:r>
      <w:r>
        <w:rPr>
          <w:rFonts w:ascii="Arial" w:eastAsia="Arial" w:hAnsi="Arial" w:cs="Arial"/>
          <w:b/>
          <w:color w:val="000000"/>
        </w:rPr>
        <w:t xml:space="preserve"> in various schools, colleges, and communities across </w:t>
      </w:r>
      <w:r>
        <w:rPr>
          <w:rFonts w:ascii="Arial" w:eastAsia="Arial" w:hAnsi="Arial" w:cs="Arial"/>
          <w:b/>
          <w:color w:val="000000"/>
        </w:rPr>
        <w:t>the nation.</w:t>
      </w:r>
    </w:p>
    <w:p w14:paraId="00000075"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 Suicide Prevention Action Plan: All Life Matters is an additional strategy that works in support of Scotland’s Mental Health Strategy 2017-2027 to further reduce cases of suicide throughout the country. When it was developed, the policy aimed</w:t>
      </w:r>
      <w:r>
        <w:rPr>
          <w:rFonts w:ascii="Arial" w:eastAsia="Arial" w:hAnsi="Arial" w:cs="Arial"/>
          <w:b/>
          <w:color w:val="000000"/>
        </w:rPr>
        <w:t xml:space="preserve"> to achieve a 20% reduction in the overall suicide cases in the country by the end of 2022. </w:t>
      </w:r>
    </w:p>
    <w:p w14:paraId="00000076"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Goal 4: Policies Adopted to Meet Quality Education</w:t>
      </w:r>
    </w:p>
    <w:p w14:paraId="00000077"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England</w:t>
      </w:r>
    </w:p>
    <w:p w14:paraId="00000078" w14:textId="77777777" w:rsidR="00F04242" w:rsidRDefault="00E4496D">
      <w:pPr>
        <w:numPr>
          <w:ilvl w:val="0"/>
          <w:numId w:val="1"/>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Inclusive Education (Goals 4.3 and 4.5)</w:t>
      </w:r>
    </w:p>
    <w:p w14:paraId="00000079"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Children and Families Act 2014 developed an assumption of conventional education for England’s Special Education Needs (SEN) and Special Education Needs and Disability (SEND) children. This policy allows children and young people with diverse needs acc</w:t>
      </w:r>
      <w:r>
        <w:rPr>
          <w:rFonts w:ascii="Arial" w:eastAsia="Arial" w:hAnsi="Arial" w:cs="Arial"/>
          <w:b/>
          <w:color w:val="000000"/>
        </w:rPr>
        <w:t>ess to effective opportunities to help them develop the necessary social skills. These skills allow SEN/SEND children to lead better, happier, and successful lives (McMichael, 2000). Later in life they can utilize their education to get employed.</w:t>
      </w:r>
    </w:p>
    <w:p w14:paraId="0000007A" w14:textId="77777777" w:rsidR="00F04242" w:rsidRDefault="00E4496D">
      <w:pPr>
        <w:numPr>
          <w:ilvl w:val="0"/>
          <w:numId w:val="1"/>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Effective</w:t>
      </w:r>
      <w:r>
        <w:rPr>
          <w:rFonts w:ascii="Arial" w:eastAsia="Arial" w:hAnsi="Arial" w:cs="Arial"/>
          <w:b/>
          <w:color w:val="000000"/>
        </w:rPr>
        <w:t xml:space="preserve"> Learning Environments (Goal 4.a)</w:t>
      </w:r>
    </w:p>
    <w:p w14:paraId="0000007B"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England employs the policy “Keeping Children Safe in Education” to ensure that all schools develop a benign and accessible learning environment. There are contracts that ensure schools do not construct building that are no</w:t>
      </w:r>
      <w:r>
        <w:rPr>
          <w:rFonts w:ascii="Arial" w:eastAsia="Arial" w:hAnsi="Arial" w:cs="Arial"/>
          <w:b/>
          <w:color w:val="000000"/>
        </w:rPr>
        <w:t>t favorable for SEN/SEND children in aspects relating to access, learning spaces, social spaces, and teaching methods.</w:t>
      </w:r>
    </w:p>
    <w:p w14:paraId="0000007C"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lastRenderedPageBreak/>
        <w:t>Scotland</w:t>
      </w:r>
    </w:p>
    <w:p w14:paraId="0000007D" w14:textId="77777777" w:rsidR="00F04242" w:rsidRDefault="00E4496D">
      <w:pPr>
        <w:numPr>
          <w:ilvl w:val="0"/>
          <w:numId w:val="2"/>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Early Learning all the way to school years (Goals 4.1, 4.2, 4.5, 4.6, &amp; 4.7)</w:t>
      </w:r>
    </w:p>
    <w:p w14:paraId="0000007E" w14:textId="77777777" w:rsidR="00F04242" w:rsidRDefault="00E4496D">
      <w:pPr>
        <w:pBdr>
          <w:top w:val="nil"/>
          <w:left w:val="nil"/>
          <w:bottom w:val="nil"/>
          <w:right w:val="nil"/>
          <w:between w:val="nil"/>
        </w:pBdr>
        <w:shd w:val="clear" w:color="auto" w:fill="FFFFFF"/>
        <w:spacing w:after="240" w:line="240" w:lineRule="auto"/>
        <w:ind w:firstLine="360"/>
        <w:rPr>
          <w:rFonts w:ascii="Arial" w:eastAsia="Arial" w:hAnsi="Arial" w:cs="Arial"/>
          <w:b/>
          <w:color w:val="000000"/>
        </w:rPr>
      </w:pPr>
      <w:r>
        <w:rPr>
          <w:rFonts w:ascii="Arial" w:eastAsia="Arial" w:hAnsi="Arial" w:cs="Arial"/>
          <w:b/>
          <w:color w:val="000000"/>
        </w:rPr>
        <w:t>Scotland effectively employs the policy Children and Young People Improvement Collaborative to streamline the learning process. This policy is designed to effectively cultivate positive outcomes in learners by promoting equality and responsiveness througho</w:t>
      </w:r>
      <w:r>
        <w:rPr>
          <w:rFonts w:ascii="Arial" w:eastAsia="Arial" w:hAnsi="Arial" w:cs="Arial"/>
          <w:b/>
          <w:color w:val="000000"/>
        </w:rPr>
        <w:t xml:space="preserve">ut the system (Dannenberg, </w:t>
      </w:r>
      <w:proofErr w:type="spellStart"/>
      <w:r>
        <w:rPr>
          <w:rFonts w:ascii="Arial" w:eastAsia="Arial" w:hAnsi="Arial" w:cs="Arial"/>
          <w:b/>
          <w:color w:val="000000"/>
        </w:rPr>
        <w:t>Frumkin</w:t>
      </w:r>
      <w:proofErr w:type="spellEnd"/>
      <w:r>
        <w:rPr>
          <w:rFonts w:ascii="Arial" w:eastAsia="Arial" w:hAnsi="Arial" w:cs="Arial"/>
          <w:b/>
          <w:color w:val="000000"/>
        </w:rPr>
        <w:t xml:space="preserve">, &amp; Jackson, 2011). Scotland supports its young learners with the help of such policies and initiatives as the Curriculum for </w:t>
      </w:r>
      <w:r>
        <w:rPr>
          <w:rFonts w:ascii="Arial" w:eastAsia="Arial" w:hAnsi="Arial" w:cs="Arial"/>
          <w:b/>
        </w:rPr>
        <w:t>Excellence</w:t>
      </w:r>
      <w:r>
        <w:rPr>
          <w:rFonts w:ascii="Arial" w:eastAsia="Arial" w:hAnsi="Arial" w:cs="Arial"/>
          <w:b/>
          <w:color w:val="000000"/>
        </w:rPr>
        <w:t xml:space="preserve">. </w:t>
      </w:r>
    </w:p>
    <w:p w14:paraId="0000007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Scotland is dedicated to practicing inclusive continuous education, skill developme</w:t>
      </w:r>
      <w:r>
        <w:rPr>
          <w:rFonts w:ascii="Arial" w:eastAsia="Arial" w:hAnsi="Arial" w:cs="Arial"/>
          <w:b/>
          <w:color w:val="000000"/>
        </w:rPr>
        <w:t>nt, and training for learners and young adults who have completed school. To support this agenda, Scotland started:</w:t>
      </w:r>
    </w:p>
    <w:p w14:paraId="00000080" w14:textId="77777777" w:rsidR="00F04242" w:rsidRDefault="00E4496D">
      <w:pPr>
        <w:numPr>
          <w:ilvl w:val="0"/>
          <w:numId w:val="3"/>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Free university education for Scottish and EU students</w:t>
      </w:r>
    </w:p>
    <w:p w14:paraId="00000081" w14:textId="77777777" w:rsidR="00F04242" w:rsidRDefault="00E4496D">
      <w:pPr>
        <w:numPr>
          <w:ilvl w:val="0"/>
          <w:numId w:val="3"/>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Financial support for students in dire need</w:t>
      </w:r>
    </w:p>
    <w:p w14:paraId="00000082" w14:textId="77777777" w:rsidR="00F04242" w:rsidRDefault="00E4496D">
      <w:pPr>
        <w:numPr>
          <w:ilvl w:val="0"/>
          <w:numId w:val="3"/>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Combating gender-based violence in all le</w:t>
      </w:r>
      <w:r>
        <w:rPr>
          <w:rFonts w:ascii="Arial" w:eastAsia="Arial" w:hAnsi="Arial" w:cs="Arial"/>
          <w:b/>
          <w:color w:val="000000"/>
        </w:rPr>
        <w:t>arning institutions including colleges and universities by providing students with much needed support systems</w:t>
      </w:r>
    </w:p>
    <w:p w14:paraId="00000083" w14:textId="77777777" w:rsidR="00F04242" w:rsidRDefault="00E4496D">
      <w:pPr>
        <w:numPr>
          <w:ilvl w:val="0"/>
          <w:numId w:val="3"/>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Developing partnerships aimed at decreasing the overall number of unemployed youth while increasing young workforce</w:t>
      </w:r>
    </w:p>
    <w:p w14:paraId="00000084" w14:textId="77777777" w:rsidR="00F04242" w:rsidRDefault="00E4496D">
      <w:pPr>
        <w:numPr>
          <w:ilvl w:val="0"/>
          <w:numId w:val="3"/>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An all-age professional facil</w:t>
      </w:r>
      <w:r>
        <w:rPr>
          <w:rFonts w:ascii="Arial" w:eastAsia="Arial" w:hAnsi="Arial" w:cs="Arial"/>
          <w:b/>
          <w:color w:val="000000"/>
        </w:rPr>
        <w:t>ity via Skills Development Scotland</w:t>
      </w:r>
    </w:p>
    <w:p w14:paraId="00000085" w14:textId="77777777" w:rsidR="00F04242" w:rsidRDefault="00E4496D">
      <w:pPr>
        <w:numPr>
          <w:ilvl w:val="0"/>
          <w:numId w:val="3"/>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Directing a work experience system for young SEN/SEND people to bridge the gap of finding jobs</w:t>
      </w:r>
    </w:p>
    <w:p w14:paraId="00000086" w14:textId="77777777" w:rsidR="00F04242" w:rsidRDefault="00E4496D">
      <w:pPr>
        <w:pBdr>
          <w:top w:val="nil"/>
          <w:left w:val="nil"/>
          <w:bottom w:val="nil"/>
          <w:right w:val="nil"/>
          <w:between w:val="nil"/>
        </w:pBdr>
        <w:shd w:val="clear" w:color="auto" w:fill="FFFFFF"/>
        <w:spacing w:after="240" w:line="240" w:lineRule="auto"/>
        <w:ind w:firstLine="360"/>
        <w:rPr>
          <w:rFonts w:ascii="Arial" w:eastAsia="Arial" w:hAnsi="Arial" w:cs="Arial"/>
          <w:b/>
          <w:color w:val="000000"/>
        </w:rPr>
      </w:pPr>
      <w:proofErr w:type="spellStart"/>
      <w:r>
        <w:rPr>
          <w:rFonts w:ascii="Arial" w:eastAsia="Arial" w:hAnsi="Arial" w:cs="Arial"/>
          <w:b/>
          <w:color w:val="000000"/>
        </w:rPr>
        <w:t>YouthLink</w:t>
      </w:r>
      <w:proofErr w:type="spellEnd"/>
      <w:r>
        <w:rPr>
          <w:rFonts w:ascii="Arial" w:eastAsia="Arial" w:hAnsi="Arial" w:cs="Arial"/>
          <w:b/>
          <w:color w:val="000000"/>
        </w:rPr>
        <w:t xml:space="preserve"> Scotland is constantly advancing work opportunities for Scottish youth to ensure that </w:t>
      </w:r>
      <w:r>
        <w:rPr>
          <w:rFonts w:ascii="Arial" w:eastAsia="Arial" w:hAnsi="Arial" w:cs="Arial"/>
          <w:b/>
        </w:rPr>
        <w:t>all young</w:t>
      </w:r>
      <w:r>
        <w:rPr>
          <w:rFonts w:ascii="Arial" w:eastAsia="Arial" w:hAnsi="Arial" w:cs="Arial"/>
          <w:b/>
          <w:color w:val="000000"/>
        </w:rPr>
        <w:t xml:space="preserve"> people can readily access quality employment opportunities. It partners with various stakeholders and programs including: </w:t>
      </w:r>
    </w:p>
    <w:p w14:paraId="00000087" w14:textId="77777777" w:rsidR="00F04242" w:rsidRDefault="00E4496D">
      <w:pPr>
        <w:numPr>
          <w:ilvl w:val="0"/>
          <w:numId w:val="4"/>
        </w:numPr>
        <w:pBdr>
          <w:top w:val="nil"/>
          <w:left w:val="nil"/>
          <w:bottom w:val="nil"/>
          <w:right w:val="nil"/>
          <w:between w:val="nil"/>
        </w:pBdr>
        <w:shd w:val="clear" w:color="auto" w:fill="FFFFFF"/>
        <w:spacing w:after="240" w:line="240" w:lineRule="auto"/>
        <w:rPr>
          <w:rFonts w:ascii="Times New Roman" w:eastAsia="Times New Roman" w:hAnsi="Times New Roman" w:cs="Times New Roman"/>
          <w:b/>
          <w:color w:val="000000"/>
        </w:rPr>
      </w:pPr>
      <w:r>
        <w:rPr>
          <w:rFonts w:ascii="Arial" w:eastAsia="Arial" w:hAnsi="Arial" w:cs="Arial"/>
          <w:b/>
          <w:color w:val="000000"/>
        </w:rPr>
        <w:t>All In: It is a partnership</w:t>
      </w:r>
      <w:r>
        <w:rPr>
          <w:rFonts w:ascii="Arial" w:eastAsia="Arial" w:hAnsi="Arial" w:cs="Arial"/>
          <w:b/>
          <w:color w:val="000000"/>
        </w:rPr>
        <w:t xml:space="preserve"> project sponsored by Erasmus+. It has partnered with stakeholders from Spain, Belgium, Bulgaria, Italy, Slovenia, and Austria to develop and evaluate training for young work leaders, coordinators, and practitioners.</w:t>
      </w:r>
    </w:p>
    <w:p w14:paraId="00000088" w14:textId="77777777" w:rsidR="00F04242" w:rsidRDefault="00E4496D">
      <w:pPr>
        <w:numPr>
          <w:ilvl w:val="0"/>
          <w:numId w:val="4"/>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#i will: It is a UK-based campaign deve</w:t>
      </w:r>
      <w:r>
        <w:rPr>
          <w:rFonts w:ascii="Arial" w:eastAsia="Arial" w:hAnsi="Arial" w:cs="Arial"/>
          <w:b/>
          <w:color w:val="000000"/>
        </w:rPr>
        <w:t>loped to inspire and empower the youth to change their community and other noble courses by raising funds, volunteering, and mentoring.</w:t>
      </w:r>
    </w:p>
    <w:p w14:paraId="00000089"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Goal 3: Policies Adopted to Meet Partnerships for the Goals</w:t>
      </w:r>
    </w:p>
    <w:p w14:paraId="0000008A" w14:textId="77777777" w:rsidR="00F04242" w:rsidRDefault="00E4496D">
      <w:pPr>
        <w:pBdr>
          <w:top w:val="nil"/>
          <w:left w:val="nil"/>
          <w:bottom w:val="nil"/>
          <w:right w:val="nil"/>
          <w:between w:val="nil"/>
        </w:pBdr>
        <w:shd w:val="clear" w:color="auto" w:fill="FFFFFF"/>
        <w:spacing w:after="240" w:line="240" w:lineRule="auto"/>
        <w:ind w:firstLine="720"/>
        <w:rPr>
          <w:rFonts w:ascii="Arial" w:eastAsia="Arial" w:hAnsi="Arial" w:cs="Arial"/>
          <w:b/>
          <w:color w:val="000000"/>
        </w:rPr>
      </w:pPr>
      <w:r>
        <w:rPr>
          <w:rFonts w:ascii="Arial" w:eastAsia="Arial" w:hAnsi="Arial" w:cs="Arial"/>
          <w:b/>
          <w:color w:val="000000"/>
        </w:rPr>
        <w:t>The UK stands as one of the topmost providers of Official Development Assistance (ODA) in the world, and it has maintained untied assistance over the years. Since 2013, the UK has been investing 0.7% of its Gross National Income (GNI) on ODA, AND THE Inter</w:t>
      </w:r>
      <w:r>
        <w:rPr>
          <w:rFonts w:ascii="Arial" w:eastAsia="Arial" w:hAnsi="Arial" w:cs="Arial"/>
          <w:b/>
          <w:color w:val="000000"/>
        </w:rPr>
        <w:t>national Development Act preserved this in the UK law as from 2015. In 2017, the UK contributed £14.1 billion OF ODA (</w:t>
      </w:r>
      <w:proofErr w:type="spellStart"/>
      <w:r>
        <w:rPr>
          <w:rFonts w:ascii="Arial" w:eastAsia="Arial" w:hAnsi="Arial" w:cs="Arial"/>
          <w:b/>
          <w:color w:val="000000"/>
        </w:rPr>
        <w:t>Seto</w:t>
      </w:r>
      <w:proofErr w:type="spellEnd"/>
      <w:r>
        <w:rPr>
          <w:rFonts w:ascii="Arial" w:eastAsia="Arial" w:hAnsi="Arial" w:cs="Arial"/>
          <w:b/>
          <w:color w:val="000000"/>
        </w:rPr>
        <w:t xml:space="preserve">, </w:t>
      </w:r>
      <w:proofErr w:type="spellStart"/>
      <w:r>
        <w:rPr>
          <w:rFonts w:ascii="Arial" w:eastAsia="Arial" w:hAnsi="Arial" w:cs="Arial"/>
          <w:b/>
          <w:color w:val="000000"/>
        </w:rPr>
        <w:t>Güneralp</w:t>
      </w:r>
      <w:proofErr w:type="spellEnd"/>
      <w:r>
        <w:rPr>
          <w:rFonts w:ascii="Arial" w:eastAsia="Arial" w:hAnsi="Arial" w:cs="Arial"/>
          <w:b/>
          <w:color w:val="000000"/>
        </w:rPr>
        <w:t xml:space="preserve">, &amp; </w:t>
      </w:r>
      <w:proofErr w:type="spellStart"/>
      <w:r>
        <w:rPr>
          <w:rFonts w:ascii="Arial" w:eastAsia="Arial" w:hAnsi="Arial" w:cs="Arial"/>
          <w:b/>
          <w:color w:val="000000"/>
        </w:rPr>
        <w:t>Hutyra</w:t>
      </w:r>
      <w:proofErr w:type="spellEnd"/>
      <w:r>
        <w:rPr>
          <w:rFonts w:ascii="Arial" w:eastAsia="Arial" w:hAnsi="Arial" w:cs="Arial"/>
          <w:b/>
          <w:color w:val="000000"/>
        </w:rPr>
        <w:t>, 2012). This figure shows an annual gap of £2.5 trillion for the success of the 2030 Agenda in developing nations</w:t>
      </w:r>
      <w:r>
        <w:rPr>
          <w:rFonts w:ascii="Arial" w:eastAsia="Arial" w:hAnsi="Arial" w:cs="Arial"/>
          <w:b/>
          <w:color w:val="000000"/>
        </w:rPr>
        <w:t>.</w:t>
      </w:r>
    </w:p>
    <w:p w14:paraId="0000008B" w14:textId="77777777" w:rsidR="00F04242" w:rsidRDefault="00E4496D">
      <w:pPr>
        <w:numPr>
          <w:ilvl w:val="0"/>
          <w:numId w:val="5"/>
        </w:num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Private Finance</w:t>
      </w:r>
    </w:p>
    <w:p w14:paraId="0000008C"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lastRenderedPageBreak/>
        <w:t xml:space="preserve">After settling on the AAAA, governments realized a vital need to engage private finance as well as direct investment to successfully attain the Global Goals (Griggs, et al., 2013). </w:t>
      </w:r>
      <w:proofErr w:type="gramStart"/>
      <w:r>
        <w:rPr>
          <w:rFonts w:ascii="Arial" w:eastAsia="Arial" w:hAnsi="Arial" w:cs="Arial"/>
          <w:b/>
          <w:color w:val="000000"/>
        </w:rPr>
        <w:t>Economic Development Strategy,</w:t>
      </w:r>
      <w:proofErr w:type="gramEnd"/>
      <w:r>
        <w:rPr>
          <w:rFonts w:ascii="Arial" w:eastAsia="Arial" w:hAnsi="Arial" w:cs="Arial"/>
          <w:b/>
          <w:color w:val="000000"/>
        </w:rPr>
        <w:t xml:space="preserve"> describes the manner in wh</w:t>
      </w:r>
      <w:r>
        <w:rPr>
          <w:rFonts w:ascii="Arial" w:eastAsia="Arial" w:hAnsi="Arial" w:cs="Arial"/>
          <w:b/>
          <w:color w:val="000000"/>
        </w:rPr>
        <w:t>ich the UK government works other faculties in developing nations to promote the private sectors. This policy also defines the route adopted by the UK to inspire organizations to deliver goods and services in new markets to facilitate job creation and incr</w:t>
      </w:r>
      <w:r>
        <w:rPr>
          <w:rFonts w:ascii="Arial" w:eastAsia="Arial" w:hAnsi="Arial" w:cs="Arial"/>
          <w:b/>
          <w:color w:val="000000"/>
        </w:rPr>
        <w:t>eased income.</w:t>
      </w:r>
    </w:p>
    <w:p w14:paraId="0000008D"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Development Finance Institutions (DFI) including the CDC Group Plc have significantly supported the development of the private sector. The investment of the DFI, boosts the assurance of private sector investors in a country that they previous</w:t>
      </w:r>
      <w:r>
        <w:rPr>
          <w:rFonts w:ascii="Arial" w:eastAsia="Arial" w:hAnsi="Arial" w:cs="Arial"/>
          <w:b/>
          <w:color w:val="000000"/>
        </w:rPr>
        <w:t xml:space="preserve">ly considered a risk to their investment. </w:t>
      </w:r>
    </w:p>
    <w:p w14:paraId="0000008E"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London is among the top capital markets across the world. As such, it is considered an international center of financial proficiency and is steadily becoming the main financial center for developing nations (McMic</w:t>
      </w:r>
      <w:r>
        <w:rPr>
          <w:rFonts w:ascii="Arial" w:eastAsia="Arial" w:hAnsi="Arial" w:cs="Arial"/>
          <w:b/>
          <w:color w:val="000000"/>
        </w:rPr>
        <w:t>hael, Woodruff, &amp; Hales, 2006). The UK has strategically partnered with London and other stakeholders to allow developing countries the capacity to borrow from lenders within the London capital market. To avoid risks relating to currency inflation, these c</w:t>
      </w:r>
      <w:r>
        <w:rPr>
          <w:rFonts w:ascii="Arial" w:eastAsia="Arial" w:hAnsi="Arial" w:cs="Arial"/>
          <w:b/>
          <w:color w:val="000000"/>
        </w:rPr>
        <w:t>ountries are allowed to borrow money in their own currencies.</w:t>
      </w:r>
    </w:p>
    <w:p w14:paraId="0000008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Wales</w:t>
      </w:r>
    </w:p>
    <w:p w14:paraId="00000090"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Multi-stakeholder Partnerships</w:t>
      </w:r>
    </w:p>
    <w:p w14:paraId="00000091"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Well-being of Future Generations (Wales) Act 2015 encourages partnerships through collaborations.  It also supports the sustainable development principle</w:t>
      </w:r>
      <w:r>
        <w:rPr>
          <w:rFonts w:ascii="Arial" w:eastAsia="Arial" w:hAnsi="Arial" w:cs="Arial"/>
          <w:b/>
          <w:color w:val="000000"/>
        </w:rPr>
        <w:t xml:space="preserve"> and statutory partnerships throughout all the local communities in Wales (Diez-Roux, 2011). These </w:t>
      </w:r>
      <w:r>
        <w:rPr>
          <w:rFonts w:ascii="Arial" w:eastAsia="Arial" w:hAnsi="Arial" w:cs="Arial"/>
          <w:b/>
        </w:rPr>
        <w:t>are Public</w:t>
      </w:r>
      <w:r>
        <w:rPr>
          <w:rFonts w:ascii="Arial" w:eastAsia="Arial" w:hAnsi="Arial" w:cs="Arial"/>
          <w:b/>
          <w:color w:val="000000"/>
        </w:rPr>
        <w:t xml:space="preserve"> Service Boards, which function together to promote </w:t>
      </w:r>
      <w:r>
        <w:rPr>
          <w:rFonts w:ascii="Arial" w:eastAsia="Arial" w:hAnsi="Arial" w:cs="Arial"/>
          <w:b/>
        </w:rPr>
        <w:t>teamwork</w:t>
      </w:r>
      <w:r>
        <w:rPr>
          <w:rFonts w:ascii="Arial" w:eastAsia="Arial" w:hAnsi="Arial" w:cs="Arial"/>
          <w:b/>
          <w:color w:val="000000"/>
        </w:rPr>
        <w:t xml:space="preserve"> throughout all public services. They are also legally required to reflect on sustainab</w:t>
      </w:r>
      <w:r>
        <w:rPr>
          <w:rFonts w:ascii="Arial" w:eastAsia="Arial" w:hAnsi="Arial" w:cs="Arial"/>
          <w:b/>
          <w:color w:val="000000"/>
        </w:rPr>
        <w:t xml:space="preserve">le development. </w:t>
      </w:r>
    </w:p>
    <w:p w14:paraId="00000092"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Wales funds its major capital projects with the help of the Mutual Investment Model (MIM). This model supports extra investments in public and commercial infrastructure projects. Private investors must implement the Code of Practice Ethical Employment in S</w:t>
      </w:r>
      <w:r>
        <w:rPr>
          <w:rFonts w:ascii="Arial" w:eastAsia="Arial" w:hAnsi="Arial" w:cs="Arial"/>
          <w:b/>
          <w:color w:val="000000"/>
        </w:rPr>
        <w:t xml:space="preserve">upply Chains to create high ranking environmental sustainability (Capon, </w:t>
      </w:r>
      <w:proofErr w:type="spellStart"/>
      <w:r>
        <w:rPr>
          <w:rFonts w:ascii="Arial" w:eastAsia="Arial" w:hAnsi="Arial" w:cs="Arial"/>
          <w:b/>
          <w:color w:val="000000"/>
        </w:rPr>
        <w:t>Synnott</w:t>
      </w:r>
      <w:proofErr w:type="spellEnd"/>
      <w:r>
        <w:rPr>
          <w:rFonts w:ascii="Arial" w:eastAsia="Arial" w:hAnsi="Arial" w:cs="Arial"/>
          <w:b/>
          <w:color w:val="000000"/>
        </w:rPr>
        <w:t>, &amp; Holliday, 2009). The MI Model has garnered serious attention since its development making it a valuable tool in the accomplishment of the 2030 Agenda in Wales.</w:t>
      </w:r>
    </w:p>
    <w:p w14:paraId="00000093"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Recommendati</w:t>
      </w:r>
      <w:r>
        <w:rPr>
          <w:rFonts w:ascii="Arial" w:eastAsia="Arial" w:hAnsi="Arial" w:cs="Arial"/>
          <w:b/>
          <w:color w:val="000000"/>
        </w:rPr>
        <w:t>ons</w:t>
      </w:r>
    </w:p>
    <w:p w14:paraId="00000094"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To Effectively achieve SDG 3, the UK government should:</w:t>
      </w:r>
    </w:p>
    <w:p w14:paraId="00000095"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Ensure that all health ODA emphasize </w:t>
      </w:r>
      <w:r>
        <w:rPr>
          <w:rFonts w:ascii="Arial" w:eastAsia="Arial" w:hAnsi="Arial" w:cs="Arial"/>
          <w:b/>
        </w:rPr>
        <w:t>on a strong</w:t>
      </w:r>
      <w:r>
        <w:rPr>
          <w:rFonts w:ascii="Arial" w:eastAsia="Arial" w:hAnsi="Arial" w:cs="Arial"/>
          <w:b/>
          <w:color w:val="000000"/>
        </w:rPr>
        <w:t>, resilient health system whose priorities match those of the nation (Diez-Roux, 2011). It should pointedly increase support to countries in need of</w:t>
      </w:r>
      <w:r>
        <w:rPr>
          <w:rFonts w:ascii="Arial" w:eastAsia="Arial" w:hAnsi="Arial" w:cs="Arial"/>
          <w:b/>
          <w:color w:val="000000"/>
        </w:rPr>
        <w:t xml:space="preserve"> financial boosts and lasting human resource policies for health.</w:t>
      </w:r>
    </w:p>
    <w:p w14:paraId="00000096"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Devote to outwardly develop a cross-government global health policy that follows practical consultation with the civil society as well as people from low- and middle-income countries who hav</w:t>
      </w:r>
      <w:r>
        <w:rPr>
          <w:rFonts w:ascii="Arial" w:eastAsia="Arial" w:hAnsi="Arial" w:cs="Arial"/>
          <w:b/>
          <w:color w:val="000000"/>
        </w:rPr>
        <w:t>e experienced inequities in the healthcare system.</w:t>
      </w:r>
    </w:p>
    <w:p w14:paraId="00000097"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To Effectively achieve SDG 4, the UK government should:</w:t>
      </w:r>
    </w:p>
    <w:p w14:paraId="00000098"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lastRenderedPageBreak/>
        <w:t xml:space="preserve">Immediately reestablish its obligation to 0.7% and the global budget for education. It should also expand education’s stake </w:t>
      </w:r>
      <w:r>
        <w:rPr>
          <w:rFonts w:ascii="Arial" w:eastAsia="Arial" w:hAnsi="Arial" w:cs="Arial"/>
          <w:b/>
        </w:rPr>
        <w:t>in the UK</w:t>
      </w:r>
      <w:r>
        <w:rPr>
          <w:rFonts w:ascii="Arial" w:eastAsia="Arial" w:hAnsi="Arial" w:cs="Arial"/>
          <w:b/>
          <w:color w:val="000000"/>
        </w:rPr>
        <w:t xml:space="preserve"> ODA to 15% (</w:t>
      </w:r>
      <w:proofErr w:type="spellStart"/>
      <w:r>
        <w:rPr>
          <w:rFonts w:ascii="Arial" w:eastAsia="Arial" w:hAnsi="Arial" w:cs="Arial"/>
          <w:b/>
          <w:color w:val="000000"/>
        </w:rPr>
        <w:t>Bam</w:t>
      </w:r>
      <w:r>
        <w:rPr>
          <w:rFonts w:ascii="Arial" w:eastAsia="Arial" w:hAnsi="Arial" w:cs="Arial"/>
          <w:b/>
          <w:color w:val="000000"/>
        </w:rPr>
        <w:t>brick</w:t>
      </w:r>
      <w:proofErr w:type="spellEnd"/>
      <w:r>
        <w:rPr>
          <w:rFonts w:ascii="Arial" w:eastAsia="Arial" w:hAnsi="Arial" w:cs="Arial"/>
          <w:b/>
          <w:color w:val="000000"/>
        </w:rPr>
        <w:t>, et al., 2011).</w:t>
      </w:r>
    </w:p>
    <w:p w14:paraId="00000099"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Invest lumpsum, determined, multi-layered pledges to the Education Cannot Wait initiative. Ensure to retain a top position in relation to being among the biggest financial supporters of the fund. </w:t>
      </w:r>
    </w:p>
    <w:p w14:paraId="0000009A"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To Effectively achieve SDG 17, the UK</w:t>
      </w:r>
      <w:r>
        <w:rPr>
          <w:rFonts w:ascii="Arial" w:eastAsia="Arial" w:hAnsi="Arial" w:cs="Arial"/>
          <w:b/>
          <w:color w:val="000000"/>
        </w:rPr>
        <w:t xml:space="preserve"> government should:</w:t>
      </w:r>
    </w:p>
    <w:p w14:paraId="0000009B"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 xml:space="preserve">Ensure the public </w:t>
      </w:r>
      <w:r>
        <w:rPr>
          <w:rFonts w:ascii="Arial" w:eastAsia="Arial" w:hAnsi="Arial" w:cs="Arial"/>
          <w:b/>
        </w:rPr>
        <w:t>advocacy</w:t>
      </w:r>
      <w:r>
        <w:rPr>
          <w:rFonts w:ascii="Arial" w:eastAsia="Arial" w:hAnsi="Arial" w:cs="Arial"/>
          <w:b/>
          <w:color w:val="000000"/>
        </w:rPr>
        <w:t xml:space="preserve"> of the SDGs especially by top-tier government officials including Prime Ministers, Foreign Secretaries, and Chancellors. This strategy aims at handling national and intercontinental challenges articulately wit</w:t>
      </w:r>
      <w:r>
        <w:rPr>
          <w:rFonts w:ascii="Arial" w:eastAsia="Arial" w:hAnsi="Arial" w:cs="Arial"/>
          <w:b/>
          <w:color w:val="000000"/>
        </w:rPr>
        <w:t>h the aim to develop a better world for the benefit of all.</w:t>
      </w:r>
    </w:p>
    <w:p w14:paraId="0000009C"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Develop a suitable system within the Cabinet Office (at the very center of the government) to take charge of all communication and all SDGs implementation procedures throughout all the layers of t</w:t>
      </w:r>
      <w:r>
        <w:rPr>
          <w:rFonts w:ascii="Arial" w:eastAsia="Arial" w:hAnsi="Arial" w:cs="Arial"/>
          <w:b/>
          <w:color w:val="000000"/>
        </w:rPr>
        <w:t>he government. This includes collaborating with new and existing systems within all devolved administrations.</w:t>
      </w:r>
    </w:p>
    <w:p w14:paraId="0000009D"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Conclusion</w:t>
      </w:r>
    </w:p>
    <w:p w14:paraId="0000009E"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UK has done an impeccable job so far in aiding the implementation of the Global Agenda 2030, but it has faced some significant chal</w:t>
      </w:r>
      <w:r>
        <w:rPr>
          <w:rFonts w:ascii="Arial" w:eastAsia="Arial" w:hAnsi="Arial" w:cs="Arial"/>
          <w:b/>
          <w:color w:val="000000"/>
        </w:rPr>
        <w:t>lenges in the implementation of various goals. There is a significant lag in the development of multi-stakeholder partnerships aimed at handling various goals. The UK will further develop these partnerships and strengthen them to attain their desired targe</w:t>
      </w:r>
      <w:r>
        <w:rPr>
          <w:rFonts w:ascii="Arial" w:eastAsia="Arial" w:hAnsi="Arial" w:cs="Arial"/>
          <w:b/>
          <w:color w:val="000000"/>
        </w:rPr>
        <w:t>ts. In 2020, for example, the UK hosted a UK-Africa investment summit to rally the private sector to strive for increased job creation and transformational development in their markets. Increasing the level of trade and investment was a major part of the p</w:t>
      </w:r>
      <w:r>
        <w:rPr>
          <w:rFonts w:ascii="Arial" w:eastAsia="Arial" w:hAnsi="Arial" w:cs="Arial"/>
          <w:b/>
          <w:color w:val="000000"/>
        </w:rPr>
        <w:t>lan. In the same year The UK hosted a major international conference to fund raise for life-saving vaccines to save lives in some of the world’s poorest countries. As a result, they managed to save many lives by vaccinating children against diseases such a</w:t>
      </w:r>
      <w:r>
        <w:rPr>
          <w:rFonts w:ascii="Arial" w:eastAsia="Arial" w:hAnsi="Arial" w:cs="Arial"/>
          <w:b/>
          <w:color w:val="000000"/>
        </w:rPr>
        <w:t xml:space="preserve">s measles, pneumonia, and whooping cough. </w:t>
      </w:r>
    </w:p>
    <w:p w14:paraId="0000009F"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 best strategy to propel the 2030 Agenda is partnership. A single organization or government cannot achieve the goals single handedly. As such, it is important to remember to work together and across boundaries</w:t>
      </w:r>
      <w:r>
        <w:rPr>
          <w:rFonts w:ascii="Arial" w:eastAsia="Arial" w:hAnsi="Arial" w:cs="Arial"/>
          <w:b/>
          <w:color w:val="000000"/>
        </w:rPr>
        <w:t xml:space="preserve">. The idea is to attain the goals together as one globe. The UK is highly invested in helping other nations especially developing ones and other minority groups as well as poverty-stricken areas. For example, the UK launched the Data Disaggregation Action </w:t>
      </w:r>
      <w:r>
        <w:rPr>
          <w:rFonts w:ascii="Arial" w:eastAsia="Arial" w:hAnsi="Arial" w:cs="Arial"/>
          <w:b/>
          <w:color w:val="000000"/>
        </w:rPr>
        <w:t xml:space="preserve">Plan (2017) to highlight its strategies toward achieving the 2030 Agenda by disaggregating 4 areas: age, gender, geography, and disability status. </w:t>
      </w:r>
    </w:p>
    <w:p w14:paraId="000000A0"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In 2017, Scotland launched a Climate Justice Innovation Fund to finance projects creating innovative resolut</w:t>
      </w:r>
      <w:r>
        <w:rPr>
          <w:rFonts w:ascii="Arial" w:eastAsia="Arial" w:hAnsi="Arial" w:cs="Arial"/>
          <w:b/>
          <w:color w:val="000000"/>
        </w:rPr>
        <w:t xml:space="preserve">ions to support African communities against the adverse effects of climate change. </w:t>
      </w:r>
    </w:p>
    <w:p w14:paraId="000000A1"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ab/>
        <w:t xml:space="preserve">The Wales for Africa project encourages Wales citizens to take action to alleviate poverty in Africa through such initiatives as funding and developing projects </w:t>
      </w:r>
      <w:r>
        <w:rPr>
          <w:rFonts w:ascii="Arial" w:eastAsia="Arial" w:hAnsi="Arial" w:cs="Arial"/>
          <w:b/>
        </w:rPr>
        <w:t>that encou</w:t>
      </w:r>
      <w:r>
        <w:rPr>
          <w:rFonts w:ascii="Arial" w:eastAsia="Arial" w:hAnsi="Arial" w:cs="Arial"/>
          <w:b/>
        </w:rPr>
        <w:t>rage</w:t>
      </w:r>
      <w:r>
        <w:rPr>
          <w:rFonts w:ascii="Arial" w:eastAsia="Arial" w:hAnsi="Arial" w:cs="Arial"/>
          <w:b/>
          <w:color w:val="000000"/>
        </w:rPr>
        <w:t xml:space="preserve"> learning and skill integration in support of climate change. </w:t>
      </w:r>
    </w:p>
    <w:p w14:paraId="000000A2" w14:textId="77777777" w:rsidR="00F04242" w:rsidRDefault="00E4496D">
      <w:pPr>
        <w:pBdr>
          <w:top w:val="nil"/>
          <w:left w:val="nil"/>
          <w:bottom w:val="nil"/>
          <w:right w:val="nil"/>
          <w:between w:val="nil"/>
        </w:pBdr>
        <w:shd w:val="clear" w:color="auto" w:fill="FFFFFF"/>
        <w:spacing w:after="240" w:line="240" w:lineRule="auto"/>
        <w:rPr>
          <w:rFonts w:ascii="Arial" w:eastAsia="Arial" w:hAnsi="Arial" w:cs="Arial"/>
          <w:b/>
          <w:color w:val="000000"/>
        </w:rPr>
      </w:pPr>
      <w:r>
        <w:rPr>
          <w:rFonts w:ascii="Arial" w:eastAsia="Arial" w:hAnsi="Arial" w:cs="Arial"/>
          <w:b/>
          <w:color w:val="000000"/>
        </w:rPr>
        <w:t>These two cases provide good examples on the effectiveness of collaboration in attaining the Global Goals.</w:t>
      </w:r>
    </w:p>
    <w:p w14:paraId="000000A3" w14:textId="77777777" w:rsidR="00F04242" w:rsidRDefault="00E4496D">
      <w:pPr>
        <w:pBdr>
          <w:top w:val="nil"/>
          <w:left w:val="nil"/>
          <w:bottom w:val="nil"/>
          <w:right w:val="nil"/>
          <w:between w:val="nil"/>
        </w:pBdr>
        <w:shd w:val="clear" w:color="auto" w:fill="FFFFFF"/>
        <w:spacing w:after="240" w:line="240" w:lineRule="auto"/>
        <w:jc w:val="center"/>
        <w:rPr>
          <w:rFonts w:ascii="Arial" w:eastAsia="Arial" w:hAnsi="Arial" w:cs="Arial"/>
          <w:b/>
          <w:color w:val="000000"/>
        </w:rPr>
      </w:pPr>
      <w:r>
        <w:br w:type="page"/>
      </w:r>
      <w:r>
        <w:rPr>
          <w:rFonts w:ascii="Arial" w:eastAsia="Arial" w:hAnsi="Arial" w:cs="Arial"/>
          <w:b/>
          <w:color w:val="000000"/>
        </w:rPr>
        <w:lastRenderedPageBreak/>
        <w:t>References</w:t>
      </w:r>
    </w:p>
    <w:p w14:paraId="000000A4" w14:textId="77777777" w:rsidR="00F04242" w:rsidRDefault="00E4496D">
      <w:pPr>
        <w:ind w:left="720" w:hanging="720"/>
        <w:rPr>
          <w:rFonts w:ascii="Arial" w:eastAsia="Arial" w:hAnsi="Arial" w:cs="Arial"/>
          <w:b/>
        </w:rPr>
      </w:pPr>
      <w:r>
        <w:rPr>
          <w:rFonts w:ascii="Arial" w:eastAsia="Arial" w:hAnsi="Arial" w:cs="Arial"/>
          <w:b/>
        </w:rPr>
        <w:t xml:space="preserve">Bai, X. et al., 2012. Health and wellbeing in the changing urban environment: complex challenges, scientific responses, and the way forward. Current Opinion in Environmental Sustainability, 4(4), pp.465–472. </w:t>
      </w:r>
    </w:p>
    <w:p w14:paraId="000000A5" w14:textId="77777777" w:rsidR="00F04242" w:rsidRDefault="00E4496D">
      <w:pPr>
        <w:ind w:left="720" w:hanging="720"/>
        <w:rPr>
          <w:rFonts w:ascii="Arial" w:eastAsia="Arial" w:hAnsi="Arial" w:cs="Arial"/>
          <w:b/>
        </w:rPr>
      </w:pPr>
      <w:proofErr w:type="spellStart"/>
      <w:r>
        <w:rPr>
          <w:rFonts w:ascii="Arial" w:eastAsia="Arial" w:hAnsi="Arial" w:cs="Arial"/>
          <w:b/>
        </w:rPr>
        <w:t>Bambrick</w:t>
      </w:r>
      <w:proofErr w:type="spellEnd"/>
      <w:r>
        <w:rPr>
          <w:rFonts w:ascii="Arial" w:eastAsia="Arial" w:hAnsi="Arial" w:cs="Arial"/>
          <w:b/>
        </w:rPr>
        <w:t>, H.J. et al., 2011. Climate change and</w:t>
      </w:r>
      <w:r>
        <w:rPr>
          <w:rFonts w:ascii="Arial" w:eastAsia="Arial" w:hAnsi="Arial" w:cs="Arial"/>
          <w:b/>
        </w:rPr>
        <w:t xml:space="preserve"> health in the urban environment: adaptation opportunities in Australian cities. Asia-Pacific Journal of Public Health / Asia-Pacific Academic Consortium for Public Health, 23(2 Suppl), p.67S–79. </w:t>
      </w:r>
    </w:p>
    <w:p w14:paraId="000000A6" w14:textId="77777777" w:rsidR="00F04242" w:rsidRDefault="00E4496D">
      <w:pPr>
        <w:ind w:left="720" w:hanging="720"/>
        <w:rPr>
          <w:rFonts w:ascii="Arial" w:eastAsia="Arial" w:hAnsi="Arial" w:cs="Arial"/>
          <w:b/>
        </w:rPr>
      </w:pPr>
      <w:r>
        <w:rPr>
          <w:rFonts w:ascii="Arial" w:eastAsia="Arial" w:hAnsi="Arial" w:cs="Arial"/>
          <w:b/>
        </w:rPr>
        <w:t>Capon, A.G., 2007. The way we live in our cities. The Medic</w:t>
      </w:r>
      <w:r>
        <w:rPr>
          <w:rFonts w:ascii="Arial" w:eastAsia="Arial" w:hAnsi="Arial" w:cs="Arial"/>
          <w:b/>
        </w:rPr>
        <w:t xml:space="preserve">al Journal of Australia, 187(11-12), pp.658–661. </w:t>
      </w:r>
    </w:p>
    <w:p w14:paraId="000000A7" w14:textId="77777777" w:rsidR="00F04242" w:rsidRDefault="00E4496D">
      <w:pPr>
        <w:ind w:left="720" w:hanging="720"/>
        <w:rPr>
          <w:rFonts w:ascii="Arial" w:eastAsia="Arial" w:hAnsi="Arial" w:cs="Arial"/>
          <w:b/>
        </w:rPr>
      </w:pPr>
      <w:r>
        <w:rPr>
          <w:rFonts w:ascii="Arial" w:eastAsia="Arial" w:hAnsi="Arial" w:cs="Arial"/>
          <w:b/>
        </w:rPr>
        <w:t xml:space="preserve">Capon, A.G., </w:t>
      </w:r>
      <w:proofErr w:type="spellStart"/>
      <w:r>
        <w:rPr>
          <w:rFonts w:ascii="Arial" w:eastAsia="Arial" w:hAnsi="Arial" w:cs="Arial"/>
          <w:b/>
        </w:rPr>
        <w:t>Synnott</w:t>
      </w:r>
      <w:proofErr w:type="spellEnd"/>
      <w:r>
        <w:rPr>
          <w:rFonts w:ascii="Arial" w:eastAsia="Arial" w:hAnsi="Arial" w:cs="Arial"/>
          <w:b/>
        </w:rPr>
        <w:t xml:space="preserve">, E.S. &amp; Holliday, S., 2009. Urbanism, climate change and health: systems </w:t>
      </w:r>
      <w:proofErr w:type="gramStart"/>
      <w:r>
        <w:rPr>
          <w:rFonts w:ascii="Arial" w:eastAsia="Arial" w:hAnsi="Arial" w:cs="Arial"/>
          <w:b/>
        </w:rPr>
        <w:t>approaches</w:t>
      </w:r>
      <w:proofErr w:type="gramEnd"/>
      <w:r>
        <w:rPr>
          <w:rFonts w:ascii="Arial" w:eastAsia="Arial" w:hAnsi="Arial" w:cs="Arial"/>
          <w:b/>
        </w:rPr>
        <w:t xml:space="preserve"> to governance. New South Wales Public Health Bulletin, 20(1-2), pp.24–28. </w:t>
      </w:r>
    </w:p>
    <w:p w14:paraId="000000A8" w14:textId="77777777" w:rsidR="00F04242" w:rsidRDefault="00E4496D">
      <w:pPr>
        <w:ind w:left="720" w:hanging="720"/>
        <w:rPr>
          <w:rFonts w:ascii="Arial" w:eastAsia="Arial" w:hAnsi="Arial" w:cs="Arial"/>
          <w:b/>
        </w:rPr>
      </w:pPr>
      <w:r>
        <w:rPr>
          <w:rFonts w:ascii="Arial" w:eastAsia="Arial" w:hAnsi="Arial" w:cs="Arial"/>
          <w:b/>
        </w:rPr>
        <w:t xml:space="preserve">Dannenberg, A.L., </w:t>
      </w:r>
      <w:proofErr w:type="spellStart"/>
      <w:r>
        <w:rPr>
          <w:rFonts w:ascii="Arial" w:eastAsia="Arial" w:hAnsi="Arial" w:cs="Arial"/>
          <w:b/>
        </w:rPr>
        <w:t>Frumkin</w:t>
      </w:r>
      <w:proofErr w:type="spellEnd"/>
      <w:r>
        <w:rPr>
          <w:rFonts w:ascii="Arial" w:eastAsia="Arial" w:hAnsi="Arial" w:cs="Arial"/>
          <w:b/>
        </w:rPr>
        <w:t>,</w:t>
      </w:r>
      <w:r>
        <w:rPr>
          <w:rFonts w:ascii="Arial" w:eastAsia="Arial" w:hAnsi="Arial" w:cs="Arial"/>
          <w:b/>
        </w:rPr>
        <w:t xml:space="preserve"> H., Jackson, R.J., 2011. Making Healthy Places: Designing and building for health, wellbeing and sustainability. Washington DC: Island Press. </w:t>
      </w:r>
    </w:p>
    <w:p w14:paraId="000000A9" w14:textId="77777777" w:rsidR="00F04242" w:rsidRDefault="00E4496D">
      <w:pPr>
        <w:ind w:left="720" w:hanging="720"/>
        <w:rPr>
          <w:rFonts w:ascii="Arial" w:eastAsia="Arial" w:hAnsi="Arial" w:cs="Arial"/>
          <w:b/>
        </w:rPr>
      </w:pPr>
      <w:r>
        <w:rPr>
          <w:rFonts w:ascii="Arial" w:eastAsia="Arial" w:hAnsi="Arial" w:cs="Arial"/>
          <w:b/>
        </w:rPr>
        <w:t>Diez-Roux, A.V., 2011. Complex Systems Thinking and Current Impasses in Health Disparities Research. American Jo</w:t>
      </w:r>
      <w:r>
        <w:rPr>
          <w:rFonts w:ascii="Arial" w:eastAsia="Arial" w:hAnsi="Arial" w:cs="Arial"/>
          <w:b/>
        </w:rPr>
        <w:t xml:space="preserve">urnal of Public Health, 101(9), pp.1627–1634. </w:t>
      </w:r>
    </w:p>
    <w:p w14:paraId="000000AA" w14:textId="77777777" w:rsidR="00F04242" w:rsidRDefault="00E4496D">
      <w:pPr>
        <w:ind w:left="720" w:hanging="720"/>
        <w:rPr>
          <w:rFonts w:ascii="Arial" w:eastAsia="Arial" w:hAnsi="Arial" w:cs="Arial"/>
          <w:b/>
        </w:rPr>
      </w:pPr>
      <w:r>
        <w:rPr>
          <w:rFonts w:ascii="Arial" w:eastAsia="Arial" w:hAnsi="Arial" w:cs="Arial"/>
          <w:b/>
        </w:rPr>
        <w:t xml:space="preserve">Griggs, D. et al., 2013. Policy: Sustainable development goals for people and planet. Nature, 495(7441), pp.305–307. </w:t>
      </w:r>
    </w:p>
    <w:p w14:paraId="000000AB" w14:textId="77777777" w:rsidR="00F04242" w:rsidRDefault="00E4496D">
      <w:pPr>
        <w:ind w:left="720" w:hanging="720"/>
        <w:rPr>
          <w:rFonts w:ascii="Arial" w:eastAsia="Arial" w:hAnsi="Arial" w:cs="Arial"/>
          <w:b/>
        </w:rPr>
      </w:pPr>
      <w:r>
        <w:rPr>
          <w:rFonts w:ascii="Arial" w:eastAsia="Arial" w:hAnsi="Arial" w:cs="Arial"/>
          <w:b/>
        </w:rPr>
        <w:t>Haines, A. et al., 2012. From the Earth Summit to Rio+20: integration of health and sustain</w:t>
      </w:r>
      <w:r>
        <w:rPr>
          <w:rFonts w:ascii="Arial" w:eastAsia="Arial" w:hAnsi="Arial" w:cs="Arial"/>
          <w:b/>
        </w:rPr>
        <w:t xml:space="preserve">able development. Lancet, 379(9832), pp.2189–2197. </w:t>
      </w:r>
    </w:p>
    <w:p w14:paraId="000000AC" w14:textId="77777777" w:rsidR="00F04242" w:rsidRDefault="00E4496D">
      <w:pPr>
        <w:ind w:left="720" w:hanging="720"/>
        <w:rPr>
          <w:rFonts w:ascii="Arial" w:eastAsia="Arial" w:hAnsi="Arial" w:cs="Arial"/>
          <w:b/>
        </w:rPr>
      </w:pPr>
      <w:r>
        <w:rPr>
          <w:rFonts w:ascii="Arial" w:eastAsia="Arial" w:hAnsi="Arial" w:cs="Arial"/>
          <w:b/>
        </w:rPr>
        <w:t xml:space="preserve">McMichael, A.J., 2000. The urban environment and health in a world of increasing globalization: issues for developing countries. Bulletin of the World Health Organization, 78, pp.1117-1126. </w:t>
      </w:r>
    </w:p>
    <w:p w14:paraId="000000AD" w14:textId="77777777" w:rsidR="00F04242" w:rsidRDefault="00E4496D">
      <w:pPr>
        <w:ind w:left="720" w:hanging="720"/>
        <w:rPr>
          <w:rFonts w:ascii="Arial" w:eastAsia="Arial" w:hAnsi="Arial" w:cs="Arial"/>
          <w:b/>
        </w:rPr>
      </w:pPr>
      <w:r>
        <w:rPr>
          <w:rFonts w:ascii="Arial" w:eastAsia="Arial" w:hAnsi="Arial" w:cs="Arial"/>
          <w:b/>
        </w:rPr>
        <w:t>McMichael, A.</w:t>
      </w:r>
      <w:r>
        <w:rPr>
          <w:rFonts w:ascii="Arial" w:eastAsia="Arial" w:hAnsi="Arial" w:cs="Arial"/>
          <w:b/>
        </w:rPr>
        <w:t xml:space="preserve">J., Woodruff, R.E. &amp; Hales, S., 2006. Climate change and human health: present and future risks. The Lancet, 367(9513), pp.859–869. </w:t>
      </w:r>
    </w:p>
    <w:p w14:paraId="000000AE" w14:textId="77777777" w:rsidR="00F04242" w:rsidRDefault="00E4496D">
      <w:pPr>
        <w:ind w:left="720" w:hanging="720"/>
        <w:rPr>
          <w:rFonts w:ascii="Arial" w:eastAsia="Arial" w:hAnsi="Arial" w:cs="Arial"/>
          <w:b/>
        </w:rPr>
      </w:pPr>
      <w:r>
        <w:rPr>
          <w:rFonts w:ascii="Arial" w:eastAsia="Arial" w:hAnsi="Arial" w:cs="Arial"/>
          <w:b/>
        </w:rPr>
        <w:t xml:space="preserve">Proust, K. et al., 2012. Human Health and Climate Change: Leverage Points for Adaptation in Urban Environments. International Journal of Environmental Research and Public Health, 9(6), pp.2134–2158. </w:t>
      </w:r>
    </w:p>
    <w:p w14:paraId="000000AF" w14:textId="77777777" w:rsidR="00F04242" w:rsidRDefault="00E4496D">
      <w:pPr>
        <w:ind w:left="720" w:hanging="720"/>
        <w:rPr>
          <w:rFonts w:ascii="Arial" w:eastAsia="Arial" w:hAnsi="Arial" w:cs="Arial"/>
          <w:b/>
        </w:rPr>
      </w:pPr>
      <w:r>
        <w:rPr>
          <w:rFonts w:ascii="Arial" w:eastAsia="Arial" w:hAnsi="Arial" w:cs="Arial"/>
          <w:b/>
        </w:rPr>
        <w:t xml:space="preserve">Satterthwaite, D., </w:t>
      </w:r>
      <w:proofErr w:type="spellStart"/>
      <w:r>
        <w:rPr>
          <w:rFonts w:ascii="Arial" w:eastAsia="Arial" w:hAnsi="Arial" w:cs="Arial"/>
          <w:b/>
        </w:rPr>
        <w:t>McGranahan</w:t>
      </w:r>
      <w:proofErr w:type="spellEnd"/>
      <w:r>
        <w:rPr>
          <w:rFonts w:ascii="Arial" w:eastAsia="Arial" w:hAnsi="Arial" w:cs="Arial"/>
          <w:b/>
        </w:rPr>
        <w:t xml:space="preserve">, G. &amp; </w:t>
      </w:r>
      <w:proofErr w:type="spellStart"/>
      <w:r>
        <w:rPr>
          <w:rFonts w:ascii="Arial" w:eastAsia="Arial" w:hAnsi="Arial" w:cs="Arial"/>
          <w:b/>
        </w:rPr>
        <w:t>Tacoli</w:t>
      </w:r>
      <w:proofErr w:type="spellEnd"/>
      <w:r>
        <w:rPr>
          <w:rFonts w:ascii="Arial" w:eastAsia="Arial" w:hAnsi="Arial" w:cs="Arial"/>
          <w:b/>
        </w:rPr>
        <w:t>, C., 2010. Ur</w:t>
      </w:r>
      <w:r>
        <w:rPr>
          <w:rFonts w:ascii="Arial" w:eastAsia="Arial" w:hAnsi="Arial" w:cs="Arial"/>
          <w:b/>
        </w:rPr>
        <w:t xml:space="preserve">banization and its implications for food and farming. Philosophical Transactions of the Royal Society B: Biological Sciences, 365(1554), pp.2809–2820. </w:t>
      </w:r>
    </w:p>
    <w:p w14:paraId="000000B0" w14:textId="77777777" w:rsidR="00F04242" w:rsidRDefault="00E4496D">
      <w:pPr>
        <w:ind w:left="720" w:hanging="720"/>
        <w:rPr>
          <w:rFonts w:ascii="Arial" w:eastAsia="Arial" w:hAnsi="Arial" w:cs="Arial"/>
          <w:b/>
        </w:rPr>
      </w:pPr>
      <w:proofErr w:type="spellStart"/>
      <w:r>
        <w:rPr>
          <w:rFonts w:ascii="Arial" w:eastAsia="Arial" w:hAnsi="Arial" w:cs="Arial"/>
          <w:b/>
        </w:rPr>
        <w:t>Seto</w:t>
      </w:r>
      <w:proofErr w:type="spellEnd"/>
      <w:r>
        <w:rPr>
          <w:rFonts w:ascii="Arial" w:eastAsia="Arial" w:hAnsi="Arial" w:cs="Arial"/>
          <w:b/>
        </w:rPr>
        <w:t xml:space="preserve">, K.C., </w:t>
      </w:r>
      <w:proofErr w:type="spellStart"/>
      <w:r>
        <w:rPr>
          <w:rFonts w:ascii="Arial" w:eastAsia="Arial" w:hAnsi="Arial" w:cs="Arial"/>
          <w:b/>
        </w:rPr>
        <w:t>Güneralp</w:t>
      </w:r>
      <w:proofErr w:type="spellEnd"/>
      <w:r>
        <w:rPr>
          <w:rFonts w:ascii="Arial" w:eastAsia="Arial" w:hAnsi="Arial" w:cs="Arial"/>
          <w:b/>
        </w:rPr>
        <w:t xml:space="preserve">, B. &amp; </w:t>
      </w:r>
      <w:proofErr w:type="spellStart"/>
      <w:r>
        <w:rPr>
          <w:rFonts w:ascii="Arial" w:eastAsia="Arial" w:hAnsi="Arial" w:cs="Arial"/>
          <w:b/>
        </w:rPr>
        <w:t>Hutyra</w:t>
      </w:r>
      <w:proofErr w:type="spellEnd"/>
      <w:r>
        <w:rPr>
          <w:rFonts w:ascii="Arial" w:eastAsia="Arial" w:hAnsi="Arial" w:cs="Arial"/>
          <w:b/>
        </w:rPr>
        <w:t>, L.R., 2012. Global forecasts of urban expansion to 2030 and direct im</w:t>
      </w:r>
      <w:r>
        <w:rPr>
          <w:rFonts w:ascii="Arial" w:eastAsia="Arial" w:hAnsi="Arial" w:cs="Arial"/>
          <w:b/>
        </w:rPr>
        <w:t xml:space="preserve">pacts on biodiversity and carbon pools. Proceeding of the National Academy of Sciences, 109(40), pp.16083–16088. </w:t>
      </w:r>
    </w:p>
    <w:p w14:paraId="000000B1" w14:textId="77777777" w:rsidR="00F04242" w:rsidRDefault="00E4496D">
      <w:pPr>
        <w:ind w:left="720" w:hanging="720"/>
        <w:rPr>
          <w:rFonts w:ascii="Arial" w:eastAsia="Arial" w:hAnsi="Arial" w:cs="Arial"/>
          <w:b/>
        </w:rPr>
      </w:pPr>
      <w:r>
        <w:rPr>
          <w:rFonts w:ascii="Arial" w:eastAsia="Arial" w:hAnsi="Arial" w:cs="Arial"/>
          <w:b/>
        </w:rPr>
        <w:t>Woodcock, J. et al., 2009. Public health benefits of strategies to reduce greenhouse-gas emissions: urban land transport. Lancet, 374(9705), p</w:t>
      </w:r>
      <w:r>
        <w:rPr>
          <w:rFonts w:ascii="Arial" w:eastAsia="Arial" w:hAnsi="Arial" w:cs="Arial"/>
          <w:b/>
        </w:rPr>
        <w:t>p.1930–1943.</w:t>
      </w:r>
    </w:p>
    <w:p w14:paraId="000000B2" w14:textId="77777777" w:rsidR="00F04242" w:rsidRDefault="00F04242">
      <w:pPr>
        <w:pBdr>
          <w:top w:val="nil"/>
          <w:left w:val="nil"/>
          <w:bottom w:val="nil"/>
          <w:right w:val="nil"/>
          <w:between w:val="nil"/>
        </w:pBdr>
        <w:shd w:val="clear" w:color="auto" w:fill="FFFFFF"/>
        <w:spacing w:after="240" w:line="240" w:lineRule="auto"/>
        <w:rPr>
          <w:rFonts w:ascii="Arial" w:eastAsia="Arial" w:hAnsi="Arial" w:cs="Arial"/>
          <w:color w:val="000000"/>
        </w:rPr>
      </w:pPr>
    </w:p>
    <w:p w14:paraId="000000B3" w14:textId="77777777" w:rsidR="00F04242" w:rsidRDefault="00F04242">
      <w:pPr>
        <w:pBdr>
          <w:top w:val="nil"/>
          <w:left w:val="nil"/>
          <w:bottom w:val="nil"/>
          <w:right w:val="nil"/>
          <w:between w:val="nil"/>
        </w:pBdr>
        <w:shd w:val="clear" w:color="auto" w:fill="FFFFFF"/>
        <w:spacing w:after="240" w:line="240" w:lineRule="auto"/>
        <w:rPr>
          <w:rFonts w:ascii="Times New Roman" w:eastAsia="Times New Roman" w:hAnsi="Times New Roman" w:cs="Times New Roman"/>
          <w:color w:val="000000"/>
          <w:sz w:val="24"/>
          <w:szCs w:val="24"/>
        </w:rPr>
      </w:pPr>
    </w:p>
    <w:sectPr w:rsidR="00F04242">
      <w:headerReference w:type="even" r:id="rId34"/>
      <w:headerReference w:type="default" r:id="rId35"/>
      <w:footerReference w:type="even" r:id="rId36"/>
      <w:headerReference w:type="first" r:id="rId37"/>
      <w:footerReference w:type="first" r:id="rId3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839B2" w14:textId="77777777" w:rsidR="00000000" w:rsidRDefault="00E4496D">
      <w:pPr>
        <w:spacing w:after="0" w:line="240" w:lineRule="auto"/>
      </w:pPr>
      <w:r>
        <w:separator/>
      </w:r>
    </w:p>
  </w:endnote>
  <w:endnote w:type="continuationSeparator" w:id="0">
    <w:p w14:paraId="7834C09F" w14:textId="77777777" w:rsidR="00000000" w:rsidRDefault="00E44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3F4AF" w14:textId="77777777" w:rsidR="00E4496D" w:rsidRDefault="00E4496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F5AB1" w14:textId="77777777" w:rsidR="00E4496D" w:rsidRDefault="00E4496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DF338" w14:textId="77777777" w:rsidR="00000000" w:rsidRDefault="00E4496D">
      <w:pPr>
        <w:spacing w:after="0" w:line="240" w:lineRule="auto"/>
      </w:pPr>
      <w:r>
        <w:separator/>
      </w:r>
    </w:p>
  </w:footnote>
  <w:footnote w:type="continuationSeparator" w:id="0">
    <w:p w14:paraId="3A35F5D0" w14:textId="77777777" w:rsidR="00000000" w:rsidRDefault="00E44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16C63" w14:textId="77777777" w:rsidR="00E4496D" w:rsidRDefault="00E4496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4" w14:textId="03C9FF94" w:rsidR="00F04242" w:rsidRDefault="00E4496D">
    <w:pPr>
      <w:pBdr>
        <w:top w:val="nil"/>
        <w:left w:val="nil"/>
        <w:bottom w:val="nil"/>
        <w:right w:val="nil"/>
        <w:between w:val="nil"/>
      </w:pBdr>
      <w:tabs>
        <w:tab w:val="center" w:pos="4513"/>
        <w:tab w:val="right" w:pos="9026"/>
      </w:tabs>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5" w14:textId="2BF8D32C" w:rsidR="00F04242" w:rsidRDefault="00E4496D">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r>
      <w:rPr>
        <w:noProof/>
      </w:rPr>
      <w:drawing>
        <wp:anchor distT="0" distB="101600" distL="0" distR="0" simplePos="0" relativeHeight="251658240" behindDoc="0" locked="0" layoutInCell="1" hidden="0" allowOverlap="1" wp14:anchorId="1092E609" wp14:editId="07777777">
          <wp:simplePos x="0" y="0"/>
          <wp:positionH relativeFrom="column">
            <wp:posOffset>0</wp:posOffset>
          </wp:positionH>
          <wp:positionV relativeFrom="paragraph">
            <wp:posOffset>0</wp:posOffset>
          </wp:positionV>
          <wp:extent cx="3362325" cy="1680845"/>
          <wp:effectExtent l="0" t="0" r="0" b="0"/>
          <wp:wrapSquare wrapText="bothSides" distT="0" distB="10160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362325" cy="16808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7D3C"/>
    <w:multiLevelType w:val="multilevel"/>
    <w:tmpl w:val="FF723F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8B9920C"/>
    <w:multiLevelType w:val="multilevel"/>
    <w:tmpl w:val="A410686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CC43729"/>
    <w:multiLevelType w:val="multilevel"/>
    <w:tmpl w:val="DA5C91B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DE93E3E"/>
    <w:multiLevelType w:val="multilevel"/>
    <w:tmpl w:val="62ACF97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0F9ACA5"/>
    <w:multiLevelType w:val="multilevel"/>
    <w:tmpl w:val="864C78B8"/>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48044C66"/>
    <w:multiLevelType w:val="multilevel"/>
    <w:tmpl w:val="2B6E6AEA"/>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94F126D"/>
    <w:multiLevelType w:val="multilevel"/>
    <w:tmpl w:val="0BA4F7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021316374">
    <w:abstractNumId w:val="5"/>
  </w:num>
  <w:num w:numId="2" w16cid:durableId="547882382">
    <w:abstractNumId w:val="0"/>
  </w:num>
  <w:num w:numId="3" w16cid:durableId="1548028013">
    <w:abstractNumId w:val="2"/>
  </w:num>
  <w:num w:numId="4" w16cid:durableId="11297444">
    <w:abstractNumId w:val="6"/>
  </w:num>
  <w:num w:numId="5" w16cid:durableId="1575622073">
    <w:abstractNumId w:val="4"/>
  </w:num>
  <w:num w:numId="6" w16cid:durableId="835069659">
    <w:abstractNumId w:val="1"/>
  </w:num>
  <w:num w:numId="7" w16cid:durableId="253638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242"/>
    <w:rsid w:val="00E4496D"/>
    <w:rsid w:val="00F04242"/>
    <w:rsid w:val="26DC55E1"/>
    <w:rsid w:val="4035BB0C"/>
    <w:rsid w:val="455B923D"/>
    <w:rsid w:val="489332FF"/>
    <w:rsid w:val="5A7CB20F"/>
    <w:rsid w:val="5DA8E0B4"/>
    <w:rsid w:val="7298EA01"/>
    <w:rsid w:val="7C26A3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6DA66"/>
  <w15:docId w15:val="{F759D166-AC6D-460B-99DC-69CA12FA3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Normal0">
    <w:name w:val="Normal0"/>
    <w:next w:val="Normal"/>
    <w:pPr>
      <w:suppressAutoHyphens/>
      <w:ind w:leftChars="-1" w:left="-1" w:hangingChars="1" w:hanging="1"/>
      <w:textDirection w:val="btLr"/>
      <w:textAlignment w:val="top"/>
      <w:outlineLvl w:val="0"/>
    </w:pPr>
    <w:rPr>
      <w:position w:val="-1"/>
      <w:lang w:eastAsia="en-US"/>
    </w:rPr>
  </w:style>
  <w:style w:type="table" w:customStyle="1" w:styleId="NormalTable0">
    <w:name w:val="Normal Table0"/>
    <w:next w:val="TableNormal"/>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paragraph" w:styleId="NormalWeb">
    <w:name w:val="Normal (Web)"/>
    <w:basedOn w:val="Normal0"/>
    <w:qFormat/>
    <w:pPr>
      <w:spacing w:before="100" w:beforeAutospacing="1" w:after="100" w:afterAutospacing="1" w:line="240" w:lineRule="auto"/>
    </w:pPr>
    <w:rPr>
      <w:rFonts w:ascii="Times New Roman" w:eastAsia="Times New Roman" w:hAnsi="Times New Roman"/>
      <w:sz w:val="24"/>
      <w:szCs w:val="24"/>
      <w:lang/>
    </w:rPr>
  </w:style>
  <w:style w:type="character" w:styleId="Hyperlink">
    <w:name w:val="Hyperlink"/>
    <w:qFormat/>
    <w:rPr>
      <w:color w:val="0000FF"/>
      <w:w w:val="100"/>
      <w:position w:val="-1"/>
      <w:u w:val="single"/>
      <w:effect w:val="none"/>
      <w:vertAlign w:val="baseline"/>
      <w:cs w:val="0"/>
      <w:em w:val="none"/>
    </w:rPr>
  </w:style>
  <w:style w:type="paragraph" w:styleId="Header">
    <w:name w:val="header"/>
    <w:basedOn w:val="Normal0"/>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0"/>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eastAsia="en-US"/>
    </w:rPr>
  </w:style>
  <w:style w:type="paragraph" w:styleId="Subtitle">
    <w:name w:val="Subtitle"/>
    <w:basedOn w:val="Normal0"/>
    <w:next w:val="Normal0"/>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cs.google.com/document/d/1e5DXTesuX05ZnydiYbUF1wXQyztYY5Ya75eDa4h51OY/edit" TargetMode="External"/><Relationship Id="rId18" Type="http://schemas.openxmlformats.org/officeDocument/2006/relationships/hyperlink" Target="http://www.un.org/development/desa/disabilities/envision2030-goal2.html" TargetMode="External"/><Relationship Id="rId26" Type="http://schemas.openxmlformats.org/officeDocument/2006/relationships/hyperlink" Target="http://www.un.org/development/desa/disabilities/envision2030-goal10.html" TargetMode="External"/><Relationship Id="rId39" Type="http://schemas.openxmlformats.org/officeDocument/2006/relationships/fontTable" Target="fontTable.xml"/><Relationship Id="rId21" Type="http://schemas.openxmlformats.org/officeDocument/2006/relationships/hyperlink" Target="http://www.un.org/development/desa/disabilities/envision2030-goal5.html"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cs.google.com/document/d/1e5DXTesuX05ZnydiYbUF1wXQyztYY5Ya75eDa4h51OY/edit" TargetMode="External"/><Relationship Id="rId17" Type="http://schemas.openxmlformats.org/officeDocument/2006/relationships/hyperlink" Target="https://www.un.org/development/desa/disabilities/?page_id=6226&amp;preview=true" TargetMode="External"/><Relationship Id="rId25" Type="http://schemas.openxmlformats.org/officeDocument/2006/relationships/hyperlink" Target="http://www.un.org/development/desa/disabilities/envision2030-goal9.html" TargetMode="External"/><Relationship Id="rId33" Type="http://schemas.openxmlformats.org/officeDocument/2006/relationships/hyperlink" Target="http://www.un.org/development/desa/disabilities/envision2030-goal17.html"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google.com/document/d/1e5DXTesuX05ZnydiYbUF1wXQyztYY5Ya75eDa4h51OY/edit" TargetMode="External"/><Relationship Id="rId20" Type="http://schemas.openxmlformats.org/officeDocument/2006/relationships/hyperlink" Target="http://www.un.org/development/desa/disabilities/envision2030-goal4.html" TargetMode="External"/><Relationship Id="rId29" Type="http://schemas.openxmlformats.org/officeDocument/2006/relationships/hyperlink" Target="http://www.un.org/development/desa/disabilities/envision2030-goal13.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e5DXTesuX05ZnydiYbUF1wXQyztYY5Ya75eDa4h51OY/edit" TargetMode="External"/><Relationship Id="rId24" Type="http://schemas.openxmlformats.org/officeDocument/2006/relationships/hyperlink" Target="http://www.un.org/development/desa/disabilities/envision2030-goal8.html" TargetMode="External"/><Relationship Id="rId32" Type="http://schemas.openxmlformats.org/officeDocument/2006/relationships/hyperlink" Target="http://www.un.org/development/desa/disabilities/envision2030-goal16.html"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e5DXTesuX05ZnydiYbUF1wXQyztYY5Ya75eDa4h51OY/edit" TargetMode="External"/><Relationship Id="rId23" Type="http://schemas.openxmlformats.org/officeDocument/2006/relationships/hyperlink" Target="http://www.un.org/development/desa/disabilities/envision2030-goal7.html" TargetMode="External"/><Relationship Id="rId28" Type="http://schemas.openxmlformats.org/officeDocument/2006/relationships/hyperlink" Target="http://www.un.org/development/desa/disabilities/envision2030-goal12.html" TargetMode="External"/><Relationship Id="rId36" Type="http://schemas.openxmlformats.org/officeDocument/2006/relationships/footer" Target="footer1.xml"/><Relationship Id="rId10" Type="http://schemas.openxmlformats.org/officeDocument/2006/relationships/hyperlink" Target="https://docs.google.com/document/d/1e5DXTesuX05ZnydiYbUF1wXQyztYY5Ya75eDa4h51OY/edit" TargetMode="External"/><Relationship Id="rId19" Type="http://schemas.openxmlformats.org/officeDocument/2006/relationships/hyperlink" Target="http://www.un.org/development/desa/disabilities/envision2030-goal3.html" TargetMode="External"/><Relationship Id="rId31" Type="http://schemas.openxmlformats.org/officeDocument/2006/relationships/hyperlink" Target="http://www.un.org/development/desa/disabilities/envision2030-goal15.html" TargetMode="External"/><Relationship Id="rId4" Type="http://schemas.openxmlformats.org/officeDocument/2006/relationships/settings" Target="settings.xml"/><Relationship Id="rId9" Type="http://schemas.openxmlformats.org/officeDocument/2006/relationships/hyperlink" Target="https://docs.google.com/document/d/1e5DXTesuX05ZnydiYbUF1wXQyztYY5Ya75eDa4h51OY/edit" TargetMode="External"/><Relationship Id="rId14" Type="http://schemas.openxmlformats.org/officeDocument/2006/relationships/hyperlink" Target="https://docs.google.com/document/d/1e5DXTesuX05ZnydiYbUF1wXQyztYY5Ya75eDa4h51OY/edit" TargetMode="External"/><Relationship Id="rId22" Type="http://schemas.openxmlformats.org/officeDocument/2006/relationships/hyperlink" Target="http://www.un.org/development/desa/disabilities/envision2030-goal6.html" TargetMode="External"/><Relationship Id="rId27" Type="http://schemas.openxmlformats.org/officeDocument/2006/relationships/hyperlink" Target="http://www.un.org/development/desa/disabilities/envision2030-goal11.html" TargetMode="External"/><Relationship Id="rId30" Type="http://schemas.openxmlformats.org/officeDocument/2006/relationships/hyperlink" Target="http://www.un.org/development/desa/disabilities/envision2030-goal14.html"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k8uirk1TXLkvYY3U878ONelM1Q==">AMUW2mWT7CQChUd2e8WtoXFFVyC60MUZFySqnsMO8WTVelInj2s2l8KaRsq1jKZnw4LoLjcFVrMHcJj6wzQxbHU6Ncp0AdZFbnO4HQPJPtB54FGg17MkMnk=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4821</Words>
  <Characters>27483</Characters>
  <Application>Microsoft Office Word</Application>
  <DocSecurity>4</DocSecurity>
  <Lines>229</Lines>
  <Paragraphs>64</Paragraphs>
  <ScaleCrop>false</ScaleCrop>
  <Company>University of Wales Trinity Saint David</Company>
  <LinksUpToDate>false</LinksUpToDate>
  <CharactersWithSpaces>32240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Eliane Mukeba (Institute of Inner City Learning)</cp:lastModifiedBy>
  <cp:revision>2</cp:revision>
  <dcterms:created xsi:type="dcterms:W3CDTF">2023-01-24T12:49:00Z</dcterms:created>
  <dcterms:modified xsi:type="dcterms:W3CDTF">2023-01-24T12:49:00Z</dcterms:modified>
</cp:coreProperties>
</file>