
<file path=[Content_Types].xml><?xml version="1.0" encoding="utf-8"?>
<Types xmlns="http://schemas.openxmlformats.org/package/2006/content-types">
  <Default Extension="docx" ContentType="application/vnd.openxmlformats-officedocument.wordprocessingml.document"/>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4717423" w14:textId="1612030B" w:rsidR="007F7F5E" w:rsidRPr="005C0DFD" w:rsidRDefault="00C24994" w:rsidP="005C0DFD">
      <w:pPr>
        <w:pStyle w:val="BodyTextIndent"/>
        <w:ind w:left="0" w:firstLine="0"/>
        <w:jc w:val="center"/>
        <w:rPr>
          <w:b/>
          <w:bCs/>
          <w:sz w:val="28"/>
          <w:szCs w:val="28"/>
          <w:u w:val="single"/>
        </w:rPr>
      </w:pPr>
      <w:r w:rsidRPr="0079067B">
        <w:rPr>
          <w:b/>
          <w:bCs/>
          <w:sz w:val="28"/>
          <w:szCs w:val="28"/>
          <w:u w:val="single"/>
        </w:rPr>
        <w:t>An in</w:t>
      </w:r>
      <w:r w:rsidR="004B0A6D">
        <w:rPr>
          <w:b/>
          <w:bCs/>
          <w:sz w:val="28"/>
          <w:szCs w:val="28"/>
          <w:u w:val="single"/>
        </w:rPr>
        <w:t>quiry</w:t>
      </w:r>
      <w:r w:rsidRPr="0079067B">
        <w:rPr>
          <w:b/>
          <w:bCs/>
          <w:sz w:val="28"/>
          <w:szCs w:val="28"/>
          <w:u w:val="single"/>
        </w:rPr>
        <w:t xml:space="preserve"> into t</w:t>
      </w:r>
      <w:r w:rsidR="007929AA" w:rsidRPr="0079067B">
        <w:rPr>
          <w:b/>
          <w:bCs/>
          <w:sz w:val="28"/>
          <w:szCs w:val="28"/>
          <w:u w:val="single"/>
        </w:rPr>
        <w:t xml:space="preserve">he nature and </w:t>
      </w:r>
      <w:r w:rsidR="00A76FF2" w:rsidRPr="0079067B">
        <w:rPr>
          <w:b/>
          <w:bCs/>
          <w:sz w:val="28"/>
          <w:szCs w:val="28"/>
          <w:u w:val="single"/>
        </w:rPr>
        <w:t>impact</w:t>
      </w:r>
      <w:r w:rsidR="007929AA" w:rsidRPr="0079067B">
        <w:rPr>
          <w:b/>
          <w:bCs/>
          <w:sz w:val="28"/>
          <w:szCs w:val="28"/>
          <w:u w:val="single"/>
        </w:rPr>
        <w:t xml:space="preserve"> of </w:t>
      </w:r>
      <w:r w:rsidR="00A21D7D">
        <w:rPr>
          <w:b/>
          <w:bCs/>
          <w:sz w:val="28"/>
          <w:szCs w:val="28"/>
          <w:u w:val="single"/>
        </w:rPr>
        <w:t xml:space="preserve">professional learning </w:t>
      </w:r>
      <w:r w:rsidR="007929AA" w:rsidRPr="0079067B">
        <w:rPr>
          <w:b/>
          <w:bCs/>
          <w:sz w:val="28"/>
          <w:szCs w:val="28"/>
          <w:u w:val="single"/>
        </w:rPr>
        <w:t xml:space="preserve">to support the implementation of the </w:t>
      </w:r>
      <w:r w:rsidR="00A21D7D">
        <w:rPr>
          <w:b/>
          <w:bCs/>
          <w:sz w:val="28"/>
          <w:szCs w:val="28"/>
          <w:u w:val="single"/>
        </w:rPr>
        <w:t>Curriculum for Wales</w:t>
      </w:r>
    </w:p>
    <w:p w14:paraId="12907C9B" w14:textId="77777777" w:rsidR="006D24A6" w:rsidRDefault="006D24A6" w:rsidP="00C24994">
      <w:pPr>
        <w:pStyle w:val="BodyTextIndent"/>
        <w:ind w:left="0" w:firstLine="0"/>
        <w:rPr>
          <w:rFonts w:asciiTheme="minorHAnsi" w:hAnsiTheme="minorHAnsi" w:cstheme="minorHAnsi"/>
          <w:b/>
          <w:bCs/>
          <w:sz w:val="28"/>
          <w:szCs w:val="28"/>
        </w:rPr>
      </w:pPr>
    </w:p>
    <w:p w14:paraId="7C8E5C8E" w14:textId="4D7EBFCA" w:rsidR="00EE0353" w:rsidRDefault="00EE0353" w:rsidP="00C24994">
      <w:pPr>
        <w:pStyle w:val="BodyTextIndent"/>
        <w:ind w:left="0" w:firstLine="0"/>
        <w:rPr>
          <w:rFonts w:asciiTheme="minorHAnsi" w:hAnsiTheme="minorHAnsi" w:cstheme="minorHAnsi"/>
          <w:b/>
          <w:bCs/>
          <w:sz w:val="28"/>
          <w:szCs w:val="28"/>
        </w:rPr>
      </w:pPr>
      <w:r w:rsidRPr="009D500B">
        <w:rPr>
          <w:rFonts w:asciiTheme="minorHAnsi" w:hAnsiTheme="minorHAnsi" w:cstheme="minorHAnsi"/>
          <w:b/>
          <w:bCs/>
          <w:sz w:val="28"/>
          <w:szCs w:val="28"/>
        </w:rPr>
        <w:t>A</w:t>
      </w:r>
      <w:r w:rsidR="00A21D7D">
        <w:rPr>
          <w:rFonts w:asciiTheme="minorHAnsi" w:hAnsiTheme="minorHAnsi" w:cstheme="minorHAnsi"/>
          <w:b/>
          <w:bCs/>
          <w:sz w:val="28"/>
          <w:szCs w:val="28"/>
        </w:rPr>
        <w:t>bstract</w:t>
      </w:r>
    </w:p>
    <w:p w14:paraId="5BC81E5F" w14:textId="5B28FC53" w:rsidR="006D24A6" w:rsidRPr="00DD2713" w:rsidRDefault="003515EF" w:rsidP="00DD2713">
      <w:pPr>
        <w:jc w:val="both"/>
      </w:pPr>
      <w:r>
        <w:t>With the introduction of the Curriculum for Wales, the Welsh education system is experiencing the mos</w:t>
      </w:r>
      <w:r w:rsidR="004E0F93">
        <w:t xml:space="preserve">t </w:t>
      </w:r>
      <w:r>
        <w:t xml:space="preserve">significant and comprehensive reforms in the nation’s history. This study explores the professional support </w:t>
      </w:r>
      <w:r w:rsidR="00F36273">
        <w:t>made</w:t>
      </w:r>
      <w:r>
        <w:t xml:space="preserve"> available to the workforce at this time of enormous change.  This study attempts to provide additional evidence relating to the perceived impact of professional learning on </w:t>
      </w:r>
      <w:r w:rsidR="00A21D7D">
        <w:t>practitioners’</w:t>
      </w:r>
      <w:r>
        <w:t xml:space="preserve"> knowledge and confidence in implementing the reforms.  This inquiry used an interpretative paradigm and case study methodology to explore practitioner perceptions and evaluations of their PL engagement to support their implementation of the Curriculum for Wales. </w:t>
      </w:r>
      <w:r w:rsidR="00D11D89">
        <w:t xml:space="preserve"> </w:t>
      </w:r>
      <w:r>
        <w:t xml:space="preserve">This study has found huge variation in the amount of professional learning that practitioners have engaged with, and </w:t>
      </w:r>
      <w:r w:rsidRPr="003515EF">
        <w:t>disparity</w:t>
      </w:r>
      <w:r>
        <w:t xml:space="preserve"> in practitioner perceptions of their own responsibility for their engagement. This study has also found that some of the main pedagogical approaches to PL that the Welsh </w:t>
      </w:r>
      <w:r w:rsidR="00A21D7D">
        <w:t xml:space="preserve">National </w:t>
      </w:r>
      <w:r>
        <w:t>Approach to Professional Learning advocates</w:t>
      </w:r>
      <w:r w:rsidR="00A21D7D">
        <w:t>,</w:t>
      </w:r>
      <w:r>
        <w:t xml:space="preserve"> have </w:t>
      </w:r>
      <w:r w:rsidR="00F36273">
        <w:t xml:space="preserve">not </w:t>
      </w:r>
      <w:r>
        <w:t xml:space="preserve">been evident within practitioner experiences to a </w:t>
      </w:r>
      <w:r w:rsidR="00F36273">
        <w:t>great</w:t>
      </w:r>
      <w:r>
        <w:t xml:space="preserve"> extent.  This study </w:t>
      </w:r>
      <w:r w:rsidR="002A0E9C">
        <w:t xml:space="preserve">has revealed the need for significant additional, large scale research to evaluate the provision </w:t>
      </w:r>
      <w:r w:rsidR="00A21D7D">
        <w:t xml:space="preserve">and effectiveness </w:t>
      </w:r>
      <w:r w:rsidR="002A0E9C">
        <w:t>of professional learning on the Curriculum for Wales at all levels</w:t>
      </w:r>
      <w:r w:rsidR="00A21D7D">
        <w:t xml:space="preserve">. </w:t>
      </w:r>
      <w:r w:rsidR="002A0E9C">
        <w:t xml:space="preserve"> </w:t>
      </w:r>
    </w:p>
    <w:p w14:paraId="4BB16305" w14:textId="1C64A2D9" w:rsidR="007F7F5E" w:rsidRDefault="007F7F5E">
      <w:pPr>
        <w:rPr>
          <w:rFonts w:cstheme="minorHAnsi"/>
          <w:b/>
          <w:bCs/>
          <w:sz w:val="28"/>
          <w:szCs w:val="28"/>
        </w:rPr>
      </w:pPr>
      <w:r>
        <w:rPr>
          <w:rFonts w:cstheme="minorHAnsi"/>
          <w:b/>
          <w:bCs/>
          <w:sz w:val="28"/>
          <w:szCs w:val="28"/>
        </w:rPr>
        <w:t>Table of Contents</w:t>
      </w:r>
    </w:p>
    <w:tbl>
      <w:tblPr>
        <w:tblStyle w:val="TableGrid"/>
        <w:tblW w:w="0" w:type="auto"/>
        <w:tblLook w:val="04A0" w:firstRow="1" w:lastRow="0" w:firstColumn="1" w:lastColumn="0" w:noHBand="0" w:noVBand="1"/>
      </w:tblPr>
      <w:tblGrid>
        <w:gridCol w:w="4531"/>
        <w:gridCol w:w="1418"/>
      </w:tblGrid>
      <w:tr w:rsidR="007F7F5E" w14:paraId="4E451A08" w14:textId="77777777" w:rsidTr="00DD2713">
        <w:tc>
          <w:tcPr>
            <w:tcW w:w="4531" w:type="dxa"/>
          </w:tcPr>
          <w:p w14:paraId="3BAAC75C" w14:textId="3734758F" w:rsidR="007F7F5E" w:rsidRPr="00873B1E" w:rsidRDefault="007F7F5E" w:rsidP="007F7F5E">
            <w:pPr>
              <w:spacing w:after="160" w:line="259" w:lineRule="auto"/>
              <w:rPr>
                <w:rFonts w:cstheme="minorHAnsi"/>
                <w:b/>
                <w:bCs/>
              </w:rPr>
            </w:pPr>
            <w:r w:rsidRPr="00873B1E">
              <w:rPr>
                <w:rFonts w:cstheme="minorHAnsi"/>
                <w:b/>
                <w:bCs/>
              </w:rPr>
              <w:t>Abstrac</w:t>
            </w:r>
            <w:r w:rsidR="006D24A6">
              <w:rPr>
                <w:rFonts w:cstheme="minorHAnsi"/>
                <w:b/>
                <w:bCs/>
              </w:rPr>
              <w:t>t</w:t>
            </w:r>
          </w:p>
        </w:tc>
        <w:tc>
          <w:tcPr>
            <w:tcW w:w="1418" w:type="dxa"/>
          </w:tcPr>
          <w:p w14:paraId="21AEE99E" w14:textId="1B92B5F2" w:rsidR="007F7F5E" w:rsidRPr="005C0DFD" w:rsidRDefault="007F7F5E">
            <w:pPr>
              <w:rPr>
                <w:rFonts w:cstheme="minorHAnsi"/>
                <w:b/>
                <w:bCs/>
              </w:rPr>
            </w:pPr>
            <w:r w:rsidRPr="005C0DFD">
              <w:rPr>
                <w:rFonts w:cstheme="minorHAnsi"/>
                <w:b/>
                <w:bCs/>
              </w:rPr>
              <w:t>Page 1</w:t>
            </w:r>
          </w:p>
        </w:tc>
      </w:tr>
      <w:tr w:rsidR="007F7F5E" w14:paraId="18ED9F86" w14:textId="77777777" w:rsidTr="00DD2713">
        <w:tc>
          <w:tcPr>
            <w:tcW w:w="4531" w:type="dxa"/>
          </w:tcPr>
          <w:p w14:paraId="4ACDCD50" w14:textId="77777777" w:rsidR="007F7F5E" w:rsidRPr="00873B1E" w:rsidRDefault="007F7F5E">
            <w:pPr>
              <w:rPr>
                <w:rFonts w:cstheme="minorHAnsi"/>
                <w:b/>
                <w:bCs/>
              </w:rPr>
            </w:pPr>
            <w:r w:rsidRPr="00873B1E">
              <w:rPr>
                <w:rFonts w:cstheme="minorHAnsi"/>
                <w:b/>
                <w:bCs/>
              </w:rPr>
              <w:t>Chapter 1: Introduction</w:t>
            </w:r>
          </w:p>
          <w:p w14:paraId="4C047142" w14:textId="13E2EB01" w:rsidR="00873B1E" w:rsidRPr="005C0DFD" w:rsidRDefault="00873B1E" w:rsidP="00DD2713">
            <w:pPr>
              <w:pStyle w:val="ListParagraph"/>
              <w:rPr>
                <w:rFonts w:cstheme="minorHAnsi"/>
              </w:rPr>
            </w:pPr>
          </w:p>
        </w:tc>
        <w:tc>
          <w:tcPr>
            <w:tcW w:w="1418" w:type="dxa"/>
          </w:tcPr>
          <w:p w14:paraId="0F8FD6F7" w14:textId="53ECA2A9" w:rsidR="007F7F5E" w:rsidRPr="005C0DFD" w:rsidRDefault="007F7F5E">
            <w:pPr>
              <w:rPr>
                <w:rFonts w:cstheme="minorHAnsi"/>
                <w:b/>
                <w:bCs/>
              </w:rPr>
            </w:pPr>
            <w:r w:rsidRPr="005C0DFD">
              <w:rPr>
                <w:rFonts w:cstheme="minorHAnsi"/>
                <w:b/>
                <w:bCs/>
              </w:rPr>
              <w:t xml:space="preserve">Page </w:t>
            </w:r>
            <w:r w:rsidR="00DD2713">
              <w:rPr>
                <w:rFonts w:cstheme="minorHAnsi"/>
                <w:b/>
                <w:bCs/>
              </w:rPr>
              <w:t>2</w:t>
            </w:r>
          </w:p>
          <w:p w14:paraId="6179CE56" w14:textId="148B11DD" w:rsidR="00873B1E" w:rsidRPr="007F7F5E" w:rsidRDefault="00873B1E">
            <w:pPr>
              <w:rPr>
                <w:rFonts w:cstheme="minorHAnsi"/>
              </w:rPr>
            </w:pPr>
          </w:p>
        </w:tc>
      </w:tr>
      <w:tr w:rsidR="007F7F5E" w14:paraId="478484BF" w14:textId="77777777" w:rsidTr="00DD2713">
        <w:tc>
          <w:tcPr>
            <w:tcW w:w="4531" w:type="dxa"/>
          </w:tcPr>
          <w:p w14:paraId="3047D618" w14:textId="7B923972" w:rsidR="007F7F5E" w:rsidRPr="005C0DFD" w:rsidRDefault="007F7F5E">
            <w:pPr>
              <w:rPr>
                <w:rFonts w:cstheme="minorHAnsi"/>
                <w:b/>
                <w:bCs/>
              </w:rPr>
            </w:pPr>
            <w:r w:rsidRPr="005C0DFD">
              <w:rPr>
                <w:rFonts w:cstheme="minorHAnsi"/>
                <w:b/>
                <w:bCs/>
              </w:rPr>
              <w:t>Chapter 2: Review of the Literature</w:t>
            </w:r>
          </w:p>
          <w:p w14:paraId="6F0D88D5" w14:textId="0665E2F5" w:rsidR="007F7F5E" w:rsidRPr="007F7F5E" w:rsidRDefault="007F7F5E">
            <w:pPr>
              <w:rPr>
                <w:rFonts w:cstheme="minorHAnsi"/>
              </w:rPr>
            </w:pPr>
          </w:p>
        </w:tc>
        <w:tc>
          <w:tcPr>
            <w:tcW w:w="1418" w:type="dxa"/>
          </w:tcPr>
          <w:p w14:paraId="75473336" w14:textId="53BD059E" w:rsidR="007F7F5E" w:rsidRPr="00DD2713" w:rsidRDefault="00DD2713">
            <w:pPr>
              <w:rPr>
                <w:rFonts w:cstheme="minorHAnsi"/>
                <w:b/>
                <w:bCs/>
              </w:rPr>
            </w:pPr>
            <w:r w:rsidRPr="00DD2713">
              <w:rPr>
                <w:rFonts w:cstheme="minorHAnsi"/>
                <w:b/>
                <w:bCs/>
              </w:rPr>
              <w:t>Page 5</w:t>
            </w:r>
          </w:p>
        </w:tc>
      </w:tr>
      <w:tr w:rsidR="007F7F5E" w14:paraId="0977C909" w14:textId="77777777" w:rsidTr="00DD2713">
        <w:tc>
          <w:tcPr>
            <w:tcW w:w="4531" w:type="dxa"/>
          </w:tcPr>
          <w:p w14:paraId="5A959A90" w14:textId="77777777" w:rsidR="007F7F5E" w:rsidRDefault="00DD2713">
            <w:pPr>
              <w:rPr>
                <w:rFonts w:cstheme="minorHAnsi"/>
                <w:b/>
                <w:bCs/>
              </w:rPr>
            </w:pPr>
            <w:r w:rsidRPr="00DD2713">
              <w:rPr>
                <w:rFonts w:cstheme="minorHAnsi"/>
                <w:b/>
                <w:bCs/>
              </w:rPr>
              <w:t>Chapter 3: Research Methodology</w:t>
            </w:r>
          </w:p>
          <w:p w14:paraId="41E55D0B" w14:textId="2828F4FA" w:rsidR="00DD2713" w:rsidRPr="00DD2713" w:rsidRDefault="00DD2713">
            <w:pPr>
              <w:rPr>
                <w:rFonts w:cstheme="minorHAnsi"/>
                <w:b/>
                <w:bCs/>
              </w:rPr>
            </w:pPr>
          </w:p>
        </w:tc>
        <w:tc>
          <w:tcPr>
            <w:tcW w:w="1418" w:type="dxa"/>
          </w:tcPr>
          <w:p w14:paraId="172F37AE" w14:textId="5BE777E6" w:rsidR="007F7F5E" w:rsidRPr="00DD2713" w:rsidRDefault="00DD2713">
            <w:pPr>
              <w:rPr>
                <w:rFonts w:cstheme="minorHAnsi"/>
                <w:b/>
                <w:bCs/>
              </w:rPr>
            </w:pPr>
            <w:r w:rsidRPr="00DD2713">
              <w:rPr>
                <w:rFonts w:cstheme="minorHAnsi"/>
                <w:b/>
                <w:bCs/>
              </w:rPr>
              <w:t>Page 16</w:t>
            </w:r>
          </w:p>
        </w:tc>
      </w:tr>
      <w:tr w:rsidR="007F7F5E" w14:paraId="3C1C37E9" w14:textId="77777777" w:rsidTr="00DD2713">
        <w:tc>
          <w:tcPr>
            <w:tcW w:w="4531" w:type="dxa"/>
          </w:tcPr>
          <w:p w14:paraId="0CCB35ED" w14:textId="77777777" w:rsidR="007F7F5E" w:rsidRDefault="00DD2713">
            <w:pPr>
              <w:rPr>
                <w:rFonts w:cstheme="minorHAnsi"/>
                <w:b/>
                <w:bCs/>
              </w:rPr>
            </w:pPr>
            <w:r w:rsidRPr="00DD2713">
              <w:rPr>
                <w:rFonts w:cstheme="minorHAnsi"/>
                <w:b/>
                <w:bCs/>
              </w:rPr>
              <w:t>Chapter 4:  Presentation of findings</w:t>
            </w:r>
          </w:p>
          <w:p w14:paraId="536801EF" w14:textId="07A89DE6" w:rsidR="00DD2713" w:rsidRPr="00DD2713" w:rsidRDefault="00DD2713">
            <w:pPr>
              <w:rPr>
                <w:rFonts w:cstheme="minorHAnsi"/>
                <w:b/>
                <w:bCs/>
              </w:rPr>
            </w:pPr>
          </w:p>
        </w:tc>
        <w:tc>
          <w:tcPr>
            <w:tcW w:w="1418" w:type="dxa"/>
          </w:tcPr>
          <w:p w14:paraId="581F1958" w14:textId="6B206334" w:rsidR="007F7F5E" w:rsidRPr="00DD2713" w:rsidRDefault="00DD2713">
            <w:pPr>
              <w:rPr>
                <w:rFonts w:cstheme="minorHAnsi"/>
                <w:b/>
                <w:bCs/>
              </w:rPr>
            </w:pPr>
            <w:r w:rsidRPr="00DD2713">
              <w:rPr>
                <w:rFonts w:cstheme="minorHAnsi"/>
                <w:b/>
                <w:bCs/>
              </w:rPr>
              <w:t>Page 2</w:t>
            </w:r>
            <w:r w:rsidR="003402C0">
              <w:rPr>
                <w:rFonts w:cstheme="minorHAnsi"/>
                <w:b/>
                <w:bCs/>
              </w:rPr>
              <w:t>2</w:t>
            </w:r>
          </w:p>
        </w:tc>
      </w:tr>
      <w:tr w:rsidR="007F7F5E" w14:paraId="6CD32BCC" w14:textId="77777777" w:rsidTr="00DD2713">
        <w:tc>
          <w:tcPr>
            <w:tcW w:w="4531" w:type="dxa"/>
          </w:tcPr>
          <w:p w14:paraId="430DD397" w14:textId="6C37E69B" w:rsidR="007F7F5E" w:rsidRDefault="007F7F5E">
            <w:pPr>
              <w:rPr>
                <w:rFonts w:cstheme="minorHAnsi"/>
                <w:b/>
                <w:bCs/>
              </w:rPr>
            </w:pPr>
            <w:r w:rsidRPr="00DD2713">
              <w:rPr>
                <w:rFonts w:cstheme="minorHAnsi"/>
                <w:b/>
                <w:bCs/>
              </w:rPr>
              <w:t xml:space="preserve">Chapter 5: </w:t>
            </w:r>
            <w:r w:rsidR="00DD2713">
              <w:rPr>
                <w:rFonts w:cstheme="minorHAnsi"/>
                <w:b/>
                <w:bCs/>
              </w:rPr>
              <w:t>Discussion</w:t>
            </w:r>
          </w:p>
          <w:p w14:paraId="3ADF6B04" w14:textId="50396958" w:rsidR="00DD2713" w:rsidRPr="00DD2713" w:rsidRDefault="00DD2713">
            <w:pPr>
              <w:rPr>
                <w:rFonts w:cstheme="minorHAnsi"/>
                <w:b/>
                <w:bCs/>
              </w:rPr>
            </w:pPr>
          </w:p>
        </w:tc>
        <w:tc>
          <w:tcPr>
            <w:tcW w:w="1418" w:type="dxa"/>
          </w:tcPr>
          <w:p w14:paraId="2819475B" w14:textId="35C4FD81" w:rsidR="007F7F5E" w:rsidRPr="00DD2713" w:rsidRDefault="00DD2713">
            <w:pPr>
              <w:rPr>
                <w:rFonts w:cstheme="minorHAnsi"/>
                <w:b/>
                <w:bCs/>
              </w:rPr>
            </w:pPr>
            <w:r w:rsidRPr="00DD2713">
              <w:rPr>
                <w:rFonts w:cstheme="minorHAnsi"/>
                <w:b/>
                <w:bCs/>
              </w:rPr>
              <w:t xml:space="preserve">Page </w:t>
            </w:r>
            <w:r>
              <w:rPr>
                <w:rFonts w:cstheme="minorHAnsi"/>
                <w:b/>
                <w:bCs/>
              </w:rPr>
              <w:t>2</w:t>
            </w:r>
            <w:r w:rsidR="00CB3061">
              <w:rPr>
                <w:rFonts w:cstheme="minorHAnsi"/>
                <w:b/>
                <w:bCs/>
              </w:rPr>
              <w:t>8</w:t>
            </w:r>
          </w:p>
        </w:tc>
      </w:tr>
      <w:tr w:rsidR="00DD2713" w14:paraId="02761CFD" w14:textId="77777777" w:rsidTr="00DD2713">
        <w:tc>
          <w:tcPr>
            <w:tcW w:w="4531" w:type="dxa"/>
          </w:tcPr>
          <w:p w14:paraId="0934B88C" w14:textId="1BA4DAB1" w:rsidR="00DD2713" w:rsidRDefault="00DD2713">
            <w:pPr>
              <w:rPr>
                <w:rFonts w:cstheme="minorHAnsi"/>
                <w:b/>
                <w:bCs/>
              </w:rPr>
            </w:pPr>
            <w:r>
              <w:rPr>
                <w:rFonts w:cstheme="minorHAnsi"/>
                <w:b/>
                <w:bCs/>
              </w:rPr>
              <w:t>Chapter 6: Conclusions and Recommendations</w:t>
            </w:r>
          </w:p>
          <w:p w14:paraId="4D38F161" w14:textId="4EE8ED83" w:rsidR="00DD2713" w:rsidRPr="00DD2713" w:rsidRDefault="00DD2713">
            <w:pPr>
              <w:rPr>
                <w:rFonts w:cstheme="minorHAnsi"/>
                <w:b/>
                <w:bCs/>
              </w:rPr>
            </w:pPr>
          </w:p>
        </w:tc>
        <w:tc>
          <w:tcPr>
            <w:tcW w:w="1418" w:type="dxa"/>
          </w:tcPr>
          <w:p w14:paraId="1C9104E9" w14:textId="5C395633" w:rsidR="00DD2713" w:rsidRPr="00DD2713" w:rsidRDefault="00DD2713">
            <w:pPr>
              <w:rPr>
                <w:rFonts w:cstheme="minorHAnsi"/>
                <w:b/>
                <w:bCs/>
              </w:rPr>
            </w:pPr>
            <w:r>
              <w:rPr>
                <w:rFonts w:cstheme="minorHAnsi"/>
                <w:b/>
                <w:bCs/>
              </w:rPr>
              <w:t>Page 3</w:t>
            </w:r>
            <w:r w:rsidR="00A73807">
              <w:rPr>
                <w:rFonts w:cstheme="minorHAnsi"/>
                <w:b/>
                <w:bCs/>
              </w:rPr>
              <w:t>2</w:t>
            </w:r>
          </w:p>
        </w:tc>
      </w:tr>
      <w:tr w:rsidR="007F7F5E" w14:paraId="6DDD251C" w14:textId="77777777" w:rsidTr="00DD2713">
        <w:tc>
          <w:tcPr>
            <w:tcW w:w="4531" w:type="dxa"/>
          </w:tcPr>
          <w:p w14:paraId="7FE89C71" w14:textId="77777777" w:rsidR="007F7F5E" w:rsidRDefault="007F7F5E">
            <w:pPr>
              <w:rPr>
                <w:rFonts w:cstheme="minorHAnsi"/>
                <w:b/>
                <w:bCs/>
              </w:rPr>
            </w:pPr>
            <w:r w:rsidRPr="00DD2713">
              <w:rPr>
                <w:rFonts w:cstheme="minorHAnsi"/>
                <w:b/>
                <w:bCs/>
              </w:rPr>
              <w:t>References</w:t>
            </w:r>
          </w:p>
          <w:p w14:paraId="3C44B700" w14:textId="1EF9911E" w:rsidR="00DD2713" w:rsidRPr="00DD2713" w:rsidRDefault="00DD2713">
            <w:pPr>
              <w:rPr>
                <w:rFonts w:cstheme="minorHAnsi"/>
                <w:b/>
                <w:bCs/>
              </w:rPr>
            </w:pPr>
          </w:p>
        </w:tc>
        <w:tc>
          <w:tcPr>
            <w:tcW w:w="1418" w:type="dxa"/>
          </w:tcPr>
          <w:p w14:paraId="332D59DC" w14:textId="26B5200E" w:rsidR="007F7F5E" w:rsidRPr="00DD2713" w:rsidRDefault="00DD2713">
            <w:pPr>
              <w:rPr>
                <w:rFonts w:cstheme="minorHAnsi"/>
                <w:b/>
                <w:bCs/>
              </w:rPr>
            </w:pPr>
            <w:r>
              <w:rPr>
                <w:rFonts w:cstheme="minorHAnsi"/>
                <w:b/>
                <w:bCs/>
              </w:rPr>
              <w:t>Page 34</w:t>
            </w:r>
          </w:p>
        </w:tc>
      </w:tr>
      <w:tr w:rsidR="007F7F5E" w14:paraId="03161B39" w14:textId="77777777" w:rsidTr="00DD2713">
        <w:tc>
          <w:tcPr>
            <w:tcW w:w="4531" w:type="dxa"/>
          </w:tcPr>
          <w:p w14:paraId="7EB3E1DF" w14:textId="704DC03E" w:rsidR="007F7F5E" w:rsidRPr="00DD2713" w:rsidRDefault="005C0DFD">
            <w:pPr>
              <w:rPr>
                <w:rFonts w:cstheme="minorHAnsi"/>
                <w:b/>
                <w:bCs/>
              </w:rPr>
            </w:pPr>
            <w:r w:rsidRPr="00DD2713">
              <w:rPr>
                <w:rFonts w:cstheme="minorHAnsi"/>
                <w:b/>
                <w:bCs/>
              </w:rPr>
              <w:t>Appendix</w:t>
            </w:r>
          </w:p>
        </w:tc>
        <w:tc>
          <w:tcPr>
            <w:tcW w:w="1418" w:type="dxa"/>
          </w:tcPr>
          <w:p w14:paraId="0166FAC3" w14:textId="77777777" w:rsidR="007F7F5E" w:rsidRDefault="00DD2713">
            <w:pPr>
              <w:rPr>
                <w:rFonts w:cstheme="minorHAnsi"/>
                <w:b/>
                <w:bCs/>
              </w:rPr>
            </w:pPr>
            <w:r>
              <w:rPr>
                <w:rFonts w:cstheme="minorHAnsi"/>
                <w:b/>
                <w:bCs/>
              </w:rPr>
              <w:t>Page 42</w:t>
            </w:r>
          </w:p>
          <w:p w14:paraId="55ED139C" w14:textId="062EAAE1" w:rsidR="00DD2713" w:rsidRPr="00DD2713" w:rsidRDefault="00DD2713">
            <w:pPr>
              <w:rPr>
                <w:rFonts w:cstheme="minorHAnsi"/>
                <w:b/>
                <w:bCs/>
              </w:rPr>
            </w:pPr>
          </w:p>
        </w:tc>
      </w:tr>
    </w:tbl>
    <w:p w14:paraId="13FFA1C9" w14:textId="77777777" w:rsidR="007F7F5E" w:rsidRDefault="007F7F5E">
      <w:pPr>
        <w:rPr>
          <w:rFonts w:cstheme="minorHAnsi"/>
          <w:b/>
          <w:bCs/>
          <w:sz w:val="28"/>
          <w:szCs w:val="28"/>
        </w:rPr>
      </w:pPr>
    </w:p>
    <w:p w14:paraId="27157C71" w14:textId="17EA1384" w:rsidR="00A36D41" w:rsidRPr="00A36D41" w:rsidRDefault="00A36D41">
      <w:pPr>
        <w:rPr>
          <w:rFonts w:cstheme="minorHAnsi"/>
          <w:sz w:val="21"/>
          <w:szCs w:val="21"/>
        </w:rPr>
      </w:pPr>
      <w:r w:rsidRPr="00A36D41">
        <w:rPr>
          <w:rFonts w:cstheme="minorHAnsi"/>
          <w:sz w:val="21"/>
          <w:szCs w:val="21"/>
        </w:rPr>
        <w:t xml:space="preserve">Words: 16,245 </w:t>
      </w:r>
    </w:p>
    <w:p w14:paraId="62F2DFED" w14:textId="74DD73A3" w:rsidR="003515EF" w:rsidRDefault="003515EF">
      <w:pPr>
        <w:rPr>
          <w:rFonts w:eastAsia="Arial" w:cstheme="minorHAnsi"/>
          <w:b/>
          <w:bCs/>
          <w:color w:val="000000"/>
          <w:sz w:val="28"/>
          <w:szCs w:val="28"/>
          <w:u w:color="000000"/>
          <w:bdr w:val="nil"/>
          <w:lang w:val="en-US"/>
        </w:rPr>
      </w:pPr>
      <w:r>
        <w:rPr>
          <w:rFonts w:cstheme="minorHAnsi"/>
          <w:b/>
          <w:bCs/>
          <w:sz w:val="28"/>
          <w:szCs w:val="28"/>
        </w:rPr>
        <w:br w:type="page"/>
      </w:r>
    </w:p>
    <w:p w14:paraId="24001CCF" w14:textId="580F441B" w:rsidR="004B0A6D" w:rsidRDefault="004B0A6D" w:rsidP="00444E5E">
      <w:pPr>
        <w:pStyle w:val="BodyTextIndent"/>
        <w:ind w:left="0" w:firstLine="0"/>
        <w:rPr>
          <w:rFonts w:asciiTheme="minorHAnsi" w:hAnsiTheme="minorHAnsi" w:cstheme="minorHAnsi"/>
          <w:b/>
          <w:bCs/>
          <w:strike/>
          <w:sz w:val="28"/>
          <w:szCs w:val="28"/>
        </w:rPr>
      </w:pPr>
      <w:r>
        <w:rPr>
          <w:rFonts w:asciiTheme="minorHAnsi" w:hAnsiTheme="minorHAnsi" w:cstheme="minorHAnsi"/>
          <w:b/>
          <w:bCs/>
          <w:sz w:val="28"/>
          <w:szCs w:val="28"/>
        </w:rPr>
        <w:lastRenderedPageBreak/>
        <w:t>CHAPTER 1: I</w:t>
      </w:r>
      <w:r w:rsidR="005661E1">
        <w:rPr>
          <w:rFonts w:asciiTheme="minorHAnsi" w:hAnsiTheme="minorHAnsi" w:cstheme="minorHAnsi"/>
          <w:b/>
          <w:bCs/>
          <w:sz w:val="28"/>
          <w:szCs w:val="28"/>
        </w:rPr>
        <w:t>ntroduction</w:t>
      </w:r>
      <w:r w:rsidRPr="004B0A6D">
        <w:rPr>
          <w:rFonts w:asciiTheme="minorHAnsi" w:hAnsiTheme="minorHAnsi" w:cstheme="minorHAnsi"/>
          <w:b/>
          <w:bCs/>
          <w:strike/>
          <w:sz w:val="28"/>
          <w:szCs w:val="28"/>
        </w:rPr>
        <w:t xml:space="preserve"> </w:t>
      </w:r>
    </w:p>
    <w:p w14:paraId="363DE2ED" w14:textId="660FC47E" w:rsidR="005843FE" w:rsidRPr="004B0A6D" w:rsidRDefault="005843FE" w:rsidP="005C0B01">
      <w:pPr>
        <w:jc w:val="both"/>
      </w:pPr>
      <w:r>
        <w:t>This chapter provides an overview of the research study</w:t>
      </w:r>
      <w:r w:rsidR="00DB499C">
        <w:t xml:space="preserve">. </w:t>
      </w:r>
      <w:r>
        <w:t xml:space="preserve">The first section focuses on introducing the study and providing the context. </w:t>
      </w:r>
      <w:r w:rsidR="00DB499C">
        <w:t>The next</w:t>
      </w:r>
      <w:r>
        <w:t xml:space="preserve"> section</w:t>
      </w:r>
      <w:r w:rsidRPr="004B0A6D">
        <w:t xml:space="preserve"> explore</w:t>
      </w:r>
      <w:r>
        <w:t>s the rationale of this study</w:t>
      </w:r>
      <w:r w:rsidR="00DB499C">
        <w:t>, and this is followed by a</w:t>
      </w:r>
      <w:r>
        <w:t xml:space="preserve"> section that examines the aims </w:t>
      </w:r>
      <w:r w:rsidR="00DB499C">
        <w:t>and the research questions</w:t>
      </w:r>
      <w:r>
        <w:t xml:space="preserve"> that this study sought to address. </w:t>
      </w:r>
      <w:r w:rsidRPr="00713CF1">
        <w:t xml:space="preserve">The </w:t>
      </w:r>
      <w:r>
        <w:t>fourth section</w:t>
      </w:r>
      <w:r w:rsidRPr="00713CF1">
        <w:t xml:space="preserve"> then highlights the</w:t>
      </w:r>
      <w:r>
        <w:t xml:space="preserve"> benefits of </w:t>
      </w:r>
      <w:r w:rsidR="005C0B01">
        <w:t>this study</w:t>
      </w:r>
      <w:r>
        <w:t>. This chapter ends with an outline of each chapter in this thesis.</w:t>
      </w:r>
    </w:p>
    <w:p w14:paraId="62CC9AC6" w14:textId="3D4A5E52" w:rsidR="00001DA3" w:rsidRPr="00001DA3" w:rsidRDefault="00001DA3" w:rsidP="00444E5E">
      <w:pPr>
        <w:jc w:val="both"/>
        <w:rPr>
          <w:b/>
          <w:bCs/>
        </w:rPr>
      </w:pPr>
      <w:r>
        <w:rPr>
          <w:b/>
          <w:bCs/>
        </w:rPr>
        <w:t>Introduction and c</w:t>
      </w:r>
      <w:r w:rsidRPr="00001DA3">
        <w:rPr>
          <w:b/>
          <w:bCs/>
        </w:rPr>
        <w:t>ontext</w:t>
      </w:r>
    </w:p>
    <w:p w14:paraId="736D02B6" w14:textId="6F8BA305" w:rsidR="00DB499C" w:rsidRDefault="004B0A6D" w:rsidP="00B74BC6">
      <w:pPr>
        <w:jc w:val="both"/>
      </w:pPr>
      <w:r>
        <w:t xml:space="preserve">The introduction </w:t>
      </w:r>
      <w:r w:rsidR="00A21D7D">
        <w:t>of the Curriculum for Wales (</w:t>
      </w:r>
      <w:r w:rsidR="007A1BDF">
        <w:t>CfW</w:t>
      </w:r>
      <w:r w:rsidR="00A21D7D">
        <w:t>)</w:t>
      </w:r>
      <w:r>
        <w:t xml:space="preserve"> is a significant change in </w:t>
      </w:r>
      <w:r w:rsidR="00A21D7D">
        <w:t>e</w:t>
      </w:r>
      <w:r>
        <w:t xml:space="preserve">ducation policy in Wales as it has fundamentally changed curriculum content and assessment practices related to all subject areas from age 3-16, and will be accompanied by revision of all qualifications at age 16. It </w:t>
      </w:r>
      <w:r w:rsidR="005843FE">
        <w:t>is</w:t>
      </w:r>
      <w:r>
        <w:t xml:space="preserve"> a significant challenge, and opportunity for </w:t>
      </w:r>
      <w:r w:rsidR="00707CA6">
        <w:t>the profession</w:t>
      </w:r>
      <w:r>
        <w:t xml:space="preserve">.  </w:t>
      </w:r>
      <w:r w:rsidR="00B04A9E">
        <w:t>S</w:t>
      </w:r>
      <w:r w:rsidR="00D40468">
        <w:t xml:space="preserve">chool </w:t>
      </w:r>
      <w:r w:rsidR="000A7C0C">
        <w:t>practitioners</w:t>
      </w:r>
      <w:r w:rsidR="00D40468">
        <w:t xml:space="preserve"> </w:t>
      </w:r>
      <w:r w:rsidR="00B04A9E">
        <w:t xml:space="preserve">now </w:t>
      </w:r>
      <w:r>
        <w:t xml:space="preserve">have responsibility, authority and accountability for designing a bespoke school level curriculum, designed to meet the specific needs of their learners </w:t>
      </w:r>
      <w:r w:rsidR="00B86830">
        <w:rPr>
          <w:noProof/>
        </w:rPr>
        <w:t>(Welsh Government, 202</w:t>
      </w:r>
      <w:r w:rsidR="004E7D82">
        <w:rPr>
          <w:noProof/>
        </w:rPr>
        <w:t>0</w:t>
      </w:r>
      <w:r w:rsidR="00B86830">
        <w:rPr>
          <w:noProof/>
        </w:rPr>
        <w:t>)</w:t>
      </w:r>
      <w:r>
        <w:t xml:space="preserve">.  However, this responsibility </w:t>
      </w:r>
      <w:r w:rsidR="00B04A9E">
        <w:t>comes</w:t>
      </w:r>
      <w:r>
        <w:t xml:space="preserve"> at the same time as </w:t>
      </w:r>
      <w:r w:rsidR="00B04A9E">
        <w:t xml:space="preserve">dealing with the challenges of pandemic recovery. </w:t>
      </w:r>
    </w:p>
    <w:p w14:paraId="3B60C66F" w14:textId="1EC5A870" w:rsidR="00D40468" w:rsidRDefault="007A1BDF" w:rsidP="00444E5E">
      <w:pPr>
        <w:jc w:val="both"/>
      </w:pPr>
      <w:r>
        <w:t xml:space="preserve">From the start of the </w:t>
      </w:r>
      <w:r w:rsidR="00B04A9E">
        <w:t xml:space="preserve">reform </w:t>
      </w:r>
      <w:r>
        <w:t xml:space="preserve">process, the role of </w:t>
      </w:r>
      <w:r w:rsidR="00A21D7D">
        <w:t>professional learning (PL)</w:t>
      </w:r>
      <w:r w:rsidR="005843FE">
        <w:t xml:space="preserve"> </w:t>
      </w:r>
      <w:r>
        <w:t xml:space="preserve">for new teachers through Initial Teacher Education (ITE) programmes, as well as for the existing profession has been seen as essential </w:t>
      </w:r>
      <w:sdt>
        <w:sdtPr>
          <w:id w:val="-758365893"/>
          <w:citation/>
        </w:sdtPr>
        <w:sdtContent>
          <w:r>
            <w:fldChar w:fldCharType="begin"/>
          </w:r>
          <w:r>
            <w:instrText xml:space="preserve"> CITATION Hug16 \l 2057 </w:instrText>
          </w:r>
          <w:r>
            <w:fldChar w:fldCharType="separate"/>
          </w:r>
          <w:r>
            <w:rPr>
              <w:noProof/>
            </w:rPr>
            <w:t>(Hughes, 2016)</w:t>
          </w:r>
          <w:r>
            <w:fldChar w:fldCharType="end"/>
          </w:r>
        </w:sdtContent>
      </w:sdt>
      <w:r>
        <w:t>.</w:t>
      </w:r>
      <w:r w:rsidR="00DB499C">
        <w:t xml:space="preserve">  </w:t>
      </w:r>
      <w:r w:rsidR="00B04A9E">
        <w:t xml:space="preserve"> </w:t>
      </w:r>
      <w:r>
        <w:t xml:space="preserve">This </w:t>
      </w:r>
      <w:r w:rsidR="005843FE">
        <w:t>PL</w:t>
      </w:r>
      <w:r w:rsidR="00C77474">
        <w:t xml:space="preserve"> </w:t>
      </w:r>
      <w:r>
        <w:t xml:space="preserve">has needed to be </w:t>
      </w:r>
      <w:r w:rsidR="00DB499C">
        <w:t xml:space="preserve">wide-ranging, to support the profession to become </w:t>
      </w:r>
      <w:r>
        <w:t xml:space="preserve">curriculum designers, change managers, and </w:t>
      </w:r>
      <w:r w:rsidR="00DB499C">
        <w:t xml:space="preserve">to </w:t>
      </w:r>
      <w:r>
        <w:t xml:space="preserve">develop expertise in new </w:t>
      </w:r>
      <w:r w:rsidR="00DB499C">
        <w:t>content</w:t>
      </w:r>
      <w:r>
        <w:t xml:space="preserve"> and approaches.  </w:t>
      </w:r>
      <w:r w:rsidR="00B04A9E">
        <w:t xml:space="preserve"> Welsh G</w:t>
      </w:r>
      <w:r w:rsidR="00C77474">
        <w:t>overnment ha</w:t>
      </w:r>
      <w:r w:rsidR="00B92C5C">
        <w:t>s</w:t>
      </w:r>
      <w:r w:rsidR="00C77474">
        <w:t xml:space="preserve"> </w:t>
      </w:r>
      <w:r w:rsidR="00B04A9E">
        <w:t xml:space="preserve">promoted engagement </w:t>
      </w:r>
      <w:r w:rsidR="00C77474">
        <w:t>with PL on CfW</w:t>
      </w:r>
      <w:r w:rsidR="00B04A9E">
        <w:t>, providing</w:t>
      </w:r>
      <w:r w:rsidR="00C77474">
        <w:t xml:space="preserve"> </w:t>
      </w:r>
      <w:r w:rsidR="00707CA6">
        <w:t>additional INSET days, and</w:t>
      </w:r>
      <w:r w:rsidR="00B04A9E">
        <w:t xml:space="preserve"> encouraging</w:t>
      </w:r>
      <w:r w:rsidR="00707CA6">
        <w:t xml:space="preserve"> schools to focus </w:t>
      </w:r>
      <w:r w:rsidR="00B04A9E">
        <w:t xml:space="preserve">available </w:t>
      </w:r>
      <w:r w:rsidR="00707CA6">
        <w:t xml:space="preserve">time </w:t>
      </w:r>
      <w:r w:rsidR="00B04A9E">
        <w:t>on</w:t>
      </w:r>
      <w:r w:rsidR="00707CA6">
        <w:t xml:space="preserve"> </w:t>
      </w:r>
      <w:r w:rsidR="00B04A9E">
        <w:t>PL.  A</w:t>
      </w:r>
      <w:r w:rsidR="00B92C5C">
        <w:t xml:space="preserve"> £12 million increase in the Welsh Government PL grant </w:t>
      </w:r>
      <w:r w:rsidR="00B04A9E">
        <w:t xml:space="preserve">to schools </w:t>
      </w:r>
      <w:r w:rsidR="00B92C5C">
        <w:t>has been provided in 2022-23</w:t>
      </w:r>
      <w:r w:rsidR="00B04A9E">
        <w:t xml:space="preserve"> to support this engagement</w:t>
      </w:r>
      <w:r w:rsidR="00C77474">
        <w:t xml:space="preserve"> </w:t>
      </w:r>
      <w:sdt>
        <w:sdtPr>
          <w:id w:val="1099065235"/>
          <w:citation/>
        </w:sdtPr>
        <w:sdtContent>
          <w:r w:rsidR="00B92C5C">
            <w:fldChar w:fldCharType="begin"/>
          </w:r>
          <w:r w:rsidR="00B92C5C">
            <w:instrText xml:space="preserve"> CITATION Cen23 \l 2057 </w:instrText>
          </w:r>
          <w:r w:rsidR="00B92C5C">
            <w:fldChar w:fldCharType="separate"/>
          </w:r>
          <w:r w:rsidR="00B92C5C">
            <w:rPr>
              <w:noProof/>
            </w:rPr>
            <w:t>(Central South Consortia, 2023)</w:t>
          </w:r>
          <w:r w:rsidR="00B92C5C">
            <w:fldChar w:fldCharType="end"/>
          </w:r>
        </w:sdtContent>
      </w:sdt>
      <w:r w:rsidR="00B04A9E">
        <w:t>.</w:t>
      </w:r>
    </w:p>
    <w:p w14:paraId="07FB50F5" w14:textId="527AC938" w:rsidR="00D40468" w:rsidRDefault="00C37CFE" w:rsidP="00444E5E">
      <w:pPr>
        <w:jc w:val="both"/>
      </w:pPr>
      <w:r>
        <w:t xml:space="preserve">Responsibility for providing PL sits with several tiers of the education system. </w:t>
      </w:r>
      <w:r w:rsidR="00707CA6">
        <w:t>Regional consortia have collaborated to run</w:t>
      </w:r>
      <w:r w:rsidR="00D40468">
        <w:t xml:space="preserve"> </w:t>
      </w:r>
      <w:r>
        <w:t xml:space="preserve">PL </w:t>
      </w:r>
      <w:r w:rsidR="00707CA6">
        <w:t xml:space="preserve">programmes on curriculum reform, </w:t>
      </w:r>
      <w:r w:rsidR="00DB499C">
        <w:t>and</w:t>
      </w:r>
      <w:r w:rsidR="00707CA6">
        <w:t xml:space="preserve"> </w:t>
      </w:r>
      <w:r>
        <w:t>provide bespoke support to</w:t>
      </w:r>
      <w:r w:rsidR="00707CA6">
        <w:t xml:space="preserve"> schools.  Welsh Government also have provided </w:t>
      </w:r>
      <w:r w:rsidR="005843FE">
        <w:t>PL</w:t>
      </w:r>
      <w:r w:rsidR="00FB0D96">
        <w:t xml:space="preserve"> </w:t>
      </w:r>
      <w:r w:rsidR="00D40468">
        <w:t>networks and events,</w:t>
      </w:r>
      <w:r>
        <w:t xml:space="preserve"> </w:t>
      </w:r>
      <w:r w:rsidR="004E7D82">
        <w:t>and</w:t>
      </w:r>
      <w:r w:rsidR="00B04A9E">
        <w:t xml:space="preserve"> many </w:t>
      </w:r>
      <w:r w:rsidR="00D40468">
        <w:t xml:space="preserve">private consultants, and </w:t>
      </w:r>
      <w:r w:rsidR="004E7D82">
        <w:t xml:space="preserve">external </w:t>
      </w:r>
      <w:r w:rsidR="00D40468">
        <w:t>organisations also provid</w:t>
      </w:r>
      <w:r w:rsidR="004E7D82">
        <w:t xml:space="preserve">e </w:t>
      </w:r>
      <w:r w:rsidR="00BF4DFF">
        <w:t>PL</w:t>
      </w:r>
      <w:r w:rsidR="00D40468">
        <w:t xml:space="preserve"> to schools.  Welsh Universities are also at the forefront of providing advanced study for teachers and school leaders.  Schools and teachers themselves arrange and organise their own </w:t>
      </w:r>
      <w:r w:rsidR="00873B1E">
        <w:t>PL</w:t>
      </w:r>
      <w:r w:rsidR="00D40468">
        <w:t xml:space="preserve">, often in collaboration with consortia, or consultants. </w:t>
      </w:r>
      <w:r>
        <w:t xml:space="preserve"> Navigating this range of provision, and ensuring engagement with PL that will have a positive impact is therefore a challenge for the system.</w:t>
      </w:r>
    </w:p>
    <w:p w14:paraId="0F42E512" w14:textId="77777777" w:rsidR="004B0A6D" w:rsidRPr="00444E5E" w:rsidRDefault="004B0A6D" w:rsidP="00444E5E">
      <w:pPr>
        <w:pStyle w:val="BodyTextIndent"/>
        <w:ind w:left="0" w:firstLine="0"/>
        <w:rPr>
          <w:rFonts w:asciiTheme="minorHAnsi" w:hAnsiTheme="minorHAnsi" w:cstheme="minorHAnsi"/>
          <w:b/>
          <w:bCs/>
          <w:sz w:val="22"/>
          <w:szCs w:val="22"/>
        </w:rPr>
      </w:pPr>
      <w:r w:rsidRPr="00444E5E">
        <w:rPr>
          <w:rFonts w:asciiTheme="minorHAnsi" w:hAnsiTheme="minorHAnsi" w:cstheme="minorHAnsi"/>
          <w:b/>
          <w:bCs/>
          <w:sz w:val="22"/>
          <w:szCs w:val="22"/>
        </w:rPr>
        <w:t>Rationale</w:t>
      </w:r>
    </w:p>
    <w:p w14:paraId="58360B55" w14:textId="1F772991" w:rsidR="005C0B01" w:rsidRDefault="00B73E88" w:rsidP="00A8431C">
      <w:pPr>
        <w:jc w:val="both"/>
      </w:pPr>
      <w:r>
        <w:t xml:space="preserve">As a school improvement adviser, I work </w:t>
      </w:r>
      <w:r w:rsidR="00B04A9E">
        <w:t>to</w:t>
      </w:r>
      <w:r>
        <w:t xml:space="preserve"> support</w:t>
      </w:r>
      <w:r w:rsidR="00B04A9E">
        <w:t xml:space="preserve"> school leaders and practitioner</w:t>
      </w:r>
      <w:r w:rsidR="004E7D82">
        <w:t>s</w:t>
      </w:r>
      <w:r>
        <w:t xml:space="preserve"> to implement the </w:t>
      </w:r>
      <w:r w:rsidR="00FB0D96">
        <w:t>CfW</w:t>
      </w:r>
      <w:r>
        <w:t xml:space="preserve">.  I have </w:t>
      </w:r>
      <w:r w:rsidR="00FB0D96">
        <w:t xml:space="preserve">seen </w:t>
      </w:r>
      <w:r>
        <w:t>the challenges and risks that exist in implementing the new curriculum successfully</w:t>
      </w:r>
      <w:r w:rsidR="006D24A6">
        <w:t xml:space="preserve">, </w:t>
      </w:r>
      <w:r w:rsidR="00B76676">
        <w:t>a</w:t>
      </w:r>
      <w:r w:rsidR="006D24A6">
        <w:t>s well as</w:t>
      </w:r>
      <w:r w:rsidR="00B76676">
        <w:t xml:space="preserve"> the impact that effective PL can have on this process. </w:t>
      </w:r>
      <w:r w:rsidR="00FB0D96">
        <w:t xml:space="preserve"> </w:t>
      </w:r>
      <w:r>
        <w:t xml:space="preserve"> </w:t>
      </w:r>
    </w:p>
    <w:p w14:paraId="20398381" w14:textId="2D35E13B" w:rsidR="005C0B01" w:rsidRDefault="005C0B01" w:rsidP="00A8431C">
      <w:pPr>
        <w:jc w:val="both"/>
      </w:pPr>
      <w:r>
        <w:t xml:space="preserve">Whilst there has been significant provision of PL on CfW, there has been less evaluation of engagement with, and impact of PL. </w:t>
      </w:r>
      <w:r w:rsidR="006D24A6">
        <w:rPr>
          <w:rFonts w:cstheme="minorHAnsi"/>
        </w:rPr>
        <w:t xml:space="preserve"> </w:t>
      </w:r>
      <w:r>
        <w:t xml:space="preserve"> Estyn </w:t>
      </w:r>
      <w:r w:rsidR="006D24A6">
        <w:t xml:space="preserve">has </w:t>
      </w:r>
      <w:r w:rsidR="00873B1E">
        <w:t>shed</w:t>
      </w:r>
      <w:r w:rsidR="006D24A6">
        <w:t xml:space="preserve"> some</w:t>
      </w:r>
      <w:r w:rsidR="00873B1E">
        <w:t xml:space="preserve"> light</w:t>
      </w:r>
      <w:r>
        <w:t xml:space="preserve"> on the PL provi</w:t>
      </w:r>
      <w:r w:rsidR="00873B1E">
        <w:t xml:space="preserve">sion </w:t>
      </w:r>
      <w:r>
        <w:t xml:space="preserve">from Regional Consortia (Estyn, 2022), </w:t>
      </w:r>
      <w:r w:rsidR="00B76676">
        <w:t xml:space="preserve">and Welsh </w:t>
      </w:r>
      <w:r w:rsidR="00873B1E">
        <w:t>G</w:t>
      </w:r>
      <w:r w:rsidR="00B76676">
        <w:t xml:space="preserve">overnment surveys </w:t>
      </w:r>
      <w:r w:rsidR="00873B1E">
        <w:t>provide evidence about</w:t>
      </w:r>
      <w:r w:rsidR="00B76676">
        <w:t xml:space="preserve"> </w:t>
      </w:r>
      <w:r w:rsidR="00B76676">
        <w:rPr>
          <w:rFonts w:cstheme="minorHAnsi"/>
        </w:rPr>
        <w:t>readiness for curriculum implementation (Thomas et al</w:t>
      </w:r>
      <w:r w:rsidR="00C37CFE">
        <w:rPr>
          <w:rFonts w:cstheme="minorHAnsi"/>
        </w:rPr>
        <w:t>.</w:t>
      </w:r>
      <w:r w:rsidR="00B76676">
        <w:rPr>
          <w:rFonts w:cstheme="minorHAnsi"/>
        </w:rPr>
        <w:t>, 2023</w:t>
      </w:r>
      <w:r w:rsidR="00C37CFE">
        <w:rPr>
          <w:rFonts w:cstheme="minorHAnsi"/>
        </w:rPr>
        <w:t xml:space="preserve">, and </w:t>
      </w:r>
      <w:r w:rsidR="00B76676">
        <w:rPr>
          <w:rFonts w:cstheme="minorHAnsi"/>
        </w:rPr>
        <w:t>Duggan et al</w:t>
      </w:r>
      <w:r w:rsidR="00C37CFE">
        <w:rPr>
          <w:rFonts w:cstheme="minorHAnsi"/>
        </w:rPr>
        <w:t>.</w:t>
      </w:r>
      <w:r w:rsidR="00B76676">
        <w:rPr>
          <w:rFonts w:cstheme="minorHAnsi"/>
        </w:rPr>
        <w:t>, 2022)</w:t>
      </w:r>
      <w:r w:rsidR="006D24A6">
        <w:rPr>
          <w:rFonts w:cstheme="minorHAnsi"/>
        </w:rPr>
        <w:t>. However,</w:t>
      </w:r>
      <w:r w:rsidR="00B76676">
        <w:rPr>
          <w:rFonts w:cstheme="minorHAnsi"/>
        </w:rPr>
        <w:t xml:space="preserve"> </w:t>
      </w:r>
      <w:r>
        <w:t xml:space="preserve">there has been no </w:t>
      </w:r>
      <w:r w:rsidR="006D24A6">
        <w:t xml:space="preserve">large scale </w:t>
      </w:r>
      <w:r>
        <w:t xml:space="preserve">research </w:t>
      </w:r>
      <w:r w:rsidR="00873B1E">
        <w:t>on</w:t>
      </w:r>
      <w:r>
        <w:t xml:space="preserve"> the nature</w:t>
      </w:r>
      <w:r w:rsidR="006D24A6">
        <w:t xml:space="preserve"> and </w:t>
      </w:r>
      <w:r>
        <w:t>impact of PL on CfW implementation</w:t>
      </w:r>
      <w:r w:rsidR="00BD591E">
        <w:t xml:space="preserve"> at school level</w:t>
      </w:r>
      <w:r w:rsidR="00873B1E">
        <w:t xml:space="preserve">.  Research also does not </w:t>
      </w:r>
      <w:r w:rsidR="00873B1E">
        <w:rPr>
          <w:rFonts w:cstheme="minorHAnsi"/>
        </w:rPr>
        <w:t>provide direct evidence of the relationship between PL provision and</w:t>
      </w:r>
      <w:r w:rsidR="006D24A6">
        <w:rPr>
          <w:rFonts w:cstheme="minorHAnsi"/>
        </w:rPr>
        <w:t xml:space="preserve"> the</w:t>
      </w:r>
      <w:r w:rsidR="00873B1E">
        <w:rPr>
          <w:rFonts w:cstheme="minorHAnsi"/>
        </w:rPr>
        <w:t xml:space="preserve"> confiden</w:t>
      </w:r>
      <w:r w:rsidR="006D24A6">
        <w:rPr>
          <w:rFonts w:cstheme="minorHAnsi"/>
        </w:rPr>
        <w:t xml:space="preserve">ce of </w:t>
      </w:r>
      <w:r w:rsidR="00873B1E">
        <w:rPr>
          <w:rFonts w:cstheme="minorHAnsi"/>
        </w:rPr>
        <w:t xml:space="preserve">practitioners to implement the curriculum. There is therefore a significant gap in empirical evidence </w:t>
      </w:r>
      <w:r w:rsidR="006D24A6">
        <w:rPr>
          <w:rFonts w:cstheme="minorHAnsi"/>
        </w:rPr>
        <w:t xml:space="preserve">on PL and CfW. </w:t>
      </w:r>
    </w:p>
    <w:p w14:paraId="0EABBE2A" w14:textId="602E20D2" w:rsidR="000958A9" w:rsidRPr="008B5478" w:rsidRDefault="00873B1E" w:rsidP="00A8431C">
      <w:pPr>
        <w:jc w:val="both"/>
        <w:rPr>
          <w:rFonts w:cstheme="minorHAnsi"/>
        </w:rPr>
      </w:pPr>
      <w:r>
        <w:rPr>
          <w:rFonts w:cstheme="minorHAnsi"/>
        </w:rPr>
        <w:lastRenderedPageBreak/>
        <w:t xml:space="preserve">In addition, </w:t>
      </w:r>
      <w:r w:rsidR="008B5478">
        <w:rPr>
          <w:rFonts w:cstheme="minorHAnsi"/>
        </w:rPr>
        <w:t>a</w:t>
      </w:r>
      <w:r>
        <w:rPr>
          <w:rFonts w:cstheme="minorHAnsi"/>
        </w:rPr>
        <w:t xml:space="preserve"> recent</w:t>
      </w:r>
      <w:r w:rsidR="008B5478">
        <w:rPr>
          <w:rFonts w:cstheme="minorHAnsi"/>
        </w:rPr>
        <w:t xml:space="preserve"> survey </w:t>
      </w:r>
      <w:sdt>
        <w:sdtPr>
          <w:rPr>
            <w:rFonts w:cstheme="minorHAnsi"/>
          </w:rPr>
          <w:id w:val="-10451743"/>
          <w:citation/>
        </w:sdtPr>
        <w:sdtContent>
          <w:r w:rsidR="008B5478">
            <w:rPr>
              <w:rFonts w:cstheme="minorHAnsi"/>
            </w:rPr>
            <w:fldChar w:fldCharType="begin"/>
          </w:r>
          <w:r w:rsidR="008B5478">
            <w:rPr>
              <w:rFonts w:cstheme="minorHAnsi"/>
            </w:rPr>
            <w:instrText xml:space="preserve"> CITATION Dug22 \l 2057 </w:instrText>
          </w:r>
          <w:r w:rsidR="008B5478">
            <w:rPr>
              <w:rFonts w:cstheme="minorHAnsi"/>
            </w:rPr>
            <w:fldChar w:fldCharType="separate"/>
          </w:r>
          <w:r w:rsidR="008B5478" w:rsidRPr="005B7C0A">
            <w:rPr>
              <w:rFonts w:cstheme="minorHAnsi"/>
              <w:noProof/>
            </w:rPr>
            <w:t>(</w:t>
          </w:r>
          <w:bookmarkStart w:id="0" w:name="_Hlk143505879"/>
          <w:r w:rsidR="008B5478" w:rsidRPr="005B7C0A">
            <w:rPr>
              <w:rFonts w:cstheme="minorHAnsi"/>
              <w:noProof/>
            </w:rPr>
            <w:t>Duggan, et al., 2022</w:t>
          </w:r>
          <w:bookmarkEnd w:id="0"/>
          <w:r w:rsidR="008B5478" w:rsidRPr="005B7C0A">
            <w:rPr>
              <w:rFonts w:cstheme="minorHAnsi"/>
              <w:noProof/>
            </w:rPr>
            <w:t>)</w:t>
          </w:r>
          <w:r w:rsidR="008B5478">
            <w:rPr>
              <w:rFonts w:cstheme="minorHAnsi"/>
            </w:rPr>
            <w:fldChar w:fldCharType="end"/>
          </w:r>
        </w:sdtContent>
      </w:sdt>
      <w:r w:rsidR="008B5478">
        <w:rPr>
          <w:rFonts w:cstheme="minorHAnsi"/>
        </w:rPr>
        <w:t>,</w:t>
      </w:r>
      <w:r>
        <w:rPr>
          <w:rFonts w:cstheme="minorHAnsi"/>
        </w:rPr>
        <w:t xml:space="preserve"> found </w:t>
      </w:r>
      <w:r w:rsidR="008B5478">
        <w:rPr>
          <w:rFonts w:cstheme="minorHAnsi"/>
        </w:rPr>
        <w:t xml:space="preserve"> clear differences in opinion between senior leaders and practitioners in terms of their readiness to design their own curriculum</w:t>
      </w:r>
      <w:r w:rsidR="006D24A6">
        <w:rPr>
          <w:rFonts w:cstheme="minorHAnsi"/>
        </w:rPr>
        <w:t>.</w:t>
      </w:r>
      <w:r>
        <w:rPr>
          <w:rFonts w:cstheme="minorHAnsi"/>
        </w:rPr>
        <w:t xml:space="preserve"> </w:t>
      </w:r>
      <w:r w:rsidR="008B5478">
        <w:rPr>
          <w:rFonts w:cstheme="minorHAnsi"/>
        </w:rPr>
        <w:t>This study</w:t>
      </w:r>
      <w:r w:rsidR="008B5478" w:rsidRPr="00566E85">
        <w:rPr>
          <w:rFonts w:cstheme="minorHAnsi"/>
        </w:rPr>
        <w:t xml:space="preserve"> will </w:t>
      </w:r>
      <w:r w:rsidR="00BD591E">
        <w:rPr>
          <w:rFonts w:cstheme="minorHAnsi"/>
        </w:rPr>
        <w:t>focus on</w:t>
      </w:r>
      <w:r w:rsidR="008B5478" w:rsidRPr="00566E85">
        <w:rPr>
          <w:rFonts w:cstheme="minorHAnsi"/>
        </w:rPr>
        <w:t xml:space="preserve"> practitioners' perspectives on the influence of </w:t>
      </w:r>
      <w:r w:rsidR="008B5478">
        <w:rPr>
          <w:rFonts w:cstheme="minorHAnsi"/>
        </w:rPr>
        <w:t>PL</w:t>
      </w:r>
      <w:r w:rsidR="008B5478" w:rsidRPr="00566E85">
        <w:rPr>
          <w:rFonts w:cstheme="minorHAnsi"/>
        </w:rPr>
        <w:t xml:space="preserve"> on their knowledge and confidence in implementing the new curriculum</w:t>
      </w:r>
      <w:r>
        <w:rPr>
          <w:rFonts w:cstheme="minorHAnsi"/>
        </w:rPr>
        <w:t xml:space="preserve">, </w:t>
      </w:r>
      <w:r w:rsidR="008B5478">
        <w:rPr>
          <w:rFonts w:cstheme="minorHAnsi"/>
        </w:rPr>
        <w:t>contribut</w:t>
      </w:r>
      <w:r w:rsidR="00BD591E">
        <w:rPr>
          <w:rFonts w:cstheme="minorHAnsi"/>
        </w:rPr>
        <w:t>ing</w:t>
      </w:r>
      <w:r w:rsidR="008B5478">
        <w:rPr>
          <w:rFonts w:cstheme="minorHAnsi"/>
        </w:rPr>
        <w:t xml:space="preserve"> </w:t>
      </w:r>
      <w:r>
        <w:rPr>
          <w:rFonts w:cstheme="minorHAnsi"/>
        </w:rPr>
        <w:t xml:space="preserve">greater insight into their </w:t>
      </w:r>
      <w:r w:rsidR="006D24A6">
        <w:rPr>
          <w:rFonts w:cstheme="minorHAnsi"/>
        </w:rPr>
        <w:t xml:space="preserve">specific </w:t>
      </w:r>
      <w:r>
        <w:rPr>
          <w:rFonts w:cstheme="minorHAnsi"/>
        </w:rPr>
        <w:t>experience</w:t>
      </w:r>
      <w:r w:rsidR="00BD591E">
        <w:rPr>
          <w:rFonts w:cstheme="minorHAnsi"/>
        </w:rPr>
        <w:t>s</w:t>
      </w:r>
      <w:r>
        <w:rPr>
          <w:rFonts w:cstheme="minorHAnsi"/>
        </w:rPr>
        <w:t xml:space="preserve">. </w:t>
      </w:r>
      <w:r w:rsidR="008B5478">
        <w:rPr>
          <w:rFonts w:cstheme="minorHAnsi"/>
        </w:rPr>
        <w:t xml:space="preserve"> </w:t>
      </w:r>
      <w:r w:rsidR="00C263A4">
        <w:rPr>
          <w:rFonts w:cstheme="minorHAnsi"/>
        </w:rPr>
        <w:t xml:space="preserve">That is the research issue that this investigation seeks to address.  </w:t>
      </w:r>
      <w:r w:rsidR="00FE1155">
        <w:rPr>
          <w:rFonts w:cstheme="minorHAnsi"/>
        </w:rPr>
        <w:t xml:space="preserve">There is a gap in evidence about practitioner views on PL on CfW.  </w:t>
      </w:r>
      <w:r w:rsidR="00C263A4">
        <w:rPr>
          <w:rFonts w:cstheme="minorHAnsi"/>
        </w:rPr>
        <w:t xml:space="preserve">Failing to see the perspective of the </w:t>
      </w:r>
      <w:r w:rsidR="008B5478">
        <w:rPr>
          <w:rFonts w:cstheme="minorHAnsi"/>
        </w:rPr>
        <w:t>practitioners</w:t>
      </w:r>
      <w:r w:rsidR="00C263A4">
        <w:rPr>
          <w:rFonts w:cstheme="minorHAnsi"/>
        </w:rPr>
        <w:t xml:space="preserve"> will lead to future PL</w:t>
      </w:r>
      <w:r w:rsidR="005C0B01">
        <w:rPr>
          <w:rFonts w:cstheme="minorHAnsi"/>
        </w:rPr>
        <w:t xml:space="preserve"> </w:t>
      </w:r>
      <w:r w:rsidR="00C263A4">
        <w:rPr>
          <w:rFonts w:cstheme="minorHAnsi"/>
        </w:rPr>
        <w:t>design and provision failing to meet t</w:t>
      </w:r>
      <w:r>
        <w:rPr>
          <w:rFonts w:cstheme="minorHAnsi"/>
        </w:rPr>
        <w:t>heir</w:t>
      </w:r>
      <w:r w:rsidR="00C263A4">
        <w:rPr>
          <w:rFonts w:cstheme="minorHAnsi"/>
        </w:rPr>
        <w:t xml:space="preserve"> needs, will reduce effective implementation of the curriculum, and reduce teacher confidence and commitment to </w:t>
      </w:r>
      <w:r w:rsidR="008B5478">
        <w:rPr>
          <w:rFonts w:cstheme="minorHAnsi"/>
        </w:rPr>
        <w:t xml:space="preserve">CfW. </w:t>
      </w:r>
      <w:r w:rsidR="00C263A4">
        <w:rPr>
          <w:rFonts w:cstheme="minorHAnsi"/>
        </w:rPr>
        <w:t xml:space="preserve">  </w:t>
      </w:r>
      <w:r w:rsidR="00FE1155">
        <w:rPr>
          <w:rFonts w:cstheme="minorHAnsi"/>
        </w:rPr>
        <w:t xml:space="preserve"> </w:t>
      </w:r>
      <w:r w:rsidR="000958A9">
        <w:rPr>
          <w:rFonts w:cstheme="minorHAnsi"/>
        </w:rPr>
        <w:t>Therefore, the purpose of this study is to explore</w:t>
      </w:r>
      <w:r w:rsidR="000958A9" w:rsidRPr="00BF5158">
        <w:rPr>
          <w:rFonts w:cstheme="minorHAnsi"/>
        </w:rPr>
        <w:t xml:space="preserve"> </w:t>
      </w:r>
      <w:r w:rsidR="000958A9">
        <w:rPr>
          <w:rFonts w:cstheme="minorHAnsi"/>
        </w:rPr>
        <w:t xml:space="preserve">teachers’ perspectives about </w:t>
      </w:r>
      <w:r w:rsidR="000958A9" w:rsidRPr="00BF5158">
        <w:rPr>
          <w:rFonts w:cstheme="minorHAnsi"/>
        </w:rPr>
        <w:t xml:space="preserve">the impact of </w:t>
      </w:r>
      <w:r w:rsidR="00FE1155">
        <w:rPr>
          <w:rFonts w:cstheme="minorHAnsi"/>
        </w:rPr>
        <w:t>PL</w:t>
      </w:r>
      <w:r w:rsidR="000958A9" w:rsidRPr="00BF5158">
        <w:rPr>
          <w:rFonts w:cstheme="minorHAnsi"/>
        </w:rPr>
        <w:t xml:space="preserve"> on</w:t>
      </w:r>
      <w:r w:rsidR="000958A9">
        <w:rPr>
          <w:rFonts w:cstheme="minorHAnsi"/>
        </w:rPr>
        <w:t xml:space="preserve"> their</w:t>
      </w:r>
      <w:r w:rsidR="000958A9" w:rsidRPr="00BF5158">
        <w:rPr>
          <w:rFonts w:cstheme="minorHAnsi"/>
        </w:rPr>
        <w:t xml:space="preserve"> knowledge</w:t>
      </w:r>
      <w:r w:rsidR="000958A9">
        <w:rPr>
          <w:rFonts w:cstheme="minorHAnsi"/>
        </w:rPr>
        <w:t xml:space="preserve"> </w:t>
      </w:r>
      <w:r w:rsidR="000958A9" w:rsidRPr="007D22E8">
        <w:rPr>
          <w:rFonts w:cstheme="minorHAnsi"/>
        </w:rPr>
        <w:t xml:space="preserve">and understanding of the </w:t>
      </w:r>
      <w:r w:rsidR="000958A9">
        <w:rPr>
          <w:rFonts w:cstheme="minorHAnsi"/>
        </w:rPr>
        <w:t>CfW</w:t>
      </w:r>
      <w:r w:rsidR="00FE1155">
        <w:rPr>
          <w:rFonts w:cstheme="minorHAnsi"/>
        </w:rPr>
        <w:t>. It</w:t>
      </w:r>
      <w:r w:rsidR="000958A9">
        <w:rPr>
          <w:rFonts w:cstheme="minorHAnsi"/>
        </w:rPr>
        <w:t xml:space="preserve"> will provide nuanced insights into the level of confidence teachers are </w:t>
      </w:r>
      <w:r w:rsidR="000958A9" w:rsidRPr="00E56A54">
        <w:rPr>
          <w:rFonts w:cstheme="minorHAnsi"/>
        </w:rPr>
        <w:t>currently feel</w:t>
      </w:r>
      <w:r w:rsidR="000958A9">
        <w:rPr>
          <w:rFonts w:cstheme="minorHAnsi"/>
        </w:rPr>
        <w:t>ing</w:t>
      </w:r>
      <w:r w:rsidR="000958A9" w:rsidRPr="00E56A54">
        <w:rPr>
          <w:rFonts w:cstheme="minorHAnsi"/>
        </w:rPr>
        <w:t xml:space="preserve"> about implementing the </w:t>
      </w:r>
      <w:r w:rsidR="000958A9">
        <w:rPr>
          <w:rFonts w:cstheme="minorHAnsi"/>
        </w:rPr>
        <w:t xml:space="preserve">CfW.  </w:t>
      </w:r>
    </w:p>
    <w:p w14:paraId="43DBC4FF" w14:textId="44B7A3EB" w:rsidR="004B0A6D" w:rsidRPr="004B0A6D" w:rsidRDefault="004B0A6D" w:rsidP="00444E5E">
      <w:pPr>
        <w:pStyle w:val="BodyTextIndent"/>
        <w:ind w:left="0" w:firstLine="0"/>
        <w:rPr>
          <w:rFonts w:asciiTheme="minorHAnsi" w:hAnsiTheme="minorHAnsi" w:cstheme="minorHAnsi"/>
        </w:rPr>
      </w:pPr>
      <w:r w:rsidRPr="00444E5E">
        <w:rPr>
          <w:rFonts w:asciiTheme="minorHAnsi" w:hAnsiTheme="minorHAnsi" w:cstheme="minorHAnsi"/>
          <w:b/>
          <w:bCs/>
          <w:sz w:val="22"/>
          <w:szCs w:val="22"/>
        </w:rPr>
        <w:t>Aims</w:t>
      </w:r>
      <w:r w:rsidRPr="00D16144">
        <w:rPr>
          <w:rFonts w:asciiTheme="minorHAnsi" w:eastAsiaTheme="minorHAnsi" w:hAnsiTheme="minorHAnsi" w:cstheme="minorBidi"/>
          <w:color w:val="auto"/>
          <w:sz w:val="22"/>
          <w:szCs w:val="22"/>
          <w:bdr w:val="none" w:sz="0" w:space="0" w:color="auto"/>
          <w:lang w:val="en-GB"/>
        </w:rPr>
        <w:t xml:space="preserve"> </w:t>
      </w:r>
    </w:p>
    <w:p w14:paraId="04CD97D3" w14:textId="3D2EB883" w:rsidR="00854820" w:rsidRDefault="004B0A6D" w:rsidP="00A76B17">
      <w:pPr>
        <w:jc w:val="both"/>
      </w:pPr>
      <w:r w:rsidRPr="00444E5E">
        <w:t xml:space="preserve">This study aims to examine the extent and nature of </w:t>
      </w:r>
      <w:r w:rsidR="00502870">
        <w:t>PL</w:t>
      </w:r>
      <w:r w:rsidR="00444E5E">
        <w:t xml:space="preserve"> that </w:t>
      </w:r>
      <w:r w:rsidR="00C263A4">
        <w:t>practitioners</w:t>
      </w:r>
      <w:r w:rsidR="00444E5E">
        <w:t xml:space="preserve"> have engaged with in Wales, to support their implementation of the </w:t>
      </w:r>
      <w:r w:rsidR="005843FE">
        <w:t>CfW</w:t>
      </w:r>
      <w:r w:rsidR="00444E5E">
        <w:t xml:space="preserve">. </w:t>
      </w:r>
      <w:r w:rsidRPr="00444E5E">
        <w:t xml:space="preserve">  It will provide a critical evaluation of how practitioners perceive the influence of </w:t>
      </w:r>
      <w:r w:rsidR="00502870">
        <w:t>PL</w:t>
      </w:r>
      <w:r w:rsidRPr="00444E5E">
        <w:t xml:space="preserve"> </w:t>
      </w:r>
      <w:r w:rsidR="00C263A4">
        <w:t xml:space="preserve">activities </w:t>
      </w:r>
      <w:r w:rsidRPr="00444E5E">
        <w:t xml:space="preserve">on their knowledge and confidence in implementing </w:t>
      </w:r>
      <w:r w:rsidR="00444E5E">
        <w:t>the curriculum</w:t>
      </w:r>
      <w:r w:rsidRPr="00444E5E">
        <w:t xml:space="preserve">. Specifically, this study will consider the factors that make </w:t>
      </w:r>
      <w:r w:rsidR="00502870">
        <w:t>PL</w:t>
      </w:r>
      <w:r w:rsidRPr="00444E5E">
        <w:t xml:space="preserve"> </w:t>
      </w:r>
      <w:r w:rsidR="00C263A4">
        <w:t xml:space="preserve">activities </w:t>
      </w:r>
      <w:r w:rsidRPr="00444E5E">
        <w:t>more or less beneficial to practitioners.</w:t>
      </w:r>
      <w:r w:rsidR="00502870">
        <w:t xml:space="preserve">  </w:t>
      </w:r>
    </w:p>
    <w:p w14:paraId="20B383A7" w14:textId="5974D8FF" w:rsidR="00502870" w:rsidRPr="00AF556D" w:rsidRDefault="00854820" w:rsidP="00AF556D">
      <w:pPr>
        <w:jc w:val="both"/>
        <w:rPr>
          <w:rFonts w:cstheme="minorHAnsi"/>
        </w:rPr>
      </w:pPr>
      <w:r>
        <w:rPr>
          <w:rFonts w:cstheme="minorHAnsi"/>
        </w:rPr>
        <w:t>This study aims to address the gap in knowledge about the extent of engagement of practitioners with PL on Cf</w:t>
      </w:r>
      <w:r w:rsidR="00A76B17">
        <w:rPr>
          <w:rFonts w:cstheme="minorHAnsi"/>
        </w:rPr>
        <w:t>W</w:t>
      </w:r>
      <w:r>
        <w:rPr>
          <w:rFonts w:cstheme="minorHAnsi"/>
        </w:rPr>
        <w:t xml:space="preserve">, and their perceptions of its value and impact to them.  </w:t>
      </w:r>
    </w:p>
    <w:p w14:paraId="1C6E4F5F" w14:textId="04157E8D" w:rsidR="00444E5E" w:rsidRDefault="00502870" w:rsidP="00444E5E">
      <w:pPr>
        <w:pStyle w:val="NoSpacing"/>
        <w:jc w:val="both"/>
      </w:pPr>
      <w:r>
        <w:t>This research address</w:t>
      </w:r>
      <w:r w:rsidR="00C263A4">
        <w:t>ed</w:t>
      </w:r>
      <w:r>
        <w:t xml:space="preserve"> the following research questions: </w:t>
      </w:r>
    </w:p>
    <w:p w14:paraId="6532D30B" w14:textId="77777777" w:rsidR="00502870" w:rsidRDefault="00502870" w:rsidP="00444E5E">
      <w:pPr>
        <w:pStyle w:val="NoSpacing"/>
        <w:jc w:val="both"/>
      </w:pPr>
    </w:p>
    <w:p w14:paraId="0177A933" w14:textId="473F28CF" w:rsidR="00502870" w:rsidRPr="00502870" w:rsidRDefault="00502870" w:rsidP="00502870">
      <w:pPr>
        <w:pStyle w:val="NoSpacing"/>
        <w:numPr>
          <w:ilvl w:val="0"/>
          <w:numId w:val="12"/>
        </w:numPr>
        <w:rPr>
          <w:rFonts w:cstheme="minorHAnsi"/>
        </w:rPr>
      </w:pPr>
      <w:r w:rsidRPr="00865688">
        <w:rPr>
          <w:rFonts w:cstheme="minorHAnsi"/>
        </w:rPr>
        <w:t xml:space="preserve">What types of </w:t>
      </w:r>
      <w:r>
        <w:rPr>
          <w:rFonts w:cstheme="minorHAnsi"/>
        </w:rPr>
        <w:t>PL</w:t>
      </w:r>
      <w:r w:rsidRPr="00865688">
        <w:rPr>
          <w:rFonts w:cstheme="minorHAnsi"/>
        </w:rPr>
        <w:t xml:space="preserve"> activities have</w:t>
      </w:r>
      <w:r>
        <w:rPr>
          <w:rFonts w:cstheme="minorHAnsi"/>
        </w:rPr>
        <w:t xml:space="preserve"> teachers engaged with? </w:t>
      </w:r>
    </w:p>
    <w:p w14:paraId="3781198C" w14:textId="77777777" w:rsidR="004E7D82" w:rsidRPr="00A819B6" w:rsidRDefault="004E7D82" w:rsidP="004E7D82">
      <w:pPr>
        <w:pStyle w:val="NoSpacing"/>
        <w:numPr>
          <w:ilvl w:val="0"/>
          <w:numId w:val="12"/>
        </w:numPr>
        <w:rPr>
          <w:rFonts w:cstheme="minorHAnsi"/>
        </w:rPr>
      </w:pPr>
      <w:r>
        <w:rPr>
          <w:rFonts w:cstheme="minorHAnsi"/>
        </w:rPr>
        <w:t xml:space="preserve">What factors do practitioners feel have made PL activities have a greater or lesser impact on their knowledge and </w:t>
      </w:r>
      <w:r w:rsidRPr="00795561">
        <w:rPr>
          <w:rFonts w:cstheme="minorHAnsi"/>
        </w:rPr>
        <w:t xml:space="preserve">understanding of the </w:t>
      </w:r>
      <w:r>
        <w:rPr>
          <w:rFonts w:cstheme="minorHAnsi"/>
        </w:rPr>
        <w:t xml:space="preserve">CfW? </w:t>
      </w:r>
    </w:p>
    <w:p w14:paraId="7BAA5E9D" w14:textId="34F2C41A" w:rsidR="00502870" w:rsidRDefault="00502870" w:rsidP="00502870">
      <w:pPr>
        <w:pStyle w:val="NoSpacing"/>
        <w:numPr>
          <w:ilvl w:val="0"/>
          <w:numId w:val="12"/>
        </w:numPr>
        <w:rPr>
          <w:rFonts w:cstheme="minorHAnsi"/>
        </w:rPr>
      </w:pPr>
      <w:r>
        <w:rPr>
          <w:rFonts w:cstheme="minorHAnsi"/>
        </w:rPr>
        <w:t xml:space="preserve">How has engagement with </w:t>
      </w:r>
      <w:r w:rsidR="005843FE">
        <w:rPr>
          <w:rFonts w:cstheme="minorHAnsi"/>
        </w:rPr>
        <w:t>PL</w:t>
      </w:r>
      <w:r w:rsidR="00C263A4">
        <w:rPr>
          <w:rFonts w:cstheme="minorHAnsi"/>
        </w:rPr>
        <w:t xml:space="preserve"> </w:t>
      </w:r>
      <w:r>
        <w:rPr>
          <w:rFonts w:cstheme="minorHAnsi"/>
        </w:rPr>
        <w:t xml:space="preserve">activities impacted teachers’ knowledge of, and confidence in implementing the </w:t>
      </w:r>
      <w:r w:rsidR="005843FE">
        <w:rPr>
          <w:rFonts w:cstheme="minorHAnsi"/>
        </w:rPr>
        <w:t>CfW</w:t>
      </w:r>
      <w:r>
        <w:rPr>
          <w:rFonts w:cstheme="minorHAnsi"/>
        </w:rPr>
        <w:t>?</w:t>
      </w:r>
    </w:p>
    <w:p w14:paraId="77963D4A" w14:textId="7F2B9751" w:rsidR="00444E5E" w:rsidRDefault="00444E5E" w:rsidP="00444E5E">
      <w:pPr>
        <w:jc w:val="both"/>
      </w:pPr>
    </w:p>
    <w:p w14:paraId="2E88751B" w14:textId="4BB32767" w:rsidR="00FB0D96" w:rsidRPr="00FB0D96" w:rsidRDefault="00FB0D96" w:rsidP="00444E5E">
      <w:pPr>
        <w:jc w:val="both"/>
        <w:rPr>
          <w:b/>
          <w:bCs/>
        </w:rPr>
      </w:pPr>
      <w:r w:rsidRPr="00FB0D96">
        <w:rPr>
          <w:b/>
          <w:bCs/>
        </w:rPr>
        <w:t>Benefits of the study</w:t>
      </w:r>
    </w:p>
    <w:p w14:paraId="4DF30267" w14:textId="39827432" w:rsidR="00FB0D96" w:rsidRDefault="00C263A4" w:rsidP="00FB0D96">
      <w:pPr>
        <w:jc w:val="both"/>
        <w:rPr>
          <w:rFonts w:cstheme="minorHAnsi"/>
        </w:rPr>
      </w:pPr>
      <w:r>
        <w:rPr>
          <w:rFonts w:cstheme="minorHAnsi"/>
        </w:rPr>
        <w:t xml:space="preserve">With the CfW being </w:t>
      </w:r>
      <w:r w:rsidR="00162BBB">
        <w:rPr>
          <w:rFonts w:cstheme="minorHAnsi"/>
        </w:rPr>
        <w:t>such a significant change</w:t>
      </w:r>
      <w:r>
        <w:rPr>
          <w:rFonts w:cstheme="minorHAnsi"/>
        </w:rPr>
        <w:t xml:space="preserve">, research on teacher confidence and knowledge in implementing the changes will add to the existing literature on curriculum implementation.   </w:t>
      </w:r>
      <w:r w:rsidR="00BD591E">
        <w:rPr>
          <w:rFonts w:cstheme="minorHAnsi"/>
        </w:rPr>
        <w:t xml:space="preserve"> </w:t>
      </w:r>
      <w:r w:rsidR="00FB0D96">
        <w:rPr>
          <w:rFonts w:cstheme="minorHAnsi"/>
        </w:rPr>
        <w:t xml:space="preserve">This small study aims to provide case studies of the impact of PL on curriculum implementation. </w:t>
      </w:r>
      <w:r>
        <w:rPr>
          <w:rFonts w:cstheme="minorHAnsi"/>
        </w:rPr>
        <w:t xml:space="preserve"> It </w:t>
      </w:r>
      <w:r w:rsidR="00FB0D96">
        <w:rPr>
          <w:rFonts w:cstheme="minorHAnsi"/>
        </w:rPr>
        <w:t xml:space="preserve">will benefit my work in providing evidence </w:t>
      </w:r>
      <w:r>
        <w:rPr>
          <w:rFonts w:cstheme="minorHAnsi"/>
        </w:rPr>
        <w:t>of</w:t>
      </w:r>
      <w:r w:rsidR="00FB0D96">
        <w:rPr>
          <w:rFonts w:cstheme="minorHAnsi"/>
        </w:rPr>
        <w:t xml:space="preserve"> practitioner</w:t>
      </w:r>
      <w:r>
        <w:rPr>
          <w:rFonts w:cstheme="minorHAnsi"/>
        </w:rPr>
        <w:t xml:space="preserve"> views</w:t>
      </w:r>
      <w:r w:rsidR="00FB0D96">
        <w:rPr>
          <w:rFonts w:cstheme="minorHAnsi"/>
        </w:rPr>
        <w:t xml:space="preserve"> on </w:t>
      </w:r>
      <w:r>
        <w:rPr>
          <w:rFonts w:cstheme="minorHAnsi"/>
        </w:rPr>
        <w:t xml:space="preserve">PL, in particular </w:t>
      </w:r>
      <w:r w:rsidR="00FB0D96">
        <w:rPr>
          <w:rFonts w:cstheme="minorHAnsi"/>
        </w:rPr>
        <w:t>provid</w:t>
      </w:r>
      <w:r>
        <w:rPr>
          <w:rFonts w:cstheme="minorHAnsi"/>
        </w:rPr>
        <w:t>ing</w:t>
      </w:r>
      <w:r w:rsidR="00FB0D96">
        <w:rPr>
          <w:rFonts w:cstheme="minorHAnsi"/>
        </w:rPr>
        <w:t xml:space="preserve"> insight into some of the potential reasons</w:t>
      </w:r>
      <w:r>
        <w:rPr>
          <w:rFonts w:cstheme="minorHAnsi"/>
        </w:rPr>
        <w:t xml:space="preserve"> for levels of engagement with regional PL.  The study will inform my  own</w:t>
      </w:r>
      <w:r w:rsidR="00FB0D96">
        <w:rPr>
          <w:rFonts w:cstheme="minorHAnsi"/>
        </w:rPr>
        <w:t xml:space="preserve"> </w:t>
      </w:r>
      <w:r>
        <w:rPr>
          <w:rFonts w:cstheme="minorHAnsi"/>
        </w:rPr>
        <w:t>design and evaluation of regional PL, and will contribute to the current discussion on the evaluation of PL, identified as an area of focus in the most recent annual report on CfW (Welsh Government, 2023</w:t>
      </w:r>
      <w:r w:rsidR="004E7D82">
        <w:rPr>
          <w:rFonts w:cstheme="minorHAnsi"/>
        </w:rPr>
        <w:t>b</w:t>
      </w:r>
      <w:r>
        <w:rPr>
          <w:rFonts w:cstheme="minorHAnsi"/>
        </w:rPr>
        <w:t xml:space="preserve">).  </w:t>
      </w:r>
      <w:r w:rsidR="00FB0D96">
        <w:rPr>
          <w:rFonts w:cstheme="minorHAnsi"/>
        </w:rPr>
        <w:t xml:space="preserve">The study will also contribute </w:t>
      </w:r>
      <w:r>
        <w:rPr>
          <w:rFonts w:cstheme="minorHAnsi"/>
        </w:rPr>
        <w:t xml:space="preserve">evidence </w:t>
      </w:r>
      <w:r w:rsidR="00FB0D96">
        <w:rPr>
          <w:rFonts w:cstheme="minorHAnsi"/>
        </w:rPr>
        <w:t>to the current d</w:t>
      </w:r>
      <w:r w:rsidR="00FB0E99">
        <w:rPr>
          <w:rFonts w:cstheme="minorHAnsi"/>
        </w:rPr>
        <w:t xml:space="preserve">iscussion </w:t>
      </w:r>
      <w:r w:rsidR="00FB0D96">
        <w:rPr>
          <w:rFonts w:cstheme="minorHAnsi"/>
        </w:rPr>
        <w:t>on</w:t>
      </w:r>
      <w:r>
        <w:rPr>
          <w:rFonts w:cstheme="minorHAnsi"/>
        </w:rPr>
        <w:t xml:space="preserve"> the</w:t>
      </w:r>
      <w:r w:rsidR="00FB0D96">
        <w:rPr>
          <w:rFonts w:cstheme="minorHAnsi"/>
        </w:rPr>
        <w:t xml:space="preserve"> accessibility, quality and impact</w:t>
      </w:r>
      <w:r>
        <w:rPr>
          <w:rFonts w:cstheme="minorHAnsi"/>
        </w:rPr>
        <w:t xml:space="preserve"> of PL, potentially </w:t>
      </w:r>
      <w:r w:rsidR="00FB0D96">
        <w:rPr>
          <w:rFonts w:cstheme="minorHAnsi"/>
        </w:rPr>
        <w:t>support</w:t>
      </w:r>
      <w:r>
        <w:rPr>
          <w:rFonts w:cstheme="minorHAnsi"/>
        </w:rPr>
        <w:t>ing</w:t>
      </w:r>
      <w:r w:rsidR="00FB0D96">
        <w:rPr>
          <w:rFonts w:cstheme="minorHAnsi"/>
        </w:rPr>
        <w:t xml:space="preserve"> or refut</w:t>
      </w:r>
      <w:r>
        <w:rPr>
          <w:rFonts w:cstheme="minorHAnsi"/>
        </w:rPr>
        <w:t>ing</w:t>
      </w:r>
      <w:r w:rsidR="00FB0D96">
        <w:rPr>
          <w:rFonts w:cstheme="minorHAnsi"/>
        </w:rPr>
        <w:t xml:space="preserve"> criticisms</w:t>
      </w:r>
      <w:r>
        <w:rPr>
          <w:rFonts w:cstheme="minorHAnsi"/>
        </w:rPr>
        <w:t xml:space="preserve"> (</w:t>
      </w:r>
      <w:r w:rsidR="00FB0E99">
        <w:rPr>
          <w:rFonts w:cstheme="minorHAnsi"/>
        </w:rPr>
        <w:t xml:space="preserve">see for example </w:t>
      </w:r>
      <w:r>
        <w:rPr>
          <w:rFonts w:cstheme="minorHAnsi"/>
        </w:rPr>
        <w:t>Evans</w:t>
      </w:r>
      <w:r w:rsidR="00FB0E99">
        <w:rPr>
          <w:rFonts w:cstheme="minorHAnsi"/>
        </w:rPr>
        <w:t>, 2023</w:t>
      </w:r>
      <w:r>
        <w:rPr>
          <w:rFonts w:cstheme="minorHAnsi"/>
        </w:rPr>
        <w:t>)</w:t>
      </w:r>
      <w:r w:rsidR="00BD591E">
        <w:rPr>
          <w:rFonts w:cstheme="minorHAnsi"/>
        </w:rPr>
        <w:t>.</w:t>
      </w:r>
    </w:p>
    <w:p w14:paraId="16FE0168" w14:textId="41622764" w:rsidR="00444E5E" w:rsidRPr="00444E5E" w:rsidRDefault="00444E5E" w:rsidP="00444E5E">
      <w:pPr>
        <w:jc w:val="both"/>
        <w:rPr>
          <w:b/>
          <w:bCs/>
        </w:rPr>
      </w:pPr>
      <w:r>
        <w:rPr>
          <w:b/>
          <w:bCs/>
        </w:rPr>
        <w:t>Structure</w:t>
      </w:r>
      <w:r w:rsidR="008B5478">
        <w:rPr>
          <w:b/>
          <w:bCs/>
        </w:rPr>
        <w:t xml:space="preserve"> of this dissertation</w:t>
      </w:r>
    </w:p>
    <w:p w14:paraId="2D792262" w14:textId="784F7859" w:rsidR="004B0A6D" w:rsidRDefault="004B0A6D" w:rsidP="00444E5E">
      <w:pPr>
        <w:jc w:val="both"/>
      </w:pPr>
      <w:r>
        <w:t>This dissertation is structured into five chapters, beginning with this chapter. The next chapter of this dissertation will provide a review of the literature relevant to this subject</w:t>
      </w:r>
      <w:r w:rsidR="00BD591E">
        <w:t>, particularly</w:t>
      </w:r>
      <w:r>
        <w:t xml:space="preserve"> focusing on what makes good professional learning, and the policy context within Wales, including literature and relevant reposts that focus on the implementation of CfW. </w:t>
      </w:r>
    </w:p>
    <w:p w14:paraId="1B28E132" w14:textId="7CAB417D" w:rsidR="004B0A6D" w:rsidRPr="0079067B" w:rsidRDefault="004B0A6D" w:rsidP="00444E5E">
      <w:pPr>
        <w:jc w:val="both"/>
      </w:pPr>
      <w:r>
        <w:lastRenderedPageBreak/>
        <w:t>Chapter 3 will provide the research methodology for the study, including ethical questions and considerations.   Chapter</w:t>
      </w:r>
      <w:r w:rsidR="00BF4DFF">
        <w:t>s</w:t>
      </w:r>
      <w:r>
        <w:t xml:space="preserve"> 4 </w:t>
      </w:r>
      <w:r w:rsidR="00BF4DFF">
        <w:t xml:space="preserve">and 5 </w:t>
      </w:r>
      <w:r>
        <w:t xml:space="preserve">will </w:t>
      </w:r>
      <w:r w:rsidR="00BF4DFF">
        <w:t xml:space="preserve">firstly </w:t>
      </w:r>
      <w:r>
        <w:t xml:space="preserve">present and </w:t>
      </w:r>
      <w:r w:rsidR="00BF4DFF">
        <w:t xml:space="preserve">then </w:t>
      </w:r>
      <w:r>
        <w:t xml:space="preserve">discuss the key findings from the research. Chapter </w:t>
      </w:r>
      <w:r w:rsidR="00BF4DFF">
        <w:t>6</w:t>
      </w:r>
      <w:r>
        <w:t xml:space="preserve"> will present the conclusions and recommendations from the research.  </w:t>
      </w:r>
    </w:p>
    <w:p w14:paraId="527A01F2" w14:textId="77777777" w:rsidR="004B0A6D" w:rsidRDefault="004B0A6D" w:rsidP="00444E5E">
      <w:pPr>
        <w:jc w:val="both"/>
        <w:rPr>
          <w:rFonts w:eastAsia="Arial" w:cstheme="minorHAnsi"/>
          <w:b/>
          <w:bCs/>
          <w:color w:val="000000"/>
          <w:sz w:val="28"/>
          <w:szCs w:val="28"/>
          <w:u w:color="000000"/>
          <w:bdr w:val="nil"/>
          <w:lang w:val="en-US"/>
        </w:rPr>
      </w:pPr>
      <w:r>
        <w:rPr>
          <w:rFonts w:cstheme="minorHAnsi"/>
          <w:b/>
          <w:bCs/>
          <w:sz w:val="28"/>
          <w:szCs w:val="28"/>
        </w:rPr>
        <w:br w:type="page"/>
      </w:r>
    </w:p>
    <w:p w14:paraId="7C352ED5" w14:textId="0DF6DC9C" w:rsidR="00620BA9" w:rsidRPr="00D469F5" w:rsidRDefault="00EE0353" w:rsidP="00D469F5">
      <w:pPr>
        <w:pStyle w:val="BodyTextIndent"/>
        <w:ind w:left="0" w:firstLine="0"/>
        <w:rPr>
          <w:rFonts w:asciiTheme="minorHAnsi" w:hAnsiTheme="minorHAnsi" w:cstheme="minorHAnsi"/>
          <w:b/>
          <w:bCs/>
          <w:sz w:val="28"/>
          <w:szCs w:val="28"/>
        </w:rPr>
      </w:pPr>
      <w:r>
        <w:rPr>
          <w:rFonts w:asciiTheme="minorHAnsi" w:hAnsiTheme="minorHAnsi" w:cstheme="minorHAnsi"/>
          <w:b/>
          <w:bCs/>
          <w:sz w:val="28"/>
          <w:szCs w:val="28"/>
        </w:rPr>
        <w:lastRenderedPageBreak/>
        <w:t xml:space="preserve">Chapter 2: Review of the </w:t>
      </w:r>
      <w:r w:rsidR="00553C20" w:rsidRPr="009D500B">
        <w:rPr>
          <w:rFonts w:asciiTheme="minorHAnsi" w:hAnsiTheme="minorHAnsi" w:cstheme="minorHAnsi"/>
          <w:b/>
          <w:bCs/>
          <w:sz w:val="28"/>
          <w:szCs w:val="28"/>
        </w:rPr>
        <w:t>Literatur</w:t>
      </w:r>
      <w:r>
        <w:rPr>
          <w:rFonts w:asciiTheme="minorHAnsi" w:hAnsiTheme="minorHAnsi" w:cstheme="minorHAnsi"/>
          <w:b/>
          <w:bCs/>
          <w:sz w:val="28"/>
          <w:szCs w:val="28"/>
        </w:rPr>
        <w:t>e</w:t>
      </w:r>
    </w:p>
    <w:p w14:paraId="2AEE7A01" w14:textId="6F66CA47" w:rsidR="005E34C6" w:rsidRPr="00AB30BA" w:rsidRDefault="005E34C6" w:rsidP="005E34C6">
      <w:pPr>
        <w:jc w:val="both"/>
      </w:pPr>
      <w:r w:rsidRPr="003A14AF">
        <w:t xml:space="preserve">This </w:t>
      </w:r>
      <w:r>
        <w:t xml:space="preserve">chapter firstly focuses on the Welsh education policy agenda, discussing  key policy documents and reports.  The second section </w:t>
      </w:r>
      <w:r w:rsidR="00C37CFE">
        <w:t xml:space="preserve">discusses </w:t>
      </w:r>
      <w:r w:rsidRPr="003A14AF">
        <w:t xml:space="preserve">professional development </w:t>
      </w:r>
      <w:r>
        <w:t xml:space="preserve">(PD), continuing professional development (CPD) and PL.  The third section explores specific characteristics commonly associated with an impactful PL, </w:t>
      </w:r>
      <w:r w:rsidR="00C37CFE">
        <w:t xml:space="preserve">and the fourth section focuses on the specific nature of the PL provision in Wales linked to CfW, based on the National Approach to PL (NAPL).  </w:t>
      </w:r>
      <w:r>
        <w:t xml:space="preserve">Finally, </w:t>
      </w:r>
      <w:r w:rsidR="00C37CFE">
        <w:t xml:space="preserve">literature on the PL that has been </w:t>
      </w:r>
      <w:r>
        <w:t>provided in Wales to support implementation of the curriculum for Wales, including criticisms</w:t>
      </w:r>
      <w:r w:rsidR="00FB0E99">
        <w:t xml:space="preserve">, </w:t>
      </w:r>
      <w:r>
        <w:t xml:space="preserve">are examined. </w:t>
      </w:r>
    </w:p>
    <w:p w14:paraId="0B14D23C" w14:textId="4FA47044" w:rsidR="004B0A6D" w:rsidRPr="003A14AF" w:rsidRDefault="003A14AF" w:rsidP="00481171">
      <w:pPr>
        <w:jc w:val="both"/>
        <w:rPr>
          <w:b/>
          <w:bCs/>
        </w:rPr>
      </w:pPr>
      <w:r>
        <w:rPr>
          <w:b/>
          <w:bCs/>
        </w:rPr>
        <w:t xml:space="preserve">a. </w:t>
      </w:r>
      <w:r w:rsidR="004B0A6D" w:rsidRPr="003A14AF">
        <w:rPr>
          <w:b/>
          <w:bCs/>
        </w:rPr>
        <w:t xml:space="preserve">Welsh </w:t>
      </w:r>
      <w:r w:rsidR="00001DA3" w:rsidRPr="003A14AF">
        <w:rPr>
          <w:b/>
          <w:bCs/>
        </w:rPr>
        <w:t>education p</w:t>
      </w:r>
      <w:r w:rsidR="004B0A6D" w:rsidRPr="003A14AF">
        <w:rPr>
          <w:b/>
          <w:bCs/>
        </w:rPr>
        <w:t>olicy</w:t>
      </w:r>
    </w:p>
    <w:p w14:paraId="6D0002D0" w14:textId="07C9FF26" w:rsidR="004B0A6D" w:rsidRDefault="004B0A6D" w:rsidP="00481171">
      <w:pPr>
        <w:jc w:val="both"/>
      </w:pPr>
      <w:r>
        <w:t xml:space="preserve">The Successful Futures report (Donaldson, 2015) and the subsequent Curriculum and Assessment </w:t>
      </w:r>
      <w:r w:rsidR="001678D6">
        <w:t xml:space="preserve">(Wales) </w:t>
      </w:r>
      <w:r>
        <w:t>Act</w:t>
      </w:r>
      <w:r w:rsidR="00001DA3" w:rsidRPr="00001DA3">
        <w:t>,</w:t>
      </w:r>
      <w:r w:rsidRPr="00001DA3">
        <w:t xml:space="preserve"> 2021</w:t>
      </w:r>
      <w:r w:rsidR="005E34C6">
        <w:t>,</w:t>
      </w:r>
      <w:r>
        <w:t xml:space="preserve"> mark</w:t>
      </w:r>
      <w:r w:rsidR="001678D6">
        <w:t>ed</w:t>
      </w:r>
      <w:r>
        <w:t xml:space="preserve"> a significant shift in the curriculum, and wider education policy </w:t>
      </w:r>
      <w:r w:rsidR="005E34C6">
        <w:t xml:space="preserve">reforms </w:t>
      </w:r>
      <w:r>
        <w:t>in Wales</w:t>
      </w:r>
      <w:r w:rsidR="001678D6">
        <w:t xml:space="preserve">.  </w:t>
      </w:r>
      <w:r w:rsidR="005E34C6">
        <w:t>The</w:t>
      </w:r>
      <w:r w:rsidR="001678D6">
        <w:t xml:space="preserve"> curriculum, written in Wales, for Wales, is</w:t>
      </w:r>
      <w:r w:rsidR="005E34C6">
        <w:t xml:space="preserve"> purpose led,</w:t>
      </w:r>
      <w:r w:rsidR="001678D6">
        <w:t xml:space="preserve"> and based on</w:t>
      </w:r>
      <w:r w:rsidR="005E34C6">
        <w:t xml:space="preserve"> the principle of subsidiarity, with schools writing their own curriculum based on a national framework</w:t>
      </w:r>
      <w:r w:rsidR="001678D6">
        <w:t xml:space="preserve">.  </w:t>
      </w:r>
      <w:r w:rsidR="005E34C6" w:rsidRPr="00444E5E">
        <w:t xml:space="preserve">The </w:t>
      </w:r>
      <w:r w:rsidR="005E34C6">
        <w:t xml:space="preserve">CfW, like </w:t>
      </w:r>
      <w:r w:rsidR="001678D6">
        <w:t xml:space="preserve">similar </w:t>
      </w:r>
      <w:r w:rsidR="005E34C6">
        <w:t>reforms in Scotland and  New Zealand, ask</w:t>
      </w:r>
      <w:r w:rsidR="001678D6">
        <w:t>s practitioners</w:t>
      </w:r>
      <w:r w:rsidR="005E34C6">
        <w:t xml:space="preserve"> to fundamentally reconsider what they teach, why, when and how (</w:t>
      </w:r>
      <w:r w:rsidR="001678D6">
        <w:t>Welsh Government</w:t>
      </w:r>
      <w:r w:rsidR="005E34C6">
        <w:t>, 202</w:t>
      </w:r>
      <w:r w:rsidR="001678D6">
        <w:t>0</w:t>
      </w:r>
      <w:r w:rsidR="005E34C6">
        <w:t xml:space="preserve">).  In addition, the curriculum is accompanied by new legislation for learners with additional needs, a new inspection framework, new qualifications at age 16, reforms to ITE provision, and changes to the accountability and evaluation procedures. This is system wide change, all linked through the National Education mission </w:t>
      </w:r>
      <w:sdt>
        <w:sdtPr>
          <w:id w:val="-1656296454"/>
          <w:citation/>
        </w:sdtPr>
        <w:sdtContent>
          <w:r w:rsidR="005E34C6">
            <w:fldChar w:fldCharType="begin"/>
          </w:r>
          <w:r w:rsidR="005E34C6">
            <w:instrText xml:space="preserve"> CITATION Wel17 \l 2057 </w:instrText>
          </w:r>
          <w:r w:rsidR="005E34C6">
            <w:fldChar w:fldCharType="separate"/>
          </w:r>
          <w:r w:rsidR="005E34C6">
            <w:rPr>
              <w:noProof/>
            </w:rPr>
            <w:t>(Welsh Government, 2017)</w:t>
          </w:r>
          <w:r w:rsidR="005E34C6">
            <w:fldChar w:fldCharType="end"/>
          </w:r>
        </w:sdtContent>
      </w:sdt>
      <w:r w:rsidR="00BF4DFF">
        <w:t xml:space="preserve">. These changes are moving Wales in a new and significantly different direction in education. </w:t>
      </w:r>
    </w:p>
    <w:p w14:paraId="3478CBC4" w14:textId="75BE50FA" w:rsidR="004B0A6D" w:rsidRDefault="00444E5E" w:rsidP="00481171">
      <w:pPr>
        <w:jc w:val="both"/>
      </w:pPr>
      <w:r>
        <w:t>Th</w:t>
      </w:r>
      <w:r w:rsidR="004B0A6D">
        <w:t xml:space="preserve">ere was already some small degree of divergence between Wales and England’s education policy in the years between the Second World War and devolution, most significantly after the 1988 Act </w:t>
      </w:r>
      <w:r w:rsidR="001678D6">
        <w:t>(</w:t>
      </w:r>
      <w:r w:rsidR="004B0A6D">
        <w:t>Daugherty</w:t>
      </w:r>
      <w:r w:rsidR="001678D6">
        <w:t xml:space="preserve">, </w:t>
      </w:r>
      <w:r>
        <w:rPr>
          <w:noProof/>
        </w:rPr>
        <w:t>2007)</w:t>
      </w:r>
      <w:r>
        <w:t xml:space="preserve">, however, these </w:t>
      </w:r>
      <w:r w:rsidR="004B0A6D">
        <w:t xml:space="preserve"> </w:t>
      </w:r>
      <w:r>
        <w:t>differences were</w:t>
      </w:r>
      <w:r w:rsidR="004B0A6D">
        <w:t xml:space="preserve"> usually limited, and within the constraints of a UK Government led Education policy </w:t>
      </w:r>
      <w:sdt>
        <w:sdtPr>
          <w:id w:val="-899441594"/>
          <w:citation/>
        </w:sdtPr>
        <w:sdtContent>
          <w:r w:rsidR="004B0A6D">
            <w:fldChar w:fldCharType="begin"/>
          </w:r>
          <w:r w:rsidR="004B0A6D">
            <w:instrText xml:space="preserve"> CITATION Ree07 \l 2057 </w:instrText>
          </w:r>
          <w:r w:rsidR="004B0A6D">
            <w:fldChar w:fldCharType="separate"/>
          </w:r>
          <w:r w:rsidR="004B0A6D">
            <w:rPr>
              <w:noProof/>
            </w:rPr>
            <w:t>(Rees, 2007)</w:t>
          </w:r>
          <w:r w:rsidR="004B0A6D">
            <w:fldChar w:fldCharType="end"/>
          </w:r>
        </w:sdtContent>
      </w:sdt>
      <w:r w:rsidR="004B0A6D">
        <w:t>.  Devolution brought the opportunity for Wales</w:t>
      </w:r>
      <w:r>
        <w:t>’</w:t>
      </w:r>
      <w:r w:rsidR="004B0A6D">
        <w:t xml:space="preserve"> education system </w:t>
      </w:r>
      <w:r w:rsidR="004B0A6D" w:rsidRPr="00444E5E">
        <w:t xml:space="preserve">to </w:t>
      </w:r>
      <w:r w:rsidRPr="00444E5E">
        <w:t xml:space="preserve">be designed and </w:t>
      </w:r>
      <w:r w:rsidR="004B0A6D" w:rsidRPr="00444E5E">
        <w:t>made for Wales, in Wales</w:t>
      </w:r>
      <w:r w:rsidR="001678D6">
        <w:t xml:space="preserve">, with </w:t>
      </w:r>
      <w:r w:rsidR="004B0A6D">
        <w:t>‘clear red water . . . between the way in which things are being shaped in Wales and the direction being followed for equivalent services in England’</w:t>
      </w:r>
      <w:r w:rsidR="00AB30BA">
        <w:rPr>
          <w:noProof/>
        </w:rPr>
        <w:t xml:space="preserve"> (Morgan, 2002)</w:t>
      </w:r>
      <w:r w:rsidR="004B0A6D">
        <w:t xml:space="preserve">.  </w:t>
      </w:r>
      <w:r w:rsidR="001678D6">
        <w:t>P</w:t>
      </w:r>
      <w:r w:rsidR="004B0A6D">
        <w:t>ublication of ‘The Learning Country‘</w:t>
      </w:r>
      <w:r>
        <w:t xml:space="preserve"> </w:t>
      </w:r>
      <w:r w:rsidR="00AB30BA">
        <w:rPr>
          <w:noProof/>
        </w:rPr>
        <w:t>(Welsh Assembly Government, 2001)</w:t>
      </w:r>
      <w:r w:rsidR="004B0A6D">
        <w:t xml:space="preserve">, </w:t>
      </w:r>
      <w:r w:rsidR="001678D6">
        <w:t xml:space="preserve">set this new direction, providing </w:t>
      </w:r>
      <w:r w:rsidR="004B0A6D">
        <w:t xml:space="preserve">an initial outline of the more independent direction </w:t>
      </w:r>
      <w:r w:rsidR="001678D6">
        <w:t xml:space="preserve">in </w:t>
      </w:r>
      <w:r w:rsidR="004B0A6D">
        <w:t xml:space="preserve">policy. </w:t>
      </w:r>
    </w:p>
    <w:p w14:paraId="41CE785D" w14:textId="2B3348BE" w:rsidR="00E74915" w:rsidRDefault="00534092" w:rsidP="00481171">
      <w:pPr>
        <w:jc w:val="both"/>
      </w:pPr>
      <w:r>
        <w:t>Evans (202</w:t>
      </w:r>
      <w:r w:rsidR="005E34C6">
        <w:t>2</w:t>
      </w:r>
      <w:r>
        <w:t>)</w:t>
      </w:r>
      <w:r w:rsidR="00E74915">
        <w:t>,</w:t>
      </w:r>
      <w:r>
        <w:t xml:space="preserve"> describes three phases of education policy post devolution with the first from 1999-2010 characterised by decentralisation, </w:t>
      </w:r>
      <w:r w:rsidR="005E34C6">
        <w:t xml:space="preserve">and changes to assessment and pedagogy, including </w:t>
      </w:r>
      <w:r>
        <w:t>the removal of S</w:t>
      </w:r>
      <w:r w:rsidR="005E34C6">
        <w:t>tandardised Assessment Tests (S</w:t>
      </w:r>
      <w:r>
        <w:t>AT’s</w:t>
      </w:r>
      <w:r w:rsidR="005E34C6">
        <w:t>)</w:t>
      </w:r>
      <w:r>
        <w:t xml:space="preserve"> and experimentations in the Foundation </w:t>
      </w:r>
      <w:r w:rsidR="00BF4DFF">
        <w:t>P</w:t>
      </w:r>
      <w:r>
        <w:t xml:space="preserve">hase. </w:t>
      </w:r>
      <w:r w:rsidR="00E74915">
        <w:t xml:space="preserve">This phase also saw greater divergence between Wales and England in terms of education expenditure, and the role of Local Authorities </w:t>
      </w:r>
      <w:sdt>
        <w:sdtPr>
          <w:id w:val="-766613285"/>
          <w:citation/>
        </w:sdtPr>
        <w:sdtContent>
          <w:r w:rsidR="00E74915">
            <w:fldChar w:fldCharType="begin"/>
          </w:r>
          <w:r w:rsidR="00E74915">
            <w:instrText xml:space="preserve"> CITATION Rey08 \l 2057 </w:instrText>
          </w:r>
          <w:r w:rsidR="00E74915">
            <w:fldChar w:fldCharType="separate"/>
          </w:r>
          <w:r w:rsidR="00E74915">
            <w:rPr>
              <w:noProof/>
            </w:rPr>
            <w:t>(Reynolds, 2008)</w:t>
          </w:r>
          <w:r w:rsidR="00E74915">
            <w:fldChar w:fldCharType="end"/>
          </w:r>
        </w:sdtContent>
      </w:sdt>
      <w:r w:rsidR="00E74915">
        <w:t xml:space="preserve">. </w:t>
      </w:r>
    </w:p>
    <w:p w14:paraId="192DEEC1" w14:textId="2C709138" w:rsidR="004B0A6D" w:rsidRDefault="00534092" w:rsidP="00481171">
      <w:pPr>
        <w:jc w:val="both"/>
      </w:pPr>
      <w:r>
        <w:t xml:space="preserve">The second phase from 2010-2015 was marked by a greater focus on accountability and the influence of </w:t>
      </w:r>
      <w:r w:rsidR="00BF4DFF">
        <w:t xml:space="preserve">the </w:t>
      </w:r>
      <w:r w:rsidR="005E34C6" w:rsidRPr="00444E5E">
        <w:t>Programme for International Student Assessment</w:t>
      </w:r>
      <w:r w:rsidR="005E34C6">
        <w:t xml:space="preserve"> (</w:t>
      </w:r>
      <w:r w:rsidR="005E34C6" w:rsidRPr="00444E5E">
        <w:t>PISA)</w:t>
      </w:r>
      <w:r>
        <w:t xml:space="preserve"> tests on</w:t>
      </w:r>
      <w:r w:rsidR="005E34C6">
        <w:t xml:space="preserve"> education policy, </w:t>
      </w:r>
      <w:r w:rsidR="00E74915">
        <w:t>with</w:t>
      </w:r>
      <w:r w:rsidR="005E34C6">
        <w:t xml:space="preserve"> t</w:t>
      </w:r>
      <w:r w:rsidR="004B0A6D">
        <w:t>he ‘</w:t>
      </w:r>
      <w:r w:rsidR="004B0A6D" w:rsidRPr="001523E9">
        <w:t>National School Categorisation System</w:t>
      </w:r>
      <w:r w:rsidR="004B0A6D">
        <w:t xml:space="preserve">’, </w:t>
      </w:r>
      <w:r w:rsidR="00E74915">
        <w:t>and</w:t>
      </w:r>
      <w:r w:rsidR="004B0A6D">
        <w:t xml:space="preserve"> national tests, </w:t>
      </w:r>
      <w:r w:rsidR="005E34C6">
        <w:t>form</w:t>
      </w:r>
      <w:r w:rsidR="00E74915">
        <w:t>ing</w:t>
      </w:r>
      <w:r w:rsidR="004B0A6D">
        <w:t xml:space="preserve"> new layers of accountability for schools under the ministerial influence of Leighton Andrews</w:t>
      </w:r>
      <w:r w:rsidR="00E74915">
        <w:t xml:space="preserve"> </w:t>
      </w:r>
      <w:r w:rsidR="00E74915">
        <w:rPr>
          <w:noProof/>
        </w:rPr>
        <w:t>(Sibieta &amp; Jerrim, 2021)</w:t>
      </w:r>
      <w:r w:rsidR="00E74915">
        <w:t xml:space="preserve">.   </w:t>
      </w:r>
    </w:p>
    <w:p w14:paraId="122D1FB5" w14:textId="15417BED" w:rsidR="004B0A6D" w:rsidRDefault="00BF4DFF" w:rsidP="00481171">
      <w:pPr>
        <w:jc w:val="both"/>
      </w:pPr>
      <w:r>
        <w:t xml:space="preserve">These first two phases of post devolution policy saw limited curriculum reform. There were small revisions to the curriculum in 2008, and the development of </w:t>
      </w:r>
      <w:r w:rsidRPr="00E94B84">
        <w:t>Curriculum Cymrieg, Welsh Baccalaureate, and the Literacy and Numeracy framewor</w:t>
      </w:r>
      <w:r>
        <w:t>k</w:t>
      </w:r>
      <w:r w:rsidR="005C0C2C">
        <w:t>, provided a greater focus on skills, and on Welsh language and culture.  However, t</w:t>
      </w:r>
      <w:r w:rsidR="00E74915">
        <w:t xml:space="preserve">here was no </w:t>
      </w:r>
      <w:r w:rsidR="00E74915" w:rsidRPr="00E94B84">
        <w:t xml:space="preserve">significant change in either curriculum </w:t>
      </w:r>
      <w:r>
        <w:t>structure, content,</w:t>
      </w:r>
      <w:r w:rsidR="00E74915" w:rsidRPr="00E94B84">
        <w:t xml:space="preserve"> or</w:t>
      </w:r>
      <w:r>
        <w:t xml:space="preserve"> to</w:t>
      </w:r>
      <w:r w:rsidR="00E74915" w:rsidRPr="00E94B84">
        <w:t xml:space="preserve"> the international success of the education system</w:t>
      </w:r>
      <w:r w:rsidR="00E74915">
        <w:t xml:space="preserve"> </w:t>
      </w:r>
      <w:r w:rsidR="00E74915">
        <w:rPr>
          <w:noProof/>
        </w:rPr>
        <w:t>(Evans, 2012, OECD, 2014 and Smith, 2016</w:t>
      </w:r>
      <w:r w:rsidR="005E34C6">
        <w:rPr>
          <w:noProof/>
        </w:rPr>
        <w:t>)</w:t>
      </w:r>
      <w:r>
        <w:t xml:space="preserve">.  </w:t>
      </w:r>
      <w:r w:rsidR="005E34C6">
        <w:t xml:space="preserve">Donaldson (2015) argued that a </w:t>
      </w:r>
      <w:r w:rsidR="004B0A6D">
        <w:t>“curriculum devised in 1988 reflect</w:t>
      </w:r>
      <w:r w:rsidR="00CB0651">
        <w:t>s</w:t>
      </w:r>
      <w:r w:rsidR="004B0A6D">
        <w:t xml:space="preserve"> a world that was yet to see the World Wide Web and the advances in technology and globalisation that have transformed the </w:t>
      </w:r>
      <w:r w:rsidR="004B0A6D">
        <w:lastRenderedPageBreak/>
        <w:t>way we live and work” (Donaldson, 2015</w:t>
      </w:r>
      <w:r w:rsidR="00714FF0">
        <w:t xml:space="preserve"> p10</w:t>
      </w:r>
      <w:r w:rsidR="004B0A6D">
        <w:t xml:space="preserve">). </w:t>
      </w:r>
      <w:r w:rsidR="00444E5E">
        <w:t xml:space="preserve"> </w:t>
      </w:r>
      <w:r>
        <w:t>The amendments and additions to the curriculum had not fundamentally changed the substance and nature of the curriculum</w:t>
      </w:r>
      <w:r w:rsidR="005C0C2C">
        <w:t xml:space="preserve"> before 2015</w:t>
      </w:r>
      <w:r>
        <w:t>.</w:t>
      </w:r>
    </w:p>
    <w:p w14:paraId="5CCFF482" w14:textId="58722C78" w:rsidR="005E34C6" w:rsidRDefault="005E34C6" w:rsidP="00481171">
      <w:pPr>
        <w:jc w:val="both"/>
      </w:pPr>
      <w:r>
        <w:t>Evans’ (2022) characterises the third phase of post</w:t>
      </w:r>
      <w:r w:rsidR="00CB0651">
        <w:t>-</w:t>
      </w:r>
      <w:r>
        <w:t xml:space="preserve">devolution education policy from 2015 to the present, as Curriculum for Wales and the culture of collaboration.  </w:t>
      </w:r>
      <w:r w:rsidR="00CB0651">
        <w:t>I</w:t>
      </w:r>
      <w:r>
        <w:t>nfluenced by the ‘Improving Schools in Wales</w:t>
      </w:r>
      <w:r w:rsidR="00A248DB">
        <w:t>’</w:t>
      </w:r>
      <w:r>
        <w:t xml:space="preserve"> report (</w:t>
      </w:r>
      <w:r w:rsidR="00CB0651">
        <w:t xml:space="preserve">OECD, </w:t>
      </w:r>
      <w:r>
        <w:t xml:space="preserve">2014),  Welsh </w:t>
      </w:r>
      <w:r w:rsidR="005C0C2C">
        <w:t>G</w:t>
      </w:r>
      <w:r>
        <w:t xml:space="preserve">overnment launched a series of reforms including the 2014 </w:t>
      </w:r>
      <w:r w:rsidR="005C0C2C">
        <w:t>‘</w:t>
      </w:r>
      <w:r>
        <w:t>Qualified for Life</w:t>
      </w:r>
      <w:r w:rsidR="005C0C2C">
        <w:t>’</w:t>
      </w:r>
      <w:r>
        <w:t xml:space="preserve"> Action plan (Welsh Government, 2014), and more significantly, the commissioning of Donaldsons review of curriculum and assessment.  The </w:t>
      </w:r>
      <w:r w:rsidR="005F0281">
        <w:t>s</w:t>
      </w:r>
      <w:r>
        <w:t>ubsequent Successful Futures report (Donaldson, 2015) recommendations</w:t>
      </w:r>
      <w:r w:rsidR="00CB0651">
        <w:t xml:space="preserve"> revolutionised the curriculum</w:t>
      </w:r>
      <w:r>
        <w:t xml:space="preserve">.  </w:t>
      </w:r>
    </w:p>
    <w:p w14:paraId="07FED9CD" w14:textId="561D402F" w:rsidR="005E34C6" w:rsidRDefault="00CB0651" w:rsidP="005E34C6">
      <w:pPr>
        <w:jc w:val="both"/>
      </w:pPr>
      <w:r>
        <w:t>In addition, a</w:t>
      </w:r>
      <w:r w:rsidR="005E34C6">
        <w:t xml:space="preserve"> more collaborative and inclusive governmental attitude towards the teaching profession has been a cornerstone of this recent phase of education policy (Evans, 2022).  The pioneer model </w:t>
      </w:r>
      <w:r w:rsidR="005C0C2C">
        <w:t xml:space="preserve">used to develop the </w:t>
      </w:r>
      <w:r w:rsidR="005E34C6">
        <w:t xml:space="preserve">curriculum </w:t>
      </w:r>
      <w:r w:rsidR="005C0C2C">
        <w:t>itself, is</w:t>
      </w:r>
      <w:r w:rsidR="005E34C6">
        <w:t xml:space="preserve"> one key example </w:t>
      </w:r>
      <w:r w:rsidR="005E34C6">
        <w:rPr>
          <w:noProof/>
        </w:rPr>
        <w:t>(Arad Research, 2018)</w:t>
      </w:r>
      <w:r w:rsidR="005C0C2C">
        <w:rPr>
          <w:noProof/>
        </w:rPr>
        <w:t xml:space="preserve">. That model </w:t>
      </w:r>
      <w:r w:rsidR="005E34C6">
        <w:rPr>
          <w:noProof/>
        </w:rPr>
        <w:t xml:space="preserve">was built on the idea of </w:t>
      </w:r>
      <w:r w:rsidR="002518FE">
        <w:rPr>
          <w:noProof/>
        </w:rPr>
        <w:t xml:space="preserve">co-construction, </w:t>
      </w:r>
      <w:r w:rsidR="005C0C2C">
        <w:rPr>
          <w:noProof/>
        </w:rPr>
        <w:t xml:space="preserve">exemplifying the increased trust in the profession. It aimed to </w:t>
      </w:r>
      <w:r w:rsidR="002518FE">
        <w:rPr>
          <w:noProof/>
        </w:rPr>
        <w:t xml:space="preserve"> empower teachers, and give the</w:t>
      </w:r>
      <w:r w:rsidR="005C0C2C">
        <w:rPr>
          <w:noProof/>
        </w:rPr>
        <w:t>m</w:t>
      </w:r>
      <w:r w:rsidR="002518FE">
        <w:rPr>
          <w:noProof/>
        </w:rPr>
        <w:t xml:space="preserve"> ownership of the reforms.</w:t>
      </w:r>
      <w:r w:rsidR="002518FE">
        <w:t xml:space="preserve">  </w:t>
      </w:r>
      <w:r w:rsidR="005E34C6">
        <w:t>In addition, the CfW framework</w:t>
      </w:r>
      <w:r>
        <w:t xml:space="preserve"> is</w:t>
      </w:r>
      <w:r w:rsidR="002518FE">
        <w:t xml:space="preserve"> itself</w:t>
      </w:r>
      <w:r w:rsidR="005E34C6">
        <w:t xml:space="preserve"> based on the principle of subsidiarity</w:t>
      </w:r>
      <w:r w:rsidR="002518FE">
        <w:t>,</w:t>
      </w:r>
      <w:r w:rsidR="005E34C6">
        <w:t xml:space="preserve"> </w:t>
      </w:r>
      <w:r w:rsidR="005E34C6" w:rsidRPr="003F02BA">
        <w:t>establish</w:t>
      </w:r>
      <w:r w:rsidR="002518FE">
        <w:t>ing</w:t>
      </w:r>
      <w:r w:rsidR="005E34C6" w:rsidRPr="003F02BA">
        <w:t xml:space="preserve"> a system </w:t>
      </w:r>
      <w:r w:rsidR="005E34C6">
        <w:t>that</w:t>
      </w:r>
      <w:r w:rsidR="005E34C6" w:rsidRPr="003F02BA">
        <w:t xml:space="preserve"> for the first time gives schools significant responsibility </w:t>
      </w:r>
      <w:r w:rsidR="005E34C6">
        <w:t>f</w:t>
      </w:r>
      <w:r w:rsidR="005E34C6" w:rsidRPr="003F02BA">
        <w:t>or</w:t>
      </w:r>
      <w:r w:rsidR="005E34C6">
        <w:t>, and autonomy in,</w:t>
      </w:r>
      <w:r w:rsidR="005E34C6" w:rsidRPr="003F02BA">
        <w:t xml:space="preserve"> curriculum design, and content </w:t>
      </w:r>
      <w:r w:rsidR="005E34C6">
        <w:t>selection</w:t>
      </w:r>
      <w:r w:rsidR="002518FE">
        <w:t xml:space="preserve"> based on the needs of their own learners </w:t>
      </w:r>
      <w:r w:rsidR="005E34C6">
        <w:t xml:space="preserve">(Welsh Government, </w:t>
      </w:r>
      <w:r>
        <w:t>2020;</w:t>
      </w:r>
      <w:r w:rsidR="002518FE">
        <w:t xml:space="preserve"> </w:t>
      </w:r>
      <w:r w:rsidR="005E34C6">
        <w:rPr>
          <w:noProof/>
        </w:rPr>
        <w:t>Sinnema et al, 2020</w:t>
      </w:r>
      <w:r w:rsidR="005E34C6">
        <w:t>).</w:t>
      </w:r>
      <w:r w:rsidR="002518FE">
        <w:t xml:space="preserve">  This collaborative approach to reform and school improvement is clear from the National Mission (Welsh Government, 2017), which stressed the need for a </w:t>
      </w:r>
      <w:r w:rsidR="002518FE" w:rsidRPr="002518FE">
        <w:t xml:space="preserve">collaborative, sustainable and integrated approach to </w:t>
      </w:r>
      <w:r w:rsidR="002518FE">
        <w:t xml:space="preserve">education policy and reform (Evans, 2022). </w:t>
      </w:r>
    </w:p>
    <w:p w14:paraId="7E831E2A" w14:textId="47DA63A3" w:rsidR="004B0A6D" w:rsidRDefault="004B0A6D" w:rsidP="00481171">
      <w:pPr>
        <w:jc w:val="both"/>
      </w:pPr>
      <w:r>
        <w:t>However, such significant change in curriculum, and school level responsibility</w:t>
      </w:r>
      <w:r w:rsidR="00CB0651">
        <w:t>, raises</w:t>
      </w:r>
      <w:r>
        <w:t xml:space="preserve"> </w:t>
      </w:r>
      <w:r w:rsidR="00CB0651">
        <w:t xml:space="preserve">challenges of implementation, and </w:t>
      </w:r>
      <w:r>
        <w:t xml:space="preserve"> </w:t>
      </w:r>
      <w:r w:rsidR="00CB0651">
        <w:t>change management</w:t>
      </w:r>
      <w:r>
        <w:t>.  In other education systems who have developed similar style curricular,</w:t>
      </w:r>
      <w:r w:rsidR="00CB0651">
        <w:t xml:space="preserve"> such as Scotland, have found</w:t>
      </w:r>
      <w:r>
        <w:t xml:space="preserve"> implementation </w:t>
      </w:r>
      <w:r w:rsidR="00CB0651">
        <w:t xml:space="preserve">to be </w:t>
      </w:r>
      <w:r>
        <w:t>challenging</w:t>
      </w:r>
      <w:r w:rsidR="00CB0651">
        <w:t>. Indeed,</w:t>
      </w:r>
      <w:r w:rsidR="00B86830">
        <w:t xml:space="preserve"> </w:t>
      </w:r>
      <w:r w:rsidR="00CB0651">
        <w:rPr>
          <w:noProof/>
        </w:rPr>
        <w:t>Priestly and Minty, (2013)</w:t>
      </w:r>
      <w:r w:rsidR="00B86830">
        <w:t xml:space="preserve"> note that whilst teachers welcomed the philosophy of the Curriculum for Excellence</w:t>
      </w:r>
      <w:r w:rsidR="005C0C2C">
        <w:t xml:space="preserve"> (CfE)</w:t>
      </w:r>
      <w:r w:rsidR="00B86830">
        <w:t xml:space="preserve">, there was far less engagement with its underpinning ideas, and teachers did not engage with the curriculum at </w:t>
      </w:r>
      <w:r w:rsidR="005E34C6">
        <w:t>a</w:t>
      </w:r>
      <w:r w:rsidR="00B86830">
        <w:t xml:space="preserve"> deeper, second order level.  They recommended the need to “</w:t>
      </w:r>
      <w:r w:rsidR="00B86830" w:rsidRPr="00B86830">
        <w:t>find ways of engaging those that don’t engage - extending the reach of the teacher learning communities, and facilitating a higher incidence of second order engagement with CfE</w:t>
      </w:r>
      <w:r w:rsidR="00B86830">
        <w:t>” (Priestly and Minty, 2013 p</w:t>
      </w:r>
      <w:r w:rsidR="005C0C2C">
        <w:t xml:space="preserve">. </w:t>
      </w:r>
      <w:r w:rsidR="00B86830">
        <w:t>50)</w:t>
      </w:r>
      <w:r w:rsidR="00B86830" w:rsidRPr="00B86830">
        <w:t>.</w:t>
      </w:r>
      <w:r w:rsidR="00B86830">
        <w:t xml:space="preserve"> </w:t>
      </w:r>
      <w:r w:rsidR="00CB0651">
        <w:t>Similarly i</w:t>
      </w:r>
      <w:r w:rsidR="00374FDF">
        <w:t xml:space="preserve">n New Zealand, following criticisms of the lack of knowledge and its failure to address the impact of colonialism, the </w:t>
      </w:r>
      <w:r w:rsidR="00CB0651">
        <w:t xml:space="preserve">reformed </w:t>
      </w:r>
      <w:r w:rsidR="00374FDF">
        <w:t xml:space="preserve">curriculum is </w:t>
      </w:r>
      <w:r w:rsidR="00CB0651">
        <w:t xml:space="preserve">now </w:t>
      </w:r>
      <w:r w:rsidR="00374FDF">
        <w:t xml:space="preserve">being </w:t>
      </w:r>
      <w:r w:rsidR="005C0C2C">
        <w:t>‘refreshed’</w:t>
      </w:r>
      <w:r w:rsidR="00CB0651">
        <w:t xml:space="preserve">, with </w:t>
      </w:r>
      <w:r w:rsidR="00374FDF">
        <w:t xml:space="preserve">a return to </w:t>
      </w:r>
      <w:r w:rsidR="00CB0651">
        <w:t>greater prescription</w:t>
      </w:r>
      <w:r w:rsidR="00374FDF">
        <w:t xml:space="preserve"> </w:t>
      </w:r>
      <w:sdt>
        <w:sdtPr>
          <w:id w:val="1231819735"/>
          <w:citation/>
        </w:sdtPr>
        <w:sdtContent>
          <w:r w:rsidR="00374FDF">
            <w:fldChar w:fldCharType="begin"/>
          </w:r>
          <w:r w:rsidR="00374FDF">
            <w:instrText xml:space="preserve"> CITATION Hug22 \l 2057 </w:instrText>
          </w:r>
          <w:r w:rsidR="00374FDF">
            <w:fldChar w:fldCharType="separate"/>
          </w:r>
          <w:r w:rsidR="00374FDF">
            <w:rPr>
              <w:noProof/>
            </w:rPr>
            <w:t xml:space="preserve"> (Hughson, 2022)</w:t>
          </w:r>
          <w:r w:rsidR="00374FDF">
            <w:fldChar w:fldCharType="end"/>
          </w:r>
        </w:sdtContent>
      </w:sdt>
      <w:r w:rsidR="00374FDF">
        <w:t>.  It is clear from international comparisons, that implementing a purpose driven curriculum, based on subsidiarity and teacher autonomy is a complex process (Sin</w:t>
      </w:r>
      <w:r w:rsidR="0024706D">
        <w:t>n</w:t>
      </w:r>
      <w:r w:rsidR="00374FDF">
        <w:t xml:space="preserve">ema, 2020).  </w:t>
      </w:r>
    </w:p>
    <w:p w14:paraId="09C3B2FE" w14:textId="0FA16A1D" w:rsidR="00A248DB" w:rsidRDefault="00AE5F36" w:rsidP="00A248DB">
      <w:pPr>
        <w:jc w:val="both"/>
      </w:pPr>
      <w:r>
        <w:t xml:space="preserve">Evans (2022) notes that </w:t>
      </w:r>
      <w:r w:rsidR="00A248DB">
        <w:t>implementing</w:t>
      </w:r>
      <w:r>
        <w:t xml:space="preserve"> the </w:t>
      </w:r>
      <w:r w:rsidR="001A6BAE">
        <w:t xml:space="preserve">curriculum </w:t>
      </w:r>
      <w:r>
        <w:t>is “</w:t>
      </w:r>
      <w:r w:rsidRPr="00AE5F36">
        <w:t>almost entirely reliant on the capacity and capability of teachers</w:t>
      </w:r>
      <w:r>
        <w:t>”</w:t>
      </w:r>
      <w:r w:rsidR="00A248DB">
        <w:t xml:space="preserve">, </w:t>
      </w:r>
      <w:r w:rsidR="00CB0651">
        <w:t>recognising their</w:t>
      </w:r>
      <w:r w:rsidRPr="00AE5F36">
        <w:t xml:space="preserve"> </w:t>
      </w:r>
      <w:r w:rsidR="00A248DB">
        <w:t>PL</w:t>
      </w:r>
      <w:r w:rsidR="001A6BAE" w:rsidRPr="00B54D66">
        <w:t xml:space="preserve"> as cr</w:t>
      </w:r>
      <w:r w:rsidR="00CB0651">
        <w:t>itical</w:t>
      </w:r>
      <w:r w:rsidR="00A248DB">
        <w:t xml:space="preserve">.  </w:t>
      </w:r>
      <w:r w:rsidR="00CB0651">
        <w:t xml:space="preserve"> </w:t>
      </w:r>
      <w:r>
        <w:t xml:space="preserve">In ‘Education in Wales: Our national mission’, the role of PL was highlighted in achieving the first enabling objective of “developing a high-quality education profession” (Welsh Government, 2017).  The National approach to PL (NAPL) was launched in 2018, and provides a vision of the entitlement and nature of PL at school, national and regional context.   In addition, the provision of a National PL programme supporting the CfW, delivered by Regional Consortia, demonstrated the priority given to supporting the profession </w:t>
      </w:r>
      <w:r w:rsidR="00E164C6">
        <w:t xml:space="preserve">with PL </w:t>
      </w:r>
      <w:r>
        <w:t xml:space="preserve">to implement the curriculum. </w:t>
      </w:r>
    </w:p>
    <w:p w14:paraId="6AD48ECE" w14:textId="43EB42A1" w:rsidR="00A248DB" w:rsidRDefault="005C0C2C" w:rsidP="00AE5F36">
      <w:pPr>
        <w:jc w:val="both"/>
      </w:pPr>
      <w:r>
        <w:t>However</w:t>
      </w:r>
      <w:r w:rsidR="00A248DB">
        <w:t xml:space="preserve">, </w:t>
      </w:r>
      <w:r>
        <w:t>c</w:t>
      </w:r>
      <w:r w:rsidR="00A248DB">
        <w:t xml:space="preserve">ovid 19 added </w:t>
      </w:r>
      <w:r>
        <w:t>significant</w:t>
      </w:r>
      <w:r w:rsidR="00A248DB">
        <w:t xml:space="preserve"> challenge to the implementation of the curriculum, and led to calls for CfW to be delayed. These calls were supported by evidence from a National Association of Headteachers (NAHT) survey, which noted that </w:t>
      </w:r>
      <w:r w:rsidR="00E164C6">
        <w:t xml:space="preserve">whilst most respondents had participated in PL </w:t>
      </w:r>
      <w:r w:rsidR="00CD3B92">
        <w:t xml:space="preserve"> </w:t>
      </w:r>
      <w:r w:rsidR="00A248DB">
        <w:t xml:space="preserve">“a third </w:t>
      </w:r>
      <w:r w:rsidR="00A248DB" w:rsidRPr="001523E9">
        <w:t xml:space="preserve">of respondents feel their staff are not very or not at all prepared to implement the new </w:t>
      </w:r>
      <w:r w:rsidR="00A248DB" w:rsidRPr="00444E5E">
        <w:t xml:space="preserve">curriculum” </w:t>
      </w:r>
      <w:r w:rsidR="00A248DB" w:rsidRPr="00444E5E">
        <w:rPr>
          <w:noProof/>
        </w:rPr>
        <w:t>(NAHT, 2021</w:t>
      </w:r>
      <w:r w:rsidR="00A248DB">
        <w:rPr>
          <w:noProof/>
        </w:rPr>
        <w:t>)</w:t>
      </w:r>
      <w:r w:rsidR="00A248DB">
        <w:t xml:space="preserve">.  However, </w:t>
      </w:r>
      <w:r>
        <w:t>despite these calls,</w:t>
      </w:r>
      <w:r w:rsidR="00A248DB">
        <w:t xml:space="preserve"> the timeline for implementation was </w:t>
      </w:r>
      <w:r>
        <w:t xml:space="preserve">largely </w:t>
      </w:r>
      <w:r w:rsidR="00A248DB">
        <w:t xml:space="preserve">maintained </w:t>
      </w:r>
      <w:sdt>
        <w:sdtPr>
          <w:id w:val="-99493827"/>
          <w:citation/>
        </w:sdtPr>
        <w:sdtContent>
          <w:r w:rsidR="00A248DB">
            <w:fldChar w:fldCharType="begin"/>
          </w:r>
          <w:r w:rsidR="00A248DB">
            <w:instrText xml:space="preserve"> CITATION Mil21 \l 2057 </w:instrText>
          </w:r>
          <w:r w:rsidR="00A248DB">
            <w:fldChar w:fldCharType="separate"/>
          </w:r>
          <w:r w:rsidR="00A248DB">
            <w:rPr>
              <w:noProof/>
            </w:rPr>
            <w:t>(Miles, 2021)</w:t>
          </w:r>
          <w:r w:rsidR="00A248DB">
            <w:fldChar w:fldCharType="end"/>
          </w:r>
        </w:sdtContent>
      </w:sdt>
      <w:r w:rsidR="00A248DB">
        <w:t xml:space="preserve">.  </w:t>
      </w:r>
    </w:p>
    <w:p w14:paraId="18480EAB" w14:textId="6ADE3343" w:rsidR="00AE5F36" w:rsidRPr="008A5CC5" w:rsidRDefault="00AE5F36" w:rsidP="00AE5F36">
      <w:pPr>
        <w:jc w:val="both"/>
      </w:pPr>
      <w:r>
        <w:lastRenderedPageBreak/>
        <w:t xml:space="preserve">Significant investment of time and money has therefore been made in Wales to the provision of PL for teachers to implement the CfW. </w:t>
      </w:r>
      <w:r w:rsidR="00E164C6">
        <w:t xml:space="preserve"> </w:t>
      </w:r>
      <w:r>
        <w:t xml:space="preserve">This provision has been influenced by research on what </w:t>
      </w:r>
      <w:r w:rsidR="00E164C6">
        <w:t>P</w:t>
      </w:r>
      <w:r w:rsidR="00552AA5">
        <w:t>L</w:t>
      </w:r>
      <w:r w:rsidR="00E164C6">
        <w:t xml:space="preserve"> is and what </w:t>
      </w:r>
      <w:r>
        <w:t>works well in PL design, and research about impactful PL</w:t>
      </w:r>
      <w:r w:rsidR="00E164C6">
        <w:t xml:space="preserve">, which is the focus of the next </w:t>
      </w:r>
      <w:r>
        <w:t xml:space="preserve">section of this chapter. </w:t>
      </w:r>
    </w:p>
    <w:p w14:paraId="5A508D7C" w14:textId="4AFC83C9" w:rsidR="004E0A9E" w:rsidRPr="00481171" w:rsidRDefault="003A14AF" w:rsidP="00481171">
      <w:pPr>
        <w:jc w:val="both"/>
        <w:rPr>
          <w:b/>
          <w:bCs/>
        </w:rPr>
      </w:pPr>
      <w:r>
        <w:rPr>
          <w:b/>
          <w:bCs/>
        </w:rPr>
        <w:t xml:space="preserve">b. </w:t>
      </w:r>
      <w:r w:rsidR="005843FE">
        <w:rPr>
          <w:b/>
          <w:bCs/>
        </w:rPr>
        <w:t>PL</w:t>
      </w:r>
      <w:r w:rsidR="005E34C6">
        <w:rPr>
          <w:b/>
          <w:bCs/>
        </w:rPr>
        <w:t xml:space="preserve"> </w:t>
      </w:r>
      <w:r>
        <w:rPr>
          <w:b/>
          <w:bCs/>
        </w:rPr>
        <w:t xml:space="preserve">and </w:t>
      </w:r>
      <w:r w:rsidR="005E34C6">
        <w:rPr>
          <w:b/>
          <w:bCs/>
        </w:rPr>
        <w:t xml:space="preserve">professional </w:t>
      </w:r>
      <w:r>
        <w:rPr>
          <w:b/>
          <w:bCs/>
        </w:rPr>
        <w:t>devel</w:t>
      </w:r>
      <w:r w:rsidR="00B86830">
        <w:rPr>
          <w:b/>
          <w:bCs/>
        </w:rPr>
        <w:t>o</w:t>
      </w:r>
      <w:r>
        <w:rPr>
          <w:b/>
          <w:bCs/>
        </w:rPr>
        <w:t>pment</w:t>
      </w:r>
      <w:r w:rsidR="005661E1">
        <w:rPr>
          <w:b/>
          <w:bCs/>
        </w:rPr>
        <w:t xml:space="preserve"> </w:t>
      </w:r>
    </w:p>
    <w:p w14:paraId="74B534A2" w14:textId="4CDD078D" w:rsidR="001A6BAE" w:rsidRPr="00314C6C" w:rsidRDefault="00491904" w:rsidP="00481171">
      <w:pPr>
        <w:jc w:val="both"/>
        <w:rPr>
          <w:rFonts w:cstheme="minorHAnsi"/>
        </w:rPr>
      </w:pPr>
      <w:r>
        <w:t>PL</w:t>
      </w:r>
      <w:r w:rsidR="00575F93">
        <w:t xml:space="preserve"> is a relatively new term, increasing used in</w:t>
      </w:r>
      <w:r w:rsidR="001A6BAE">
        <w:t xml:space="preserve">terchangeably with </w:t>
      </w:r>
      <w:r w:rsidR="00575F93">
        <w:t>terms such as professional development</w:t>
      </w:r>
      <w:r w:rsidR="005661E1">
        <w:t xml:space="preserve"> </w:t>
      </w:r>
      <w:r w:rsidR="00C37CFE">
        <w:t>(</w:t>
      </w:r>
      <w:r w:rsidR="00575F93">
        <w:t xml:space="preserve">PD), continuing professional development (CPD), and  training.  </w:t>
      </w:r>
      <w:r w:rsidR="001A6BAE">
        <w:t xml:space="preserve"> </w:t>
      </w:r>
      <w:r w:rsidR="00314C6C">
        <w:t>The OECD define PL as learning that is regular and integrated into a teachers practice and school life, involving teachers as active and reflective professionals, following a process embedded in a specific context that allows the teachers to respond to learner needs,  with a strong focus on evaluation</w:t>
      </w:r>
      <w:r w:rsidR="00CD3B92">
        <w:t xml:space="preserve">, </w:t>
      </w:r>
      <w:r w:rsidR="00314C6C">
        <w:t xml:space="preserve">leading to </w:t>
      </w:r>
      <w:r w:rsidR="00314C6C" w:rsidRPr="008171E2">
        <w:t>change in teachers’ knowledge agency, capacity beliefs or practice (OECD, 2021)</w:t>
      </w:r>
      <w:r w:rsidR="00314C6C">
        <w:rPr>
          <w:rFonts w:cstheme="minorHAnsi"/>
        </w:rPr>
        <w:t xml:space="preserve">.  Definitions of PD are often similar, but with PD being seen more often as relating to specific events, courses or programmes that teachers engage with. </w:t>
      </w:r>
      <w:r w:rsidR="00314C6C">
        <w:t xml:space="preserve"> Easton (2008) differentiat</w:t>
      </w:r>
      <w:r w:rsidR="00E92671">
        <w:t>es</w:t>
      </w:r>
      <w:r w:rsidR="00314C6C">
        <w:t xml:space="preserve"> PL and PD, seeing PL as honouring the professionalism of the teachers, and being a long term and continual process. </w:t>
      </w:r>
    </w:p>
    <w:p w14:paraId="73200A2A" w14:textId="67252E26" w:rsidR="00575F93" w:rsidRPr="003A14AF" w:rsidRDefault="00E92671" w:rsidP="00481171">
      <w:pPr>
        <w:jc w:val="both"/>
      </w:pPr>
      <w:r>
        <w:t>The increased use of the phrase PL in Wales</w:t>
      </w:r>
      <w:r w:rsidR="00314C6C">
        <w:t xml:space="preserve"> rather than PD or training</w:t>
      </w:r>
      <w:r>
        <w:t>,</w:t>
      </w:r>
      <w:r w:rsidR="00314C6C">
        <w:t xml:space="preserve"> partly </w:t>
      </w:r>
      <w:r w:rsidR="00575F93">
        <w:t xml:space="preserve">reflects </w:t>
      </w:r>
      <w:r w:rsidR="00314C6C">
        <w:t xml:space="preserve">the </w:t>
      </w:r>
      <w:r w:rsidR="00575F93">
        <w:t>development in</w:t>
      </w:r>
      <w:r w:rsidR="00314C6C">
        <w:t xml:space="preserve"> policy towards greater collaboration and agency for teachers</w:t>
      </w:r>
      <w:r w:rsidR="00CD3B92">
        <w:t xml:space="preserve">. </w:t>
      </w:r>
      <w:r w:rsidR="00314C6C">
        <w:t xml:space="preserve">It also marks a shift in thinking about professionalism, moving away from notions of </w:t>
      </w:r>
      <w:r w:rsidR="009977E4">
        <w:t>teachers lack</w:t>
      </w:r>
      <w:r w:rsidR="00314C6C">
        <w:t>ing</w:t>
      </w:r>
      <w:r w:rsidR="009977E4">
        <w:t xml:space="preserve"> certain skills or knowledge,</w:t>
      </w:r>
      <w:r w:rsidR="00314C6C">
        <w:t xml:space="preserve"> that </w:t>
      </w:r>
      <w:r w:rsidR="009977E4">
        <w:t xml:space="preserve">a programme or ‘course’, led by experts would provide </w:t>
      </w:r>
      <w:r w:rsidR="00314C6C">
        <w:t>for them</w:t>
      </w:r>
      <w:r w:rsidR="009977E4">
        <w:t xml:space="preserve"> </w:t>
      </w:r>
      <w:r w:rsidR="009977E4" w:rsidRPr="00843A81">
        <w:t>(Clarke &amp; Hollingsworth, 2002)</w:t>
      </w:r>
      <w:r w:rsidR="009977E4" w:rsidRPr="009B4E5D">
        <w:t xml:space="preserve">. </w:t>
      </w:r>
      <w:r w:rsidR="009977E4">
        <w:t xml:space="preserve"> </w:t>
      </w:r>
      <w:r w:rsidR="009977E4" w:rsidRPr="009B4E5D">
        <w:t>This</w:t>
      </w:r>
      <w:r w:rsidR="009977E4">
        <w:t xml:space="preserve"> “</w:t>
      </w:r>
      <w:r>
        <w:t>s</w:t>
      </w:r>
      <w:r w:rsidR="009977E4">
        <w:t>heep-dip”</w:t>
      </w:r>
      <w:sdt>
        <w:sdtPr>
          <w:id w:val="488910255"/>
          <w:citation/>
        </w:sdtPr>
        <w:sdtContent>
          <w:r w:rsidR="009977E4">
            <w:fldChar w:fldCharType="begin"/>
          </w:r>
          <w:r w:rsidR="009977E4">
            <w:instrText xml:space="preserve"> CITATION Sca11 \l 2057 </w:instrText>
          </w:r>
          <w:r w:rsidR="009977E4">
            <w:fldChar w:fldCharType="separate"/>
          </w:r>
          <w:r w:rsidR="009977E4">
            <w:rPr>
              <w:noProof/>
            </w:rPr>
            <w:t xml:space="preserve"> (Scales, et al., 2011)</w:t>
          </w:r>
          <w:r w:rsidR="009977E4">
            <w:fldChar w:fldCharType="end"/>
          </w:r>
        </w:sdtContent>
      </w:sdt>
      <w:r w:rsidR="007D3801">
        <w:t>,</w:t>
      </w:r>
      <w:r w:rsidR="009977E4">
        <w:t xml:space="preserve">  </w:t>
      </w:r>
      <w:r>
        <w:t xml:space="preserve">PD </w:t>
      </w:r>
      <w:r w:rsidR="009977E4">
        <w:t xml:space="preserve">approach often implied </w:t>
      </w:r>
      <w:r>
        <w:t xml:space="preserve"> deficit model</w:t>
      </w:r>
      <w:r w:rsidR="009977E4">
        <w:t>,</w:t>
      </w:r>
      <w:r>
        <w:t xml:space="preserve"> with training that was </w:t>
      </w:r>
      <w:r w:rsidR="009977E4">
        <w:t xml:space="preserve"> detached from everyday practice and challenging for teachers to relate to their individual context and practise</w:t>
      </w:r>
      <w:r w:rsidR="009977E4">
        <w:rPr>
          <w:noProof/>
        </w:rPr>
        <w:t xml:space="preserve"> (Timperley, 2011)</w:t>
      </w:r>
      <w:r w:rsidR="009977E4" w:rsidRPr="009B4E5D">
        <w:t>.</w:t>
      </w:r>
      <w:r w:rsidR="009977E4">
        <w:t xml:space="preserve">   </w:t>
      </w:r>
    </w:p>
    <w:p w14:paraId="2FAAD277" w14:textId="261FF808" w:rsidR="00575F93" w:rsidRDefault="00E92671" w:rsidP="00481171">
      <w:pPr>
        <w:jc w:val="both"/>
      </w:pPr>
      <w:r>
        <w:t xml:space="preserve">In this study, the term PL will be defined broadly, and used to define all types of teacher learning experience, including PD type activities. This is because, as the CfW </w:t>
      </w:r>
      <w:r w:rsidR="00575F93">
        <w:t xml:space="preserve">is a significant change, </w:t>
      </w:r>
      <w:r>
        <w:t>the</w:t>
      </w:r>
      <w:r w:rsidR="00CD3B92">
        <w:t xml:space="preserve"> PL provision has been broad ranging, and has included </w:t>
      </w:r>
      <w:r>
        <w:t>formal courses of programmes</w:t>
      </w:r>
      <w:r w:rsidR="00CD3B92">
        <w:t xml:space="preserve">. </w:t>
      </w:r>
    </w:p>
    <w:p w14:paraId="7F24EC03" w14:textId="50FE08B9" w:rsidR="004A1E59" w:rsidRPr="004A1E59" w:rsidRDefault="00FB0E99" w:rsidP="004A1E59">
      <w:pPr>
        <w:jc w:val="both"/>
        <w:rPr>
          <w:b/>
          <w:bCs/>
        </w:rPr>
      </w:pPr>
      <w:r>
        <w:rPr>
          <w:b/>
          <w:bCs/>
        </w:rPr>
        <w:t xml:space="preserve">c. </w:t>
      </w:r>
      <w:r w:rsidR="004A1E59" w:rsidRPr="004A1E59">
        <w:rPr>
          <w:b/>
          <w:bCs/>
        </w:rPr>
        <w:t>Characteristics of impactful PL</w:t>
      </w:r>
    </w:p>
    <w:p w14:paraId="39CEF06F" w14:textId="1449ABC0" w:rsidR="00F261E0" w:rsidRDefault="004A1E59" w:rsidP="002073B2">
      <w:pPr>
        <w:jc w:val="both"/>
      </w:pPr>
      <w:r>
        <w:t xml:space="preserve">International surveys suggest a teacher spends an average of 10.5 days per year engaged in PL </w:t>
      </w:r>
      <w:r w:rsidR="00056171">
        <w:rPr>
          <w:noProof/>
        </w:rPr>
        <w:t>(Sims and Fletcher-Wood, 2021)</w:t>
      </w:r>
      <w:r w:rsidR="00D11D89">
        <w:t xml:space="preserve">, and there is a growing body of evidence that suggests direct link between teacher PL and  improved learner outcomes.  </w:t>
      </w:r>
      <w:r>
        <w:t>For example, it has been suggested that participat</w:t>
      </w:r>
      <w:r w:rsidR="00056171">
        <w:t>ion</w:t>
      </w:r>
      <w:r>
        <w:t xml:space="preserve"> in PL, effect</w:t>
      </w:r>
      <w:r w:rsidR="00056171">
        <w:t>s</w:t>
      </w:r>
      <w:r>
        <w:t xml:space="preserve"> student learning </w:t>
      </w:r>
      <w:r w:rsidR="00056171">
        <w:t>in the same way as</w:t>
      </w:r>
      <w:r>
        <w:t xml:space="preserve"> replacing a novice teacher with a teacher with a decade’s experience </w:t>
      </w:r>
      <w:sdt>
        <w:sdtPr>
          <w:id w:val="-381635369"/>
          <w:citation/>
        </w:sdtPr>
        <w:sdtContent>
          <w:r>
            <w:fldChar w:fldCharType="begin"/>
          </w:r>
          <w:r>
            <w:instrText xml:space="preserve">CITATION Fle20 \l 2057 </w:instrText>
          </w:r>
          <w:r>
            <w:fldChar w:fldCharType="separate"/>
          </w:r>
          <w:r>
            <w:rPr>
              <w:noProof/>
            </w:rPr>
            <w:t>(Fletcher-Wood &amp; Zuccollo, 2020)</w:t>
          </w:r>
          <w:r>
            <w:fldChar w:fldCharType="end"/>
          </w:r>
        </w:sdtContent>
      </w:sdt>
      <w:r>
        <w:t xml:space="preserve">.  </w:t>
      </w:r>
      <w:r w:rsidR="00DE4605">
        <w:t xml:space="preserve"> </w:t>
      </w:r>
    </w:p>
    <w:p w14:paraId="05A4CC43" w14:textId="52203504" w:rsidR="00D11D89" w:rsidRDefault="00D11D89" w:rsidP="001D68AF">
      <w:pPr>
        <w:jc w:val="both"/>
      </w:pPr>
      <w:r>
        <w:t xml:space="preserve">Therefore, research </w:t>
      </w:r>
      <w:r w:rsidR="007C4180">
        <w:t xml:space="preserve">has sought to explore </w:t>
      </w:r>
      <w:r w:rsidR="007C4180" w:rsidRPr="00E92671">
        <w:t xml:space="preserve">what works </w:t>
      </w:r>
      <w:r w:rsidR="007C4180">
        <w:t>and what doesn’t</w:t>
      </w:r>
      <w:r w:rsidR="00056171">
        <w:t xml:space="preserve"> in PL</w:t>
      </w:r>
      <w:r w:rsidR="007C4180">
        <w:t xml:space="preserve">, </w:t>
      </w:r>
      <w:r>
        <w:t>so that</w:t>
      </w:r>
      <w:r w:rsidR="007C4180">
        <w:t xml:space="preserve"> time and money </w:t>
      </w:r>
      <w:r>
        <w:t xml:space="preserve">is </w:t>
      </w:r>
      <w:r w:rsidR="007C4180">
        <w:t>invested wisely.  Mu</w:t>
      </w:r>
      <w:r w:rsidR="003971AD">
        <w:t>c</w:t>
      </w:r>
      <w:r w:rsidR="007C4180">
        <w:t xml:space="preserve">h research has </w:t>
      </w:r>
      <w:r>
        <w:t xml:space="preserve">sought to </w:t>
      </w:r>
      <w:r w:rsidR="007C4180">
        <w:t>identif</w:t>
      </w:r>
      <w:r>
        <w:t>y</w:t>
      </w:r>
      <w:r w:rsidR="007C4180">
        <w:t xml:space="preserve"> key characteristics of effective PL</w:t>
      </w:r>
      <w:r w:rsidR="00056171">
        <w:t>, including an</w:t>
      </w:r>
      <w:r w:rsidR="007C4180">
        <w:t xml:space="preserve"> early review by Timperley et al </w:t>
      </w:r>
      <w:r w:rsidR="00D92271">
        <w:rPr>
          <w:noProof/>
        </w:rPr>
        <w:t>(2007)</w:t>
      </w:r>
      <w:r w:rsidR="007C4180">
        <w:t>, and meta-analyses by Cordingley at al</w:t>
      </w:r>
      <w:r w:rsidR="00C37CFE">
        <w:t>.</w:t>
      </w:r>
      <w:r w:rsidR="007C4180">
        <w:t xml:space="preserve"> (2015)</w:t>
      </w:r>
      <w:r>
        <w:t>, Darling-Hammond</w:t>
      </w:r>
      <w:r w:rsidR="005C0C2C">
        <w:t>, Hyler and Gardner,</w:t>
      </w:r>
      <w:r>
        <w:t xml:space="preserve"> (2017)</w:t>
      </w:r>
      <w:r w:rsidR="005C0C2C">
        <w:t>.</w:t>
      </w:r>
    </w:p>
    <w:p w14:paraId="6CF53922" w14:textId="691C68F4" w:rsidR="00E10C98" w:rsidRDefault="003971AD" w:rsidP="001D68AF">
      <w:pPr>
        <w:jc w:val="both"/>
        <w:rPr>
          <w:noProof/>
        </w:rPr>
      </w:pPr>
      <w:r>
        <w:t xml:space="preserve">For example, </w:t>
      </w:r>
      <w:r w:rsidR="002073B2">
        <w:t>Darling-Hammond</w:t>
      </w:r>
      <w:r w:rsidR="005C0C2C">
        <w:t>, Hyler and Gardner</w:t>
      </w:r>
      <w:r w:rsidR="001D68AF">
        <w:t xml:space="preserve"> </w:t>
      </w:r>
      <w:r w:rsidR="00876CE4">
        <w:t xml:space="preserve">(2017) </w:t>
      </w:r>
      <w:r w:rsidR="001D68AF">
        <w:t>revie</w:t>
      </w:r>
      <w:r w:rsidR="00056171">
        <w:t>wed</w:t>
      </w:r>
      <w:r w:rsidR="001D68AF">
        <w:t xml:space="preserve"> 35 studies </w:t>
      </w:r>
      <w:r w:rsidR="00056171">
        <w:t xml:space="preserve">from </w:t>
      </w:r>
      <w:r w:rsidR="001D68AF">
        <w:t>over 30 years</w:t>
      </w:r>
      <w:r w:rsidR="00056171">
        <w:t>, and</w:t>
      </w:r>
      <w:r w:rsidR="001D68AF">
        <w:t xml:space="preserve"> found</w:t>
      </w:r>
      <w:r w:rsidR="002073B2">
        <w:t xml:space="preserve"> </w:t>
      </w:r>
      <w:r w:rsidR="00D11D89">
        <w:t>that the most impactful PL</w:t>
      </w:r>
      <w:r w:rsidR="001D68AF">
        <w:t xml:space="preserve"> is</w:t>
      </w:r>
      <w:r w:rsidR="00353C86">
        <w:t xml:space="preserve">: </w:t>
      </w:r>
      <w:r w:rsidR="001D68AF">
        <w:t xml:space="preserve"> content focused; incorporates active learning utilizing adult learning theory; supports collaboration, typically in job-embedded contexts; uses models and modelling of effective practice; provides coaching and expert support; offers opportunities for feedback and reflection; and is of sustained duration</w:t>
      </w:r>
      <w:r w:rsidR="002073B2">
        <w:rPr>
          <w:noProof/>
        </w:rPr>
        <w:t xml:space="preserve">. </w:t>
      </w:r>
      <w:r w:rsidR="001D68AF">
        <w:rPr>
          <w:noProof/>
        </w:rPr>
        <w:t xml:space="preserve"> Whilts this study reflects the US context</w:t>
      </w:r>
      <w:r w:rsidR="00256814">
        <w:rPr>
          <w:noProof/>
        </w:rPr>
        <w:t xml:space="preserve">, there is significant agreement </w:t>
      </w:r>
      <w:r w:rsidR="00E10C98">
        <w:rPr>
          <w:noProof/>
        </w:rPr>
        <w:t xml:space="preserve">over </w:t>
      </w:r>
      <w:r w:rsidR="00D11D89">
        <w:rPr>
          <w:noProof/>
        </w:rPr>
        <w:t xml:space="preserve">many of </w:t>
      </w:r>
      <w:r w:rsidR="007F753C">
        <w:rPr>
          <w:noProof/>
        </w:rPr>
        <w:t>these key</w:t>
      </w:r>
      <w:r w:rsidR="00256814">
        <w:rPr>
          <w:noProof/>
        </w:rPr>
        <w:t xml:space="preserve"> features of effective PL</w:t>
      </w:r>
      <w:r w:rsidR="00056171">
        <w:rPr>
          <w:noProof/>
        </w:rPr>
        <w:t xml:space="preserve"> internationally</w:t>
      </w:r>
      <w:r w:rsidR="00256814">
        <w:rPr>
          <w:noProof/>
        </w:rPr>
        <w:t xml:space="preserve"> </w:t>
      </w:r>
      <w:r w:rsidR="001D68AF">
        <w:rPr>
          <w:noProof/>
        </w:rPr>
        <w:t>(Sims and Fletcher-Wood, 2021</w:t>
      </w:r>
      <w:r w:rsidR="00D11D89">
        <w:rPr>
          <w:noProof/>
        </w:rPr>
        <w:t>;</w:t>
      </w:r>
      <w:r w:rsidR="001D68AF">
        <w:rPr>
          <w:noProof/>
        </w:rPr>
        <w:t xml:space="preserve"> Walter &amp; Briggs, 2012; </w:t>
      </w:r>
      <w:r w:rsidR="00D11D89">
        <w:rPr>
          <w:noProof/>
        </w:rPr>
        <w:t xml:space="preserve">and </w:t>
      </w:r>
      <w:r w:rsidR="001D68AF">
        <w:rPr>
          <w:noProof/>
        </w:rPr>
        <w:t xml:space="preserve">Cordingley et al, 2015).  </w:t>
      </w:r>
      <w:r w:rsidR="007D3801">
        <w:rPr>
          <w:noProof/>
        </w:rPr>
        <w:t xml:space="preserve">Sims and Fletcher-Wood (2021) suggest </w:t>
      </w:r>
      <w:r w:rsidR="00037158">
        <w:rPr>
          <w:noProof/>
        </w:rPr>
        <w:t xml:space="preserve">there is </w:t>
      </w:r>
      <w:r w:rsidR="007D3801">
        <w:rPr>
          <w:noProof/>
        </w:rPr>
        <w:t>a conse</w:t>
      </w:r>
      <w:r w:rsidR="005B646C">
        <w:rPr>
          <w:noProof/>
        </w:rPr>
        <w:t>n</w:t>
      </w:r>
      <w:r w:rsidR="007D3801">
        <w:rPr>
          <w:noProof/>
        </w:rPr>
        <w:t xml:space="preserve">sus </w:t>
      </w:r>
      <w:r w:rsidR="00037158">
        <w:rPr>
          <w:noProof/>
        </w:rPr>
        <w:t xml:space="preserve">of opinion in research </w:t>
      </w:r>
      <w:r w:rsidR="007D3801">
        <w:rPr>
          <w:noProof/>
        </w:rPr>
        <w:t xml:space="preserve">over the importance of </w:t>
      </w:r>
      <w:r w:rsidR="00056171">
        <w:rPr>
          <w:noProof/>
        </w:rPr>
        <w:t xml:space="preserve">providing </w:t>
      </w:r>
      <w:r w:rsidR="007D3801">
        <w:rPr>
          <w:noProof/>
        </w:rPr>
        <w:t xml:space="preserve">PL that is </w:t>
      </w:r>
      <w:r w:rsidR="007D3801" w:rsidRPr="007D3801">
        <w:rPr>
          <w:noProof/>
        </w:rPr>
        <w:lastRenderedPageBreak/>
        <w:t>sustained, collaborative, subject specific, draws on external expertise, has buy-in from teachers, and is practice based</w:t>
      </w:r>
      <w:r w:rsidR="007D3801">
        <w:rPr>
          <w:noProof/>
        </w:rPr>
        <w:t xml:space="preserve">.  </w:t>
      </w:r>
      <w:r w:rsidR="00056171">
        <w:rPr>
          <w:noProof/>
        </w:rPr>
        <w:t xml:space="preserve"> </w:t>
      </w:r>
    </w:p>
    <w:p w14:paraId="5753D41D" w14:textId="31F0F514" w:rsidR="00947C49" w:rsidRPr="00947C49" w:rsidRDefault="00947C49" w:rsidP="001D68AF">
      <w:pPr>
        <w:jc w:val="both"/>
        <w:rPr>
          <w:highlight w:val="yellow"/>
        </w:rPr>
      </w:pPr>
      <w:r>
        <w:rPr>
          <w:noProof/>
        </w:rPr>
        <w:t xml:space="preserve">This consensus of research suggests that PL over sustained duration, that </w:t>
      </w:r>
      <w:r w:rsidRPr="00947C49">
        <w:t>provide</w:t>
      </w:r>
      <w:r w:rsidR="00056171">
        <w:t>s</w:t>
      </w:r>
      <w:r w:rsidRPr="00947C49">
        <w:t xml:space="preserve"> structured, frequent opportunities to reflect upon new approaches</w:t>
      </w:r>
      <w:r w:rsidR="00AF6846">
        <w:t xml:space="preserve"> within the specific context of the school</w:t>
      </w:r>
      <w:r w:rsidR="00037158">
        <w:t xml:space="preserve">, </w:t>
      </w:r>
      <w:r w:rsidRPr="00947C49">
        <w:t>is most effective</w:t>
      </w:r>
      <w:r w:rsidR="00AF6846">
        <w:t xml:space="preserve"> (Dunst, Bruder and Hamby, 2015).</w:t>
      </w:r>
      <w:r w:rsidRPr="00947C49">
        <w:t xml:space="preserve">  Within these structured PL opportunities, </w:t>
      </w:r>
      <w:r w:rsidR="00353C86">
        <w:t>p</w:t>
      </w:r>
      <w:r w:rsidRPr="00947C49">
        <w:t>ractitioners shou</w:t>
      </w:r>
      <w:r w:rsidR="00353C86">
        <w:t>ld</w:t>
      </w:r>
      <w:r w:rsidRPr="00947C49">
        <w:t xml:space="preserve"> be encouraged to develop a shared purpose. Indeed,  Cordingley at al</w:t>
      </w:r>
      <w:r w:rsidR="00A5515E">
        <w:t>.,</w:t>
      </w:r>
      <w:r w:rsidRPr="00947C49">
        <w:t xml:space="preserve"> (2015)  found this, as well as the provision of time and an effective learning environment, to be more important than a practitioner’s willingness to undertake the PL in the first place. </w:t>
      </w:r>
      <w:r w:rsidR="00056171">
        <w:t xml:space="preserve"> </w:t>
      </w:r>
    </w:p>
    <w:p w14:paraId="2343612D" w14:textId="04E2223E" w:rsidR="00947C49" w:rsidRDefault="005B646C" w:rsidP="003971AD">
      <w:pPr>
        <w:jc w:val="both"/>
      </w:pPr>
      <w:r>
        <w:t>However, within these broad characteristics of effective PL there are caveats.  For example, Darling-Hammond</w:t>
      </w:r>
      <w:r w:rsidR="00AF6846">
        <w:t>,</w:t>
      </w:r>
      <w:r w:rsidR="00AF6846" w:rsidRPr="00AF6846">
        <w:t xml:space="preserve"> </w:t>
      </w:r>
      <w:r w:rsidR="00AF6846">
        <w:t>Hyler and Gardner</w:t>
      </w:r>
      <w:r>
        <w:t xml:space="preserve"> (2017) noted no standard time for PL duration</w:t>
      </w:r>
      <w:r w:rsidR="00AF6846">
        <w:t xml:space="preserve">. </w:t>
      </w:r>
      <w:r>
        <w:t xml:space="preserve">  Cordingley et al (2015) suggest that effective programmes should last at least 2 terms</w:t>
      </w:r>
      <w:r w:rsidR="00AF6846">
        <w:t xml:space="preserve">, </w:t>
      </w:r>
      <w:r w:rsidR="00A5515E">
        <w:t>but</w:t>
      </w:r>
      <w:r w:rsidR="00056171">
        <w:t xml:space="preserve"> t</w:t>
      </w:r>
      <w:r>
        <w:t xml:space="preserve">hey also suggested that shorter, or even one off PL </w:t>
      </w:r>
      <w:r w:rsidR="00056171">
        <w:t>can hav</w:t>
      </w:r>
      <w:r>
        <w:t>e impact</w:t>
      </w:r>
      <w:r w:rsidR="00056171">
        <w:t xml:space="preserve"> </w:t>
      </w:r>
      <w:r>
        <w:t>within a narrowly defined area, such as spelling.  Therefor</w:t>
      </w:r>
      <w:r w:rsidR="00353C86">
        <w:t>e</w:t>
      </w:r>
      <w:r w:rsidR="00056171">
        <w:t>,</w:t>
      </w:r>
      <w:r>
        <w:t xml:space="preserve"> applying these broad characteristics to specific PL design requires caution</w:t>
      </w:r>
      <w:r w:rsidR="00353C86">
        <w:t xml:space="preserve">, particularly in </w:t>
      </w:r>
      <w:r w:rsidR="00056171">
        <w:t xml:space="preserve">the </w:t>
      </w:r>
      <w:r w:rsidR="00353C86">
        <w:t>W</w:t>
      </w:r>
      <w:r w:rsidR="00056171">
        <w:t>elsh context</w:t>
      </w:r>
      <w:r w:rsidR="00353C86">
        <w:t>, where a broad range</w:t>
      </w:r>
      <w:r w:rsidR="00056171">
        <w:t>,</w:t>
      </w:r>
      <w:r w:rsidR="00353C86">
        <w:t xml:space="preserve"> of </w:t>
      </w:r>
      <w:r w:rsidR="00056171">
        <w:t>curriculum focused PL</w:t>
      </w:r>
      <w:r w:rsidR="00353C86">
        <w:t xml:space="preserve"> is required.  Indeed, the evidence of effective PL relies on </w:t>
      </w:r>
      <w:r w:rsidR="00056171">
        <w:t>evidence from PL programmes that are often pedagogy focused, with evaluation of impact</w:t>
      </w:r>
      <w:r w:rsidR="00353C86">
        <w:t xml:space="preserve"> linked to </w:t>
      </w:r>
      <w:r w:rsidR="00947C49">
        <w:rPr>
          <w:noProof/>
        </w:rPr>
        <w:t>student acheivement in standardised tests within largely English and international contexts</w:t>
      </w:r>
      <w:r w:rsidR="00056171">
        <w:rPr>
          <w:noProof/>
        </w:rPr>
        <w:t xml:space="preserve">. Therefore their </w:t>
      </w:r>
      <w:r w:rsidR="00353C86">
        <w:rPr>
          <w:noProof/>
        </w:rPr>
        <w:t xml:space="preserve">applicability </w:t>
      </w:r>
      <w:r w:rsidR="00056171">
        <w:rPr>
          <w:noProof/>
        </w:rPr>
        <w:t xml:space="preserve">to PL focused on curriculum design and implementation in Wales, is not clear. </w:t>
      </w:r>
    </w:p>
    <w:p w14:paraId="13075585" w14:textId="492CAE58" w:rsidR="00947C49" w:rsidRDefault="00947C49" w:rsidP="003971AD">
      <w:pPr>
        <w:jc w:val="both"/>
        <w:rPr>
          <w:noProof/>
        </w:rPr>
      </w:pPr>
      <w:r>
        <w:rPr>
          <w:noProof/>
        </w:rPr>
        <w:t xml:space="preserve">In addition, evaluations of the impact of specific PL programmes that have beed designed using  the key </w:t>
      </w:r>
      <w:r w:rsidR="00037158">
        <w:rPr>
          <w:noProof/>
        </w:rPr>
        <w:t>characteristics</w:t>
      </w:r>
      <w:r>
        <w:rPr>
          <w:noProof/>
        </w:rPr>
        <w:t xml:space="preserve"> cited above</w:t>
      </w:r>
      <w:r w:rsidR="00037158">
        <w:rPr>
          <w:noProof/>
        </w:rPr>
        <w:t>,</w:t>
      </w:r>
      <w:r>
        <w:rPr>
          <w:noProof/>
        </w:rPr>
        <w:t xml:space="preserve"> recorded limited or no positive impact </w:t>
      </w:r>
      <w:sdt>
        <w:sdtPr>
          <w:rPr>
            <w:noProof/>
          </w:rPr>
          <w:id w:val="1471395855"/>
          <w:citation/>
        </w:sdtPr>
        <w:sdtContent>
          <w:r>
            <w:rPr>
              <w:noProof/>
            </w:rPr>
            <w:fldChar w:fldCharType="begin"/>
          </w:r>
          <w:r>
            <w:rPr>
              <w:noProof/>
            </w:rPr>
            <w:instrText xml:space="preserve">CITATION Jac17 \l 2057 </w:instrText>
          </w:r>
          <w:r>
            <w:rPr>
              <w:noProof/>
            </w:rPr>
            <w:fldChar w:fldCharType="separate"/>
          </w:r>
          <w:r>
            <w:rPr>
              <w:noProof/>
            </w:rPr>
            <w:t>(Jacob, Hill, &amp; Corey, 2017)</w:t>
          </w:r>
          <w:r>
            <w:rPr>
              <w:noProof/>
            </w:rPr>
            <w:fldChar w:fldCharType="end"/>
          </w:r>
        </w:sdtContent>
      </w:sdt>
      <w:r>
        <w:rPr>
          <w:noProof/>
        </w:rPr>
        <w:t xml:space="preserve">.  Sims and Fletcher-Wood (2021) have gone further and concluded that this consensus of opinion on effective PL is based on unreliable evidence, inappropriate inclusion criteria, and flawed inference methodologies. </w:t>
      </w:r>
    </w:p>
    <w:p w14:paraId="71490ED6" w14:textId="045C2651" w:rsidR="00BE6B85" w:rsidRDefault="00037158" w:rsidP="00481171">
      <w:pPr>
        <w:jc w:val="both"/>
        <w:rPr>
          <w:noProof/>
        </w:rPr>
      </w:pPr>
      <w:r>
        <w:rPr>
          <w:noProof/>
        </w:rPr>
        <w:t xml:space="preserve">Instead, </w:t>
      </w:r>
      <w:r w:rsidR="00947C49">
        <w:rPr>
          <w:noProof/>
        </w:rPr>
        <w:t xml:space="preserve">Sims and Fletcher-Wood (2021) and Sims et al. (2021) suggest instead that research should focus more on specific forms and mechanisms of PL. </w:t>
      </w:r>
      <w:r w:rsidR="00353C86">
        <w:rPr>
          <w:noProof/>
        </w:rPr>
        <w:t xml:space="preserve"> They identify 14 mechanisms </w:t>
      </w:r>
      <w:r w:rsidR="00065659">
        <w:rPr>
          <w:noProof/>
        </w:rPr>
        <w:t xml:space="preserve">within PL, </w:t>
      </w:r>
      <w:r w:rsidR="00353C86">
        <w:rPr>
          <w:noProof/>
        </w:rPr>
        <w:t>grouped around a model</w:t>
      </w:r>
      <w:r>
        <w:rPr>
          <w:noProof/>
        </w:rPr>
        <w:t xml:space="preserve"> where</w:t>
      </w:r>
      <w:r w:rsidR="00064AEF">
        <w:rPr>
          <w:noProof/>
        </w:rPr>
        <w:t xml:space="preserve"> teachers</w:t>
      </w:r>
      <w:r>
        <w:rPr>
          <w:noProof/>
        </w:rPr>
        <w:t>:</w:t>
      </w:r>
      <w:r w:rsidR="00064AEF">
        <w:rPr>
          <w:noProof/>
        </w:rPr>
        <w:t xml:space="preserve"> gain new insights</w:t>
      </w:r>
      <w:r>
        <w:rPr>
          <w:noProof/>
        </w:rPr>
        <w:t>;</w:t>
      </w:r>
      <w:r w:rsidR="00064AEF">
        <w:rPr>
          <w:noProof/>
        </w:rPr>
        <w:t xml:space="preserve"> pursue goal-directed </w:t>
      </w:r>
      <w:r w:rsidR="00AF6846">
        <w:rPr>
          <w:noProof/>
        </w:rPr>
        <w:t>behaviours</w:t>
      </w:r>
      <w:r>
        <w:rPr>
          <w:noProof/>
        </w:rPr>
        <w:t>;</w:t>
      </w:r>
      <w:r w:rsidR="00064AEF">
        <w:rPr>
          <w:noProof/>
        </w:rPr>
        <w:t xml:space="preserve"> acquire new skills and embed change into practice. </w:t>
      </w:r>
      <w:r>
        <w:rPr>
          <w:noProof/>
        </w:rPr>
        <w:t xml:space="preserve"> </w:t>
      </w:r>
      <w:r w:rsidR="00064AEF">
        <w:rPr>
          <w:noProof/>
        </w:rPr>
        <w:t>Their research concluded that the more mechani</w:t>
      </w:r>
      <w:r>
        <w:rPr>
          <w:noProof/>
        </w:rPr>
        <w:t>sms</w:t>
      </w:r>
      <w:r w:rsidR="00064AEF">
        <w:rPr>
          <w:noProof/>
        </w:rPr>
        <w:t xml:space="preserve"> that were included in the PL, the more impactful it was, and PL that did not address </w:t>
      </w:r>
      <w:r w:rsidR="00065659">
        <w:rPr>
          <w:noProof/>
        </w:rPr>
        <w:t xml:space="preserve">all </w:t>
      </w:r>
      <w:r w:rsidR="00064AEF">
        <w:rPr>
          <w:noProof/>
        </w:rPr>
        <w:t>four aspects of the model</w:t>
      </w:r>
      <w:r w:rsidR="00065659">
        <w:rPr>
          <w:noProof/>
        </w:rPr>
        <w:t xml:space="preserve"> was less </w:t>
      </w:r>
      <w:r w:rsidR="00AF6846">
        <w:rPr>
          <w:noProof/>
        </w:rPr>
        <w:t>effective</w:t>
      </w:r>
      <w:r w:rsidR="00064AEF">
        <w:rPr>
          <w:noProof/>
        </w:rPr>
        <w:t>.  This research suggests mechanis</w:t>
      </w:r>
      <w:r>
        <w:rPr>
          <w:noProof/>
        </w:rPr>
        <w:t>ms</w:t>
      </w:r>
      <w:r w:rsidR="00064AEF">
        <w:rPr>
          <w:noProof/>
        </w:rPr>
        <w:t xml:space="preserve"> such as </w:t>
      </w:r>
      <w:r w:rsidR="00065659">
        <w:rPr>
          <w:noProof/>
        </w:rPr>
        <w:t xml:space="preserve">revisiting prior learning, goal setting, feedback and action planning </w:t>
      </w:r>
      <w:r>
        <w:rPr>
          <w:noProof/>
        </w:rPr>
        <w:t>are important in PL design and that designing PL to include specific mechanisms</w:t>
      </w:r>
      <w:r w:rsidR="00F0324A">
        <w:t xml:space="preserve"> </w:t>
      </w:r>
      <w:r>
        <w:t>is</w:t>
      </w:r>
      <w:r w:rsidR="00F0324A">
        <w:t xml:space="preserve"> more impactful than the overarching characteristics of the PL itself.</w:t>
      </w:r>
      <w:r w:rsidR="00F0324A" w:rsidRPr="00F0324A">
        <w:t xml:space="preserve"> </w:t>
      </w:r>
      <w:r w:rsidR="00F0324A">
        <w:t xml:space="preserve">A similar view can be seen in the  </w:t>
      </w:r>
      <w:r w:rsidR="00F0324A" w:rsidRPr="008171E2">
        <w:t>Education Endowment Foundation</w:t>
      </w:r>
      <w:r w:rsidR="00F0324A">
        <w:t xml:space="preserve"> (EEF)</w:t>
      </w:r>
      <w:r w:rsidR="00F0324A" w:rsidRPr="008171E2">
        <w:t xml:space="preserve"> report (2021), </w:t>
      </w:r>
      <w:r w:rsidR="00F0324A">
        <w:t xml:space="preserve">which </w:t>
      </w:r>
      <w:r w:rsidR="00F0324A" w:rsidRPr="008171E2">
        <w:t>recommen</w:t>
      </w:r>
      <w:r w:rsidR="00F0324A">
        <w:t>ds</w:t>
      </w:r>
      <w:r w:rsidR="00F0324A" w:rsidRPr="008171E2">
        <w:t xml:space="preserve"> that </w:t>
      </w:r>
      <w:r w:rsidR="00F0324A">
        <w:t>PL</w:t>
      </w:r>
      <w:r w:rsidR="00F0324A" w:rsidRPr="008171E2">
        <w:t xml:space="preserve"> </w:t>
      </w:r>
      <w:r w:rsidR="00F0324A">
        <w:t xml:space="preserve">includes </w:t>
      </w:r>
      <w:r w:rsidR="00F0324A" w:rsidRPr="008171E2">
        <w:t>mechanisms such as revisiting prior learning, and action planning.</w:t>
      </w:r>
      <w:r w:rsidR="00F0324A">
        <w:t xml:space="preserve"> </w:t>
      </w:r>
      <w:r w:rsidR="00F0324A">
        <w:rPr>
          <w:noProof/>
        </w:rPr>
        <w:t xml:space="preserve"> </w:t>
      </w:r>
      <w:r w:rsidR="00852C1B">
        <w:rPr>
          <w:noProof/>
        </w:rPr>
        <w:t xml:space="preserve">Wales Centre for Public Policy </w:t>
      </w:r>
      <w:r w:rsidR="00AE5595">
        <w:rPr>
          <w:noProof/>
        </w:rPr>
        <w:t>(</w:t>
      </w:r>
      <w:r w:rsidR="00852C1B">
        <w:rPr>
          <w:noProof/>
        </w:rPr>
        <w:t>2022)</w:t>
      </w:r>
      <w:r w:rsidR="002A5E94">
        <w:t xml:space="preserve">, </w:t>
      </w:r>
      <w:r w:rsidR="00947C49">
        <w:t xml:space="preserve">has also supported this </w:t>
      </w:r>
      <w:r w:rsidR="00F0324A">
        <w:t xml:space="preserve">work, suggesting PL such as </w:t>
      </w:r>
      <w:r w:rsidR="00065659">
        <w:t xml:space="preserve">instructional coaching, which can embed </w:t>
      </w:r>
      <w:r w:rsidR="00AF6846">
        <w:t xml:space="preserve">these </w:t>
      </w:r>
      <w:r w:rsidR="00065659">
        <w:t xml:space="preserve">mechanisms </w:t>
      </w:r>
      <w:r w:rsidR="00F0324A">
        <w:t xml:space="preserve">within PL design. </w:t>
      </w:r>
      <w:r w:rsidR="00065659">
        <w:t xml:space="preserve"> </w:t>
      </w:r>
      <w:r w:rsidR="00F0324A">
        <w:t>However, as yet</w:t>
      </w:r>
      <w:r w:rsidR="00AF6846">
        <w:t>,</w:t>
      </w:r>
      <w:r w:rsidR="00F0324A">
        <w:t xml:space="preserve"> this research has not led to formal policy changes within Wales.  Welsh PL approaches will be discussed in the next section of this chapter. </w:t>
      </w:r>
    </w:p>
    <w:p w14:paraId="6F74ADC4" w14:textId="5FCCBFEB" w:rsidR="003A14AF" w:rsidRPr="00481171" w:rsidRDefault="00F23ADB" w:rsidP="00481171">
      <w:pPr>
        <w:jc w:val="both"/>
        <w:rPr>
          <w:b/>
          <w:bCs/>
        </w:rPr>
      </w:pPr>
      <w:r>
        <w:rPr>
          <w:b/>
          <w:bCs/>
        </w:rPr>
        <w:t>d</w:t>
      </w:r>
      <w:r w:rsidR="00FB0E99">
        <w:rPr>
          <w:b/>
          <w:bCs/>
        </w:rPr>
        <w:t xml:space="preserve">. </w:t>
      </w:r>
      <w:r w:rsidR="003A14AF" w:rsidRPr="003A14AF">
        <w:rPr>
          <w:b/>
          <w:bCs/>
        </w:rPr>
        <w:t>The Welsh</w:t>
      </w:r>
      <w:r w:rsidR="00F03E27">
        <w:rPr>
          <w:b/>
          <w:bCs/>
        </w:rPr>
        <w:t xml:space="preserve"> approach to </w:t>
      </w:r>
      <w:r w:rsidR="00FB0E99">
        <w:rPr>
          <w:b/>
          <w:bCs/>
        </w:rPr>
        <w:t>PL</w:t>
      </w:r>
    </w:p>
    <w:p w14:paraId="7B595542" w14:textId="729F1EF8" w:rsidR="002234BC" w:rsidRDefault="00212829" w:rsidP="00481171">
      <w:pPr>
        <w:jc w:val="both"/>
      </w:pPr>
      <w:r>
        <w:t>The CfW was published in 2020, and passed into legislation in 2021</w:t>
      </w:r>
      <w:r w:rsidR="0009628E">
        <w:t xml:space="preserve"> and as noted above, th</w:t>
      </w:r>
      <w:r>
        <w:t>ere has been significant investment into PL both before and after publication</w:t>
      </w:r>
      <w:r w:rsidR="0009628E">
        <w:t xml:space="preserve">.  </w:t>
      </w:r>
      <w:r w:rsidR="003419EF">
        <w:t>This provision is</w:t>
      </w:r>
      <w:r w:rsidR="00F03E27">
        <w:t xml:space="preserve"> cited this as a key success in the</w:t>
      </w:r>
      <w:r w:rsidR="00F62194">
        <w:t xml:space="preserve"> National Mission update </w:t>
      </w:r>
      <w:r w:rsidR="00F03E27">
        <w:rPr>
          <w:noProof/>
        </w:rPr>
        <w:t>(Welsh Government, 2020)</w:t>
      </w:r>
      <w:r w:rsidR="00F03E27">
        <w:t xml:space="preserve">. </w:t>
      </w:r>
      <w:r w:rsidR="003419EF">
        <w:t xml:space="preserve"> </w:t>
      </w:r>
      <w:r w:rsidR="00F62194">
        <w:t xml:space="preserve">Wales has also developed a national model of </w:t>
      </w:r>
      <w:r w:rsidR="00876CE4">
        <w:t>PL</w:t>
      </w:r>
      <w:r w:rsidR="003419EF">
        <w:t xml:space="preserve"> (NAPL)</w:t>
      </w:r>
      <w:r w:rsidR="0009628E">
        <w:t xml:space="preserve"> (Welsh Government, 2018)</w:t>
      </w:r>
      <w:r w:rsidR="00F62194">
        <w:t xml:space="preserve">, </w:t>
      </w:r>
      <w:r w:rsidR="003419EF">
        <w:t xml:space="preserve">which </w:t>
      </w:r>
      <w:r w:rsidR="00444E5E">
        <w:t xml:space="preserve">puts the learner </w:t>
      </w:r>
      <w:r w:rsidR="00EB659F">
        <w:t>and the four purposes of t</w:t>
      </w:r>
      <w:r w:rsidR="00B86830">
        <w:t>h</w:t>
      </w:r>
      <w:r w:rsidR="00EB659F">
        <w:t xml:space="preserve">e curriculum </w:t>
      </w:r>
      <w:r w:rsidR="00444E5E">
        <w:t xml:space="preserve">at the heart of </w:t>
      </w:r>
      <w:r w:rsidR="003419EF">
        <w:t>PL provision</w:t>
      </w:r>
      <w:r w:rsidR="00EB659F">
        <w:t xml:space="preserve">, with the intention </w:t>
      </w:r>
      <w:r w:rsidR="003419EF">
        <w:t>that</w:t>
      </w:r>
      <w:r w:rsidR="00EB659F">
        <w:t xml:space="preserve"> </w:t>
      </w:r>
      <w:r w:rsidR="005843FE">
        <w:t>PL</w:t>
      </w:r>
      <w:r w:rsidR="003419EF">
        <w:t xml:space="preserve"> will </w:t>
      </w:r>
      <w:r w:rsidR="00EB659F">
        <w:t xml:space="preserve">exert the maximum impact on learner experience, achievement, and their realisation of these purposes. </w:t>
      </w:r>
      <w:r w:rsidR="002234BC">
        <w:t xml:space="preserve"> </w:t>
      </w:r>
      <w:r w:rsidR="00EB659F">
        <w:t xml:space="preserve">The model also places </w:t>
      </w:r>
      <w:r w:rsidR="00EB659F">
        <w:lastRenderedPageBreak/>
        <w:t>the professional learner</w:t>
      </w:r>
      <w:r w:rsidR="003419EF">
        <w:t xml:space="preserve"> </w:t>
      </w:r>
      <w:r w:rsidR="00EB659F">
        <w:t>at the centre alongside the learner themselves</w:t>
      </w:r>
      <w:r w:rsidR="003419EF">
        <w:t>,</w:t>
      </w:r>
      <w:r w:rsidR="00EB659F">
        <w:t xml:space="preserve"> stress</w:t>
      </w:r>
      <w:r w:rsidR="003419EF">
        <w:t>ing</w:t>
      </w:r>
      <w:r w:rsidR="00EB659F">
        <w:t xml:space="preserve"> the need for PL to be personalised to the needs of the professional</w:t>
      </w:r>
      <w:r w:rsidR="003419EF">
        <w:t xml:space="preserve"> and to the learner that PL should impact upon. </w:t>
      </w:r>
      <w:r w:rsidR="00EB659F">
        <w:t xml:space="preserve"> </w:t>
      </w:r>
    </w:p>
    <w:p w14:paraId="0714ADDB" w14:textId="5E0923C3" w:rsidR="002234BC" w:rsidRDefault="00EB659F" w:rsidP="00481171">
      <w:pPr>
        <w:jc w:val="both"/>
      </w:pPr>
      <w:r>
        <w:t xml:space="preserve">The </w:t>
      </w:r>
      <w:r w:rsidR="003419EF">
        <w:t xml:space="preserve">NAPL </w:t>
      </w:r>
      <w:r>
        <w:t xml:space="preserve">highlights the </w:t>
      </w:r>
      <w:r w:rsidR="00444E5E">
        <w:t>different levels of professional learning, focusing on the school, regional and national contexts</w:t>
      </w:r>
      <w:r w:rsidR="002234BC">
        <w:t xml:space="preserve">, with the </w:t>
      </w:r>
      <w:r w:rsidR="005843FE">
        <w:t>PL</w:t>
      </w:r>
      <w:r w:rsidR="00876CE4">
        <w:t xml:space="preserve"> </w:t>
      </w:r>
      <w:r w:rsidR="002234BC">
        <w:t>at the centre, able to access and engage with all of the different levels of PL</w:t>
      </w:r>
      <w:r w:rsidR="00444E5E">
        <w:t xml:space="preserve">. </w:t>
      </w:r>
      <w:r>
        <w:t xml:space="preserve"> This is a key aspect of the model in Wales, highlighting the role of each level of the system.  </w:t>
      </w:r>
      <w:r w:rsidR="00876CE4">
        <w:t xml:space="preserve"> </w:t>
      </w:r>
      <w:r w:rsidR="003419EF">
        <w:t>Engagement with PL at these different</w:t>
      </w:r>
      <w:r w:rsidR="00876CE4">
        <w:t xml:space="preserve"> levels will be an aspect explored in this study.</w:t>
      </w:r>
    </w:p>
    <w:p w14:paraId="0E0945C4" w14:textId="3CAF119B" w:rsidR="003A3D55" w:rsidRDefault="00EB659F" w:rsidP="00481171">
      <w:pPr>
        <w:jc w:val="both"/>
      </w:pPr>
      <w:r>
        <w:t xml:space="preserve">Within these three overarching levels, there are eight elements to the </w:t>
      </w:r>
      <w:r w:rsidR="002234BC">
        <w:t>NAPL</w:t>
      </w:r>
      <w:r w:rsidR="00876CE4">
        <w:t>, namely</w:t>
      </w:r>
      <w:r w:rsidR="003419EF">
        <w:t>:</w:t>
      </w:r>
      <w:r w:rsidR="003C18B9">
        <w:t xml:space="preserve"> </w:t>
      </w:r>
      <w:r w:rsidR="00876CE4">
        <w:t xml:space="preserve">national </w:t>
      </w:r>
      <w:r>
        <w:t>networks</w:t>
      </w:r>
      <w:r w:rsidR="00876CE4">
        <w:t xml:space="preserve">; </w:t>
      </w:r>
      <w:r>
        <w:t xml:space="preserve"> </w:t>
      </w:r>
      <w:r w:rsidR="00876CE4">
        <w:t xml:space="preserve">national </w:t>
      </w:r>
      <w:r>
        <w:t>professional teaching and leadership standards</w:t>
      </w:r>
      <w:r w:rsidR="00876CE4">
        <w:t xml:space="preserve">; accreditation/recognition for PL;  </w:t>
      </w:r>
      <w:r w:rsidR="0009628E">
        <w:t>r</w:t>
      </w:r>
      <w:r w:rsidR="00876CE4">
        <w:t>egional PL offer;  pedagogy for PL; Schools as Learning Organisations (SLO); the individual PL journey; and the PL blend.   These eight elements highlight aspects</w:t>
      </w:r>
      <w:r w:rsidR="003419EF">
        <w:t xml:space="preserve"> or design principles</w:t>
      </w:r>
      <w:r w:rsidR="00876CE4">
        <w:t xml:space="preserve"> of </w:t>
      </w:r>
      <w:r w:rsidR="003419EF">
        <w:t xml:space="preserve">the </w:t>
      </w:r>
      <w:r w:rsidR="00876CE4">
        <w:t>PL provision that practitioners are entitle</w:t>
      </w:r>
      <w:r w:rsidR="001451A9">
        <w:t>d</w:t>
      </w:r>
      <w:r w:rsidR="00876CE4">
        <w:t xml:space="preserve"> to </w:t>
      </w:r>
      <w:r w:rsidR="003419EF">
        <w:t xml:space="preserve">access. </w:t>
      </w:r>
      <w:r w:rsidR="00876CE4">
        <w:t xml:space="preserve"> For example,</w:t>
      </w:r>
      <w:r w:rsidR="001451A9">
        <w:t xml:space="preserve"> </w:t>
      </w:r>
      <w:r w:rsidR="00B2043D">
        <w:t xml:space="preserve">SLO </w:t>
      </w:r>
      <w:r w:rsidR="001451A9">
        <w:t xml:space="preserve">encourages schools to develop a </w:t>
      </w:r>
      <w:r w:rsidR="00AF6846">
        <w:t xml:space="preserve">school </w:t>
      </w:r>
      <w:r w:rsidR="001451A9">
        <w:t xml:space="preserve">culture </w:t>
      </w:r>
      <w:r w:rsidR="00AF6846">
        <w:t xml:space="preserve">and PL provision </w:t>
      </w:r>
      <w:r w:rsidR="001451A9">
        <w:t xml:space="preserve">that engages with research </w:t>
      </w:r>
      <w:r w:rsidR="00032031" w:rsidRPr="00481171">
        <w:rPr>
          <w:noProof/>
        </w:rPr>
        <w:t>(Welsh Government, 2018</w:t>
      </w:r>
      <w:r w:rsidR="0009628E">
        <w:rPr>
          <w:noProof/>
        </w:rPr>
        <w:t>a</w:t>
      </w:r>
      <w:r w:rsidR="00032031" w:rsidRPr="00481171">
        <w:rPr>
          <w:noProof/>
        </w:rPr>
        <w:t>)</w:t>
      </w:r>
      <w:r w:rsidR="00481171">
        <w:t>.</w:t>
      </w:r>
      <w:r w:rsidR="00B2043D">
        <w:t xml:space="preserve"> </w:t>
      </w:r>
    </w:p>
    <w:p w14:paraId="5F227BE7" w14:textId="4FE9E7C1" w:rsidR="003A3D55" w:rsidRDefault="00EB659F" w:rsidP="00481171">
      <w:pPr>
        <w:jc w:val="both"/>
      </w:pPr>
      <w:r>
        <w:t xml:space="preserve">Within the </w:t>
      </w:r>
      <w:r w:rsidR="003A3D55">
        <w:t xml:space="preserve">NAPL, </w:t>
      </w:r>
      <w:r>
        <w:t xml:space="preserve">four pedagogical approaches to PL are identified: collaboration, reflective practice, use of data and research and reflection.  </w:t>
      </w:r>
      <w:r w:rsidR="001451A9">
        <w:t xml:space="preserve">These pedagogies </w:t>
      </w:r>
      <w:r w:rsidR="003419EF">
        <w:t>are meant to</w:t>
      </w:r>
      <w:r w:rsidR="001451A9">
        <w:t xml:space="preserve"> underpin all PL within the model</w:t>
      </w:r>
      <w:r w:rsidR="003419EF">
        <w:t xml:space="preserve">. As such they are likely to impact the nature of PL experienced by participants in this study. They </w:t>
      </w:r>
      <w:r w:rsidR="001451A9">
        <w:t xml:space="preserve">will </w:t>
      </w:r>
      <w:r w:rsidR="003419EF">
        <w:t xml:space="preserve">therefore </w:t>
      </w:r>
      <w:r w:rsidR="001451A9">
        <w:t>be discussed in greater depth below.</w:t>
      </w:r>
      <w:r w:rsidR="00F0324A">
        <w:t xml:space="preserve"> These </w:t>
      </w:r>
      <w:r w:rsidR="0009628E">
        <w:t xml:space="preserve">broad characteristics of effective PL pedagogy are similar to the key characteristics of effective PL identified  in the </w:t>
      </w:r>
      <w:r w:rsidR="00F0324A">
        <w:t>work of Cordin</w:t>
      </w:r>
      <w:r w:rsidR="00810121">
        <w:t>g</w:t>
      </w:r>
      <w:r w:rsidR="00F0324A">
        <w:t>ley et al (2015) and Darling-Ham</w:t>
      </w:r>
      <w:r w:rsidR="00AF6846">
        <w:t>m</w:t>
      </w:r>
      <w:r w:rsidR="00F0324A">
        <w:t>ond</w:t>
      </w:r>
      <w:r w:rsidR="00AF6846">
        <w:t xml:space="preserve">, Hyler and Gardner </w:t>
      </w:r>
      <w:r w:rsidR="00F0324A">
        <w:t xml:space="preserve"> (2017)</w:t>
      </w:r>
      <w:r w:rsidR="0009628E">
        <w:t xml:space="preserve">. They do not reflect the more recent focus on specific forms and mechanisms within PL. </w:t>
      </w:r>
    </w:p>
    <w:p w14:paraId="23E2EEAA" w14:textId="7650B152" w:rsidR="00F03E27" w:rsidRDefault="003419EF" w:rsidP="00481171">
      <w:pPr>
        <w:jc w:val="both"/>
      </w:pPr>
      <w:r>
        <w:t>H</w:t>
      </w:r>
      <w:r w:rsidR="00F03E27">
        <w:t xml:space="preserve">aving a </w:t>
      </w:r>
      <w:r w:rsidR="00E164C6">
        <w:t>n</w:t>
      </w:r>
      <w:r w:rsidR="00F03E27">
        <w:t xml:space="preserve">ational </w:t>
      </w:r>
      <w:r w:rsidR="005B06A4">
        <w:t>m</w:t>
      </w:r>
      <w:r w:rsidR="00F03E27">
        <w:t xml:space="preserve">odel for PL does </w:t>
      </w:r>
      <w:r w:rsidR="001451A9">
        <w:t xml:space="preserve">not </w:t>
      </w:r>
      <w:r w:rsidR="00F03E27">
        <w:t xml:space="preserve">automatically equate to impactful PL </w:t>
      </w:r>
      <w:r w:rsidR="001451A9">
        <w:t>for practitioners</w:t>
      </w:r>
      <w:r w:rsidR="00E94058">
        <w:t xml:space="preserve">: </w:t>
      </w:r>
      <w:r w:rsidR="001451A9">
        <w:t xml:space="preserve">translation of a </w:t>
      </w:r>
      <w:r w:rsidR="00E94058">
        <w:t>national model of</w:t>
      </w:r>
      <w:r w:rsidR="001451A9">
        <w:t xml:space="preserve"> PL into effective nationwide practice that supports curriculum implementation </w:t>
      </w:r>
      <w:r w:rsidR="00E94058">
        <w:t xml:space="preserve">was </w:t>
      </w:r>
      <w:r w:rsidR="001451A9">
        <w:t>a significant challenge in Scotland.  T</w:t>
      </w:r>
      <w:r w:rsidR="00B86830">
        <w:t>he recent independent</w:t>
      </w:r>
      <w:r w:rsidR="00B86830" w:rsidRPr="00B86830">
        <w:t xml:space="preserve"> </w:t>
      </w:r>
      <w:r w:rsidR="00B86830">
        <w:t xml:space="preserve">OECD review of the </w:t>
      </w:r>
      <w:r w:rsidR="00E94058">
        <w:t>CfE</w:t>
      </w:r>
      <w:r w:rsidR="00B86830">
        <w:t xml:space="preserve"> highlighted the need </w:t>
      </w:r>
      <w:r w:rsidR="00E94058">
        <w:t>for</w:t>
      </w:r>
      <w:r w:rsidR="00B86830">
        <w:t xml:space="preserve"> </w:t>
      </w:r>
      <w:r w:rsidR="00F03E27">
        <w:t xml:space="preserve">more </w:t>
      </w:r>
      <w:r w:rsidR="00B86830">
        <w:t>support for schools with curriculum design</w:t>
      </w:r>
      <w:r w:rsidR="00F03E27">
        <w:t xml:space="preserve"> </w:t>
      </w:r>
      <w:r w:rsidR="00B86830">
        <w:rPr>
          <w:noProof/>
        </w:rPr>
        <w:t>(OECD, 2021)</w:t>
      </w:r>
      <w:r w:rsidR="00B86830">
        <w:t>.</w:t>
      </w:r>
      <w:r w:rsidR="00E94058">
        <w:t xml:space="preserve"> </w:t>
      </w:r>
      <w:r w:rsidR="00F03E27">
        <w:t xml:space="preserve">The Royal Society of Edinburgh concur, noting that there has been insufficient guidance and development for teachers to help them to make sense of the new curriculum </w:t>
      </w:r>
      <w:r w:rsidR="00F03E27">
        <w:rPr>
          <w:noProof/>
        </w:rPr>
        <w:t xml:space="preserve">(Royal Society of Edinburgh, 2020 </w:t>
      </w:r>
      <w:r w:rsidR="00F03E27">
        <w:t>p8).  Other research from Scotland supports t</w:t>
      </w:r>
      <w:r w:rsidR="00E94058">
        <w:t xml:space="preserve">his lack of sensemaking of the curriculum </w:t>
      </w:r>
      <w:r w:rsidR="00F03E27">
        <w:t xml:space="preserve">(Priestly and Minty 2015), and the lack of effective </w:t>
      </w:r>
      <w:r w:rsidR="001451A9">
        <w:t>PL</w:t>
      </w:r>
      <w:r w:rsidR="00F03E27">
        <w:t xml:space="preserve"> is one key reason</w:t>
      </w:r>
      <w:r w:rsidR="001451A9">
        <w:t>.</w:t>
      </w:r>
      <w:r w:rsidR="00E94058">
        <w:t xml:space="preserve"> </w:t>
      </w:r>
      <w:r w:rsidR="001451A9">
        <w:t xml:space="preserve"> As </w:t>
      </w:r>
      <w:r w:rsidR="00F03E27">
        <w:t xml:space="preserve">a result the </w:t>
      </w:r>
      <w:r w:rsidR="00B86830">
        <w:t xml:space="preserve">Scottish Government </w:t>
      </w:r>
      <w:r w:rsidR="00B86830">
        <w:rPr>
          <w:noProof/>
        </w:rPr>
        <w:t>(2021)</w:t>
      </w:r>
      <w:r w:rsidR="00B86830">
        <w:t xml:space="preserve">, have agreed to </w:t>
      </w:r>
      <w:r w:rsidR="00E94058">
        <w:t>reduced</w:t>
      </w:r>
      <w:r w:rsidR="00B86830">
        <w:t xml:space="preserve"> teacher contact time, </w:t>
      </w:r>
      <w:r w:rsidR="00E94058">
        <w:t xml:space="preserve">encouraged </w:t>
      </w:r>
      <w:r w:rsidR="00B86830">
        <w:t>greater collaboration between teachers</w:t>
      </w:r>
      <w:r w:rsidR="00E94058">
        <w:t>,</w:t>
      </w:r>
      <w:r w:rsidR="00B86830">
        <w:t xml:space="preserve"> and </w:t>
      </w:r>
      <w:r w:rsidR="00E94058">
        <w:t>increased</w:t>
      </w:r>
      <w:r w:rsidR="00B86830">
        <w:t xml:space="preserve"> </w:t>
      </w:r>
      <w:r w:rsidR="005843FE">
        <w:t>PL</w:t>
      </w:r>
      <w:r w:rsidR="001451A9">
        <w:t xml:space="preserve"> </w:t>
      </w:r>
      <w:r w:rsidR="00B86830">
        <w:t>opportunities</w:t>
      </w:r>
      <w:r w:rsidR="00E94058">
        <w:t>, particularly through</w:t>
      </w:r>
      <w:r w:rsidR="00B86830">
        <w:t xml:space="preserve"> Regional Improvement Collaboratives (RIC’s)</w:t>
      </w:r>
      <w:r w:rsidR="00E94058">
        <w:t xml:space="preserve">.  </w:t>
      </w:r>
      <w:r w:rsidR="00B86830">
        <w:t>Whilst the</w:t>
      </w:r>
      <w:r w:rsidR="00E94058">
        <w:t xml:space="preserve"> RIC’s</w:t>
      </w:r>
      <w:r w:rsidR="00B86830">
        <w:t xml:space="preserve"> initial impact was  unclear, </w:t>
      </w:r>
      <w:r w:rsidR="00B86830">
        <w:rPr>
          <w:noProof/>
        </w:rPr>
        <w:t>(Scottish Parliament, 2020) there is some evidence that they are starting to have an impact on teacher skill, pedagogy, consistency and collaboration (Scottish Government, 2021)</w:t>
      </w:r>
      <w:r w:rsidR="00B86830">
        <w:t xml:space="preserve">.  </w:t>
      </w:r>
    </w:p>
    <w:p w14:paraId="0E385D53" w14:textId="428C96EC" w:rsidR="007C100A" w:rsidRDefault="001451A9" w:rsidP="007C100A">
      <w:pPr>
        <w:jc w:val="both"/>
      </w:pPr>
      <w:r>
        <w:t>Th</w:t>
      </w:r>
      <w:r w:rsidR="003419EF">
        <w:t>is situation provides</w:t>
      </w:r>
      <w:r w:rsidR="00212829">
        <w:t xml:space="preserve"> lessons for us </w:t>
      </w:r>
      <w:r>
        <w:t xml:space="preserve">in Wales. The challenge </w:t>
      </w:r>
      <w:r w:rsidR="00212829">
        <w:t>here</w:t>
      </w:r>
      <w:r>
        <w:t xml:space="preserve"> is to translate the NAPL, and research on </w:t>
      </w:r>
      <w:r w:rsidR="00F23ADB">
        <w:t xml:space="preserve">what constitutes </w:t>
      </w:r>
      <w:r>
        <w:t xml:space="preserve">effective PL, into impactful </w:t>
      </w:r>
      <w:r w:rsidR="00F23ADB">
        <w:t>PL provision</w:t>
      </w:r>
      <w:r>
        <w:t xml:space="preserve"> that supports </w:t>
      </w:r>
      <w:r w:rsidR="00F23ADB">
        <w:t xml:space="preserve">successful </w:t>
      </w:r>
      <w:r>
        <w:t xml:space="preserve">curriculum implementation. </w:t>
      </w:r>
      <w:r w:rsidR="007C100A">
        <w:t xml:space="preserve"> </w:t>
      </w:r>
      <w:r w:rsidR="00FF2BFE">
        <w:t xml:space="preserve">Indeed, the recent launch of the </w:t>
      </w:r>
      <w:r w:rsidR="007C100A" w:rsidRPr="005B06A4">
        <w:t xml:space="preserve">National PL Entitlement (the entitlement), </w:t>
      </w:r>
      <w:r w:rsidR="00FF2BFE">
        <w:t xml:space="preserve">which aims </w:t>
      </w:r>
      <w:r w:rsidR="007C100A" w:rsidRPr="005B06A4">
        <w:t xml:space="preserve">to encourage greater engagement with, and equity of access to PL, </w:t>
      </w:r>
      <w:r w:rsidR="00032031" w:rsidRPr="005B06A4">
        <w:rPr>
          <w:noProof/>
        </w:rPr>
        <w:t>(Welsh Government, 2023)</w:t>
      </w:r>
      <w:r w:rsidR="00FF2BFE">
        <w:t xml:space="preserve">, would suggest that there are concerns about the PL provision at the highest levels of the education system.  These concerns will be discussed more fully in the final section of this chapter. </w:t>
      </w:r>
    </w:p>
    <w:p w14:paraId="7865E9E2" w14:textId="5D9095D6" w:rsidR="00F23ADB" w:rsidRPr="00FB0E99" w:rsidRDefault="003A14AF" w:rsidP="00481171">
      <w:pPr>
        <w:jc w:val="both"/>
      </w:pPr>
      <w:r>
        <w:t>Th</w:t>
      </w:r>
      <w:r w:rsidR="00EB659F">
        <w:t>e</w:t>
      </w:r>
      <w:r w:rsidR="00444E5E">
        <w:t xml:space="preserve"> </w:t>
      </w:r>
      <w:r w:rsidR="00C22499">
        <w:t xml:space="preserve">specific </w:t>
      </w:r>
      <w:r w:rsidR="00444E5E">
        <w:t xml:space="preserve">features of </w:t>
      </w:r>
      <w:r>
        <w:t xml:space="preserve">the </w:t>
      </w:r>
      <w:r w:rsidR="00C22499">
        <w:t>NAPL</w:t>
      </w:r>
      <w:r>
        <w:t xml:space="preserve"> will now be </w:t>
      </w:r>
      <w:r w:rsidR="00444E5E">
        <w:t>discussed in greater depth</w:t>
      </w:r>
      <w:r w:rsidR="00C22499">
        <w:t xml:space="preserve">, in particular the </w:t>
      </w:r>
      <w:r w:rsidR="000C0FBC">
        <w:t>pedagogical</w:t>
      </w:r>
      <w:r w:rsidR="00C22499">
        <w:t xml:space="preserve"> principles that underpin the NAPL, namely </w:t>
      </w:r>
      <w:r>
        <w:t>r</w:t>
      </w:r>
      <w:r w:rsidR="00444E5E">
        <w:t xml:space="preserve">eflective practice, collaboration, </w:t>
      </w:r>
      <w:r w:rsidR="00EB659F">
        <w:t xml:space="preserve">use of data, </w:t>
      </w:r>
      <w:r w:rsidR="00444E5E">
        <w:t xml:space="preserve">and </w:t>
      </w:r>
      <w:r>
        <w:t>coaching</w:t>
      </w:r>
      <w:r w:rsidR="00444E5E">
        <w:t xml:space="preserve">. </w:t>
      </w:r>
      <w:r>
        <w:t xml:space="preserve"> As they are key </w:t>
      </w:r>
      <w:r w:rsidR="00F23ADB">
        <w:t>pedagogies that underpin the</w:t>
      </w:r>
      <w:r>
        <w:t xml:space="preserve"> </w:t>
      </w:r>
      <w:r w:rsidR="005843FE">
        <w:t>PL</w:t>
      </w:r>
      <w:r w:rsidR="00F23ADB">
        <w:t xml:space="preserve"> </w:t>
      </w:r>
      <w:r>
        <w:t>experiences teachers in Wales</w:t>
      </w:r>
      <w:r w:rsidR="00212829">
        <w:t xml:space="preserve"> have accessed</w:t>
      </w:r>
      <w:r>
        <w:t xml:space="preserve">, and are likely to relate closely to teachers views on why </w:t>
      </w:r>
      <w:r w:rsidR="005843FE">
        <w:t>PL</w:t>
      </w:r>
      <w:r w:rsidR="00F23ADB">
        <w:t xml:space="preserve"> </w:t>
      </w:r>
      <w:r w:rsidR="00EB659F">
        <w:t>has or has not</w:t>
      </w:r>
      <w:r>
        <w:t xml:space="preserve"> be</w:t>
      </w:r>
      <w:r w:rsidR="00EB659F">
        <w:t>en</w:t>
      </w:r>
      <w:r>
        <w:t xml:space="preserve"> impactfu</w:t>
      </w:r>
      <w:r w:rsidR="004D255F">
        <w:t>l, and whether PL has met their needs</w:t>
      </w:r>
      <w:r w:rsidR="00E94058">
        <w:t xml:space="preserve">, and are therefore of direct relevance to this study. </w:t>
      </w:r>
      <w:r w:rsidR="004D255F">
        <w:t xml:space="preserve"> </w:t>
      </w:r>
      <w:r w:rsidR="00936139">
        <w:t xml:space="preserve"> </w:t>
      </w:r>
    </w:p>
    <w:p w14:paraId="15F94797" w14:textId="6334B739" w:rsidR="00F23ADB" w:rsidRPr="00F23ADB" w:rsidRDefault="00F23ADB" w:rsidP="00481171">
      <w:pPr>
        <w:jc w:val="both"/>
        <w:rPr>
          <w:b/>
          <w:bCs/>
        </w:rPr>
      </w:pPr>
      <w:r>
        <w:rPr>
          <w:b/>
          <w:bCs/>
        </w:rPr>
        <w:lastRenderedPageBreak/>
        <w:t xml:space="preserve">e) The pedagogical principles that underpin the NAPL. </w:t>
      </w:r>
    </w:p>
    <w:p w14:paraId="6F06AE4D" w14:textId="3EDDEF5E" w:rsidR="003A14AF" w:rsidRDefault="00EB659F" w:rsidP="00AB30BA">
      <w:pPr>
        <w:jc w:val="both"/>
        <w:rPr>
          <w:b/>
          <w:bCs/>
        </w:rPr>
      </w:pPr>
      <w:r>
        <w:rPr>
          <w:b/>
          <w:bCs/>
        </w:rPr>
        <w:t xml:space="preserve">i) </w:t>
      </w:r>
      <w:r w:rsidRPr="00EB659F">
        <w:rPr>
          <w:b/>
          <w:bCs/>
        </w:rPr>
        <w:t>Use of data</w:t>
      </w:r>
      <w:r w:rsidR="00636E74">
        <w:rPr>
          <w:b/>
          <w:bCs/>
        </w:rPr>
        <w:t xml:space="preserve"> and research evidence</w:t>
      </w:r>
    </w:p>
    <w:p w14:paraId="059F714E" w14:textId="1798C3A9" w:rsidR="00F93F09" w:rsidRDefault="00636E74" w:rsidP="00AB30BA">
      <w:pPr>
        <w:jc w:val="both"/>
      </w:pPr>
      <w:r w:rsidRPr="00636E74">
        <w:t xml:space="preserve">The NAPL </w:t>
      </w:r>
      <w:r>
        <w:t xml:space="preserve">promotes the use of research </w:t>
      </w:r>
      <w:r w:rsidR="00D866D6">
        <w:t xml:space="preserve">to </w:t>
      </w:r>
      <w:r w:rsidR="009F0222">
        <w:t xml:space="preserve">inform PL design and provision, </w:t>
      </w:r>
      <w:r w:rsidR="005274BE">
        <w:t>as well as</w:t>
      </w:r>
      <w:r w:rsidR="009F0222">
        <w:t xml:space="preserve"> embedding research into the content of PL itself.</w:t>
      </w:r>
      <w:r w:rsidR="005274BE">
        <w:t xml:space="preserve">  This </w:t>
      </w:r>
      <w:r w:rsidR="006A78D7" w:rsidRPr="009F0222">
        <w:t>aligns to the National Strategy for Educational Research</w:t>
      </w:r>
      <w:r w:rsidR="006A78D7">
        <w:t xml:space="preserve"> and Enquiry (NSERE), which </w:t>
      </w:r>
      <w:r w:rsidR="007906E8">
        <w:t>states that</w:t>
      </w:r>
      <w:r w:rsidR="005C7E37">
        <w:t xml:space="preserve"> the </w:t>
      </w:r>
      <w:r w:rsidR="006A78D7">
        <w:t>us</w:t>
      </w:r>
      <w:r w:rsidR="005C7E37">
        <w:t>e of</w:t>
      </w:r>
      <w:r w:rsidR="006A78D7">
        <w:t xml:space="preserve"> data and research </w:t>
      </w:r>
      <w:r w:rsidR="005C7E37">
        <w:t>i</w:t>
      </w:r>
      <w:r w:rsidR="006A78D7">
        <w:t xml:space="preserve">s critical to the successful implementation of the </w:t>
      </w:r>
      <w:r w:rsidR="008A692A">
        <w:t>c</w:t>
      </w:r>
      <w:r w:rsidR="006A78D7">
        <w:t>urriculum</w:t>
      </w:r>
      <w:r w:rsidR="007906E8">
        <w:t xml:space="preserve">, </w:t>
      </w:r>
      <w:r w:rsidR="007906E8">
        <w:rPr>
          <w:noProof/>
        </w:rPr>
        <w:t>(Welsh Government, 2023</w:t>
      </w:r>
      <w:r w:rsidR="00AF6846">
        <w:rPr>
          <w:noProof/>
        </w:rPr>
        <w:t>a</w:t>
      </w:r>
      <w:r w:rsidR="007906E8">
        <w:rPr>
          <w:noProof/>
        </w:rPr>
        <w:t xml:space="preserve">), and the SLO model which encourages schools to </w:t>
      </w:r>
      <w:r w:rsidR="008A692A">
        <w:t xml:space="preserve">collecting and using knowledge and research evidence </w:t>
      </w:r>
      <w:r w:rsidR="007906E8">
        <w:t>(Welsh Government, 201</w:t>
      </w:r>
      <w:r w:rsidR="00E94058">
        <w:t>8</w:t>
      </w:r>
      <w:r w:rsidR="007906E8">
        <w:t xml:space="preserve">a). </w:t>
      </w:r>
    </w:p>
    <w:p w14:paraId="17C522A9" w14:textId="6864DEC4" w:rsidR="00D866D6" w:rsidRDefault="005676F8" w:rsidP="00AB30BA">
      <w:pPr>
        <w:jc w:val="both"/>
      </w:pPr>
      <w:r>
        <w:t xml:space="preserve">Whilst the use of school and national data, particularly examination and national tests results, has been </w:t>
      </w:r>
      <w:r w:rsidR="00F23ADB">
        <w:t>common</w:t>
      </w:r>
      <w:r>
        <w:t xml:space="preserve"> practice in the UK for many years, the use of</w:t>
      </w:r>
      <w:r w:rsidR="00D866D6">
        <w:t xml:space="preserve">, and participation in </w:t>
      </w:r>
      <w:r>
        <w:t>academic educational research is less well embedded</w:t>
      </w:r>
      <w:r w:rsidR="005C7E37">
        <w:t xml:space="preserve">, especially compared to other professions such as </w:t>
      </w:r>
      <w:r w:rsidR="00D866D6">
        <w:t>m</w:t>
      </w:r>
      <w:r w:rsidR="005C7E37">
        <w:t xml:space="preserve">edicine </w:t>
      </w:r>
      <w:sdt>
        <w:sdtPr>
          <w:id w:val="-39140200"/>
          <w:citation/>
        </w:sdtPr>
        <w:sdtContent>
          <w:r w:rsidR="005C7E37">
            <w:fldChar w:fldCharType="begin"/>
          </w:r>
          <w:r w:rsidR="005C7E37">
            <w:instrText xml:space="preserve"> CITATION Han00 \l 2057 </w:instrText>
          </w:r>
          <w:r w:rsidR="005C7E37">
            <w:fldChar w:fldCharType="separate"/>
          </w:r>
          <w:r w:rsidR="005C7E37">
            <w:rPr>
              <w:noProof/>
            </w:rPr>
            <w:t>(Hannan, 2000)</w:t>
          </w:r>
          <w:r w:rsidR="005C7E37">
            <w:fldChar w:fldCharType="end"/>
          </w:r>
        </w:sdtContent>
      </w:sdt>
      <w:r w:rsidR="005C7E37">
        <w:t xml:space="preserve">. </w:t>
      </w:r>
      <w:r w:rsidR="00E94058">
        <w:t xml:space="preserve"> </w:t>
      </w:r>
      <w:r w:rsidR="005274BE">
        <w:t xml:space="preserve">Engaging with academic research can help identify needs and issues, provide evidence of what works and what doesn’t, and can help schools to assess progress towards goals (Scott and McNeish, 2014). </w:t>
      </w:r>
      <w:r w:rsidR="00D866D6">
        <w:t xml:space="preserve"> </w:t>
      </w:r>
      <w:r w:rsidR="00AC2CF3">
        <w:t xml:space="preserve">Bergmark </w:t>
      </w:r>
      <w:r w:rsidR="00AC2CF3">
        <w:rPr>
          <w:noProof/>
        </w:rPr>
        <w:t>(2020)</w:t>
      </w:r>
      <w:r w:rsidR="00AC2CF3">
        <w:t xml:space="preserve"> </w:t>
      </w:r>
      <w:r w:rsidR="00AF6846">
        <w:t xml:space="preserve">and Durant (2016) both support this, </w:t>
      </w:r>
      <w:r w:rsidR="00AC2CF3">
        <w:t>suggest</w:t>
      </w:r>
      <w:r w:rsidR="00AF6846">
        <w:t>ing</w:t>
      </w:r>
      <w:r w:rsidR="00AC2CF3">
        <w:t xml:space="preserve"> that </w:t>
      </w:r>
      <w:r w:rsidR="00AC2CF3" w:rsidRPr="003578C2">
        <w:t xml:space="preserve">teachers’ </w:t>
      </w:r>
      <w:r w:rsidR="00AC2CF3">
        <w:t xml:space="preserve">enquiry focused </w:t>
      </w:r>
      <w:r w:rsidR="00AF6846">
        <w:t xml:space="preserve">classroom research is able to  change thinking, actions and relationships as well as improve professional practice. </w:t>
      </w:r>
    </w:p>
    <w:p w14:paraId="76F596D7" w14:textId="76C7C603" w:rsidR="00594929" w:rsidRDefault="00F23ADB" w:rsidP="00AB30BA">
      <w:pPr>
        <w:jc w:val="both"/>
      </w:pPr>
      <w:r>
        <w:t>Indeed, m</w:t>
      </w:r>
      <w:r w:rsidR="008A692A">
        <w:t xml:space="preserve">any nations, including Wales have sought to </w:t>
      </w:r>
      <w:r w:rsidR="00F93F09">
        <w:t>increase teacher engagement with research</w:t>
      </w:r>
      <w:r w:rsidR="008A692A">
        <w:t xml:space="preserve"> </w:t>
      </w:r>
      <w:r>
        <w:t xml:space="preserve">generally </w:t>
      </w:r>
      <w:r w:rsidR="001209F0">
        <w:t xml:space="preserve">due to its benefits </w:t>
      </w:r>
      <w:r w:rsidR="008A692A">
        <w:rPr>
          <w:noProof/>
        </w:rPr>
        <w:t>(Tripney, et al</w:t>
      </w:r>
      <w:r w:rsidR="00AF6846">
        <w:rPr>
          <w:noProof/>
        </w:rPr>
        <w:t>.</w:t>
      </w:r>
      <w:r w:rsidR="008A692A">
        <w:rPr>
          <w:noProof/>
        </w:rPr>
        <w:t>, 2018).</w:t>
      </w:r>
      <w:r w:rsidR="00F93F09">
        <w:t xml:space="preserve">  </w:t>
      </w:r>
      <w:r w:rsidR="00253F27">
        <w:t xml:space="preserve">The Royal Society </w:t>
      </w:r>
      <w:r w:rsidR="00E94058">
        <w:t xml:space="preserve">and British Academy (2018) </w:t>
      </w:r>
      <w:r w:rsidR="00253F27">
        <w:t xml:space="preserve">stressed the need for </w:t>
      </w:r>
      <w:r w:rsidR="005C7E37">
        <w:t>e</w:t>
      </w:r>
      <w:r w:rsidR="00253F27">
        <w:t>ducational policy to be informed by research</w:t>
      </w:r>
      <w:r w:rsidR="00E94058">
        <w:rPr>
          <w:noProof/>
        </w:rPr>
        <w:t xml:space="preserve">. </w:t>
      </w:r>
      <w:r w:rsidR="001209F0">
        <w:t xml:space="preserve">However, they also </w:t>
      </w:r>
      <w:r w:rsidR="008A692A">
        <w:t>identif</w:t>
      </w:r>
      <w:r w:rsidR="001209F0">
        <w:t>y</w:t>
      </w:r>
      <w:r w:rsidR="008A692A">
        <w:t xml:space="preserve"> </w:t>
      </w:r>
      <w:r w:rsidR="001209F0">
        <w:t xml:space="preserve">barriers to using research, </w:t>
      </w:r>
      <w:r w:rsidR="008A692A">
        <w:t>includ</w:t>
      </w:r>
      <w:r w:rsidR="001209F0">
        <w:t xml:space="preserve">ing </w:t>
      </w:r>
      <w:r w:rsidR="00AF6846">
        <w:t xml:space="preserve">HEI </w:t>
      </w:r>
      <w:r w:rsidR="008A692A">
        <w:t>fundin</w:t>
      </w:r>
      <w:r w:rsidR="00AF6846">
        <w:t xml:space="preserve">g and </w:t>
      </w:r>
      <w:r w:rsidR="008A692A">
        <w:t>capacity</w:t>
      </w:r>
      <w:r w:rsidR="001209F0">
        <w:t>,</w:t>
      </w:r>
      <w:r w:rsidR="008A692A">
        <w:t xml:space="preserve"> and </w:t>
      </w:r>
      <w:r w:rsidR="00253F27">
        <w:t xml:space="preserve">the lack of educational research in Wales. Due to differences in </w:t>
      </w:r>
      <w:r w:rsidR="00F93F09">
        <w:t xml:space="preserve">curriculum, and context, as well as the need for researchers to be geographically located near to schools so that researchers can engage directly with schools, this lack of Welsh research is </w:t>
      </w:r>
      <w:r w:rsidR="00253F27">
        <w:t>a barrier for practitioners and for policy</w:t>
      </w:r>
      <w:r w:rsidR="00F93F09">
        <w:t xml:space="preserve"> (Royal Society and the British Academy, 2018)</w:t>
      </w:r>
      <w:r w:rsidR="00253F27">
        <w:t xml:space="preserve">. </w:t>
      </w:r>
      <w:r w:rsidR="008A692A">
        <w:t xml:space="preserve"> </w:t>
      </w:r>
      <w:r w:rsidR="00F93F09">
        <w:t>Indeed, this</w:t>
      </w:r>
      <w:r w:rsidR="00F4708B">
        <w:t xml:space="preserve"> is a longstanding issue </w:t>
      </w:r>
      <w:r w:rsidR="00B12E67">
        <w:t>for the Welsh education system</w:t>
      </w:r>
      <w:r w:rsidR="00E94033">
        <w:t xml:space="preserve"> </w:t>
      </w:r>
      <w:r w:rsidR="00E94058">
        <w:rPr>
          <w:noProof/>
        </w:rPr>
        <w:t>(Furlong, 2001)</w:t>
      </w:r>
      <w:r w:rsidR="00D866D6">
        <w:t>, and remains an issue impacting how evidence</w:t>
      </w:r>
      <w:r w:rsidR="00E94058">
        <w:t>-</w:t>
      </w:r>
      <w:r w:rsidR="00D866D6">
        <w:t xml:space="preserve">informed the profession can become. </w:t>
      </w:r>
    </w:p>
    <w:p w14:paraId="65A09868" w14:textId="00CC8A85" w:rsidR="00B12E67" w:rsidRPr="00636E74" w:rsidRDefault="005C7E37" w:rsidP="00AB30BA">
      <w:pPr>
        <w:jc w:val="both"/>
      </w:pPr>
      <w:r>
        <w:t xml:space="preserve">In addition, </w:t>
      </w:r>
      <w:r w:rsidR="00D866D6">
        <w:t>there are concerns over too great a focus on the use of research in education</w:t>
      </w:r>
      <w:r w:rsidR="00E94058">
        <w:t xml:space="preserve">, particularly where a </w:t>
      </w:r>
      <w:r w:rsidR="00B12E67">
        <w:t xml:space="preserve">narrow </w:t>
      </w:r>
      <w:r w:rsidR="00E94058">
        <w:t>use of</w:t>
      </w:r>
      <w:r w:rsidR="00B12E67">
        <w:t xml:space="preserve"> evidence to inform exclud</w:t>
      </w:r>
      <w:r w:rsidR="00E94058">
        <w:t>es</w:t>
      </w:r>
      <w:r w:rsidR="00B12E67">
        <w:t xml:space="preserve"> the valuable insights teachers have from practical experience, and from their own professional judgements </w:t>
      </w:r>
      <w:sdt>
        <w:sdtPr>
          <w:id w:val="1620578021"/>
          <w:citation/>
        </w:sdtPr>
        <w:sdtContent>
          <w:r w:rsidR="00B12E67">
            <w:fldChar w:fldCharType="begin"/>
          </w:r>
          <w:r w:rsidR="00CB5D51">
            <w:instrText xml:space="preserve">CITATION Mil12 \l 2057 </w:instrText>
          </w:r>
          <w:r w:rsidR="00B12E67">
            <w:fldChar w:fldCharType="separate"/>
          </w:r>
          <w:r w:rsidR="00CB5D51">
            <w:rPr>
              <w:noProof/>
            </w:rPr>
            <w:t>(Miller &amp; Pasley, 2012)</w:t>
          </w:r>
          <w:r w:rsidR="00B12E67">
            <w:fldChar w:fldCharType="end"/>
          </w:r>
        </w:sdtContent>
      </w:sdt>
      <w:r w:rsidR="00B12E67">
        <w:t xml:space="preserve">. </w:t>
      </w:r>
      <w:r w:rsidR="00CB5D51">
        <w:t xml:space="preserve"> </w:t>
      </w:r>
      <w:r>
        <w:t xml:space="preserve">This is </w:t>
      </w:r>
      <w:r w:rsidR="00FE0BB6">
        <w:t xml:space="preserve">an </w:t>
      </w:r>
      <w:r>
        <w:t xml:space="preserve">important </w:t>
      </w:r>
      <w:r w:rsidR="00E94058">
        <w:t>concern as</w:t>
      </w:r>
      <w:r>
        <w:t xml:space="preserve"> educational research</w:t>
      </w:r>
      <w:r w:rsidR="00FE0BB6">
        <w:t xml:space="preserve"> </w:t>
      </w:r>
      <w:r>
        <w:t>“only illuminates an issue, akin to holding a candle in a very large room: only a small corner of the whole ro</w:t>
      </w:r>
      <w:r w:rsidR="00E94058">
        <w:t>o</w:t>
      </w:r>
      <w:r>
        <w:t>m is visible</w:t>
      </w:r>
      <w:r w:rsidR="00651339">
        <w:t>….a</w:t>
      </w:r>
      <w:r>
        <w:t>dded to this the room is constantly being decorated….</w:t>
      </w:r>
      <w:r w:rsidR="00651339">
        <w:t>b</w:t>
      </w:r>
      <w:r>
        <w:t xml:space="preserve">y the time you return to the corner, it will have changed again” </w:t>
      </w:r>
      <w:r>
        <w:rPr>
          <w:noProof/>
        </w:rPr>
        <w:t>(Buckler &amp; Moore, 2023 p xxxiii)</w:t>
      </w:r>
      <w:r>
        <w:t xml:space="preserve">.  </w:t>
      </w:r>
      <w:r w:rsidR="00B12E67">
        <w:t>It has also been suggested that overreliance on research can lead to a lack of acknowledgement of the difference between school or local contexts</w:t>
      </w:r>
      <w:r w:rsidR="009F0222">
        <w:t xml:space="preserve"> </w:t>
      </w:r>
      <w:sdt>
        <w:sdtPr>
          <w:id w:val="1442029588"/>
          <w:citation/>
        </w:sdtPr>
        <w:sdtContent>
          <w:r w:rsidR="009F0222">
            <w:fldChar w:fldCharType="begin"/>
          </w:r>
          <w:r w:rsidR="009F0222">
            <w:instrText xml:space="preserve"> CITATION Sco13 \l 2057 </w:instrText>
          </w:r>
          <w:r w:rsidR="009F0222">
            <w:fldChar w:fldCharType="separate"/>
          </w:r>
          <w:r w:rsidR="009F0222">
            <w:rPr>
              <w:noProof/>
            </w:rPr>
            <w:t>(Scott &amp; McNeish, 2013)</w:t>
          </w:r>
          <w:r w:rsidR="009F0222">
            <w:fldChar w:fldCharType="end"/>
          </w:r>
        </w:sdtContent>
      </w:sdt>
      <w:r w:rsidR="00B12E67">
        <w:t xml:space="preserve">. </w:t>
      </w:r>
      <w:r w:rsidR="00BD5E26">
        <w:t xml:space="preserve"> </w:t>
      </w:r>
      <w:r>
        <w:t>Moreover,</w:t>
      </w:r>
      <w:r w:rsidR="009F0222">
        <w:t xml:space="preserve"> </w:t>
      </w:r>
      <w:r w:rsidR="00BD5E26">
        <w:t xml:space="preserve"> the way that certain research is </w:t>
      </w:r>
      <w:r w:rsidR="00FE0BB6">
        <w:t>promoted</w:t>
      </w:r>
      <w:r w:rsidR="00BD5E26">
        <w:t xml:space="preserve"> through social media and the Internet, leads practitioners with an abundance of research informed ideas that they are unable to evaluate or critique effectively and leaving them open to ‘faddish’ innovations </w:t>
      </w:r>
      <w:sdt>
        <w:sdtPr>
          <w:id w:val="959844523"/>
          <w:citation/>
        </w:sdtPr>
        <w:sdtContent>
          <w:r w:rsidR="00BD5E26">
            <w:fldChar w:fldCharType="begin"/>
          </w:r>
          <w:r w:rsidR="00BD5E26">
            <w:instrText xml:space="preserve"> CITATION Car15 \l 2057 </w:instrText>
          </w:r>
          <w:r w:rsidR="00BD5E26">
            <w:fldChar w:fldCharType="separate"/>
          </w:r>
          <w:r w:rsidR="00BD5E26">
            <w:rPr>
              <w:noProof/>
            </w:rPr>
            <w:t>(Carrier, 2015)</w:t>
          </w:r>
          <w:r w:rsidR="00BD5E26">
            <w:fldChar w:fldCharType="end"/>
          </w:r>
        </w:sdtContent>
      </w:sdt>
      <w:r w:rsidR="00D866D6">
        <w:t xml:space="preserve"> and ‘swings of fashion’ (Durrant, 2016)</w:t>
      </w:r>
      <w:r w:rsidR="00BD5E26">
        <w:t xml:space="preserve">. </w:t>
      </w:r>
      <w:r w:rsidR="00651339">
        <w:t xml:space="preserve"> Therefore, the critical use of up to date and reliable research, analysed  in light of professional experience, and in the specific context of the school is therefore key within PL.</w:t>
      </w:r>
    </w:p>
    <w:p w14:paraId="2127DF9C" w14:textId="3E3BBE40" w:rsidR="00636E74" w:rsidRDefault="00EE75A6" w:rsidP="00AB30BA">
      <w:pPr>
        <w:jc w:val="both"/>
      </w:pPr>
      <w:r>
        <w:t>There is also an imbalance in educational research</w:t>
      </w:r>
      <w:r w:rsidR="00651339">
        <w:t xml:space="preserve">, with </w:t>
      </w:r>
      <w:r w:rsidR="00117482">
        <w:t>far less research on curriculum design and implementation processes, than on effective teaching and learning</w:t>
      </w:r>
      <w:r>
        <w:t xml:space="preserve">.  </w:t>
      </w:r>
      <w:r w:rsidR="00E94058">
        <w:t>The accessibility of educational research to teachers is also a concern. Whilst l</w:t>
      </w:r>
      <w:r w:rsidR="00960BBF">
        <w:t xml:space="preserve">arge scale meta analyses, such as Hattie’s Visible Learning research </w:t>
      </w:r>
      <w:sdt>
        <w:sdtPr>
          <w:id w:val="-1272857672"/>
          <w:citation/>
        </w:sdtPr>
        <w:sdtContent>
          <w:r w:rsidR="00960BBF">
            <w:fldChar w:fldCharType="begin"/>
          </w:r>
          <w:r w:rsidR="00960BBF">
            <w:instrText xml:space="preserve"> CITATION Hat23 \l 2057 </w:instrText>
          </w:r>
          <w:r w:rsidR="00960BBF">
            <w:fldChar w:fldCharType="separate"/>
          </w:r>
          <w:r w:rsidR="00960BBF">
            <w:rPr>
              <w:noProof/>
            </w:rPr>
            <w:t>(Hattie, 2023)</w:t>
          </w:r>
          <w:r w:rsidR="00960BBF">
            <w:fldChar w:fldCharType="end"/>
          </w:r>
        </w:sdtContent>
      </w:sdt>
      <w:r w:rsidR="00960BBF">
        <w:t xml:space="preserve"> or </w:t>
      </w:r>
      <w:r w:rsidR="001E09C8">
        <w:rPr>
          <w:noProof/>
        </w:rPr>
        <w:t>the Education Endowment Foundation (2023)</w:t>
      </w:r>
      <w:r w:rsidR="00E94058">
        <w:rPr>
          <w:noProof/>
        </w:rPr>
        <w:t>,</w:t>
      </w:r>
      <w:r w:rsidR="00960BBF">
        <w:t xml:space="preserve"> may be easier for teachers to access a breadth of research than reading specific papers and journal</w:t>
      </w:r>
      <w:r w:rsidR="00651339">
        <w:t xml:space="preserve">s, </w:t>
      </w:r>
      <w:r w:rsidR="00960BBF">
        <w:t xml:space="preserve">there have been criticisms of the use of </w:t>
      </w:r>
      <w:r w:rsidR="00481171">
        <w:t>meta-analysis</w:t>
      </w:r>
      <w:r w:rsidR="00960BBF">
        <w:t xml:space="preserve"> in education</w:t>
      </w:r>
      <w:r w:rsidR="00481171">
        <w:t xml:space="preserve">, and concerns over over-simplification and misuse of effect sizes </w:t>
      </w:r>
      <w:r w:rsidR="00481171">
        <w:rPr>
          <w:noProof/>
        </w:rPr>
        <w:t xml:space="preserve">(Coe, 2018; </w:t>
      </w:r>
      <w:r w:rsidR="00F1215E">
        <w:rPr>
          <w:noProof/>
        </w:rPr>
        <w:t xml:space="preserve">Slavin, 2018). </w:t>
      </w:r>
    </w:p>
    <w:p w14:paraId="1EDBCE8C" w14:textId="083A2363" w:rsidR="00EE75A6" w:rsidRPr="00F4708B" w:rsidRDefault="00651339" w:rsidP="00AB30BA">
      <w:pPr>
        <w:jc w:val="both"/>
      </w:pPr>
      <w:r>
        <w:lastRenderedPageBreak/>
        <w:t xml:space="preserve">In addition, </w:t>
      </w:r>
      <w:r w:rsidR="00861A4D">
        <w:t>the lack of connection between research</w:t>
      </w:r>
      <w:r w:rsidR="00F1215E">
        <w:t xml:space="preserve"> that is </w:t>
      </w:r>
      <w:r w:rsidR="00861A4D">
        <w:t xml:space="preserve">written by academics, for academics, and teachers </w:t>
      </w:r>
      <w:r w:rsidR="00461B9C">
        <w:t>lack</w:t>
      </w:r>
      <w:r w:rsidR="005274BE">
        <w:t xml:space="preserve"> </w:t>
      </w:r>
      <w:r w:rsidR="00461B9C">
        <w:t xml:space="preserve">of </w:t>
      </w:r>
      <w:r w:rsidR="00861A4D">
        <w:t xml:space="preserve">time and ability to translate the research and apply to their practice </w:t>
      </w:r>
      <w:r w:rsidR="00F1215E">
        <w:t xml:space="preserve">is </w:t>
      </w:r>
      <w:r w:rsidR="00041B6B">
        <w:t>a</w:t>
      </w:r>
      <w:r w:rsidR="00F1215E">
        <w:t xml:space="preserve"> key issue </w:t>
      </w:r>
      <w:r w:rsidR="00EE75A6">
        <w:rPr>
          <w:noProof/>
        </w:rPr>
        <w:t>(MacLellan, 2016)</w:t>
      </w:r>
      <w:r w:rsidR="00861A4D">
        <w:t xml:space="preserve">. </w:t>
      </w:r>
      <w:r w:rsidR="00F1215E">
        <w:t>MacLellan</w:t>
      </w:r>
      <w:r w:rsidR="00861A4D">
        <w:t xml:space="preserve"> suggest</w:t>
      </w:r>
      <w:r w:rsidR="00F1215E">
        <w:t>s</w:t>
      </w:r>
      <w:r w:rsidR="00861A4D">
        <w:t xml:space="preserve"> that there needs to be conduits for research</w:t>
      </w:r>
      <w:r w:rsidR="00461B9C">
        <w:t>, converting research into something teachers can use</w:t>
      </w:r>
      <w:r w:rsidR="00861A4D">
        <w:t xml:space="preserve">.  </w:t>
      </w:r>
      <w:r w:rsidR="00461B9C">
        <w:t xml:space="preserve">Effective </w:t>
      </w:r>
      <w:r w:rsidR="00861A4D">
        <w:t>PL programmes and opportunities could provide these conduits, translating research into examples and practical pilots</w:t>
      </w:r>
      <w:r w:rsidR="00D866D6">
        <w:t xml:space="preserve">, and </w:t>
      </w:r>
      <w:r w:rsidR="00C22035">
        <w:t xml:space="preserve">overcoming some of the challenges of using research by </w:t>
      </w:r>
      <w:r w:rsidR="00D866D6">
        <w:t>providing ways for practitioners to critically engage with research in the context of their own setting and experiences</w:t>
      </w:r>
      <w:r w:rsidR="00C22035">
        <w:t xml:space="preserve">, and for practitioners to support the creation of Wales specific research evidence. </w:t>
      </w:r>
    </w:p>
    <w:p w14:paraId="5F1FB0FA" w14:textId="18921378" w:rsidR="00444E5E" w:rsidRDefault="00F23ADB" w:rsidP="00AB30BA">
      <w:pPr>
        <w:jc w:val="both"/>
        <w:rPr>
          <w:b/>
          <w:bCs/>
        </w:rPr>
      </w:pPr>
      <w:r>
        <w:rPr>
          <w:b/>
          <w:bCs/>
        </w:rPr>
        <w:t>i</w:t>
      </w:r>
      <w:r w:rsidR="00AD4161">
        <w:rPr>
          <w:b/>
          <w:bCs/>
        </w:rPr>
        <w:t>i</w:t>
      </w:r>
      <w:r w:rsidR="003A14AF">
        <w:rPr>
          <w:b/>
          <w:bCs/>
        </w:rPr>
        <w:t>)</w:t>
      </w:r>
      <w:r w:rsidR="00444E5E">
        <w:rPr>
          <w:b/>
          <w:bCs/>
        </w:rPr>
        <w:t xml:space="preserve"> </w:t>
      </w:r>
      <w:r w:rsidR="00444E5E" w:rsidRPr="00A41DCA">
        <w:rPr>
          <w:b/>
          <w:bCs/>
        </w:rPr>
        <w:t>Reflective practice</w:t>
      </w:r>
    </w:p>
    <w:p w14:paraId="27D4478C" w14:textId="4458B8CA" w:rsidR="00C22035" w:rsidRPr="00C22035" w:rsidRDefault="00C22035" w:rsidP="00BE49FE">
      <w:pPr>
        <w:jc w:val="both"/>
        <w:rPr>
          <w:rFonts w:cstheme="minorHAnsi"/>
        </w:rPr>
      </w:pPr>
      <w:r>
        <w:t>R</w:t>
      </w:r>
      <w:r w:rsidR="001E09C8">
        <w:t>eflection is a commonly identified key characteristic of effective PL</w:t>
      </w:r>
      <w:r>
        <w:t>.  Reflective practice has been defined as “learning through and from experience towards gaining new insights of self and practice” (Finlay, 2008), and has been prominent in literature since the 1980’s, including through the work of</w:t>
      </w:r>
      <w:r w:rsidR="003825DE">
        <w:t>, for example,</w:t>
      </w:r>
      <w:r>
        <w:rPr>
          <w:rFonts w:cstheme="minorHAnsi"/>
        </w:rPr>
        <w:t xml:space="preserve"> Brookfield </w:t>
      </w:r>
      <w:r w:rsidR="003825DE" w:rsidRPr="00AD5436">
        <w:rPr>
          <w:rFonts w:cstheme="minorHAnsi"/>
          <w:noProof/>
        </w:rPr>
        <w:t>(1987)</w:t>
      </w:r>
      <w:r>
        <w:rPr>
          <w:rFonts w:cstheme="minorHAnsi"/>
        </w:rPr>
        <w:t xml:space="preserve">.  There are numerous models of reflective practice, including Kolb’s learning cycle (1984), and Gibbs reflective cycle (1998), and  Schon’s model (1991).  </w:t>
      </w:r>
    </w:p>
    <w:p w14:paraId="01AF9245" w14:textId="7F8B8F4F" w:rsidR="00BE49FE" w:rsidRDefault="00BE49FE" w:rsidP="00BE49FE">
      <w:pPr>
        <w:jc w:val="both"/>
      </w:pPr>
      <w:r>
        <w:t>Darling-Hammond</w:t>
      </w:r>
      <w:r w:rsidR="003825DE">
        <w:t>,</w:t>
      </w:r>
      <w:r w:rsidR="003825DE" w:rsidRPr="003825DE">
        <w:t xml:space="preserve"> </w:t>
      </w:r>
      <w:r w:rsidR="003825DE">
        <w:t>Hyler and Gardner</w:t>
      </w:r>
      <w:r>
        <w:t xml:space="preserve"> </w:t>
      </w:r>
      <w:r w:rsidR="00FB0E99">
        <w:t xml:space="preserve">(2017) </w:t>
      </w:r>
      <w:r>
        <w:t>see</w:t>
      </w:r>
      <w:r w:rsidR="0025395A">
        <w:t xml:space="preserve"> effective</w:t>
      </w:r>
      <w:r>
        <w:t xml:space="preserve"> PL </w:t>
      </w:r>
      <w:r w:rsidR="0025395A">
        <w:t xml:space="preserve">as those which are </w:t>
      </w:r>
      <w:r>
        <w:t>planned to include time for teachers to think about, receive feedback on, and make changes to their practice</w:t>
      </w:r>
      <w:r w:rsidR="0025395A">
        <w:t xml:space="preserve">. </w:t>
      </w:r>
      <w:r w:rsidR="0011737C">
        <w:t>They</w:t>
      </w:r>
      <w:r w:rsidR="0025395A">
        <w:t xml:space="preserve"> suggest that gaining feedback from peers supports effective refection, particularly through </w:t>
      </w:r>
      <w:r w:rsidR="0011737C">
        <w:t xml:space="preserve">a process of </w:t>
      </w:r>
      <w:r w:rsidR="0025395A">
        <w:t xml:space="preserve">coaching and mentoring. </w:t>
      </w:r>
      <w:r w:rsidR="00AD4161">
        <w:t xml:space="preserve"> </w:t>
      </w:r>
    </w:p>
    <w:p w14:paraId="63D825F6" w14:textId="6BD4EAC8" w:rsidR="00444E5E" w:rsidRDefault="00444E5E" w:rsidP="00AB30BA">
      <w:pPr>
        <w:jc w:val="both"/>
        <w:rPr>
          <w:rFonts w:cstheme="minorHAnsi"/>
        </w:rPr>
      </w:pPr>
      <w:r>
        <w:rPr>
          <w:rFonts w:cstheme="minorHAnsi"/>
        </w:rPr>
        <w:t>However, the potential value of reflective practice within education has often been distorted by the performance and accountability driven education system in recent years</w:t>
      </w:r>
      <w:r w:rsidR="0025395A">
        <w:rPr>
          <w:rFonts w:cstheme="minorHAnsi"/>
        </w:rPr>
        <w:t xml:space="preserve">, </w:t>
      </w:r>
      <w:r>
        <w:rPr>
          <w:rFonts w:cstheme="minorHAnsi"/>
        </w:rPr>
        <w:t>as noted by Kilminster et al (2010)</w:t>
      </w:r>
      <w:r w:rsidR="0025395A">
        <w:rPr>
          <w:rFonts w:cstheme="minorHAnsi"/>
        </w:rPr>
        <w:t xml:space="preserve">. </w:t>
      </w:r>
      <w:r w:rsidR="00813CDF">
        <w:rPr>
          <w:rFonts w:cstheme="minorHAnsi"/>
        </w:rPr>
        <w:t xml:space="preserve">Reflection </w:t>
      </w:r>
      <w:r w:rsidR="00041B6B">
        <w:rPr>
          <w:rFonts w:cstheme="minorHAnsi"/>
        </w:rPr>
        <w:t>within</w:t>
      </w:r>
      <w:r w:rsidR="00813CDF">
        <w:rPr>
          <w:rFonts w:cstheme="minorHAnsi"/>
        </w:rPr>
        <w:t xml:space="preserve"> performance management processes discourag</w:t>
      </w:r>
      <w:r w:rsidR="00041B6B">
        <w:rPr>
          <w:rFonts w:cstheme="minorHAnsi"/>
        </w:rPr>
        <w:t>es</w:t>
      </w:r>
      <w:r w:rsidR="00813CDF">
        <w:rPr>
          <w:rFonts w:cstheme="minorHAnsi"/>
        </w:rPr>
        <w:t xml:space="preserve"> practitioners from honest and deep refection on practice. </w:t>
      </w:r>
      <w:r w:rsidR="00EE75A6">
        <w:rPr>
          <w:rFonts w:cstheme="minorHAnsi"/>
        </w:rPr>
        <w:t xml:space="preserve"> </w:t>
      </w:r>
      <w:r w:rsidR="0025395A">
        <w:rPr>
          <w:rFonts w:cstheme="minorHAnsi"/>
        </w:rPr>
        <w:t xml:space="preserve">In addition, the actual ability of practitioners </w:t>
      </w:r>
      <w:r w:rsidR="003825DE">
        <w:rPr>
          <w:rFonts w:cstheme="minorHAnsi"/>
        </w:rPr>
        <w:t xml:space="preserve">to </w:t>
      </w:r>
      <w:r w:rsidR="0025395A">
        <w:rPr>
          <w:rFonts w:cstheme="minorHAnsi"/>
        </w:rPr>
        <w:t xml:space="preserve">reflect </w:t>
      </w:r>
      <w:r w:rsidR="00407024">
        <w:rPr>
          <w:rFonts w:cstheme="minorHAnsi"/>
        </w:rPr>
        <w:t>deeply</w:t>
      </w:r>
      <w:r w:rsidR="0025395A">
        <w:rPr>
          <w:rFonts w:cstheme="minorHAnsi"/>
        </w:rPr>
        <w:t xml:space="preserve"> has been noted</w:t>
      </w:r>
      <w:r>
        <w:rPr>
          <w:rFonts w:cstheme="minorHAnsi"/>
        </w:rPr>
        <w:t xml:space="preserve"> by Furlong</w:t>
      </w:r>
      <w:r w:rsidR="0025395A">
        <w:rPr>
          <w:rFonts w:cstheme="minorHAnsi"/>
          <w:noProof/>
        </w:rPr>
        <w:t xml:space="preserve"> </w:t>
      </w:r>
      <w:r w:rsidR="0025395A" w:rsidRPr="00AD5436">
        <w:rPr>
          <w:rFonts w:cstheme="minorHAnsi"/>
          <w:noProof/>
        </w:rPr>
        <w:t>(2005)</w:t>
      </w:r>
      <w:r>
        <w:rPr>
          <w:rFonts w:cstheme="minorHAnsi"/>
        </w:rPr>
        <w:t xml:space="preserve"> </w:t>
      </w:r>
      <w:r w:rsidR="0025395A">
        <w:rPr>
          <w:rFonts w:cstheme="minorHAnsi"/>
        </w:rPr>
        <w:t xml:space="preserve">as having been reduced significantly by decades of </w:t>
      </w:r>
      <w:r w:rsidR="00407024">
        <w:rPr>
          <w:rFonts w:cstheme="minorHAnsi"/>
        </w:rPr>
        <w:t>diminished</w:t>
      </w:r>
      <w:r w:rsidR="0025395A">
        <w:rPr>
          <w:rFonts w:cstheme="minorHAnsi"/>
        </w:rPr>
        <w:t xml:space="preserve"> </w:t>
      </w:r>
      <w:r w:rsidR="00407024">
        <w:rPr>
          <w:rFonts w:cstheme="minorHAnsi"/>
        </w:rPr>
        <w:t xml:space="preserve">trust, </w:t>
      </w:r>
      <w:r w:rsidR="0025395A">
        <w:rPr>
          <w:rFonts w:cstheme="minorHAnsi"/>
        </w:rPr>
        <w:t xml:space="preserve">professionalism and agency. </w:t>
      </w:r>
      <w:r w:rsidR="00FF40B6">
        <w:rPr>
          <w:rFonts w:cstheme="minorHAnsi"/>
        </w:rPr>
        <w:t xml:space="preserve"> </w:t>
      </w:r>
    </w:p>
    <w:p w14:paraId="0D8E2976" w14:textId="65FDDFE7" w:rsidR="00AD4161" w:rsidRDefault="00813CDF" w:rsidP="00AB30BA">
      <w:pPr>
        <w:jc w:val="both"/>
        <w:rPr>
          <w:rFonts w:cstheme="minorHAnsi"/>
        </w:rPr>
      </w:pPr>
      <w:r>
        <w:rPr>
          <w:rFonts w:cstheme="minorHAnsi"/>
        </w:rPr>
        <w:t xml:space="preserve">These factors may lead to a degree of superficial or tokenistic refection, that reduces the value and potential impact of the process. </w:t>
      </w:r>
      <w:r w:rsidR="00444E5E">
        <w:rPr>
          <w:rFonts w:cstheme="minorHAnsi"/>
        </w:rPr>
        <w:t xml:space="preserve">West </w:t>
      </w:r>
      <w:r w:rsidR="00444E5E">
        <w:rPr>
          <w:rFonts w:cstheme="minorHAnsi"/>
          <w:noProof/>
        </w:rPr>
        <w:t>(</w:t>
      </w:r>
      <w:r w:rsidR="00444E5E" w:rsidRPr="00AD5436">
        <w:rPr>
          <w:rFonts w:cstheme="minorHAnsi"/>
          <w:noProof/>
        </w:rPr>
        <w:t>2010)</w:t>
      </w:r>
      <w:r w:rsidR="00444E5E">
        <w:rPr>
          <w:rFonts w:cstheme="minorHAnsi"/>
        </w:rPr>
        <w:t xml:space="preserve"> makes a clear case for the need for reflective practice to be a holistic, critical process focused on developing self-knowledge. West’s research with Teach First graduates noted the reflective value of time and space that was provided by the research itself</w:t>
      </w:r>
      <w:r>
        <w:rPr>
          <w:rFonts w:cstheme="minorHAnsi"/>
        </w:rPr>
        <w:t xml:space="preserve">, suggesting that engaging with research facilitates time and space for reflection on practice, and the two pedagogies support each other. </w:t>
      </w:r>
      <w:r w:rsidR="00EE75A6">
        <w:rPr>
          <w:rFonts w:cstheme="minorHAnsi"/>
        </w:rPr>
        <w:t xml:space="preserve">  Effective PL could </w:t>
      </w:r>
      <w:r w:rsidR="00041B6B">
        <w:rPr>
          <w:rFonts w:cstheme="minorHAnsi"/>
        </w:rPr>
        <w:t xml:space="preserve">therefore </w:t>
      </w:r>
      <w:r w:rsidR="00EE75A6">
        <w:rPr>
          <w:rFonts w:cstheme="minorHAnsi"/>
        </w:rPr>
        <w:t xml:space="preserve">provide opportunities for reflective time and space for practitioners to engage with and reflect on research and practice. </w:t>
      </w:r>
    </w:p>
    <w:p w14:paraId="1534DE33" w14:textId="5ECB33D0" w:rsidR="00D11D89" w:rsidRPr="0011737C" w:rsidRDefault="00D11D89" w:rsidP="00AB30BA">
      <w:pPr>
        <w:jc w:val="both"/>
      </w:pPr>
      <w:r>
        <w:rPr>
          <w:noProof/>
        </w:rPr>
        <w:t xml:space="preserve">However, practitioners need time within PL to reflect. </w:t>
      </w:r>
      <w:r>
        <w:t xml:space="preserve">A recent You Gov survey </w:t>
      </w:r>
      <w:sdt>
        <w:sdtPr>
          <w:id w:val="-559487489"/>
          <w:citation/>
        </w:sdtPr>
        <w:sdtContent>
          <w:r>
            <w:fldChar w:fldCharType="begin"/>
          </w:r>
          <w:r>
            <w:instrText xml:space="preserve"> CITATION Ofs23 \l 2057 </w:instrText>
          </w:r>
          <w:r>
            <w:fldChar w:fldCharType="separate"/>
          </w:r>
          <w:r>
            <w:rPr>
              <w:noProof/>
            </w:rPr>
            <w:t>(Ofsted, 2023)</w:t>
          </w:r>
          <w:r>
            <w:fldChar w:fldCharType="end"/>
          </w:r>
        </w:sdtContent>
      </w:sdt>
      <w:r>
        <w:t xml:space="preserve"> revealed that </w:t>
      </w:r>
      <w:r w:rsidRPr="007C6775">
        <w:t xml:space="preserve">a high proportion of teachers felt that they rarely received </w:t>
      </w:r>
      <w:r>
        <w:t>PL</w:t>
      </w:r>
      <w:r w:rsidRPr="007C6775">
        <w:t xml:space="preserve"> that </w:t>
      </w:r>
      <w:r>
        <w:t xml:space="preserve">included opportunities to reflect and embed their learning into </w:t>
      </w:r>
      <w:r w:rsidR="00041B6B">
        <w:t xml:space="preserve">practice. </w:t>
      </w:r>
      <w:r w:rsidR="00C22035">
        <w:t>Whilst this research reflects the English context, the calls in Wales for additional INSE</w:t>
      </w:r>
      <w:r w:rsidR="0011737C">
        <w:t>T</w:t>
      </w:r>
      <w:r w:rsidR="00C22035">
        <w:t xml:space="preserve"> time to prepare for CfW would suggest that practitioners feel that lack of </w:t>
      </w:r>
      <w:r w:rsidR="00041B6B">
        <w:t xml:space="preserve">tine for </w:t>
      </w:r>
      <w:r w:rsidR="00C22035">
        <w:t>PL</w:t>
      </w:r>
      <w:r w:rsidR="0011737C">
        <w:t xml:space="preserve"> </w:t>
      </w:r>
      <w:r w:rsidR="00C22035">
        <w:t xml:space="preserve">is a significant issue. </w:t>
      </w:r>
    </w:p>
    <w:p w14:paraId="3685B5CF" w14:textId="7A12A5C8" w:rsidR="00444E5E" w:rsidRDefault="00EB659F" w:rsidP="00AB30BA">
      <w:pPr>
        <w:jc w:val="both"/>
        <w:rPr>
          <w:b/>
          <w:bCs/>
        </w:rPr>
      </w:pPr>
      <w:r>
        <w:rPr>
          <w:b/>
          <w:bCs/>
        </w:rPr>
        <w:t>c</w:t>
      </w:r>
      <w:r w:rsidR="003A14AF">
        <w:rPr>
          <w:b/>
          <w:bCs/>
        </w:rPr>
        <w:t xml:space="preserve"> i</w:t>
      </w:r>
      <w:r w:rsidR="00411FA6">
        <w:rPr>
          <w:b/>
          <w:bCs/>
        </w:rPr>
        <w:t>ii</w:t>
      </w:r>
      <w:r w:rsidR="003A14AF">
        <w:rPr>
          <w:b/>
          <w:bCs/>
        </w:rPr>
        <w:t xml:space="preserve">) </w:t>
      </w:r>
      <w:r w:rsidR="00444E5E">
        <w:rPr>
          <w:b/>
          <w:bCs/>
        </w:rPr>
        <w:t xml:space="preserve">Collaboration </w:t>
      </w:r>
    </w:p>
    <w:p w14:paraId="0E7839D3" w14:textId="04B65A53" w:rsidR="005B06A4" w:rsidRDefault="005B06A4" w:rsidP="00AB30BA">
      <w:pPr>
        <w:jc w:val="both"/>
        <w:rPr>
          <w:noProof/>
        </w:rPr>
      </w:pPr>
      <w:r w:rsidRPr="005B06A4">
        <w:rPr>
          <w:noProof/>
        </w:rPr>
        <w:t xml:space="preserve">Collaboration is </w:t>
      </w:r>
      <w:r w:rsidR="0011737C">
        <w:rPr>
          <w:noProof/>
        </w:rPr>
        <w:t>consistently</w:t>
      </w:r>
      <w:r w:rsidRPr="005B06A4">
        <w:rPr>
          <w:noProof/>
        </w:rPr>
        <w:t xml:space="preserve"> noted as </w:t>
      </w:r>
      <w:r w:rsidR="0011737C">
        <w:rPr>
          <w:noProof/>
        </w:rPr>
        <w:t>a characteristic of</w:t>
      </w:r>
      <w:r w:rsidRPr="005B06A4">
        <w:rPr>
          <w:noProof/>
        </w:rPr>
        <w:t xml:space="preserve"> effect</w:t>
      </w:r>
      <w:r w:rsidR="00AC2CF3">
        <w:rPr>
          <w:noProof/>
        </w:rPr>
        <w:t>i</w:t>
      </w:r>
      <w:r w:rsidRPr="005B06A4">
        <w:rPr>
          <w:noProof/>
        </w:rPr>
        <w:t xml:space="preserve">ve PL, particularly peer support </w:t>
      </w:r>
      <w:r w:rsidR="0011737C">
        <w:rPr>
          <w:noProof/>
        </w:rPr>
        <w:t xml:space="preserve">and collaboration </w:t>
      </w:r>
      <w:r w:rsidRPr="005B06A4">
        <w:rPr>
          <w:noProof/>
        </w:rPr>
        <w:t>(Cordingley et al 2015).   Darling-Hammond</w:t>
      </w:r>
      <w:r w:rsidR="003825DE">
        <w:rPr>
          <w:noProof/>
        </w:rPr>
        <w:t xml:space="preserve">, </w:t>
      </w:r>
      <w:r w:rsidR="003825DE">
        <w:t>Hyler and Gardner</w:t>
      </w:r>
      <w:r w:rsidRPr="005B06A4">
        <w:rPr>
          <w:noProof/>
        </w:rPr>
        <w:t xml:space="preserve"> (2017) cited school wide collaborations in New Zealand as evidence</w:t>
      </w:r>
      <w:r w:rsidR="00F3725E">
        <w:rPr>
          <w:noProof/>
        </w:rPr>
        <w:t xml:space="preserve"> of</w:t>
      </w:r>
      <w:r w:rsidRPr="005B06A4">
        <w:rPr>
          <w:noProof/>
        </w:rPr>
        <w:t xml:space="preserve"> PL programmes</w:t>
      </w:r>
      <w:r w:rsidR="00F3725E">
        <w:rPr>
          <w:noProof/>
        </w:rPr>
        <w:t xml:space="preserve"> that</w:t>
      </w:r>
      <w:r w:rsidRPr="005B06A4">
        <w:rPr>
          <w:noProof/>
        </w:rPr>
        <w:t xml:space="preserve"> promote school wide change</w:t>
      </w:r>
      <w:r w:rsidR="0011737C">
        <w:rPr>
          <w:noProof/>
        </w:rPr>
        <w:t xml:space="preserve">, identifying </w:t>
      </w:r>
      <w:r w:rsidRPr="005B06A4">
        <w:rPr>
          <w:noProof/>
        </w:rPr>
        <w:t>collaborative work in trusted environments as being especially impactful. Th</w:t>
      </w:r>
      <w:r w:rsidR="0011737C">
        <w:rPr>
          <w:noProof/>
        </w:rPr>
        <w:t>is</w:t>
      </w:r>
      <w:r w:rsidRPr="005B06A4">
        <w:rPr>
          <w:noProof/>
        </w:rPr>
        <w:t xml:space="preserve"> research suggests that collaboration is beneficial when used to to solve problems, </w:t>
      </w:r>
      <w:r w:rsidR="0011737C">
        <w:rPr>
          <w:noProof/>
        </w:rPr>
        <w:t xml:space="preserve">or </w:t>
      </w:r>
      <w:r w:rsidRPr="005B06A4">
        <w:rPr>
          <w:noProof/>
        </w:rPr>
        <w:t xml:space="preserve">establish new approaches  (Cordingley et al, 2015). </w:t>
      </w:r>
      <w:r w:rsidR="00F3725E">
        <w:rPr>
          <w:noProof/>
        </w:rPr>
        <w:t xml:space="preserve"> </w:t>
      </w:r>
      <w:r w:rsidRPr="005B06A4">
        <w:t xml:space="preserve">Holland and Tate </w:t>
      </w:r>
      <w:r w:rsidRPr="005B06A4">
        <w:rPr>
          <w:noProof/>
        </w:rPr>
        <w:t>(2022)</w:t>
      </w:r>
      <w:r w:rsidRPr="005B06A4">
        <w:t xml:space="preserve"> support the value of collaboration, suggesting that </w:t>
      </w:r>
      <w:r w:rsidRPr="005B06A4">
        <w:lastRenderedPageBreak/>
        <w:t xml:space="preserve">PL is designed to include collaborative and social learning refection, </w:t>
      </w:r>
      <w:r w:rsidR="0011737C">
        <w:t xml:space="preserve">leads to changes in </w:t>
      </w:r>
      <w:r w:rsidRPr="005B06A4">
        <w:t>practice</w:t>
      </w:r>
      <w:r w:rsidR="0011737C">
        <w:t xml:space="preserve">.  The ability of collaboration to lead to changed practice would suggest its importance in PL on CfW, which will require changes to curriculum and pedagogical practice. </w:t>
      </w:r>
    </w:p>
    <w:p w14:paraId="5A386B77" w14:textId="62B3D8EC" w:rsidR="00AC2CF3" w:rsidRDefault="00212829" w:rsidP="00AC2CF3">
      <w:pPr>
        <w:jc w:val="both"/>
      </w:pPr>
      <w:r>
        <w:t xml:space="preserve">Indeed, there is a wealth of evidence supporting collaboration in improving teachers practice </w:t>
      </w:r>
      <w:r>
        <w:rPr>
          <w:noProof/>
        </w:rPr>
        <w:t xml:space="preserve"> (Harris et al, 2017; Hargreaves and O’Connor 2018; Scutt and Harrison, 2021).  Collaborative working, done well, empowers teachers and increases self-efficacy</w:t>
      </w:r>
      <w:sdt>
        <w:sdtPr>
          <w:rPr>
            <w:noProof/>
          </w:rPr>
          <w:id w:val="-344167367"/>
          <w:citation/>
        </w:sdtPr>
        <w:sdtContent>
          <w:r>
            <w:rPr>
              <w:noProof/>
            </w:rPr>
            <w:fldChar w:fldCharType="begin"/>
          </w:r>
          <w:r>
            <w:rPr>
              <w:noProof/>
            </w:rPr>
            <w:instrText xml:space="preserve">CITATION Don \l 2057 </w:instrText>
          </w:r>
          <w:r>
            <w:rPr>
              <w:noProof/>
            </w:rPr>
            <w:fldChar w:fldCharType="separate"/>
          </w:r>
          <w:r>
            <w:rPr>
              <w:noProof/>
            </w:rPr>
            <w:t xml:space="preserve"> (Donohoo, Hatie, &amp; and Eells, 2018)</w:t>
          </w:r>
          <w:r>
            <w:rPr>
              <w:noProof/>
            </w:rPr>
            <w:fldChar w:fldCharType="end"/>
          </w:r>
        </w:sdtContent>
      </w:sdt>
      <w:r>
        <w:rPr>
          <w:noProof/>
        </w:rPr>
        <w:t xml:space="preserve">. Hattie acknowledges a </w:t>
      </w:r>
      <w:r w:rsidRPr="009A1C01">
        <w:rPr>
          <w:noProof/>
        </w:rPr>
        <w:t>strong correlat</w:t>
      </w:r>
      <w:r>
        <w:rPr>
          <w:noProof/>
        </w:rPr>
        <w:t xml:space="preserve">ion between collective teacher efficacy and </w:t>
      </w:r>
      <w:r w:rsidRPr="009A1C01">
        <w:rPr>
          <w:noProof/>
        </w:rPr>
        <w:t>student achievement</w:t>
      </w:r>
      <w:r>
        <w:rPr>
          <w:noProof/>
        </w:rPr>
        <w:t xml:space="preserve">, noting an </w:t>
      </w:r>
      <w:r w:rsidRPr="009A1C01">
        <w:rPr>
          <w:noProof/>
        </w:rPr>
        <w:t>effect size of 1.57</w:t>
      </w:r>
      <w:r>
        <w:rPr>
          <w:noProof/>
        </w:rPr>
        <w:t>. (Hattie, 2017).  Therefore, collaborative PL that increases teacher efficacy will have a significant effect on student acheivement</w:t>
      </w:r>
      <w:r w:rsidR="00C22035">
        <w:rPr>
          <w:noProof/>
        </w:rPr>
        <w:t xml:space="preserve">.  </w:t>
      </w:r>
    </w:p>
    <w:p w14:paraId="74ABA9A5" w14:textId="7A1F901F" w:rsidR="000A08E2" w:rsidRDefault="007478A1" w:rsidP="00C22035">
      <w:pPr>
        <w:jc w:val="both"/>
      </w:pPr>
      <w:r>
        <w:t>Stewart</w:t>
      </w:r>
      <w:r>
        <w:rPr>
          <w:b/>
          <w:bCs/>
        </w:rPr>
        <w:t xml:space="preserve"> </w:t>
      </w:r>
      <w:r>
        <w:rPr>
          <w:noProof/>
        </w:rPr>
        <w:t>(2014)</w:t>
      </w:r>
      <w:r>
        <w:t xml:space="preserve"> suggests that PL internationally, is moving strongly towards </w:t>
      </w:r>
      <w:r w:rsidR="00212829">
        <w:t xml:space="preserve">greater extent of </w:t>
      </w:r>
      <w:r>
        <w:t>professional collaboration</w:t>
      </w:r>
      <w:r w:rsidR="00C22035">
        <w:t xml:space="preserve">, due to its clear positive impact. </w:t>
      </w:r>
      <w:r w:rsidR="00AC2CF3">
        <w:t xml:space="preserve">  </w:t>
      </w:r>
      <w:r w:rsidR="00AC2CF3">
        <w:rPr>
          <w:noProof/>
        </w:rPr>
        <w:t>It is therefore unsurpring that m</w:t>
      </w:r>
      <w:r w:rsidR="001004BF">
        <w:rPr>
          <w:noProof/>
        </w:rPr>
        <w:t xml:space="preserve">ost formal </w:t>
      </w:r>
      <w:r>
        <w:rPr>
          <w:noProof/>
        </w:rPr>
        <w:t>PL</w:t>
      </w:r>
      <w:r w:rsidR="001004BF">
        <w:rPr>
          <w:noProof/>
        </w:rPr>
        <w:t xml:space="preserve"> provision in Wales includes an element of collaboration, for example</w:t>
      </w:r>
      <w:r w:rsidR="00AC2CF3">
        <w:rPr>
          <w:noProof/>
        </w:rPr>
        <w:t xml:space="preserve">, </w:t>
      </w:r>
      <w:r w:rsidR="001004BF">
        <w:rPr>
          <w:noProof/>
        </w:rPr>
        <w:t xml:space="preserve">the Central South Wales Challenge approach </w:t>
      </w:r>
      <w:r w:rsidR="00631C49">
        <w:rPr>
          <w:noProof/>
        </w:rPr>
        <w:t>(Central South Consortia, 2023)</w:t>
      </w:r>
      <w:r w:rsidR="00AC2CF3">
        <w:rPr>
          <w:noProof/>
        </w:rPr>
        <w:t xml:space="preserve">.  </w:t>
      </w:r>
      <w:r w:rsidR="001004BF">
        <w:rPr>
          <w:noProof/>
        </w:rPr>
        <w:t xml:space="preserve">Collaboration is also embedded into the curriculum guidance, which states that schools must work together to gain a shared understanding of progression, and engage </w:t>
      </w:r>
      <w:r w:rsidR="00F3725E">
        <w:rPr>
          <w:noProof/>
        </w:rPr>
        <w:t>with cluster</w:t>
      </w:r>
      <w:r w:rsidR="001004BF">
        <w:rPr>
          <w:noProof/>
        </w:rPr>
        <w:t xml:space="preserve"> schools to plan for tran</w:t>
      </w:r>
      <w:r w:rsidR="00F3725E">
        <w:rPr>
          <w:noProof/>
        </w:rPr>
        <w:t>sition</w:t>
      </w:r>
      <w:r w:rsidR="001004BF">
        <w:rPr>
          <w:noProof/>
        </w:rPr>
        <w:t xml:space="preserve"> (Welsh Government, 202</w:t>
      </w:r>
      <w:r w:rsidR="00F3725E">
        <w:rPr>
          <w:noProof/>
        </w:rPr>
        <w:t>0</w:t>
      </w:r>
      <w:r w:rsidR="001004BF">
        <w:rPr>
          <w:noProof/>
        </w:rPr>
        <w:t xml:space="preserve">).  </w:t>
      </w:r>
      <w:r w:rsidR="009A1C01">
        <w:rPr>
          <w:noProof/>
        </w:rPr>
        <w:t xml:space="preserve"> </w:t>
      </w:r>
    </w:p>
    <w:p w14:paraId="69A29C49" w14:textId="77AD27DA" w:rsidR="001004BF" w:rsidRDefault="001004BF" w:rsidP="00F1215E">
      <w:pPr>
        <w:jc w:val="both"/>
        <w:rPr>
          <w:noProof/>
        </w:rPr>
      </w:pPr>
      <w:r>
        <w:rPr>
          <w:noProof/>
        </w:rPr>
        <w:t>However, there are a myriad of approaches and terminology for collaborati</w:t>
      </w:r>
      <w:r w:rsidR="00F3725E">
        <w:rPr>
          <w:noProof/>
        </w:rPr>
        <w:t>on</w:t>
      </w:r>
      <w:r>
        <w:rPr>
          <w:noProof/>
        </w:rPr>
        <w:t>, including collaborative profession</w:t>
      </w:r>
      <w:r w:rsidR="009A1C01">
        <w:rPr>
          <w:noProof/>
        </w:rPr>
        <w:t>a</w:t>
      </w:r>
      <w:r>
        <w:rPr>
          <w:noProof/>
        </w:rPr>
        <w:t>lism, PLC’s</w:t>
      </w:r>
      <w:r w:rsidR="00631C49">
        <w:rPr>
          <w:noProof/>
        </w:rPr>
        <w:t xml:space="preserve"> (Harris, Jones and Huffman, 2017)</w:t>
      </w:r>
      <w:r>
        <w:rPr>
          <w:noProof/>
        </w:rPr>
        <w:t xml:space="preserve">, </w:t>
      </w:r>
      <w:r w:rsidR="00631C49">
        <w:rPr>
          <w:noProof/>
        </w:rPr>
        <w:t xml:space="preserve">spirals of enquiry, and </w:t>
      </w:r>
      <w:r>
        <w:rPr>
          <w:noProof/>
        </w:rPr>
        <w:t xml:space="preserve">communities of practice. Harris and Jones (2019) make the distinction between collaborative strategies and collaborative </w:t>
      </w:r>
      <w:r w:rsidR="00631C49">
        <w:rPr>
          <w:noProof/>
        </w:rPr>
        <w:t>m</w:t>
      </w:r>
      <w:r>
        <w:rPr>
          <w:noProof/>
        </w:rPr>
        <w:t>odels</w:t>
      </w:r>
      <w:r w:rsidR="00AC2CF3">
        <w:rPr>
          <w:noProof/>
        </w:rPr>
        <w:t>, with mo</w:t>
      </w:r>
      <w:r>
        <w:rPr>
          <w:noProof/>
        </w:rPr>
        <w:t>dels provid</w:t>
      </w:r>
      <w:r w:rsidR="00AC2CF3">
        <w:rPr>
          <w:noProof/>
        </w:rPr>
        <w:t>ing</w:t>
      </w:r>
      <w:r>
        <w:rPr>
          <w:noProof/>
        </w:rPr>
        <w:t xml:space="preserve"> ways of working, whilst strategies are activities, such as learning walks</w:t>
      </w:r>
      <w:r w:rsidR="00AC2CF3">
        <w:rPr>
          <w:noProof/>
        </w:rPr>
        <w:t xml:space="preserve">, </w:t>
      </w:r>
      <w:r>
        <w:rPr>
          <w:noProof/>
        </w:rPr>
        <w:t xml:space="preserve">deployed at specific times within a model. </w:t>
      </w:r>
      <w:r w:rsidR="00631C49">
        <w:rPr>
          <w:noProof/>
        </w:rPr>
        <w:t xml:space="preserve"> Conflation of strategies with models is common accoring to Harris and Jones, leading to mixed results and confusion. </w:t>
      </w:r>
      <w:r w:rsidR="00AC2CF3">
        <w:rPr>
          <w:noProof/>
        </w:rPr>
        <w:t xml:space="preserve"> </w:t>
      </w:r>
    </w:p>
    <w:p w14:paraId="24E9BC6B" w14:textId="505E8260" w:rsidR="007478A1" w:rsidRDefault="00F3725E" w:rsidP="00F1215E">
      <w:pPr>
        <w:jc w:val="both"/>
        <w:rPr>
          <w:noProof/>
        </w:rPr>
      </w:pPr>
      <w:r>
        <w:rPr>
          <w:noProof/>
        </w:rPr>
        <w:t>R</w:t>
      </w:r>
      <w:r w:rsidR="00C22035">
        <w:rPr>
          <w:noProof/>
        </w:rPr>
        <w:t xml:space="preserve">esearch has atempted to provide evidence on the most appropriate ways to collaborate.  The </w:t>
      </w:r>
      <w:r w:rsidR="00631C49">
        <w:rPr>
          <w:noProof/>
        </w:rPr>
        <w:t xml:space="preserve">positive impact of PLC’s </w:t>
      </w:r>
      <w:r w:rsidR="00C22035">
        <w:rPr>
          <w:noProof/>
        </w:rPr>
        <w:t xml:space="preserve">has been noted in particular </w:t>
      </w:r>
      <w:r w:rsidR="00631C49">
        <w:rPr>
          <w:noProof/>
        </w:rPr>
        <w:t>(Vescio et al, 2008; Harris, Jones and Huffman, 2018)</w:t>
      </w:r>
      <w:r w:rsidR="007478A1">
        <w:rPr>
          <w:noProof/>
        </w:rPr>
        <w:t>.</w:t>
      </w:r>
      <w:r w:rsidR="00F1215E">
        <w:rPr>
          <w:noProof/>
        </w:rPr>
        <w:t xml:space="preserve"> </w:t>
      </w:r>
      <w:r w:rsidR="007478A1">
        <w:t xml:space="preserve">However, this model is not without challenges.  </w:t>
      </w:r>
      <w:r w:rsidR="007478A1">
        <w:rPr>
          <w:noProof/>
        </w:rPr>
        <w:t>Trabona et al, (2019)</w:t>
      </w:r>
      <w:r w:rsidR="007478A1">
        <w:t xml:space="preserve"> suggest problems with PLC’s, including lack of time, low investment in the process from teachers, and the risk of resistance to change.  There is also the danger of the learning of the group not being disseminated </w:t>
      </w:r>
      <w:r>
        <w:t xml:space="preserve">more widely. </w:t>
      </w:r>
      <w:r w:rsidR="007478A1">
        <w:t xml:space="preserve">This has been the case with the work of </w:t>
      </w:r>
      <w:r w:rsidR="000A08E2">
        <w:t>p</w:t>
      </w:r>
      <w:r w:rsidR="007478A1">
        <w:t>ioneer schools in recent years</w:t>
      </w:r>
      <w:r w:rsidR="003825DE">
        <w:t xml:space="preserve"> </w:t>
      </w:r>
      <w:sdt>
        <w:sdtPr>
          <w:id w:val="-284587598"/>
          <w:citation/>
        </w:sdtPr>
        <w:sdtContent>
          <w:r w:rsidR="007478A1">
            <w:fldChar w:fldCharType="begin"/>
          </w:r>
          <w:r w:rsidR="007478A1">
            <w:instrText xml:space="preserve"> CITATION Est22 \l 2057 </w:instrText>
          </w:r>
          <w:r w:rsidR="007478A1">
            <w:fldChar w:fldCharType="separate"/>
          </w:r>
          <w:r w:rsidR="007478A1">
            <w:rPr>
              <w:noProof/>
            </w:rPr>
            <w:t>(Estyn, 2022)</w:t>
          </w:r>
          <w:r w:rsidR="007478A1">
            <w:fldChar w:fldCharType="end"/>
          </w:r>
        </w:sdtContent>
      </w:sdt>
      <w:r w:rsidR="007478A1">
        <w:t xml:space="preserve">. </w:t>
      </w:r>
    </w:p>
    <w:p w14:paraId="0A927564" w14:textId="2C1A3B78" w:rsidR="00444E5E" w:rsidRDefault="000A08E2" w:rsidP="00AB30BA">
      <w:pPr>
        <w:jc w:val="both"/>
      </w:pPr>
      <w:r>
        <w:rPr>
          <w:noProof/>
        </w:rPr>
        <w:t>Another impactful collaborative straegy model that is supported by research  is t</w:t>
      </w:r>
      <w:r w:rsidR="009A1C01">
        <w:rPr>
          <w:noProof/>
        </w:rPr>
        <w:t>he</w:t>
      </w:r>
      <w:r w:rsidR="00631C49">
        <w:rPr>
          <w:noProof/>
        </w:rPr>
        <w:t xml:space="preserve"> </w:t>
      </w:r>
      <w:r w:rsidR="00444E5E">
        <w:rPr>
          <w:noProof/>
        </w:rPr>
        <w:t>communities of practice (CoP)</w:t>
      </w:r>
      <w:r w:rsidR="009A1C01">
        <w:rPr>
          <w:noProof/>
        </w:rPr>
        <w:t xml:space="preserve"> model</w:t>
      </w:r>
      <w:r w:rsidR="00444E5E">
        <w:rPr>
          <w:noProof/>
        </w:rPr>
        <w:t>.</w:t>
      </w:r>
      <w:r w:rsidR="009A1C01">
        <w:rPr>
          <w:noProof/>
        </w:rPr>
        <w:t xml:space="preserve"> </w:t>
      </w:r>
      <w:r w:rsidR="00444E5E">
        <w:rPr>
          <w:noProof/>
        </w:rPr>
        <w:t xml:space="preserve"> Wenger (2010), describes </w:t>
      </w:r>
      <w:r w:rsidR="00631C49">
        <w:rPr>
          <w:noProof/>
        </w:rPr>
        <w:t xml:space="preserve">CoP </w:t>
      </w:r>
      <w:r w:rsidR="00444E5E">
        <w:rPr>
          <w:noProof/>
        </w:rPr>
        <w:t xml:space="preserve">as being based on the structural elements of a </w:t>
      </w:r>
      <w:r w:rsidR="00444E5E" w:rsidRPr="00EF1349">
        <w:rPr>
          <w:noProof/>
        </w:rPr>
        <w:t>shared repertoire, mutual engagement and joint enterprise</w:t>
      </w:r>
      <w:r w:rsidR="00444E5E">
        <w:rPr>
          <w:noProof/>
        </w:rPr>
        <w:t xml:space="preserve">. </w:t>
      </w:r>
      <w:r w:rsidR="00631C49">
        <w:rPr>
          <w:noProof/>
        </w:rPr>
        <w:t>CoP</w:t>
      </w:r>
      <w:r w:rsidR="00444E5E">
        <w:rPr>
          <w:noProof/>
        </w:rPr>
        <w:t xml:space="preserve"> are fundamentally self governed collections of professionals.  Pyrko et al (2016) explore the concept of ‘thinking together’ as being central to the working of a community of practice.  They pose that this concept is central to the knowledge sharing within communities of practice, as well as to their nature as ‘cultivated’ rather than imposed bodies. </w:t>
      </w:r>
      <w:r>
        <w:rPr>
          <w:noProof/>
        </w:rPr>
        <w:t xml:space="preserve"> </w:t>
      </w:r>
    </w:p>
    <w:p w14:paraId="281F0257" w14:textId="0EC10401" w:rsidR="000A08E2" w:rsidRDefault="000A08E2" w:rsidP="00F1215E">
      <w:pPr>
        <w:jc w:val="both"/>
      </w:pPr>
      <w:r>
        <w:t xml:space="preserve">However, there is a danger that even within these models, collaboration can become  ‘contrived collegiality’ </w:t>
      </w:r>
      <w:sdt>
        <w:sdtPr>
          <w:id w:val="-354340876"/>
          <w:citation/>
        </w:sdtPr>
        <w:sdtContent>
          <w:r>
            <w:fldChar w:fldCharType="begin"/>
          </w:r>
          <w:r>
            <w:instrText xml:space="preserve">CITATION Har92 \p 196 \l 2057 </w:instrText>
          </w:r>
          <w:r>
            <w:fldChar w:fldCharType="separate"/>
          </w:r>
          <w:r>
            <w:rPr>
              <w:noProof/>
            </w:rPr>
            <w:t>(Hargreaves, 1992, p. 196)</w:t>
          </w:r>
          <w:r>
            <w:fldChar w:fldCharType="end"/>
          </w:r>
        </w:sdtContent>
      </w:sdt>
      <w:r>
        <w:t xml:space="preserve">. </w:t>
      </w:r>
      <w:r w:rsidRPr="00F1215E">
        <w:t xml:space="preserve"> Hargreave</w:t>
      </w:r>
      <w:r>
        <w:t xml:space="preserve">s and O’Connor </w:t>
      </w:r>
      <w:r>
        <w:rPr>
          <w:noProof/>
        </w:rPr>
        <w:t>(2018)</w:t>
      </w:r>
      <w:r>
        <w:t>, emphasise a difference between professional collaboration and collaborative professionalism. They see professional collaboration as</w:t>
      </w:r>
      <w:r w:rsidR="003825DE">
        <w:t xml:space="preserve"> simply practitioners working together. </w:t>
      </w:r>
      <w:r>
        <w:t xml:space="preserve"> In contrast, collaborative professionalism is the ‘golden cell’ of  collaboration, which happens when teachers have strong connections, high levels of trust, and are free to take risks and make mistakes. They use coaching, feedback and reviews to support practical action and continuous improvement. This approach to collaboration is highly structured, and goes beyond teachers working together</w:t>
      </w:r>
      <w:r w:rsidR="00F3725E">
        <w:t>, and begins to suggest specific mechanisms within the collaboration, in a similar way to Sims et al (2021) focus on more specific processes and components within PL</w:t>
      </w:r>
      <w:r>
        <w:t xml:space="preserve">.  </w:t>
      </w:r>
    </w:p>
    <w:p w14:paraId="0CD0FCEC" w14:textId="77777777" w:rsidR="00411FA6" w:rsidRDefault="00411FA6" w:rsidP="00AB30BA">
      <w:pPr>
        <w:jc w:val="both"/>
        <w:rPr>
          <w:rFonts w:cstheme="minorHAnsi"/>
        </w:rPr>
      </w:pPr>
      <w:r>
        <w:rPr>
          <w:b/>
          <w:bCs/>
        </w:rPr>
        <w:lastRenderedPageBreak/>
        <w:t>c iv)</w:t>
      </w:r>
      <w:r w:rsidRPr="003A14AF">
        <w:rPr>
          <w:b/>
          <w:bCs/>
        </w:rPr>
        <w:t xml:space="preserve"> Coaching</w:t>
      </w:r>
      <w:r w:rsidRPr="003A14AF">
        <w:rPr>
          <w:rFonts w:cstheme="minorHAnsi"/>
        </w:rPr>
        <w:t xml:space="preserve"> </w:t>
      </w:r>
    </w:p>
    <w:p w14:paraId="180F62EF" w14:textId="589E97C1" w:rsidR="00A61B96" w:rsidRDefault="00644909" w:rsidP="00AB30BA">
      <w:pPr>
        <w:jc w:val="both"/>
        <w:rPr>
          <w:rFonts w:cstheme="minorHAnsi"/>
          <w:noProof/>
        </w:rPr>
      </w:pPr>
      <w:r>
        <w:rPr>
          <w:rFonts w:cstheme="minorHAnsi"/>
        </w:rPr>
        <w:t xml:space="preserve">Coaching is a specific form of </w:t>
      </w:r>
      <w:r w:rsidR="003825DE">
        <w:rPr>
          <w:rFonts w:cstheme="minorHAnsi"/>
        </w:rPr>
        <w:t xml:space="preserve">PL </w:t>
      </w:r>
      <w:r>
        <w:rPr>
          <w:rFonts w:cstheme="minorHAnsi"/>
        </w:rPr>
        <w:t>collaborati</w:t>
      </w:r>
      <w:r w:rsidR="00B74565">
        <w:rPr>
          <w:rFonts w:cstheme="minorHAnsi"/>
        </w:rPr>
        <w:t xml:space="preserve">on </w:t>
      </w:r>
      <w:r>
        <w:rPr>
          <w:rFonts w:cstheme="minorHAnsi"/>
        </w:rPr>
        <w:t xml:space="preserve">that is </w:t>
      </w:r>
      <w:r w:rsidR="00411FA6">
        <w:rPr>
          <w:rFonts w:cstheme="minorHAnsi"/>
        </w:rPr>
        <w:t>embedded in the NAPL</w:t>
      </w:r>
      <w:r w:rsidR="00B74565">
        <w:rPr>
          <w:rFonts w:cstheme="minorHAnsi"/>
        </w:rPr>
        <w:t>, and s</w:t>
      </w:r>
      <w:r w:rsidR="00411FA6">
        <w:rPr>
          <w:rFonts w:cstheme="minorHAnsi"/>
        </w:rPr>
        <w:t>ignificant funding has been provided implement a National Coaching and Mentoring programme in Wales</w:t>
      </w:r>
      <w:r w:rsidR="00B74565">
        <w:rPr>
          <w:rFonts w:cstheme="minorHAnsi"/>
        </w:rPr>
        <w:t xml:space="preserve"> </w:t>
      </w:r>
      <w:sdt>
        <w:sdtPr>
          <w:rPr>
            <w:rFonts w:cstheme="minorHAnsi"/>
          </w:rPr>
          <w:id w:val="-725913416"/>
          <w:citation/>
        </w:sdtPr>
        <w:sdtContent>
          <w:r w:rsidR="005F1447">
            <w:rPr>
              <w:rFonts w:cstheme="minorHAnsi"/>
            </w:rPr>
            <w:fldChar w:fldCharType="begin"/>
          </w:r>
          <w:r w:rsidR="005F1447">
            <w:rPr>
              <w:rFonts w:cstheme="minorHAnsi"/>
            </w:rPr>
            <w:instrText xml:space="preserve"> CITATION Reg22 \l 2057 </w:instrText>
          </w:r>
          <w:r w:rsidR="005F1447">
            <w:rPr>
              <w:rFonts w:cstheme="minorHAnsi"/>
            </w:rPr>
            <w:fldChar w:fldCharType="separate"/>
          </w:r>
          <w:r w:rsidR="005F1447" w:rsidRPr="005F1447">
            <w:rPr>
              <w:rFonts w:cstheme="minorHAnsi"/>
              <w:noProof/>
            </w:rPr>
            <w:t>(Regional Education Consortia, 2022)</w:t>
          </w:r>
          <w:r w:rsidR="005F1447">
            <w:rPr>
              <w:rFonts w:cstheme="minorHAnsi"/>
            </w:rPr>
            <w:fldChar w:fldCharType="end"/>
          </w:r>
        </w:sdtContent>
      </w:sdt>
      <w:r w:rsidR="00411FA6">
        <w:rPr>
          <w:rFonts w:cstheme="minorHAnsi"/>
        </w:rPr>
        <w:t>.</w:t>
      </w:r>
      <w:r w:rsidR="00A61B96">
        <w:rPr>
          <w:rFonts w:cstheme="minorHAnsi"/>
        </w:rPr>
        <w:t xml:space="preserve">  The National framework for Mentoring and Coaching </w:t>
      </w:r>
      <w:r w:rsidR="00A61B96" w:rsidRPr="00A61B96">
        <w:rPr>
          <w:rFonts w:cstheme="minorHAnsi"/>
          <w:noProof/>
        </w:rPr>
        <w:t>(CUREE, 2005)</w:t>
      </w:r>
      <w:r>
        <w:rPr>
          <w:rFonts w:cstheme="minorHAnsi"/>
          <w:noProof/>
        </w:rPr>
        <w:t xml:space="preserve"> defines mentoring as a for suporting profesisonals through specific career transitions, and coaching as a process to embed new knowledge and skills, or to develop an area of practice. </w:t>
      </w:r>
      <w:r w:rsidR="00B13F0F">
        <w:rPr>
          <w:rFonts w:cstheme="minorHAnsi"/>
          <w:noProof/>
        </w:rPr>
        <w:t xml:space="preserve"> </w:t>
      </w:r>
    </w:p>
    <w:p w14:paraId="6BDEB09C" w14:textId="77777777" w:rsidR="000C2F6D" w:rsidRDefault="00DE5C30" w:rsidP="000C2F6D">
      <w:pPr>
        <w:jc w:val="both"/>
        <w:rPr>
          <w:rFonts w:cstheme="minorHAnsi"/>
        </w:rPr>
      </w:pPr>
      <w:r w:rsidRPr="00DE5C30">
        <w:rPr>
          <w:rFonts w:cstheme="minorHAnsi"/>
        </w:rPr>
        <w:t xml:space="preserve">Coaching usually consists of a coach asking  a series of open ended questions aimed at drawing out the solutions from the coachee. </w:t>
      </w:r>
      <w:r w:rsidR="000C2F6D">
        <w:rPr>
          <w:rFonts w:cstheme="minorHAnsi"/>
        </w:rPr>
        <w:t xml:space="preserve"> The work of Hattie (2017) on challenge, feedback, peer tutoring and metacognition is often used to support the value of coaching, despite the criticisms of his approach noted above.  Whilst Hattie’s research is focused on students, these principles underpin a coaching relationship, and the significant effect sizes Hattie has noted, have been used to show the potential impact of coaching </w:t>
      </w:r>
      <w:r w:rsidR="000C2F6D" w:rsidRPr="00644909">
        <w:rPr>
          <w:rFonts w:cstheme="minorHAnsi"/>
          <w:noProof/>
        </w:rPr>
        <w:t xml:space="preserve">(Lofthouse, </w:t>
      </w:r>
      <w:r w:rsidR="000C2F6D">
        <w:rPr>
          <w:rFonts w:cstheme="minorHAnsi"/>
          <w:noProof/>
        </w:rPr>
        <w:t xml:space="preserve">et al, </w:t>
      </w:r>
      <w:r w:rsidR="000C2F6D" w:rsidRPr="00644909">
        <w:rPr>
          <w:rFonts w:cstheme="minorHAnsi"/>
          <w:noProof/>
        </w:rPr>
        <w:t>2010)</w:t>
      </w:r>
      <w:r w:rsidR="000C2F6D">
        <w:rPr>
          <w:rFonts w:cstheme="minorHAnsi"/>
        </w:rPr>
        <w:t xml:space="preserve">.  Coaching is seen as most impactful when aligned to the principles of collaborative professionalism as described by Hargreaves and O’Connor (2018).  </w:t>
      </w:r>
    </w:p>
    <w:p w14:paraId="456FC815" w14:textId="6C5BB7E0" w:rsidR="000C2F6D" w:rsidRDefault="000C2F6D" w:rsidP="000C2F6D">
      <w:pPr>
        <w:jc w:val="both"/>
        <w:rPr>
          <w:rFonts w:cstheme="minorHAnsi"/>
        </w:rPr>
      </w:pPr>
      <w:r>
        <w:rPr>
          <w:rFonts w:cstheme="minorHAnsi"/>
        </w:rPr>
        <w:t xml:space="preserve">In addition, positive effects of coaching, both on teacher instruction and student achievement have been found in a 2018 meta-analysis </w:t>
      </w:r>
      <w:sdt>
        <w:sdtPr>
          <w:rPr>
            <w:rFonts w:cstheme="minorHAnsi"/>
          </w:rPr>
          <w:id w:val="1436712391"/>
          <w:citation/>
        </w:sdtPr>
        <w:sdtContent>
          <w:r>
            <w:rPr>
              <w:rFonts w:cstheme="minorHAnsi"/>
            </w:rPr>
            <w:fldChar w:fldCharType="begin"/>
          </w:r>
          <w:r>
            <w:rPr>
              <w:rFonts w:cstheme="minorHAnsi"/>
            </w:rPr>
            <w:instrText xml:space="preserve"> CITATION Kra18 \l 2057 </w:instrText>
          </w:r>
          <w:r>
            <w:rPr>
              <w:rFonts w:cstheme="minorHAnsi"/>
            </w:rPr>
            <w:fldChar w:fldCharType="separate"/>
          </w:r>
          <w:r w:rsidRPr="00F911AD">
            <w:rPr>
              <w:rFonts w:cstheme="minorHAnsi"/>
              <w:noProof/>
            </w:rPr>
            <w:t>(Kraft, 2018)</w:t>
          </w:r>
          <w:r>
            <w:rPr>
              <w:rFonts w:cstheme="minorHAnsi"/>
            </w:rPr>
            <w:fldChar w:fldCharType="end"/>
          </w:r>
        </w:sdtContent>
      </w:sdt>
      <w:r>
        <w:rPr>
          <w:rFonts w:cstheme="minorHAnsi"/>
        </w:rPr>
        <w:t xml:space="preserve">. Whilst this research was largely based on American literacy coaching programmes, it does show a positive effect size of 0.49 standard deviations on teacher instruction and 0.18 SD on achievement following engagement with coaching programmes. The research does note the far more positive effect of small scale coaching programmes over large scale ones. However, with system wide changes in the Welsh education system, any coaching programme will need to be large scale,  potentially limiting its impact. </w:t>
      </w:r>
    </w:p>
    <w:p w14:paraId="23AA3853" w14:textId="6E88ADD0" w:rsidR="00DE5C30" w:rsidRDefault="000C2F6D" w:rsidP="00AB30BA">
      <w:pPr>
        <w:jc w:val="both"/>
        <w:rPr>
          <w:rFonts w:cstheme="minorHAnsi"/>
        </w:rPr>
      </w:pPr>
      <w:r>
        <w:rPr>
          <w:rFonts w:cstheme="minorHAnsi"/>
        </w:rPr>
        <w:t>Instructional coaching has recently become a more common variation of coaching.  This</w:t>
      </w:r>
      <w:r w:rsidR="00DE5C30" w:rsidRPr="00DE5C30">
        <w:rPr>
          <w:rFonts w:cstheme="minorHAnsi"/>
        </w:rPr>
        <w:t xml:space="preserve"> is </w:t>
      </w:r>
      <w:r>
        <w:rPr>
          <w:rFonts w:cstheme="minorHAnsi"/>
        </w:rPr>
        <w:t xml:space="preserve">a </w:t>
      </w:r>
      <w:r w:rsidR="00DE5C30" w:rsidRPr="00DE5C30">
        <w:rPr>
          <w:rFonts w:cstheme="minorHAnsi"/>
        </w:rPr>
        <w:t>more directive</w:t>
      </w:r>
      <w:r>
        <w:rPr>
          <w:rFonts w:cstheme="minorHAnsi"/>
        </w:rPr>
        <w:t xml:space="preserve"> form of coaching</w:t>
      </w:r>
      <w:r w:rsidR="00DE5C30" w:rsidRPr="00DE5C30">
        <w:rPr>
          <w:rFonts w:cstheme="minorHAnsi"/>
        </w:rPr>
        <w:t xml:space="preserve">, and relies on the coach being more expert than the coachee.  Instructional coaching follows a more formal </w:t>
      </w:r>
      <w:r w:rsidR="00DE5C30" w:rsidRPr="00DE5C30">
        <w:rPr>
          <w:rFonts w:cstheme="minorHAnsi"/>
          <w:color w:val="1A1A1A"/>
          <w:shd w:val="clear" w:color="auto" w:fill="FFFFFF"/>
        </w:rPr>
        <w:t>observation-feedback-practice cycle (Sims, 2018). </w:t>
      </w:r>
      <w:r w:rsidR="00DE5C30" w:rsidRPr="00DE5C30">
        <w:rPr>
          <w:rFonts w:cstheme="minorHAnsi"/>
        </w:rPr>
        <w:t xml:space="preserve"> Indeed, instructional coaching is increasingly seen as a highly effective form of PL (Farndon, 2019</w:t>
      </w:r>
      <w:r>
        <w:rPr>
          <w:rFonts w:cstheme="minorHAnsi"/>
        </w:rPr>
        <w:t>) partly due to its ability to embed mechanisms such as goal setting and action planning into the coaching process (Sims and Fletcher-Wood, 2021)</w:t>
      </w:r>
      <w:r w:rsidR="00DE5C30" w:rsidRPr="00DE5C30">
        <w:rPr>
          <w:rFonts w:cstheme="minorHAnsi"/>
        </w:rPr>
        <w:t xml:space="preserve">.  </w:t>
      </w:r>
    </w:p>
    <w:p w14:paraId="2267490F" w14:textId="5AD2699E" w:rsidR="00B13F0F" w:rsidRDefault="00B13F0F" w:rsidP="00B13F0F">
      <w:pPr>
        <w:jc w:val="both"/>
        <w:rPr>
          <w:rFonts w:cstheme="minorHAnsi"/>
        </w:rPr>
      </w:pPr>
      <w:r>
        <w:rPr>
          <w:rFonts w:cstheme="minorHAnsi"/>
        </w:rPr>
        <w:t>However, not all practitioners are positive about coaching</w:t>
      </w:r>
      <w:r w:rsidR="00DE5C30">
        <w:rPr>
          <w:rFonts w:cstheme="minorHAnsi"/>
        </w:rPr>
        <w:t xml:space="preserve">, </w:t>
      </w:r>
      <w:r w:rsidR="000C2F6D">
        <w:rPr>
          <w:rFonts w:cstheme="minorHAnsi"/>
        </w:rPr>
        <w:t xml:space="preserve">particularly more instructional coaching, </w:t>
      </w:r>
      <w:r w:rsidR="00DE5C30">
        <w:rPr>
          <w:rFonts w:cstheme="minorHAnsi"/>
        </w:rPr>
        <w:t>due to its implementation at times when</w:t>
      </w:r>
      <w:r>
        <w:rPr>
          <w:rFonts w:cstheme="minorHAnsi"/>
        </w:rPr>
        <w:t xml:space="preserve"> teachers are deemed to have not reached a specific standard</w:t>
      </w:r>
      <w:r w:rsidR="000C2F6D">
        <w:rPr>
          <w:rFonts w:cstheme="minorHAnsi"/>
        </w:rPr>
        <w:t xml:space="preserve">, as part of a </w:t>
      </w:r>
      <w:r w:rsidR="00A5515E">
        <w:rPr>
          <w:rFonts w:cstheme="minorHAnsi"/>
        </w:rPr>
        <w:t>schools’</w:t>
      </w:r>
      <w:r w:rsidR="000C2F6D">
        <w:rPr>
          <w:rFonts w:cstheme="minorHAnsi"/>
        </w:rPr>
        <w:t xml:space="preserve"> performance management processes. Coaching is thus identified with a teacher failing to meet the required standard. </w:t>
      </w:r>
      <w:r w:rsidR="00DE5C30">
        <w:rPr>
          <w:rFonts w:cstheme="minorHAnsi"/>
        </w:rPr>
        <w:t xml:space="preserve">There is also </w:t>
      </w:r>
      <w:r>
        <w:rPr>
          <w:rFonts w:cstheme="minorHAnsi"/>
        </w:rPr>
        <w:t>a tension between school</w:t>
      </w:r>
      <w:r w:rsidR="00DE5C30">
        <w:rPr>
          <w:rFonts w:cstheme="minorHAnsi"/>
        </w:rPr>
        <w:t xml:space="preserve">s wanting </w:t>
      </w:r>
      <w:r>
        <w:rPr>
          <w:rFonts w:cstheme="minorHAnsi"/>
        </w:rPr>
        <w:t>rapid improvement, and coaching which focuses on sustained development over time (Lofthouse et al, 2010 p10).</w:t>
      </w:r>
      <w:r w:rsidR="000C2F6D">
        <w:rPr>
          <w:rFonts w:cstheme="minorHAnsi"/>
        </w:rPr>
        <w:t xml:space="preserve"> </w:t>
      </w:r>
    </w:p>
    <w:p w14:paraId="6BBF8336" w14:textId="77777777" w:rsidR="00DE5C30" w:rsidRPr="00DE5C30" w:rsidRDefault="00DE5C30" w:rsidP="00B13F0F">
      <w:pPr>
        <w:jc w:val="both"/>
        <w:rPr>
          <w:rFonts w:cstheme="minorHAnsi"/>
        </w:rPr>
      </w:pPr>
    </w:p>
    <w:p w14:paraId="2361E2DD" w14:textId="1BDA0F06" w:rsidR="00DE5C30" w:rsidRPr="00ED45B7" w:rsidRDefault="000C0FBC" w:rsidP="00AB30BA">
      <w:pPr>
        <w:jc w:val="both"/>
        <w:rPr>
          <w:rFonts w:cstheme="minorHAnsi"/>
        </w:rPr>
      </w:pPr>
      <w:r>
        <w:rPr>
          <w:rFonts w:cstheme="minorHAnsi"/>
        </w:rPr>
        <w:t xml:space="preserve">Coaching, </w:t>
      </w:r>
      <w:r w:rsidR="00EA724B">
        <w:rPr>
          <w:rFonts w:cstheme="minorHAnsi"/>
        </w:rPr>
        <w:t>c</w:t>
      </w:r>
      <w:r>
        <w:rPr>
          <w:rFonts w:cstheme="minorHAnsi"/>
        </w:rPr>
        <w:t xml:space="preserve">ollaboration, use of data and research and reflection should, </w:t>
      </w:r>
      <w:r w:rsidR="007C6775" w:rsidRPr="007C6775">
        <w:rPr>
          <w:rFonts w:cstheme="minorHAnsi"/>
        </w:rPr>
        <w:t>according to the NAPL model</w:t>
      </w:r>
      <w:r w:rsidR="007C6775">
        <w:rPr>
          <w:rFonts w:cstheme="minorHAnsi"/>
        </w:rPr>
        <w:t>, be embedded into PL design and provision at school, regional and national level</w:t>
      </w:r>
      <w:r w:rsidR="000C2F6D">
        <w:rPr>
          <w:rFonts w:cstheme="minorHAnsi"/>
        </w:rPr>
        <w:t xml:space="preserve"> in Wales</w:t>
      </w:r>
      <w:r w:rsidR="007C6775">
        <w:rPr>
          <w:rFonts w:cstheme="minorHAnsi"/>
        </w:rPr>
        <w:t xml:space="preserve">. </w:t>
      </w:r>
      <w:r>
        <w:rPr>
          <w:rFonts w:cstheme="minorHAnsi"/>
        </w:rPr>
        <w:t>However, the extent to which they are embedded</w:t>
      </w:r>
      <w:r w:rsidR="000C2F6D">
        <w:rPr>
          <w:rFonts w:cstheme="minorHAnsi"/>
        </w:rPr>
        <w:t>, and the impact that these pedagogies have had in leading to effective PL provision,</w:t>
      </w:r>
      <w:r>
        <w:rPr>
          <w:rFonts w:cstheme="minorHAnsi"/>
        </w:rPr>
        <w:t xml:space="preserve"> has not been researched.  </w:t>
      </w:r>
      <w:r w:rsidR="00DE5C30">
        <w:rPr>
          <w:rFonts w:cstheme="minorHAnsi"/>
        </w:rPr>
        <w:t>T</w:t>
      </w:r>
      <w:r>
        <w:rPr>
          <w:rFonts w:cstheme="minorHAnsi"/>
        </w:rPr>
        <w:t>his investigation</w:t>
      </w:r>
      <w:r w:rsidR="006A783B">
        <w:rPr>
          <w:rFonts w:cstheme="minorHAnsi"/>
        </w:rPr>
        <w:t xml:space="preserve"> will explore </w:t>
      </w:r>
      <w:r>
        <w:rPr>
          <w:rFonts w:cstheme="minorHAnsi"/>
        </w:rPr>
        <w:t xml:space="preserve">the extent and nature of teacher engagement with PL </w:t>
      </w:r>
      <w:r w:rsidR="00DE5C30">
        <w:rPr>
          <w:rFonts w:cstheme="minorHAnsi"/>
        </w:rPr>
        <w:t>to</w:t>
      </w:r>
      <w:r>
        <w:rPr>
          <w:rFonts w:cstheme="minorHAnsi"/>
        </w:rPr>
        <w:t xml:space="preserve"> provide insight into the </w:t>
      </w:r>
      <w:r w:rsidR="00DE5C30">
        <w:rPr>
          <w:rFonts w:cstheme="minorHAnsi"/>
        </w:rPr>
        <w:t>practitioner experiences</w:t>
      </w:r>
      <w:r w:rsidR="000C2F6D">
        <w:rPr>
          <w:rFonts w:cstheme="minorHAnsi"/>
        </w:rPr>
        <w:t xml:space="preserve"> of PL on CfW, including insights into the way that the PL has been designed. </w:t>
      </w:r>
      <w:r w:rsidR="00DE5C30">
        <w:rPr>
          <w:rFonts w:cstheme="minorHAnsi"/>
        </w:rPr>
        <w:t xml:space="preserve"> </w:t>
      </w:r>
    </w:p>
    <w:p w14:paraId="6107F872" w14:textId="4FB6FAE4" w:rsidR="008171E2" w:rsidRPr="00411FA6" w:rsidRDefault="00EB659F" w:rsidP="00AB30BA">
      <w:pPr>
        <w:jc w:val="both"/>
        <w:rPr>
          <w:b/>
          <w:bCs/>
        </w:rPr>
      </w:pPr>
      <w:r>
        <w:rPr>
          <w:b/>
          <w:bCs/>
        </w:rPr>
        <w:t>d</w:t>
      </w:r>
      <w:r w:rsidR="003A14AF" w:rsidRPr="003A14AF">
        <w:rPr>
          <w:b/>
          <w:bCs/>
        </w:rPr>
        <w:t xml:space="preserve">) </w:t>
      </w:r>
      <w:r w:rsidR="00B2043D">
        <w:rPr>
          <w:b/>
          <w:bCs/>
        </w:rPr>
        <w:t xml:space="preserve">Reflections on PL </w:t>
      </w:r>
      <w:r w:rsidR="003A14AF">
        <w:rPr>
          <w:b/>
          <w:bCs/>
        </w:rPr>
        <w:t xml:space="preserve">provision to date </w:t>
      </w:r>
      <w:r w:rsidR="00D469F5" w:rsidRPr="003A14AF">
        <w:rPr>
          <w:b/>
          <w:bCs/>
        </w:rPr>
        <w:t>in Wales</w:t>
      </w:r>
      <w:r>
        <w:rPr>
          <w:b/>
          <w:bCs/>
        </w:rPr>
        <w:t>, including critiques</w:t>
      </w:r>
    </w:p>
    <w:p w14:paraId="5C66D782" w14:textId="2014D036" w:rsidR="006531F3" w:rsidRDefault="009C1F3C" w:rsidP="009C1F3C">
      <w:pPr>
        <w:jc w:val="both"/>
      </w:pPr>
      <w:r>
        <w:rPr>
          <w:noProof/>
        </w:rPr>
        <w:t>Harris et al</w:t>
      </w:r>
      <w:r w:rsidR="00DF4B36">
        <w:rPr>
          <w:noProof/>
        </w:rPr>
        <w:t>,</w:t>
      </w:r>
      <w:r>
        <w:rPr>
          <w:noProof/>
        </w:rPr>
        <w:t xml:space="preserve"> (2021)</w:t>
      </w:r>
      <w:r>
        <w:t xml:space="preserve"> </w:t>
      </w:r>
      <w:r w:rsidR="006531F3">
        <w:t xml:space="preserve">in an </w:t>
      </w:r>
      <w:r w:rsidR="000C2F6D">
        <w:t>i</w:t>
      </w:r>
      <w:r w:rsidR="006531F3">
        <w:t xml:space="preserve">ndependent review of educational leadership, </w:t>
      </w:r>
      <w:r>
        <w:t xml:space="preserve">concluded that PL for school leaders on CfW had been insufficient and varied between regions. </w:t>
      </w:r>
      <w:r w:rsidR="006531F3">
        <w:t>T</w:t>
      </w:r>
      <w:r>
        <w:t xml:space="preserve">hey recommended a comprehensive overview of what PL and support is available to school leaders would help them to </w:t>
      </w:r>
      <w:r>
        <w:lastRenderedPageBreak/>
        <w:t xml:space="preserve">navigate provision. </w:t>
      </w:r>
      <w:r w:rsidR="006C42D6">
        <w:t xml:space="preserve">It should be noted however, that this review was conducted prior to the roll out of a national PL programme on CfW, run by regions from Autumn 2022. How far this programme would have changed the reviews findings in this area are unknown.  </w:t>
      </w:r>
      <w:r>
        <w:t xml:space="preserve">Harris conclusions have been </w:t>
      </w:r>
      <w:r w:rsidR="006A783B">
        <w:t>reiterated</w:t>
      </w:r>
      <w:r>
        <w:t xml:space="preserve"> more recently</w:t>
      </w:r>
      <w:r w:rsidR="007C100A">
        <w:t xml:space="preserve"> by </w:t>
      </w:r>
      <w:r w:rsidR="007C100A" w:rsidRPr="005B06A4">
        <w:t>the Education Minister,</w:t>
      </w:r>
      <w:r w:rsidR="007C100A">
        <w:t xml:space="preserve"> who,</w:t>
      </w:r>
      <w:r w:rsidR="007C100A" w:rsidRPr="005B06A4">
        <w:t xml:space="preserve"> in a speech to Headteachers in 2022 noted that that whilst there was an undeniable commitment to PL in Wales, the provision wasn’t as useful, accessible as it could be, and that there were gaps in provision (Miles, 2022).  </w:t>
      </w:r>
    </w:p>
    <w:p w14:paraId="64606C08" w14:textId="6DAD9069" w:rsidR="009C1F3C" w:rsidRDefault="007C100A" w:rsidP="009C1F3C">
      <w:pPr>
        <w:jc w:val="both"/>
      </w:pPr>
      <w:r>
        <w:t>Criticism of PL provision has also been voiced by Estyn, who agreed that insufficient PL on curriculum design had been</w:t>
      </w:r>
      <w:r w:rsidRPr="00D60986">
        <w:t xml:space="preserve"> a barrier </w:t>
      </w:r>
      <w:r>
        <w:t xml:space="preserve">to curriculum implementation </w:t>
      </w:r>
      <w:r w:rsidRPr="00D60986">
        <w:rPr>
          <w:noProof/>
        </w:rPr>
        <w:t>(</w:t>
      </w:r>
      <w:r>
        <w:rPr>
          <w:noProof/>
        </w:rPr>
        <w:t>E</w:t>
      </w:r>
      <w:r w:rsidR="003825DE">
        <w:rPr>
          <w:noProof/>
        </w:rPr>
        <w:t>dwards</w:t>
      </w:r>
      <w:r>
        <w:rPr>
          <w:noProof/>
        </w:rPr>
        <w:t xml:space="preserve">, </w:t>
      </w:r>
      <w:r w:rsidRPr="00D60986">
        <w:rPr>
          <w:noProof/>
        </w:rPr>
        <w:t>2021)</w:t>
      </w:r>
      <w:r>
        <w:t>. The</w:t>
      </w:r>
      <w:r w:rsidR="00BC4FC4">
        <w:t xml:space="preserve"> 2022 Estyn </w:t>
      </w:r>
      <w:r w:rsidR="006531F3">
        <w:t>t</w:t>
      </w:r>
      <w:r w:rsidR="00BC4FC4">
        <w:t xml:space="preserve">hematic report on the support for schools from Regional Consortia and Local Authorities </w:t>
      </w:r>
      <w:r w:rsidR="003825DE">
        <w:rPr>
          <w:noProof/>
        </w:rPr>
        <w:t>(Estyn, 2022a)</w:t>
      </w:r>
      <w:r w:rsidR="00BC4FC4">
        <w:t xml:space="preserve"> reached similar conclusions</w:t>
      </w:r>
      <w:r w:rsidR="006C42D6">
        <w:t xml:space="preserve">, noting that </w:t>
      </w:r>
      <w:r w:rsidR="00BC4FC4">
        <w:t>the PL</w:t>
      </w:r>
      <w:r w:rsidR="006C42D6">
        <w:t xml:space="preserve"> </w:t>
      </w:r>
      <w:r w:rsidR="00BC4FC4">
        <w:t xml:space="preserve">provided at regional and national level </w:t>
      </w:r>
      <w:r w:rsidR="006C42D6">
        <w:t xml:space="preserve">had been </w:t>
      </w:r>
      <w:r w:rsidR="00BC4FC4">
        <w:t xml:space="preserve">too focused on theory and not offering sufficient practical support in curriculum design. </w:t>
      </w:r>
      <w:r w:rsidR="007A2746">
        <w:t xml:space="preserve"> However, Estyn did note some areas of strength within the provision, </w:t>
      </w:r>
      <w:r w:rsidR="006531F3">
        <w:t xml:space="preserve">including effective PL during the consultation phase, </w:t>
      </w:r>
      <w:r w:rsidR="000C2F6D">
        <w:t xml:space="preserve">consistent messages with PL, </w:t>
      </w:r>
      <w:r w:rsidR="006531F3">
        <w:t xml:space="preserve">and processes to support clusters of schools </w:t>
      </w:r>
      <w:r w:rsidR="000C2F6D">
        <w:t>collaborating</w:t>
      </w:r>
      <w:r w:rsidR="006531F3">
        <w:t>.  However, Estyn also suggested that region</w:t>
      </w:r>
      <w:r w:rsidR="000C2F6D">
        <w:t>al</w:t>
      </w:r>
      <w:r w:rsidR="006531F3">
        <w:t xml:space="preserve"> PL on curriculum has been too focused on vision, is too generic and the quality of delivery is variable</w:t>
      </w:r>
      <w:r w:rsidR="00DF4B36">
        <w:t xml:space="preserve"> </w:t>
      </w:r>
      <w:r w:rsidR="006531F3">
        <w:t>(Estyn, 2022 p</w:t>
      </w:r>
      <w:r w:rsidR="003825DE">
        <w:t>.</w:t>
      </w:r>
      <w:r w:rsidR="006531F3">
        <w:t xml:space="preserve"> 20).  </w:t>
      </w:r>
      <w:r w:rsidR="007A2746">
        <w:t>However, i</w:t>
      </w:r>
      <w:r w:rsidR="006531F3">
        <w:t>t should also be noted that this report focused on all Regional Consortia and Local Authorities together, providing a more general summary of the national picture</w:t>
      </w:r>
      <w:r w:rsidR="007A2746">
        <w:t xml:space="preserve"> that may </w:t>
      </w:r>
      <w:r w:rsidR="006531F3">
        <w:t xml:space="preserve"> conceal significant regional differences</w:t>
      </w:r>
      <w:r w:rsidR="007A2746">
        <w:t xml:space="preserve"> </w:t>
      </w:r>
      <w:r w:rsidR="00DF4B36">
        <w:t>n</w:t>
      </w:r>
      <w:r w:rsidR="007A2746">
        <w:t>oted by Harris (2021)</w:t>
      </w:r>
      <w:r w:rsidR="006531F3">
        <w:t xml:space="preserve"> in the nature and type of PL</w:t>
      </w:r>
      <w:r w:rsidR="007A2746">
        <w:t xml:space="preserve"> </w:t>
      </w:r>
      <w:r w:rsidR="006531F3">
        <w:t xml:space="preserve">and support available to schools and teachers. </w:t>
      </w:r>
    </w:p>
    <w:p w14:paraId="1D729EEF" w14:textId="5CAA214D" w:rsidR="006531F3" w:rsidRDefault="006C42D6" w:rsidP="009C1F3C">
      <w:pPr>
        <w:jc w:val="both"/>
      </w:pPr>
      <w:r>
        <w:t xml:space="preserve">A </w:t>
      </w:r>
      <w:r w:rsidR="007A2746">
        <w:t>similarly</w:t>
      </w:r>
      <w:r>
        <w:t xml:space="preserve"> mixed impression of the efficacy and impact of PL can be seen from the OECD Teachers PL (TPL) Study </w:t>
      </w:r>
      <w:r>
        <w:rPr>
          <w:noProof/>
        </w:rPr>
        <w:t>(OECD, 2022)</w:t>
      </w:r>
      <w:r>
        <w:t xml:space="preserve">.  The country background report prepared for the OECD by the Welsh </w:t>
      </w:r>
      <w:r w:rsidR="006A783B">
        <w:t>government</w:t>
      </w:r>
      <w:r>
        <w:t>, and the subsequent OECD Diagnostic report for Wales</w:t>
      </w:r>
      <w:r w:rsidR="006A783B">
        <w:t>,</w:t>
      </w:r>
      <w:r>
        <w:t xml:space="preserve"> recognises the central role PL has in Welsh policy, and the level of alignment between national policies such as SLO and NAPL.  </w:t>
      </w:r>
      <w:r w:rsidR="006531F3">
        <w:t xml:space="preserve">However, it also </w:t>
      </w:r>
      <w:r>
        <w:t xml:space="preserve">acknowledges weaknesses in the system, including the lack of clarity in the </w:t>
      </w:r>
      <w:r w:rsidR="000C2F6D">
        <w:t xml:space="preserve">PL </w:t>
      </w:r>
      <w:r>
        <w:t xml:space="preserve">mandate and role of the middle tier organisations. </w:t>
      </w:r>
      <w:r w:rsidR="008B7AD3">
        <w:t xml:space="preserve"> The </w:t>
      </w:r>
      <w:r>
        <w:t xml:space="preserve">OECD </w:t>
      </w:r>
      <w:r w:rsidR="008B7AD3">
        <w:t xml:space="preserve">also </w:t>
      </w:r>
      <w:r>
        <w:t>noted weaknesses in</w:t>
      </w:r>
      <w:r w:rsidR="003825DE">
        <w:t xml:space="preserve"> PL</w:t>
      </w:r>
      <w:r>
        <w:t xml:space="preserve"> evaluation.  </w:t>
      </w:r>
      <w:r w:rsidR="006A783B">
        <w:t xml:space="preserve">Whilst this evidence is a high level report, </w:t>
      </w:r>
      <w:r w:rsidR="008B7AD3">
        <w:t>based largely on the initial evidence from the Welsh Government, it does highlight the lack of effective evaluation of the role and impact of PL in Wales</w:t>
      </w:r>
      <w:r w:rsidR="000C2F6D">
        <w:t xml:space="preserve">, which is the key gap in research this study attempts to </w:t>
      </w:r>
      <w:r w:rsidR="0046671C">
        <w:t>provide some insight into.</w:t>
      </w:r>
      <w:r w:rsidR="008B7AD3">
        <w:t xml:space="preserve"> </w:t>
      </w:r>
    </w:p>
    <w:p w14:paraId="6488A57B" w14:textId="3C432510" w:rsidR="00EC43FE" w:rsidRDefault="0046671C" w:rsidP="004D255F">
      <w:pPr>
        <w:jc w:val="both"/>
      </w:pPr>
      <w:r>
        <w:t xml:space="preserve">Some limited </w:t>
      </w:r>
      <w:r w:rsidR="006531F3">
        <w:t xml:space="preserve">evaluation of PL can </w:t>
      </w:r>
      <w:r w:rsidR="008B7AD3">
        <w:t xml:space="preserve">also </w:t>
      </w:r>
      <w:r w:rsidR="006531F3">
        <w:t>be seen in Welsh Government publications</w:t>
      </w:r>
      <w:r w:rsidR="007A2746">
        <w:t xml:space="preserve"> and surveys. </w:t>
      </w:r>
      <w:r w:rsidR="00EC43FE">
        <w:t>F</w:t>
      </w:r>
      <w:r w:rsidR="008B7AD3">
        <w:t xml:space="preserve">or example, </w:t>
      </w:r>
      <w:r w:rsidR="004D255F">
        <w:t>Dugg</w:t>
      </w:r>
      <w:r w:rsidR="003825DE">
        <w:t>a</w:t>
      </w:r>
      <w:r w:rsidR="004D255F">
        <w:t>n, at al</w:t>
      </w:r>
      <w:r w:rsidR="003825DE">
        <w:t>.</w:t>
      </w:r>
      <w:r w:rsidR="004D255F">
        <w:t>, (2022</w:t>
      </w:r>
      <w:r w:rsidR="00EC43FE">
        <w:t xml:space="preserve"> p. </w:t>
      </w:r>
      <w:r w:rsidR="00C60F0F">
        <w:t>7</w:t>
      </w:r>
      <w:r w:rsidR="004D255F">
        <w:t xml:space="preserve">) </w:t>
      </w:r>
      <w:r w:rsidR="008B7AD3">
        <w:t>shows that</w:t>
      </w:r>
      <w:r w:rsidR="004D255F">
        <w:t xml:space="preserve"> some leaders and practitioners felt that the support they had accessed had been valuable and had helped their understanding, others noted that PL had been insufficient, too theoretical, not focused on practical examples to a sufficient extent</w:t>
      </w:r>
      <w:r w:rsidR="007A2746">
        <w:t>.</w:t>
      </w:r>
      <w:r w:rsidR="00EC43FE">
        <w:t xml:space="preserve"> This research was based on 48 interviews, largely with senior leaders, and is one the few pieces of research that asked directly about the PL that practitioners had experienced.  </w:t>
      </w:r>
      <w:r w:rsidR="007A2746">
        <w:t xml:space="preserve"> </w:t>
      </w:r>
      <w:r w:rsidR="004D255F">
        <w:t>A</w:t>
      </w:r>
      <w:r w:rsidR="00C60F0F">
        <w:t xml:space="preserve"> larger scale</w:t>
      </w:r>
      <w:r w:rsidR="004D255F">
        <w:t xml:space="preserve"> survey </w:t>
      </w:r>
      <w:r w:rsidR="008E6FB3" w:rsidRPr="005B7C0A">
        <w:rPr>
          <w:rFonts w:cstheme="minorHAnsi"/>
          <w:noProof/>
        </w:rPr>
        <w:t>(Duggan, et al., 2022</w:t>
      </w:r>
      <w:r w:rsidR="008E6FB3">
        <w:rPr>
          <w:rFonts w:cstheme="minorHAnsi"/>
          <w:noProof/>
        </w:rPr>
        <w:t>a</w:t>
      </w:r>
      <w:r w:rsidR="00EC43FE">
        <w:rPr>
          <w:rFonts w:cstheme="minorHAnsi"/>
          <w:noProof/>
        </w:rPr>
        <w:t xml:space="preserve"> p.39</w:t>
      </w:r>
      <w:r w:rsidR="008E6FB3" w:rsidRPr="005B7C0A">
        <w:rPr>
          <w:rFonts w:cstheme="minorHAnsi"/>
          <w:noProof/>
        </w:rPr>
        <w:t>)</w:t>
      </w:r>
      <w:r w:rsidR="004D255F">
        <w:rPr>
          <w:rFonts w:cstheme="minorHAnsi"/>
        </w:rPr>
        <w:t xml:space="preserve"> indicated that two thirds of respondents </w:t>
      </w:r>
      <w:r w:rsidR="00C60F0F">
        <w:rPr>
          <w:rFonts w:cstheme="minorHAnsi"/>
        </w:rPr>
        <w:t>believed</w:t>
      </w:r>
      <w:r w:rsidR="008E6FB3">
        <w:rPr>
          <w:rFonts w:cstheme="minorHAnsi"/>
        </w:rPr>
        <w:t xml:space="preserve"> that their school needed additional support or resources to implement the CfW</w:t>
      </w:r>
      <w:r w:rsidR="00EC43FE">
        <w:rPr>
          <w:rFonts w:cstheme="minorHAnsi"/>
        </w:rPr>
        <w:t xml:space="preserve">, with many suggesting the need for </w:t>
      </w:r>
      <w:r w:rsidR="004D255F">
        <w:rPr>
          <w:rFonts w:cstheme="minorHAnsi"/>
        </w:rPr>
        <w:t xml:space="preserve">more </w:t>
      </w:r>
      <w:r w:rsidR="004D255F" w:rsidRPr="00A33E9B">
        <w:rPr>
          <w:rFonts w:cstheme="minorHAnsi"/>
        </w:rPr>
        <w:t xml:space="preserve">time </w:t>
      </w:r>
      <w:r w:rsidR="004D255F">
        <w:rPr>
          <w:rFonts w:cstheme="minorHAnsi"/>
        </w:rPr>
        <w:t>for</w:t>
      </w:r>
      <w:r w:rsidR="004D255F" w:rsidRPr="00A33E9B">
        <w:rPr>
          <w:rFonts w:cstheme="minorHAnsi"/>
        </w:rPr>
        <w:t xml:space="preserve"> tailored </w:t>
      </w:r>
      <w:r w:rsidR="004D255F">
        <w:rPr>
          <w:rFonts w:cstheme="minorHAnsi"/>
        </w:rPr>
        <w:t>PL</w:t>
      </w:r>
      <w:r w:rsidR="004D255F" w:rsidRPr="00A33E9B">
        <w:rPr>
          <w:rFonts w:cstheme="minorHAnsi"/>
        </w:rPr>
        <w:t xml:space="preserve">, </w:t>
      </w:r>
      <w:r w:rsidR="00EC43FE">
        <w:rPr>
          <w:rFonts w:cstheme="minorHAnsi"/>
        </w:rPr>
        <w:t>collaboration and</w:t>
      </w:r>
      <w:r w:rsidR="004D255F">
        <w:rPr>
          <w:rFonts w:cstheme="minorHAnsi"/>
        </w:rPr>
        <w:t xml:space="preserve"> for refection in order </w:t>
      </w:r>
      <w:r w:rsidR="004D255F">
        <w:t xml:space="preserve">to implement the curriculum. </w:t>
      </w:r>
      <w:r>
        <w:t xml:space="preserve"> </w:t>
      </w:r>
      <w:r w:rsidR="00EC43FE">
        <w:t xml:space="preserve">This survey data is based on 567 Senior leaders and practitioners, making this one of the largest surveys conducted to date.  However, this survey did not directly ask for respondent’s views or evaluations of  the PL that they had received. </w:t>
      </w:r>
      <w:r w:rsidR="00C60F0F">
        <w:t xml:space="preserve"> Both pieces of research do show first hand perspectives of the education workforce, but neither offer a detailed evaluation of the extent of PL engagement, or of the effectiveness of that PL engagement. </w:t>
      </w:r>
    </w:p>
    <w:p w14:paraId="41DDA923" w14:textId="054715EC" w:rsidR="004D255F" w:rsidRPr="008B7AD3" w:rsidRDefault="004D255F" w:rsidP="004D255F">
      <w:pPr>
        <w:jc w:val="both"/>
      </w:pPr>
      <w:r>
        <w:t>Th</w:t>
      </w:r>
      <w:r w:rsidR="007A2746">
        <w:t xml:space="preserve">e </w:t>
      </w:r>
      <w:r>
        <w:t xml:space="preserve">‘Wave 1 report’ on </w:t>
      </w:r>
      <w:r>
        <w:rPr>
          <w:rFonts w:cstheme="minorHAnsi"/>
        </w:rPr>
        <w:t xml:space="preserve">curriculum implementation </w:t>
      </w:r>
      <w:sdt>
        <w:sdtPr>
          <w:rPr>
            <w:rFonts w:cstheme="minorHAnsi"/>
          </w:rPr>
          <w:id w:val="2043467087"/>
          <w:citation/>
        </w:sdtPr>
        <w:sdtContent>
          <w:r>
            <w:rPr>
              <w:rFonts w:cstheme="minorHAnsi"/>
            </w:rPr>
            <w:fldChar w:fldCharType="begin"/>
          </w:r>
          <w:r>
            <w:rPr>
              <w:rFonts w:cstheme="minorHAnsi"/>
            </w:rPr>
            <w:instrText xml:space="preserve"> CITATION Tho23 \l 2057 </w:instrText>
          </w:r>
          <w:r>
            <w:rPr>
              <w:rFonts w:cstheme="minorHAnsi"/>
            </w:rPr>
            <w:fldChar w:fldCharType="separate"/>
          </w:r>
          <w:r w:rsidRPr="0049013E">
            <w:rPr>
              <w:rFonts w:cstheme="minorHAnsi"/>
              <w:noProof/>
            </w:rPr>
            <w:t>(Thomas, et al., 2023)</w:t>
          </w:r>
          <w:r>
            <w:rPr>
              <w:rFonts w:cstheme="minorHAnsi"/>
            </w:rPr>
            <w:fldChar w:fldCharType="end"/>
          </w:r>
        </w:sdtContent>
      </w:sdt>
      <w:r>
        <w:rPr>
          <w:rFonts w:cstheme="minorHAnsi"/>
        </w:rPr>
        <w:t xml:space="preserve">  noted that most school leaders surveyed were generally content with the progress they had made in implementing the curriculum, however PL was not specifically mentioned as a factor leading to this level of contentment</w:t>
      </w:r>
      <w:r w:rsidR="006531F3">
        <w:rPr>
          <w:rFonts w:cstheme="minorHAnsi"/>
        </w:rPr>
        <w:t>, and the report offered no evaluation of PL provision.</w:t>
      </w:r>
      <w:r w:rsidR="00C60F0F">
        <w:rPr>
          <w:rFonts w:cstheme="minorHAnsi"/>
        </w:rPr>
        <w:t xml:space="preserve"> </w:t>
      </w:r>
      <w:r w:rsidR="007C100A">
        <w:rPr>
          <w:rFonts w:cstheme="minorHAnsi"/>
        </w:rPr>
        <w:t xml:space="preserve"> </w:t>
      </w:r>
      <w:r w:rsidR="008B7AD3">
        <w:t xml:space="preserve">Indeed, the failure of the most recent Welsh Government annual report on CfW to provide any evaluation of the impact of PL provision was a </w:t>
      </w:r>
      <w:r w:rsidR="008B7AD3">
        <w:lastRenderedPageBreak/>
        <w:t xml:space="preserve">notable omission, suggesting a lack of clear research evidence evaluating the PL provision </w:t>
      </w:r>
      <w:sdt>
        <w:sdtPr>
          <w:id w:val="139235957"/>
          <w:citation/>
        </w:sdtPr>
        <w:sdtContent>
          <w:r w:rsidR="008B7AD3">
            <w:fldChar w:fldCharType="begin"/>
          </w:r>
          <w:r w:rsidR="008B7AD3">
            <w:instrText xml:space="preserve"> CITATION Wel233 \l 2057 </w:instrText>
          </w:r>
          <w:r w:rsidR="008B7AD3">
            <w:fldChar w:fldCharType="separate"/>
          </w:r>
          <w:r w:rsidR="008B7AD3">
            <w:rPr>
              <w:noProof/>
            </w:rPr>
            <w:t>(Welsh Government, 2023)</w:t>
          </w:r>
          <w:r w:rsidR="008B7AD3">
            <w:fldChar w:fldCharType="end"/>
          </w:r>
        </w:sdtContent>
      </w:sdt>
      <w:r w:rsidR="008B7AD3">
        <w:t xml:space="preserve">. This lack of evaluation of the nature and impact of PL is  a key area where further research is required, and where my study aims to provide some insight into practitioner evaluations. </w:t>
      </w:r>
      <w:r w:rsidR="007C100A">
        <w:rPr>
          <w:rFonts w:cstheme="minorHAnsi"/>
        </w:rPr>
        <w:t xml:space="preserve">Despite these omissions and limitations, </w:t>
      </w:r>
      <w:r w:rsidR="007C100A">
        <w:t xml:space="preserve">these </w:t>
      </w:r>
      <w:r w:rsidR="008B7AD3">
        <w:t xml:space="preserve">Welsh Government </w:t>
      </w:r>
      <w:r w:rsidR="007C100A">
        <w:t xml:space="preserve">surveys </w:t>
      </w:r>
      <w:r w:rsidR="008B7AD3">
        <w:t xml:space="preserve">and subsequent reports </w:t>
      </w:r>
      <w:r w:rsidR="007C100A">
        <w:t>do provide the only empirical evidence practitioner views on PL provision on CfW</w:t>
      </w:r>
      <w:r w:rsidR="008B7AD3">
        <w:t>, and they do provide additional support to the criticisms of PL levied by Estyn (2022).</w:t>
      </w:r>
    </w:p>
    <w:p w14:paraId="7884F3AF" w14:textId="59A463EF" w:rsidR="005B7C0A" w:rsidRDefault="006531F3" w:rsidP="005D7058">
      <w:pPr>
        <w:jc w:val="both"/>
      </w:pPr>
      <w:r>
        <w:t xml:space="preserve">Academic research has also not </w:t>
      </w:r>
      <w:r w:rsidR="008B7AD3">
        <w:t>yet provided significant</w:t>
      </w:r>
      <w:r>
        <w:t xml:space="preserve"> empirical evidence evaluating PL provision in Wales to date.  However, there has been criticism of PL provision </w:t>
      </w:r>
      <w:r w:rsidR="005B7C0A">
        <w:t xml:space="preserve">voiced </w:t>
      </w:r>
      <w:r w:rsidR="007A2746">
        <w:t>by academics</w:t>
      </w:r>
      <w:r w:rsidR="008B7AD3">
        <w:t xml:space="preserve">.  </w:t>
      </w:r>
      <w:r w:rsidR="00AD4161">
        <w:t>Evans (2022) stressed the importance of PL in ‘</w:t>
      </w:r>
      <w:r w:rsidR="00AD4161" w:rsidRPr="00AD4161">
        <w:t>revitalis</w:t>
      </w:r>
      <w:r w:rsidR="00AD4161">
        <w:t>ing’</w:t>
      </w:r>
      <w:r w:rsidR="00AD4161" w:rsidRPr="00AD4161">
        <w:t xml:space="preserve"> the education workforce </w:t>
      </w:r>
      <w:r w:rsidR="00AD4161">
        <w:t xml:space="preserve">and creating a culture of </w:t>
      </w:r>
      <w:r w:rsidR="00AD4161" w:rsidRPr="00AD4161">
        <w:t xml:space="preserve">‘informed professionalism’ (Barber 2001), </w:t>
      </w:r>
      <w:r w:rsidR="00AD4161">
        <w:t xml:space="preserve">that redefined teachers working roles.  </w:t>
      </w:r>
      <w:r w:rsidR="005B7C0A">
        <w:t>Evans</w:t>
      </w:r>
      <w:r w:rsidR="0021104B">
        <w:t xml:space="preserve"> </w:t>
      </w:r>
      <w:r w:rsidR="00AD4161">
        <w:t xml:space="preserve">clearly does not feel that this vision is being achieved as he has noted  </w:t>
      </w:r>
      <w:r w:rsidR="008B7AD3">
        <w:t xml:space="preserve">more recently that </w:t>
      </w:r>
      <w:r w:rsidR="00AD4161">
        <w:rPr>
          <w:noProof/>
        </w:rPr>
        <w:t>“</w:t>
      </w:r>
      <w:r w:rsidR="005B7C0A" w:rsidRPr="006E6C3B">
        <w:t xml:space="preserve">clear deficiencies in the </w:t>
      </w:r>
      <w:r w:rsidR="005843FE">
        <w:t>PL</w:t>
      </w:r>
      <w:r>
        <w:t xml:space="preserve"> </w:t>
      </w:r>
      <w:r w:rsidR="005B7C0A" w:rsidRPr="006E6C3B">
        <w:t>space are</w:t>
      </w:r>
      <w:r w:rsidR="005B7C0A">
        <w:t>……</w:t>
      </w:r>
      <w:r w:rsidR="005B7C0A" w:rsidRPr="006E6C3B">
        <w:t xml:space="preserve">, the root cause of so many </w:t>
      </w:r>
      <w:r w:rsidR="005843FE">
        <w:t>CfW</w:t>
      </w:r>
      <w:r w:rsidR="005B7C0A" w:rsidRPr="006E6C3B">
        <w:t xml:space="preserve"> problems</w:t>
      </w:r>
      <w:r w:rsidR="005B7C0A">
        <w:t>”</w:t>
      </w:r>
      <w:r w:rsidR="00AD4161">
        <w:t xml:space="preserve"> (Evans 2023). </w:t>
      </w:r>
      <w:r w:rsidR="005B7C0A">
        <w:t xml:space="preserve"> </w:t>
      </w:r>
      <w:r w:rsidR="00F91704">
        <w:t xml:space="preserve"> </w:t>
      </w:r>
      <w:r w:rsidR="005B7C0A">
        <w:t>He note</w:t>
      </w:r>
      <w:r w:rsidR="00AD4161">
        <w:t>s</w:t>
      </w:r>
      <w:r w:rsidR="005B7C0A">
        <w:t xml:space="preserve"> especially the failure to the failure to quality assure and validate PL provision as a key issue, and cites Welsh Governments devolution of PL to regional consortia as having led to a “</w:t>
      </w:r>
      <w:r w:rsidR="005B7C0A" w:rsidRPr="005B7C0A">
        <w:t>Wild West</w:t>
      </w:r>
      <w:r w:rsidR="005B7C0A">
        <w:t xml:space="preserve">” of PL provision, where anything goes. </w:t>
      </w:r>
      <w:r w:rsidR="00AD4161">
        <w:t xml:space="preserve"> </w:t>
      </w:r>
    </w:p>
    <w:p w14:paraId="2C5EAB5E" w14:textId="5CC47FCE" w:rsidR="00CA67AB" w:rsidRPr="0049013E" w:rsidRDefault="00ED395E" w:rsidP="005D7058">
      <w:pPr>
        <w:jc w:val="both"/>
        <w:rPr>
          <w:rFonts w:cstheme="minorHAnsi"/>
        </w:rPr>
      </w:pPr>
      <w:r>
        <w:rPr>
          <w:rFonts w:cstheme="minorHAnsi"/>
        </w:rPr>
        <w:t>The</w:t>
      </w:r>
      <w:r w:rsidR="00AD4161">
        <w:rPr>
          <w:rFonts w:cstheme="minorHAnsi"/>
        </w:rPr>
        <w:t>se</w:t>
      </w:r>
      <w:r>
        <w:rPr>
          <w:rFonts w:cstheme="minorHAnsi"/>
        </w:rPr>
        <w:t xml:space="preserve"> criticisms of the PL provision in Wales to support implementation of CfW show concerns over how well teachers have been supported and how positive the PL opportunities that have been provided have actually been for them.   The criticisms pose questions about how far PL provision have been impactful, how far it has been accessible, and whether it has made an impact o</w:t>
      </w:r>
      <w:r w:rsidR="008B7AD3">
        <w:rPr>
          <w:rFonts w:cstheme="minorHAnsi"/>
        </w:rPr>
        <w:t>n</w:t>
      </w:r>
      <w:r>
        <w:rPr>
          <w:rFonts w:cstheme="minorHAnsi"/>
        </w:rPr>
        <w:t xml:space="preserve"> teachers.  </w:t>
      </w:r>
      <w:r w:rsidR="00CA67AB">
        <w:rPr>
          <w:rFonts w:cstheme="minorHAnsi"/>
        </w:rPr>
        <w:t>My inquir</w:t>
      </w:r>
      <w:r w:rsidR="00B8663B">
        <w:rPr>
          <w:rFonts w:cstheme="minorHAnsi"/>
        </w:rPr>
        <w:t>y aims to provide additional evidence to support this emerging picture of the impact and efficacy of PL to support CfW</w:t>
      </w:r>
      <w:r w:rsidR="00A61B96">
        <w:rPr>
          <w:rFonts w:cstheme="minorHAnsi"/>
        </w:rPr>
        <w:t xml:space="preserve"> implementation</w:t>
      </w:r>
      <w:r w:rsidR="0046671C">
        <w:rPr>
          <w:rFonts w:cstheme="minorHAnsi"/>
        </w:rPr>
        <w:t xml:space="preserve"> to</w:t>
      </w:r>
      <w:r w:rsidR="00A61B96">
        <w:rPr>
          <w:rFonts w:cstheme="minorHAnsi"/>
        </w:rPr>
        <w:t xml:space="preserve"> provide additional evidence to support or refute the above criticisms of PL provision. </w:t>
      </w:r>
    </w:p>
    <w:p w14:paraId="60DEA74F" w14:textId="77777777" w:rsidR="00D469F5" w:rsidRDefault="00D469F5" w:rsidP="005D7058">
      <w:pPr>
        <w:jc w:val="both"/>
      </w:pPr>
    </w:p>
    <w:p w14:paraId="258E8012" w14:textId="55018900" w:rsidR="00565F37" w:rsidRDefault="00565F37" w:rsidP="00EB659F">
      <w:pPr>
        <w:pBdr>
          <w:top w:val="single" w:sz="4" w:space="1" w:color="auto"/>
          <w:left w:val="single" w:sz="4" w:space="4" w:color="auto"/>
          <w:bottom w:val="single" w:sz="4" w:space="1" w:color="auto"/>
          <w:right w:val="single" w:sz="4" w:space="4" w:color="auto"/>
        </w:pBdr>
        <w:jc w:val="both"/>
        <w:rPr>
          <w:rFonts w:ascii="Arial" w:eastAsia="Arial" w:hAnsi="Arial" w:cs="Arial"/>
          <w:b/>
          <w:bCs/>
          <w:color w:val="000000"/>
          <w:u w:color="000000"/>
          <w:bdr w:val="nil"/>
          <w:lang w:val="en-US"/>
        </w:rPr>
      </w:pPr>
      <w:r>
        <w:rPr>
          <w:b/>
          <w:bCs/>
        </w:rPr>
        <w:br w:type="page"/>
      </w:r>
    </w:p>
    <w:p w14:paraId="6CB53DFE" w14:textId="2E39E08F" w:rsidR="00093EC1" w:rsidRPr="00E20108" w:rsidRDefault="00093EC1" w:rsidP="008A5CC5">
      <w:pPr>
        <w:pStyle w:val="BodyTextIndent"/>
        <w:ind w:left="0" w:firstLine="0"/>
        <w:rPr>
          <w:rFonts w:asciiTheme="minorHAnsi" w:hAnsiTheme="minorHAnsi" w:cstheme="minorHAnsi"/>
          <w:b/>
          <w:bCs/>
          <w:sz w:val="28"/>
          <w:szCs w:val="28"/>
        </w:rPr>
      </w:pPr>
      <w:r w:rsidRPr="00E20108">
        <w:rPr>
          <w:rFonts w:asciiTheme="minorHAnsi" w:hAnsiTheme="minorHAnsi" w:cstheme="minorHAnsi"/>
          <w:b/>
          <w:bCs/>
          <w:sz w:val="28"/>
          <w:szCs w:val="28"/>
        </w:rPr>
        <w:lastRenderedPageBreak/>
        <w:t xml:space="preserve">Chapter 3: Research Methodology </w:t>
      </w:r>
    </w:p>
    <w:p w14:paraId="00181969" w14:textId="1C13CF60" w:rsidR="00093EC1" w:rsidRPr="009F0C13" w:rsidRDefault="00093EC1" w:rsidP="008A5CC5">
      <w:pPr>
        <w:jc w:val="both"/>
      </w:pPr>
      <w:r>
        <w:t xml:space="preserve">This </w:t>
      </w:r>
      <w:r w:rsidR="008A5CC5">
        <w:t>c</w:t>
      </w:r>
      <w:r>
        <w:t xml:space="preserve">hapter will present the research paradigm and </w:t>
      </w:r>
      <w:r w:rsidR="008B5478">
        <w:t xml:space="preserve">the </w:t>
      </w:r>
      <w:r>
        <w:t xml:space="preserve">methodology </w:t>
      </w:r>
      <w:r w:rsidR="008B5478">
        <w:t>that guided this</w:t>
      </w:r>
      <w:r>
        <w:t xml:space="preserve"> study. It will explain the </w:t>
      </w:r>
      <w:r w:rsidR="008B5478">
        <w:t xml:space="preserve">target population and the sample of the study, </w:t>
      </w:r>
      <w:r>
        <w:t>data collection methods and procedures, and data analysis methods</w:t>
      </w:r>
      <w:r w:rsidR="004F286E">
        <w:t xml:space="preserve"> as well as the</w:t>
      </w:r>
      <w:r>
        <w:t xml:space="preserve"> ethical considerations that underpinned t</w:t>
      </w:r>
      <w:r w:rsidR="008B5478">
        <w:t>his study</w:t>
      </w:r>
      <w:r w:rsidR="004F286E">
        <w:t xml:space="preserve">. </w:t>
      </w:r>
    </w:p>
    <w:p w14:paraId="3793866B" w14:textId="77777777" w:rsidR="00093EC1" w:rsidRPr="009F0C13" w:rsidRDefault="00093EC1" w:rsidP="008A5CC5">
      <w:pPr>
        <w:pStyle w:val="BodyTextIndent"/>
        <w:ind w:left="0" w:firstLine="0"/>
        <w:rPr>
          <w:rFonts w:asciiTheme="minorHAnsi" w:hAnsiTheme="minorHAnsi" w:cstheme="minorHAnsi"/>
          <w:b/>
          <w:bCs/>
          <w:sz w:val="22"/>
          <w:szCs w:val="22"/>
        </w:rPr>
      </w:pPr>
      <w:r w:rsidRPr="009F0C13">
        <w:rPr>
          <w:rFonts w:asciiTheme="minorHAnsi" w:hAnsiTheme="minorHAnsi" w:cstheme="minorHAnsi"/>
          <w:b/>
          <w:bCs/>
          <w:sz w:val="22"/>
          <w:szCs w:val="22"/>
        </w:rPr>
        <w:t>Research Paradigm</w:t>
      </w:r>
    </w:p>
    <w:p w14:paraId="31989655" w14:textId="378CFE0F" w:rsidR="00093EC1" w:rsidRDefault="00093EC1" w:rsidP="008A5CC5">
      <w:pPr>
        <w:pStyle w:val="NoSpacing"/>
        <w:jc w:val="both"/>
        <w:rPr>
          <w:rFonts w:cstheme="minorHAnsi"/>
        </w:rPr>
      </w:pPr>
      <w:r w:rsidRPr="00DC2284">
        <w:rPr>
          <w:rFonts w:cstheme="minorHAnsi"/>
        </w:rPr>
        <w:t xml:space="preserve">Much educational research is by nature focused on the subjective opinions and views of research participants </w:t>
      </w:r>
      <w:r w:rsidRPr="00DC2284">
        <w:rPr>
          <w:rFonts w:cstheme="minorHAnsi"/>
          <w:noProof/>
        </w:rPr>
        <w:t>(Pring, 2015</w:t>
      </w:r>
      <w:r w:rsidRPr="00DC2284">
        <w:rPr>
          <w:rFonts w:cstheme="minorHAnsi"/>
        </w:rPr>
        <w:t xml:space="preserve">, Cohen et al, 2018).   This </w:t>
      </w:r>
      <w:r w:rsidR="002767FD">
        <w:rPr>
          <w:rFonts w:cstheme="minorHAnsi"/>
        </w:rPr>
        <w:t>study</w:t>
      </w:r>
      <w:r w:rsidRPr="00DC2284">
        <w:rPr>
          <w:rFonts w:cstheme="minorHAnsi"/>
        </w:rPr>
        <w:t xml:space="preserve"> adopts an interpretive and constructivist paradigm (Lubenchuck, cited in </w:t>
      </w:r>
      <w:r w:rsidRPr="00DC2284">
        <w:rPr>
          <w:rFonts w:cstheme="minorHAnsi"/>
          <w:noProof/>
        </w:rPr>
        <w:t>Cohen et al, 2018, p9</w:t>
      </w:r>
      <w:r w:rsidRPr="00DC2284">
        <w:rPr>
          <w:rFonts w:cstheme="minorHAnsi"/>
        </w:rPr>
        <w:t>)</w:t>
      </w:r>
      <w:r w:rsidR="0087372C">
        <w:rPr>
          <w:rFonts w:cstheme="minorHAnsi"/>
        </w:rPr>
        <w:t xml:space="preserve"> to explore practitioners’ views about</w:t>
      </w:r>
      <w:r w:rsidR="0087372C">
        <w:t xml:space="preserve"> the impact of</w:t>
      </w:r>
      <w:r w:rsidR="0087372C" w:rsidRPr="009600CF">
        <w:rPr>
          <w:rFonts w:cstheme="minorHAnsi"/>
        </w:rPr>
        <w:t xml:space="preserve"> PL </w:t>
      </w:r>
      <w:r w:rsidR="0087372C">
        <w:rPr>
          <w:rFonts w:cstheme="minorHAnsi"/>
        </w:rPr>
        <w:t xml:space="preserve">activities </w:t>
      </w:r>
      <w:r w:rsidR="0087372C" w:rsidRPr="009600CF">
        <w:rPr>
          <w:rFonts w:cstheme="minorHAnsi"/>
        </w:rPr>
        <w:t>on their knowledge and confidence in implementing the</w:t>
      </w:r>
      <w:r w:rsidR="0087372C">
        <w:rPr>
          <w:rFonts w:cstheme="minorHAnsi"/>
        </w:rPr>
        <w:t xml:space="preserve"> CfW</w:t>
      </w:r>
      <w:r w:rsidR="0087372C" w:rsidRPr="00DC2284">
        <w:rPr>
          <w:rFonts w:cstheme="minorHAnsi"/>
        </w:rPr>
        <w:t xml:space="preserve">.  </w:t>
      </w:r>
      <w:r w:rsidRPr="00DC2284">
        <w:rPr>
          <w:rFonts w:cstheme="minorHAnsi"/>
        </w:rPr>
        <w:t xml:space="preserve">An interpretive paradigm aims to investigate and understand the lived experiences of </w:t>
      </w:r>
      <w:r w:rsidR="0087372C">
        <w:rPr>
          <w:rFonts w:cstheme="minorHAnsi"/>
        </w:rPr>
        <w:t>practitioners</w:t>
      </w:r>
      <w:r w:rsidRPr="00DC2284">
        <w:rPr>
          <w:rFonts w:cstheme="minorHAnsi"/>
        </w:rPr>
        <w:t xml:space="preserve"> within the education sector in Wales in order to discover what is working best in practice across a range of contexts. Teacher experiences of </w:t>
      </w:r>
      <w:r w:rsidR="005843FE">
        <w:rPr>
          <w:rFonts w:cstheme="minorHAnsi"/>
        </w:rPr>
        <w:t>PL</w:t>
      </w:r>
      <w:r w:rsidR="0087372C">
        <w:rPr>
          <w:rFonts w:cstheme="minorHAnsi"/>
        </w:rPr>
        <w:t xml:space="preserve"> </w:t>
      </w:r>
      <w:r w:rsidRPr="00DC2284">
        <w:rPr>
          <w:rFonts w:cstheme="minorHAnsi"/>
        </w:rPr>
        <w:t xml:space="preserve">are context specific, rely on the level and nature of personal engagement with and response to, and interpretation of the </w:t>
      </w:r>
      <w:r w:rsidR="005843FE">
        <w:rPr>
          <w:rFonts w:cstheme="minorHAnsi"/>
        </w:rPr>
        <w:t>PL</w:t>
      </w:r>
      <w:r w:rsidR="0087372C">
        <w:rPr>
          <w:rFonts w:cstheme="minorHAnsi"/>
        </w:rPr>
        <w:t xml:space="preserve"> </w:t>
      </w:r>
      <w:r w:rsidRPr="00DC2284">
        <w:rPr>
          <w:rFonts w:cstheme="minorHAnsi"/>
        </w:rPr>
        <w:t xml:space="preserve">experiences. Teachers’ own realities of their experiences and beliefs are therefore constructed through these multiple lenses.  This research aims to provide evidence that </w:t>
      </w:r>
      <w:r w:rsidR="0087372C">
        <w:rPr>
          <w:rFonts w:cstheme="minorHAnsi"/>
        </w:rPr>
        <w:t>may</w:t>
      </w:r>
      <w:r w:rsidRPr="00DC2284">
        <w:rPr>
          <w:rFonts w:cstheme="minorHAnsi"/>
        </w:rPr>
        <w:t xml:space="preserve"> solve the practical problems associated with the provision of effective </w:t>
      </w:r>
      <w:r w:rsidR="005843FE">
        <w:rPr>
          <w:rFonts w:cstheme="minorHAnsi"/>
        </w:rPr>
        <w:t>PL</w:t>
      </w:r>
      <w:r w:rsidR="0087372C">
        <w:rPr>
          <w:rFonts w:cstheme="minorHAnsi"/>
        </w:rPr>
        <w:t xml:space="preserve"> </w:t>
      </w:r>
      <w:r w:rsidRPr="00DC2284">
        <w:rPr>
          <w:rFonts w:cstheme="minorHAnsi"/>
        </w:rPr>
        <w:t xml:space="preserve">experiences for teachers. </w:t>
      </w:r>
    </w:p>
    <w:p w14:paraId="45CC0BBA" w14:textId="77777777" w:rsidR="00093EC1" w:rsidRPr="00DC2284" w:rsidRDefault="00093EC1" w:rsidP="008A5CC5">
      <w:pPr>
        <w:pStyle w:val="NoSpacing"/>
        <w:jc w:val="both"/>
        <w:rPr>
          <w:rFonts w:cstheme="minorHAnsi"/>
        </w:rPr>
      </w:pPr>
    </w:p>
    <w:p w14:paraId="391B7921" w14:textId="46F11550" w:rsidR="0087372C" w:rsidRDefault="0087372C" w:rsidP="0087372C">
      <w:pPr>
        <w:pStyle w:val="NoSpacing"/>
        <w:jc w:val="both"/>
        <w:rPr>
          <w:rFonts w:cstheme="minorHAnsi"/>
        </w:rPr>
      </w:pPr>
      <w:r w:rsidRPr="00DC2284">
        <w:rPr>
          <w:rFonts w:cstheme="minorHAnsi"/>
        </w:rPr>
        <w:t>Th</w:t>
      </w:r>
      <w:r>
        <w:rPr>
          <w:rFonts w:cstheme="minorHAnsi"/>
        </w:rPr>
        <w:t>is</w:t>
      </w:r>
      <w:r w:rsidRPr="00DC2284">
        <w:rPr>
          <w:rFonts w:cstheme="minorHAnsi"/>
        </w:rPr>
        <w:t xml:space="preserve"> paradigm </w:t>
      </w:r>
      <w:r w:rsidR="004F286E">
        <w:rPr>
          <w:rFonts w:cstheme="minorHAnsi"/>
        </w:rPr>
        <w:t>usually</w:t>
      </w:r>
      <w:r w:rsidRPr="00DC2284">
        <w:rPr>
          <w:rFonts w:cstheme="minorHAnsi"/>
        </w:rPr>
        <w:t xml:space="preserve"> rel</w:t>
      </w:r>
      <w:r>
        <w:rPr>
          <w:rFonts w:cstheme="minorHAnsi"/>
        </w:rPr>
        <w:t>ies</w:t>
      </w:r>
      <w:r w:rsidRPr="00DC2284">
        <w:rPr>
          <w:rFonts w:cstheme="minorHAnsi"/>
        </w:rPr>
        <w:t xml:space="preserve"> exclusively on qualitative approaches to data collection, allowing participants to share their views and beliefs</w:t>
      </w:r>
      <w:r>
        <w:rPr>
          <w:rFonts w:cstheme="minorHAnsi"/>
        </w:rPr>
        <w:t xml:space="preserve"> in extended and detailed responses</w:t>
      </w:r>
      <w:r w:rsidRPr="00DC2284">
        <w:rPr>
          <w:rFonts w:cstheme="minorHAnsi"/>
        </w:rPr>
        <w:t xml:space="preserve"> </w:t>
      </w:r>
      <w:r w:rsidRPr="001E2548">
        <w:rPr>
          <w:rFonts w:cstheme="minorHAnsi"/>
          <w:noProof/>
        </w:rPr>
        <w:t>(Creswell, 2014)</w:t>
      </w:r>
      <w:r w:rsidRPr="00DC2284">
        <w:rPr>
          <w:rFonts w:cstheme="minorHAnsi"/>
        </w:rPr>
        <w:t xml:space="preserve">.   However, </w:t>
      </w:r>
      <w:r>
        <w:rPr>
          <w:rFonts w:cstheme="minorHAnsi"/>
        </w:rPr>
        <w:t xml:space="preserve">in addition to qualitative data collected through open questions in an online questionnaire and through semi structured interviews, some </w:t>
      </w:r>
      <w:r w:rsidRPr="00DC2284">
        <w:rPr>
          <w:rFonts w:cstheme="minorHAnsi"/>
        </w:rPr>
        <w:t xml:space="preserve">quantitative data </w:t>
      </w:r>
      <w:r>
        <w:rPr>
          <w:rFonts w:cstheme="minorHAnsi"/>
        </w:rPr>
        <w:t xml:space="preserve">was collected </w:t>
      </w:r>
      <w:r w:rsidR="004F286E">
        <w:rPr>
          <w:rFonts w:cstheme="minorHAnsi"/>
        </w:rPr>
        <w:t>by</w:t>
      </w:r>
      <w:r>
        <w:rPr>
          <w:rFonts w:cstheme="minorHAnsi"/>
        </w:rPr>
        <w:t xml:space="preserve"> the questionnaire</w:t>
      </w:r>
      <w:r w:rsidRPr="00DC2284">
        <w:rPr>
          <w:rFonts w:cstheme="minorHAnsi"/>
        </w:rPr>
        <w:t>.</w:t>
      </w:r>
      <w:r>
        <w:rPr>
          <w:rFonts w:cstheme="minorHAnsi"/>
        </w:rPr>
        <w:t xml:space="preserve">  The aim was to provide multiple realities based on the subjective views of the participants. </w:t>
      </w:r>
    </w:p>
    <w:p w14:paraId="2AA30677" w14:textId="77777777" w:rsidR="00093EC1" w:rsidRDefault="00093EC1" w:rsidP="008A5CC5">
      <w:pPr>
        <w:pStyle w:val="NoSpacing"/>
        <w:jc w:val="both"/>
        <w:rPr>
          <w:rFonts w:cstheme="minorHAnsi"/>
        </w:rPr>
      </w:pPr>
    </w:p>
    <w:p w14:paraId="4B3BCADD" w14:textId="379CB42D" w:rsidR="00093EC1" w:rsidRPr="001E2548" w:rsidRDefault="00093EC1" w:rsidP="008A5CC5">
      <w:pPr>
        <w:pStyle w:val="NoSpacing"/>
        <w:jc w:val="both"/>
        <w:rPr>
          <w:rFonts w:eastAsia="Arial" w:cstheme="minorHAnsi"/>
          <w:color w:val="000000"/>
          <w:u w:color="000000"/>
          <w:bdr w:val="nil"/>
        </w:rPr>
      </w:pPr>
      <w:r w:rsidRPr="00DC2284">
        <w:rPr>
          <w:rFonts w:cstheme="minorHAnsi"/>
        </w:rPr>
        <w:t xml:space="preserve">Collecting some </w:t>
      </w:r>
      <w:r w:rsidR="004F286E" w:rsidRPr="00DC2284">
        <w:rPr>
          <w:rFonts w:cstheme="minorHAnsi"/>
        </w:rPr>
        <w:t xml:space="preserve">quantitative </w:t>
      </w:r>
      <w:r w:rsidRPr="00DC2284">
        <w:rPr>
          <w:rFonts w:cstheme="minorHAnsi"/>
        </w:rPr>
        <w:t xml:space="preserve">data </w:t>
      </w:r>
      <w:r>
        <w:rPr>
          <w:rFonts w:cstheme="minorHAnsi"/>
        </w:rPr>
        <w:t xml:space="preserve">for numerical analysis </w:t>
      </w:r>
      <w:r w:rsidRPr="00DC2284">
        <w:rPr>
          <w:rFonts w:cstheme="minorHAnsi"/>
        </w:rPr>
        <w:t>is not incongruent with the interpretive paradigm</w:t>
      </w:r>
      <w:r w:rsidR="004F286E">
        <w:rPr>
          <w:rFonts w:cstheme="minorHAnsi"/>
        </w:rPr>
        <w:t xml:space="preserve">, as </w:t>
      </w:r>
      <w:r w:rsidRPr="00DC2284">
        <w:rPr>
          <w:rFonts w:cstheme="minorHAnsi"/>
        </w:rPr>
        <w:t xml:space="preserve"> </w:t>
      </w:r>
      <w:r w:rsidR="004F286E">
        <w:rPr>
          <w:rFonts w:cstheme="minorHAnsi"/>
        </w:rPr>
        <w:t>t</w:t>
      </w:r>
      <w:r w:rsidRPr="00DC2284">
        <w:rPr>
          <w:rFonts w:cstheme="minorHAnsi"/>
        </w:rPr>
        <w:t xml:space="preserve">he data gathered </w:t>
      </w:r>
      <w:r>
        <w:rPr>
          <w:rFonts w:cstheme="minorHAnsi"/>
        </w:rPr>
        <w:t>relate</w:t>
      </w:r>
      <w:r w:rsidR="0087372C">
        <w:rPr>
          <w:rFonts w:cstheme="minorHAnsi"/>
        </w:rPr>
        <w:t>d</w:t>
      </w:r>
      <w:r>
        <w:rPr>
          <w:rFonts w:cstheme="minorHAnsi"/>
        </w:rPr>
        <w:t xml:space="preserve"> to teacher perceptions and opinions about </w:t>
      </w:r>
      <w:r w:rsidR="005843FE">
        <w:rPr>
          <w:rFonts w:cstheme="minorHAnsi"/>
        </w:rPr>
        <w:t>PL</w:t>
      </w:r>
      <w:r w:rsidR="004F286E">
        <w:rPr>
          <w:rFonts w:cstheme="minorHAnsi"/>
        </w:rPr>
        <w:t xml:space="preserve">, and </w:t>
      </w:r>
      <w:r w:rsidR="0087372C">
        <w:rPr>
          <w:rFonts w:cstheme="minorHAnsi"/>
        </w:rPr>
        <w:t xml:space="preserve"> was</w:t>
      </w:r>
      <w:r w:rsidRPr="00DC2284">
        <w:rPr>
          <w:rFonts w:cstheme="minorHAnsi"/>
        </w:rPr>
        <w:t xml:space="preserve"> </w:t>
      </w:r>
      <w:r>
        <w:rPr>
          <w:rFonts w:cstheme="minorHAnsi"/>
        </w:rPr>
        <w:t>analysed in conjunction with the</w:t>
      </w:r>
      <w:r w:rsidRPr="00DC2284">
        <w:rPr>
          <w:rFonts w:cstheme="minorHAnsi"/>
        </w:rPr>
        <w:t xml:space="preserve"> qualitative data</w:t>
      </w:r>
      <w:r>
        <w:rPr>
          <w:rFonts w:cstheme="minorHAnsi"/>
        </w:rPr>
        <w:t xml:space="preserve">, in order to gain a </w:t>
      </w:r>
      <w:r w:rsidR="004F286E">
        <w:rPr>
          <w:rFonts w:cstheme="minorHAnsi"/>
        </w:rPr>
        <w:t xml:space="preserve">more </w:t>
      </w:r>
      <w:r>
        <w:rPr>
          <w:rFonts w:cstheme="minorHAnsi"/>
        </w:rPr>
        <w:t xml:space="preserve">complete picture of opinions of the </w:t>
      </w:r>
      <w:r w:rsidR="0087372C">
        <w:rPr>
          <w:rFonts w:cstheme="minorHAnsi"/>
        </w:rPr>
        <w:t>practitioner</w:t>
      </w:r>
      <w:r>
        <w:rPr>
          <w:rFonts w:cstheme="minorHAnsi"/>
        </w:rPr>
        <w:t xml:space="preserve"> population more widely.</w:t>
      </w:r>
      <w:r w:rsidR="004F286E">
        <w:rPr>
          <w:rFonts w:cstheme="minorHAnsi"/>
        </w:rPr>
        <w:t xml:space="preserve"> </w:t>
      </w:r>
      <w:r>
        <w:rPr>
          <w:rFonts w:cstheme="minorHAnsi"/>
        </w:rPr>
        <w:t xml:space="preserve"> The bigger picture of a broader number of teachers would not be possible or practical for this researcher to discover through qualitative date collection methods, such as interviews or focus groups.  In educational research</w:t>
      </w:r>
      <w:r w:rsidR="000958A9">
        <w:rPr>
          <w:rFonts w:cstheme="minorHAnsi"/>
        </w:rPr>
        <w:t>,</w:t>
      </w:r>
      <w:r w:rsidRPr="00DC2284">
        <w:rPr>
          <w:rFonts w:cstheme="minorHAnsi"/>
        </w:rPr>
        <w:t xml:space="preserve"> mixed methods approach</w:t>
      </w:r>
      <w:r>
        <w:rPr>
          <w:rFonts w:cstheme="minorHAnsi"/>
        </w:rPr>
        <w:t>es</w:t>
      </w:r>
      <w:r w:rsidRPr="00DC2284">
        <w:rPr>
          <w:rFonts w:cstheme="minorHAnsi"/>
        </w:rPr>
        <w:t xml:space="preserve"> </w:t>
      </w:r>
      <w:r>
        <w:rPr>
          <w:rFonts w:cstheme="minorHAnsi"/>
        </w:rPr>
        <w:t xml:space="preserve">can </w:t>
      </w:r>
      <w:r w:rsidRPr="00DC2284">
        <w:rPr>
          <w:rFonts w:cstheme="minorHAnsi"/>
        </w:rPr>
        <w:t xml:space="preserve">give a more complete, </w:t>
      </w:r>
      <w:r>
        <w:rPr>
          <w:rFonts w:cstheme="minorHAnsi"/>
        </w:rPr>
        <w:t xml:space="preserve">and reliable </w:t>
      </w:r>
      <w:r w:rsidRPr="00DC2284">
        <w:rPr>
          <w:rFonts w:cstheme="minorHAnsi"/>
        </w:rPr>
        <w:t xml:space="preserve">understanding of a </w:t>
      </w:r>
      <w:r>
        <w:rPr>
          <w:rFonts w:cstheme="minorHAnsi"/>
        </w:rPr>
        <w:t xml:space="preserve">complex </w:t>
      </w:r>
      <w:r w:rsidRPr="00DC2284">
        <w:rPr>
          <w:rFonts w:cstheme="minorHAnsi"/>
        </w:rPr>
        <w:t>situation</w:t>
      </w:r>
      <w:r>
        <w:rPr>
          <w:rFonts w:cstheme="minorHAnsi"/>
        </w:rPr>
        <w:t xml:space="preserve"> and increase</w:t>
      </w:r>
      <w:r w:rsidR="000958A9">
        <w:rPr>
          <w:rFonts w:cstheme="minorHAnsi"/>
        </w:rPr>
        <w:t>s</w:t>
      </w:r>
      <w:r>
        <w:rPr>
          <w:rFonts w:cstheme="minorHAnsi"/>
        </w:rPr>
        <w:t xml:space="preserve"> the credibility and validity of the conclusions that can be drawn from the research </w:t>
      </w:r>
      <w:r w:rsidRPr="005978B6">
        <w:rPr>
          <w:rFonts w:cstheme="minorHAnsi"/>
          <w:noProof/>
        </w:rPr>
        <w:t>(Scoles</w:t>
      </w:r>
      <w:r>
        <w:rPr>
          <w:rFonts w:cstheme="minorHAnsi"/>
          <w:noProof/>
        </w:rPr>
        <w:t xml:space="preserve"> et al</w:t>
      </w:r>
      <w:r w:rsidR="00B75C20">
        <w:rPr>
          <w:rFonts w:cstheme="minorHAnsi"/>
          <w:noProof/>
        </w:rPr>
        <w:t>.</w:t>
      </w:r>
      <w:r w:rsidRPr="005978B6">
        <w:rPr>
          <w:rFonts w:cstheme="minorHAnsi"/>
          <w:noProof/>
        </w:rPr>
        <w:t>, 2014</w:t>
      </w:r>
      <w:r w:rsidR="00B75C20">
        <w:rPr>
          <w:rFonts w:cstheme="minorHAnsi"/>
        </w:rPr>
        <w:t xml:space="preserve"> and </w:t>
      </w:r>
      <w:r w:rsidRPr="00DC2284">
        <w:rPr>
          <w:rFonts w:cstheme="minorHAnsi"/>
        </w:rPr>
        <w:t>Cohen</w:t>
      </w:r>
      <w:r>
        <w:rPr>
          <w:rFonts w:cstheme="minorHAnsi"/>
        </w:rPr>
        <w:t xml:space="preserve"> et al</w:t>
      </w:r>
      <w:r w:rsidR="00B75C20">
        <w:rPr>
          <w:rFonts w:cstheme="minorHAnsi"/>
        </w:rPr>
        <w:t>.</w:t>
      </w:r>
      <w:r>
        <w:rPr>
          <w:rFonts w:cstheme="minorHAnsi"/>
        </w:rPr>
        <w:t xml:space="preserve">, </w:t>
      </w:r>
      <w:r w:rsidRPr="00DC2284">
        <w:rPr>
          <w:rFonts w:cstheme="minorHAnsi"/>
        </w:rPr>
        <w:t xml:space="preserve">2018).  </w:t>
      </w:r>
    </w:p>
    <w:p w14:paraId="4FE24CA3" w14:textId="77777777" w:rsidR="00093EC1" w:rsidRDefault="00093EC1" w:rsidP="008A5CC5">
      <w:pPr>
        <w:pStyle w:val="NoSpacing"/>
        <w:jc w:val="both"/>
        <w:rPr>
          <w:rFonts w:cstheme="minorHAnsi"/>
        </w:rPr>
      </w:pPr>
    </w:p>
    <w:p w14:paraId="37A2E694" w14:textId="11B8FEE3" w:rsidR="00093EC1" w:rsidRDefault="00093EC1" w:rsidP="008A5CC5">
      <w:pPr>
        <w:pStyle w:val="NoSpacing"/>
        <w:jc w:val="both"/>
        <w:rPr>
          <w:rFonts w:cstheme="minorHAnsi"/>
        </w:rPr>
      </w:pPr>
      <w:r>
        <w:rPr>
          <w:rFonts w:cstheme="minorHAnsi"/>
        </w:rPr>
        <w:t>However, a</w:t>
      </w:r>
      <w:r w:rsidRPr="00DC2284">
        <w:rPr>
          <w:rFonts w:cstheme="minorHAnsi"/>
        </w:rPr>
        <w:t xml:space="preserve"> mixed methods approach is often more aligned to a pragmatic paradigm</w:t>
      </w:r>
      <w:r>
        <w:rPr>
          <w:rFonts w:cstheme="minorHAnsi"/>
        </w:rPr>
        <w:t>. In</w:t>
      </w:r>
      <w:r w:rsidRPr="00DC2284">
        <w:rPr>
          <w:rFonts w:cstheme="minorHAnsi"/>
        </w:rPr>
        <w:t xml:space="preserve"> many respects this research does rely on the ontological view </w:t>
      </w:r>
      <w:r w:rsidR="0087372C">
        <w:rPr>
          <w:rFonts w:cstheme="minorHAnsi"/>
        </w:rPr>
        <w:t>(Cohen at al</w:t>
      </w:r>
      <w:r w:rsidR="00B75C20">
        <w:rPr>
          <w:rFonts w:cstheme="minorHAnsi"/>
        </w:rPr>
        <w:t>.</w:t>
      </w:r>
      <w:r w:rsidR="0087372C">
        <w:rPr>
          <w:rFonts w:cstheme="minorHAnsi"/>
        </w:rPr>
        <w:t xml:space="preserve">, 2018) </w:t>
      </w:r>
      <w:r>
        <w:rPr>
          <w:rFonts w:cstheme="minorHAnsi"/>
        </w:rPr>
        <w:t xml:space="preserve">associated with a more pragmatic approach, namely </w:t>
      </w:r>
      <w:r w:rsidRPr="00DC2284">
        <w:rPr>
          <w:rFonts w:cstheme="minorHAnsi"/>
        </w:rPr>
        <w:t>that each participant will have their own unique interpretation, set of beliefs and views of the situation.</w:t>
      </w:r>
      <w:r>
        <w:rPr>
          <w:rFonts w:cstheme="minorHAnsi"/>
        </w:rPr>
        <w:t xml:space="preserve">  Indeed, in epistemological terms, knowledge about the impact of professional lea</w:t>
      </w:r>
      <w:r w:rsidR="000958A9">
        <w:rPr>
          <w:rFonts w:cstheme="minorHAnsi"/>
        </w:rPr>
        <w:t>r</w:t>
      </w:r>
      <w:r>
        <w:rPr>
          <w:rFonts w:cstheme="minorHAnsi"/>
        </w:rPr>
        <w:t xml:space="preserve">ning on teachers is also likely to change over time, reinforcing the more pragmatic foundations of this research.  </w:t>
      </w:r>
    </w:p>
    <w:p w14:paraId="7F747BAD" w14:textId="77777777" w:rsidR="00093EC1" w:rsidRPr="00DC2284" w:rsidRDefault="00093EC1" w:rsidP="008A5CC5">
      <w:pPr>
        <w:pStyle w:val="NoSpacing"/>
        <w:jc w:val="both"/>
        <w:rPr>
          <w:rFonts w:cstheme="minorHAnsi"/>
          <w:color w:val="FF0000"/>
        </w:rPr>
      </w:pPr>
    </w:p>
    <w:p w14:paraId="32B999BA" w14:textId="77777777" w:rsidR="00093EC1" w:rsidRDefault="00093EC1" w:rsidP="008A5CC5">
      <w:pPr>
        <w:pStyle w:val="NoSpacing"/>
        <w:jc w:val="both"/>
        <w:rPr>
          <w:rFonts w:cstheme="minorHAnsi"/>
          <w:b/>
          <w:bCs/>
        </w:rPr>
      </w:pPr>
      <w:r w:rsidRPr="00DC2284">
        <w:rPr>
          <w:rFonts w:cstheme="minorHAnsi"/>
          <w:b/>
          <w:bCs/>
        </w:rPr>
        <w:t xml:space="preserve">Research design </w:t>
      </w:r>
    </w:p>
    <w:p w14:paraId="154B5468" w14:textId="77777777" w:rsidR="00093EC1" w:rsidRPr="00DC2284" w:rsidRDefault="00093EC1" w:rsidP="008A5CC5">
      <w:pPr>
        <w:pStyle w:val="NoSpacing"/>
        <w:jc w:val="both"/>
        <w:rPr>
          <w:rFonts w:cstheme="minorHAnsi"/>
          <w:b/>
          <w:bCs/>
        </w:rPr>
      </w:pPr>
    </w:p>
    <w:p w14:paraId="05F1D979" w14:textId="10799D7C" w:rsidR="00093EC1" w:rsidRPr="00093D04" w:rsidRDefault="00093EC1" w:rsidP="008A5CC5">
      <w:pPr>
        <w:pStyle w:val="NoSpacing"/>
        <w:jc w:val="both"/>
        <w:rPr>
          <w:rFonts w:cstheme="minorHAnsi"/>
        </w:rPr>
      </w:pPr>
      <w:r>
        <w:rPr>
          <w:rFonts w:cstheme="minorHAnsi"/>
        </w:rPr>
        <w:t>This study follow</w:t>
      </w:r>
      <w:r w:rsidR="004F286E">
        <w:rPr>
          <w:rFonts w:cstheme="minorHAnsi"/>
        </w:rPr>
        <w:t>ed</w:t>
      </w:r>
      <w:r>
        <w:rPr>
          <w:rFonts w:cstheme="minorHAnsi"/>
        </w:rPr>
        <w:t xml:space="preserve"> a case study design</w:t>
      </w:r>
      <w:r w:rsidR="004F286E">
        <w:rPr>
          <w:rFonts w:cstheme="minorHAnsi"/>
        </w:rPr>
        <w:t xml:space="preserve">, which </w:t>
      </w:r>
      <w:r>
        <w:rPr>
          <w:rFonts w:cstheme="minorHAnsi"/>
        </w:rPr>
        <w:t>provide</w:t>
      </w:r>
      <w:r w:rsidR="0087372C">
        <w:rPr>
          <w:rFonts w:cstheme="minorHAnsi"/>
        </w:rPr>
        <w:t>d</w:t>
      </w:r>
      <w:r>
        <w:rPr>
          <w:rFonts w:cstheme="minorHAnsi"/>
        </w:rPr>
        <w:t xml:space="preserve"> the opportunity to present interpretation and description of the impact of </w:t>
      </w:r>
      <w:r w:rsidR="005843FE">
        <w:rPr>
          <w:rFonts w:cstheme="minorHAnsi"/>
        </w:rPr>
        <w:t>PL</w:t>
      </w:r>
      <w:r w:rsidR="0087372C">
        <w:rPr>
          <w:rFonts w:cstheme="minorHAnsi"/>
        </w:rPr>
        <w:t xml:space="preserve"> </w:t>
      </w:r>
      <w:r>
        <w:rPr>
          <w:rFonts w:cstheme="minorHAnsi"/>
        </w:rPr>
        <w:t xml:space="preserve">on the teaching profession at this time.  The ‘case’ </w:t>
      </w:r>
      <w:r w:rsidR="0087372C">
        <w:rPr>
          <w:rFonts w:cstheme="minorHAnsi"/>
        </w:rPr>
        <w:t>was</w:t>
      </w:r>
      <w:r>
        <w:rPr>
          <w:rFonts w:cstheme="minorHAnsi"/>
        </w:rPr>
        <w:t xml:space="preserve"> the programmes and </w:t>
      </w:r>
      <w:r w:rsidR="005843FE">
        <w:rPr>
          <w:rFonts w:cstheme="minorHAnsi"/>
        </w:rPr>
        <w:t>PL</w:t>
      </w:r>
      <w:r w:rsidR="0087372C">
        <w:rPr>
          <w:rFonts w:cstheme="minorHAnsi"/>
        </w:rPr>
        <w:t xml:space="preserve"> </w:t>
      </w:r>
      <w:r>
        <w:rPr>
          <w:rFonts w:cstheme="minorHAnsi"/>
        </w:rPr>
        <w:t xml:space="preserve">experiences that teachers have engaged with in Wales around the time of the launch of the </w:t>
      </w:r>
      <w:r w:rsidR="00854820">
        <w:rPr>
          <w:rFonts w:cstheme="minorHAnsi"/>
        </w:rPr>
        <w:t>CfW</w:t>
      </w:r>
      <w:r>
        <w:rPr>
          <w:rFonts w:cstheme="minorHAnsi"/>
        </w:rPr>
        <w:t xml:space="preserve"> in 2022.  This definition meets the </w:t>
      </w:r>
      <w:r w:rsidRPr="00AB4A31">
        <w:t>Yinian (Yin, 2002)</w:t>
      </w:r>
      <w:r>
        <w:rPr>
          <w:rFonts w:cstheme="minorHAnsi"/>
          <w:color w:val="000000" w:themeColor="text1"/>
        </w:rPr>
        <w:t xml:space="preserve">  </w:t>
      </w:r>
      <w:r>
        <w:rPr>
          <w:rFonts w:cstheme="minorHAnsi"/>
        </w:rPr>
        <w:t xml:space="preserve">definition of a case study, as it focuses on a contemporary phenomenon, within a real life context, and addresses “the </w:t>
      </w:r>
      <w:r w:rsidRPr="00093D04">
        <w:rPr>
          <w:rFonts w:cstheme="minorHAnsi"/>
        </w:rPr>
        <w:t>“how” or “why” questions concerning the phenomenon of interest</w:t>
      </w:r>
      <w:r>
        <w:rPr>
          <w:rFonts w:cstheme="minorHAnsi"/>
        </w:rPr>
        <w:t xml:space="preserve">” </w:t>
      </w:r>
      <w:sdt>
        <w:sdtPr>
          <w:rPr>
            <w:rFonts w:cstheme="minorHAnsi"/>
          </w:rPr>
          <w:id w:val="728345271"/>
          <w:citation/>
        </w:sdtPr>
        <w:sdtContent>
          <w:r>
            <w:rPr>
              <w:rFonts w:cstheme="minorHAnsi"/>
            </w:rPr>
            <w:fldChar w:fldCharType="begin"/>
          </w:r>
          <w:r>
            <w:rPr>
              <w:rFonts w:cstheme="minorHAnsi"/>
            </w:rPr>
            <w:instrText xml:space="preserve"> CITATION Yaz15 \l 2057 </w:instrText>
          </w:r>
          <w:r>
            <w:rPr>
              <w:rFonts w:cstheme="minorHAnsi"/>
            </w:rPr>
            <w:fldChar w:fldCharType="separate"/>
          </w:r>
          <w:r w:rsidRPr="00093D04">
            <w:rPr>
              <w:rFonts w:cstheme="minorHAnsi"/>
              <w:noProof/>
            </w:rPr>
            <w:t>(Yazan, 2015)</w:t>
          </w:r>
          <w:r>
            <w:rPr>
              <w:rFonts w:cstheme="minorHAnsi"/>
            </w:rPr>
            <w:fldChar w:fldCharType="end"/>
          </w:r>
        </w:sdtContent>
      </w:sdt>
      <w:r w:rsidRPr="00093D04">
        <w:rPr>
          <w:rFonts w:cstheme="minorHAnsi"/>
        </w:rPr>
        <w:t>.</w:t>
      </w:r>
      <w:r w:rsidR="0087372C">
        <w:rPr>
          <w:rFonts w:cstheme="minorHAnsi"/>
        </w:rPr>
        <w:t xml:space="preserve"> This research design was used to address the </w:t>
      </w:r>
      <w:r w:rsidR="0087372C">
        <w:rPr>
          <w:rFonts w:cstheme="minorHAnsi"/>
        </w:rPr>
        <w:lastRenderedPageBreak/>
        <w:t xml:space="preserve">overarching research question for this study: How </w:t>
      </w:r>
      <w:r w:rsidR="0087372C" w:rsidRPr="002E75FB">
        <w:rPr>
          <w:rFonts w:cstheme="minorHAnsi"/>
        </w:rPr>
        <w:t xml:space="preserve">has engagement with </w:t>
      </w:r>
      <w:r w:rsidR="0087372C">
        <w:rPr>
          <w:rFonts w:cstheme="minorHAnsi"/>
        </w:rPr>
        <w:t>PL</w:t>
      </w:r>
      <w:r w:rsidR="0087372C" w:rsidRPr="002E75FB">
        <w:rPr>
          <w:rFonts w:cstheme="minorHAnsi"/>
        </w:rPr>
        <w:t xml:space="preserve"> activities impacted </w:t>
      </w:r>
      <w:r w:rsidR="0087372C">
        <w:rPr>
          <w:rFonts w:cstheme="minorHAnsi"/>
        </w:rPr>
        <w:t>practitioners</w:t>
      </w:r>
      <w:r w:rsidR="0087372C" w:rsidRPr="002E75FB">
        <w:rPr>
          <w:rFonts w:cstheme="minorHAnsi"/>
        </w:rPr>
        <w:t>’ knowledge of, and confidence in implementing the C</w:t>
      </w:r>
      <w:r w:rsidR="0087372C">
        <w:rPr>
          <w:rFonts w:cstheme="minorHAnsi"/>
        </w:rPr>
        <w:t>fW</w:t>
      </w:r>
      <w:r w:rsidR="0087372C" w:rsidRPr="002E75FB">
        <w:rPr>
          <w:rFonts w:cstheme="minorHAnsi"/>
        </w:rPr>
        <w:t>?</w:t>
      </w:r>
    </w:p>
    <w:p w14:paraId="2A30B992" w14:textId="77777777" w:rsidR="00093EC1" w:rsidRDefault="00093EC1" w:rsidP="008A5CC5">
      <w:pPr>
        <w:pStyle w:val="NoSpacing"/>
        <w:jc w:val="both"/>
        <w:rPr>
          <w:rFonts w:cstheme="minorHAnsi"/>
        </w:rPr>
      </w:pPr>
    </w:p>
    <w:p w14:paraId="2A4BDBE0" w14:textId="01170A75" w:rsidR="00093EC1" w:rsidRDefault="00093EC1" w:rsidP="008A5CC5">
      <w:pPr>
        <w:pStyle w:val="NoSpacing"/>
        <w:jc w:val="both"/>
        <w:rPr>
          <w:rFonts w:cstheme="minorHAnsi"/>
        </w:rPr>
      </w:pPr>
      <w:r>
        <w:rPr>
          <w:rFonts w:cstheme="minorHAnsi"/>
        </w:rPr>
        <w:t>The questionnaire and interviews provide</w:t>
      </w:r>
      <w:r w:rsidR="0087372C">
        <w:rPr>
          <w:rFonts w:cstheme="minorHAnsi"/>
        </w:rPr>
        <w:t>d</w:t>
      </w:r>
      <w:r>
        <w:rPr>
          <w:rFonts w:cstheme="minorHAnsi"/>
        </w:rPr>
        <w:t xml:space="preserve"> more specific cases relating to individual school and practitioner examples.  The use of two data collection methods and discussion of a range of perspectives on the issue is a common case study approach </w:t>
      </w:r>
      <w:sdt>
        <w:sdtPr>
          <w:rPr>
            <w:rFonts w:cstheme="minorHAnsi"/>
          </w:rPr>
          <w:id w:val="-1963799462"/>
          <w:citation/>
        </w:sdtPr>
        <w:sdtContent>
          <w:r>
            <w:rPr>
              <w:rFonts w:cstheme="minorHAnsi"/>
            </w:rPr>
            <w:fldChar w:fldCharType="begin"/>
          </w:r>
          <w:r>
            <w:rPr>
              <w:rFonts w:cstheme="minorHAnsi"/>
            </w:rPr>
            <w:instrText xml:space="preserve"> CITATION Ham11 \l 2057 </w:instrText>
          </w:r>
          <w:r>
            <w:rPr>
              <w:rFonts w:cstheme="minorHAnsi"/>
            </w:rPr>
            <w:fldChar w:fldCharType="separate"/>
          </w:r>
          <w:r w:rsidRPr="00AD4C75">
            <w:rPr>
              <w:rFonts w:cstheme="minorHAnsi"/>
              <w:noProof/>
            </w:rPr>
            <w:t>(Hamilton, 2011)</w:t>
          </w:r>
          <w:r>
            <w:rPr>
              <w:rFonts w:cstheme="minorHAnsi"/>
            </w:rPr>
            <w:fldChar w:fldCharType="end"/>
          </w:r>
        </w:sdtContent>
      </w:sdt>
      <w:r>
        <w:rPr>
          <w:rFonts w:cstheme="minorHAnsi"/>
        </w:rPr>
        <w:t>. This allow</w:t>
      </w:r>
      <w:r w:rsidR="0087372C">
        <w:rPr>
          <w:rFonts w:cstheme="minorHAnsi"/>
        </w:rPr>
        <w:t>ed a</w:t>
      </w:r>
      <w:r>
        <w:rPr>
          <w:rFonts w:cstheme="minorHAnsi"/>
        </w:rPr>
        <w:t xml:space="preserve"> degree of triangulation of the data, increasing the quality and validity of the research. </w:t>
      </w:r>
    </w:p>
    <w:p w14:paraId="50B60CF1" w14:textId="77777777" w:rsidR="00093EC1" w:rsidRDefault="00093EC1" w:rsidP="008A5CC5">
      <w:pPr>
        <w:pStyle w:val="NoSpacing"/>
        <w:jc w:val="both"/>
        <w:rPr>
          <w:rFonts w:cstheme="minorHAnsi"/>
        </w:rPr>
      </w:pPr>
    </w:p>
    <w:p w14:paraId="192FC69A" w14:textId="77777777" w:rsidR="00093EC1" w:rsidRDefault="00093EC1" w:rsidP="008A5CC5">
      <w:pPr>
        <w:pStyle w:val="NoSpacing"/>
        <w:jc w:val="both"/>
        <w:rPr>
          <w:rFonts w:cstheme="minorHAnsi"/>
        </w:rPr>
      </w:pPr>
    </w:p>
    <w:p w14:paraId="2B7C7BE9" w14:textId="54E57EB7" w:rsidR="00854820" w:rsidRDefault="0087372C" w:rsidP="008A5CC5">
      <w:pPr>
        <w:pStyle w:val="NoSpacing"/>
        <w:jc w:val="both"/>
        <w:rPr>
          <w:rFonts w:cstheme="minorHAnsi"/>
          <w:b/>
          <w:bCs/>
        </w:rPr>
      </w:pPr>
      <w:r>
        <w:rPr>
          <w:rFonts w:cstheme="minorHAnsi"/>
          <w:b/>
          <w:bCs/>
        </w:rPr>
        <w:t xml:space="preserve">Participants and sampling </w:t>
      </w:r>
    </w:p>
    <w:p w14:paraId="65E12EFC" w14:textId="77777777" w:rsidR="0087372C" w:rsidRDefault="0087372C" w:rsidP="008A5CC5">
      <w:pPr>
        <w:pStyle w:val="NoSpacing"/>
        <w:jc w:val="both"/>
        <w:rPr>
          <w:rFonts w:cstheme="minorHAnsi"/>
          <w:b/>
          <w:bCs/>
        </w:rPr>
      </w:pPr>
    </w:p>
    <w:p w14:paraId="19CA1CCB" w14:textId="552AB71A" w:rsidR="0087372C" w:rsidRDefault="0087372C" w:rsidP="0087372C">
      <w:pPr>
        <w:pStyle w:val="NoSpacing"/>
        <w:jc w:val="both"/>
        <w:rPr>
          <w:rFonts w:cstheme="minorHAnsi"/>
        </w:rPr>
      </w:pPr>
      <w:r w:rsidRPr="0087372C">
        <w:rPr>
          <w:rFonts w:cstheme="minorHAnsi"/>
        </w:rPr>
        <w:t>The target population</w:t>
      </w:r>
      <w:r>
        <w:rPr>
          <w:rFonts w:cstheme="minorHAnsi"/>
        </w:rPr>
        <w:t xml:space="preserve"> of this study was practitioners in Wales. </w:t>
      </w:r>
      <w:r w:rsidRPr="00BC1C38">
        <w:rPr>
          <w:rFonts w:cstheme="minorHAnsi"/>
        </w:rPr>
        <w:t xml:space="preserve">Practitioners </w:t>
      </w:r>
      <w:r>
        <w:rPr>
          <w:rFonts w:cstheme="minorHAnsi"/>
        </w:rPr>
        <w:t>were purposefully selected because they undertake</w:t>
      </w:r>
      <w:r w:rsidRPr="00BC1C38">
        <w:rPr>
          <w:rFonts w:cstheme="minorHAnsi"/>
        </w:rPr>
        <w:t xml:space="preserve"> the practical work of designing</w:t>
      </w:r>
      <w:r>
        <w:rPr>
          <w:rFonts w:cstheme="minorHAnsi"/>
        </w:rPr>
        <w:t xml:space="preserve"> </w:t>
      </w:r>
      <w:r w:rsidRPr="00BC1C38">
        <w:rPr>
          <w:rFonts w:cstheme="minorHAnsi"/>
        </w:rPr>
        <w:t>the</w:t>
      </w:r>
      <w:r>
        <w:rPr>
          <w:rFonts w:cstheme="minorHAnsi"/>
        </w:rPr>
        <w:t xml:space="preserve"> </w:t>
      </w:r>
      <w:r w:rsidRPr="00BC1C38">
        <w:rPr>
          <w:rFonts w:cstheme="minorHAnsi"/>
        </w:rPr>
        <w:t xml:space="preserve">curriculum and assessment </w:t>
      </w:r>
      <w:r>
        <w:rPr>
          <w:rFonts w:cstheme="minorHAnsi"/>
        </w:rPr>
        <w:t>for their schools</w:t>
      </w:r>
      <w:r w:rsidRPr="00BC1C38">
        <w:rPr>
          <w:rFonts w:cstheme="minorHAnsi"/>
        </w:rPr>
        <w:t>.</w:t>
      </w:r>
      <w:r>
        <w:rPr>
          <w:rFonts w:cstheme="minorHAnsi"/>
        </w:rPr>
        <w:t xml:space="preserve"> S</w:t>
      </w:r>
      <w:r w:rsidRPr="00BC1C38">
        <w:rPr>
          <w:rFonts w:cstheme="minorHAnsi"/>
        </w:rPr>
        <w:t xml:space="preserve">enior leaders </w:t>
      </w:r>
      <w:r>
        <w:rPr>
          <w:rFonts w:cstheme="minorHAnsi"/>
        </w:rPr>
        <w:t xml:space="preserve">were included </w:t>
      </w:r>
      <w:r w:rsidRPr="00BC1C38">
        <w:rPr>
          <w:rFonts w:cstheme="minorHAnsi"/>
        </w:rPr>
        <w:t xml:space="preserve">as practitioners because in many </w:t>
      </w:r>
      <w:r>
        <w:rPr>
          <w:rFonts w:cstheme="minorHAnsi"/>
        </w:rPr>
        <w:t>schools</w:t>
      </w:r>
      <w:r w:rsidR="00A5515E">
        <w:rPr>
          <w:rFonts w:cstheme="minorHAnsi"/>
        </w:rPr>
        <w:t>,</w:t>
      </w:r>
      <w:r>
        <w:rPr>
          <w:rFonts w:cstheme="minorHAnsi"/>
        </w:rPr>
        <w:t xml:space="preserve"> </w:t>
      </w:r>
      <w:r w:rsidRPr="00BC1C38">
        <w:rPr>
          <w:rFonts w:cstheme="minorHAnsi"/>
        </w:rPr>
        <w:t>senior leaders such as assistant headteachers are also classroom teachers.  In addition, the dividing line between senior and middle leaders is not always clear</w:t>
      </w:r>
      <w:r w:rsidR="004F286E">
        <w:rPr>
          <w:rFonts w:cstheme="minorHAnsi"/>
        </w:rPr>
        <w:t>;</w:t>
      </w:r>
      <w:r w:rsidRPr="00BC1C38">
        <w:rPr>
          <w:rFonts w:cstheme="minorHAnsi"/>
        </w:rPr>
        <w:t xml:space="preserve"> an assistant headteacher in a primary school may not always be officially classed as a senior leader, but they are more likely to be in a secondary setting.  </w:t>
      </w:r>
      <w:r w:rsidR="006C1AF1">
        <w:rPr>
          <w:rFonts w:cstheme="minorHAnsi"/>
        </w:rPr>
        <w:t>T</w:t>
      </w:r>
      <w:r w:rsidRPr="00BC1C38">
        <w:rPr>
          <w:rFonts w:cstheme="minorHAnsi"/>
        </w:rPr>
        <w:t xml:space="preserve">he views of Headteachers are articulated </w:t>
      </w:r>
      <w:r w:rsidR="006C1AF1">
        <w:rPr>
          <w:rFonts w:cstheme="minorHAnsi"/>
        </w:rPr>
        <w:t>through</w:t>
      </w:r>
      <w:r w:rsidRPr="00BC1C38">
        <w:rPr>
          <w:rFonts w:cstheme="minorHAnsi"/>
        </w:rPr>
        <w:t xml:space="preserve"> headteacher conferences,</w:t>
      </w:r>
      <w:r w:rsidR="006C1AF1">
        <w:rPr>
          <w:rFonts w:cstheme="minorHAnsi"/>
        </w:rPr>
        <w:t xml:space="preserve"> however,</w:t>
      </w:r>
      <w:r w:rsidRPr="00BC1C38">
        <w:rPr>
          <w:rFonts w:cstheme="minorHAnsi"/>
        </w:rPr>
        <w:t xml:space="preserve"> those at a lower level in school</w:t>
      </w:r>
      <w:r>
        <w:rPr>
          <w:rFonts w:cstheme="minorHAnsi"/>
        </w:rPr>
        <w:t>s</w:t>
      </w:r>
      <w:r w:rsidRPr="00BC1C38">
        <w:rPr>
          <w:rFonts w:cstheme="minorHAnsi"/>
        </w:rPr>
        <w:t>,</w:t>
      </w:r>
      <w:r w:rsidR="006C1AF1">
        <w:rPr>
          <w:rFonts w:cstheme="minorHAnsi"/>
        </w:rPr>
        <w:t xml:space="preserve"> </w:t>
      </w:r>
      <w:r w:rsidRPr="00BC1C38">
        <w:rPr>
          <w:rFonts w:cstheme="minorHAnsi"/>
        </w:rPr>
        <w:t xml:space="preserve">have fewer ways of </w:t>
      </w:r>
      <w:r w:rsidR="006C1AF1">
        <w:rPr>
          <w:rFonts w:cstheme="minorHAnsi"/>
        </w:rPr>
        <w:t>sharing</w:t>
      </w:r>
      <w:r w:rsidRPr="00BC1C38">
        <w:rPr>
          <w:rFonts w:cstheme="minorHAnsi"/>
        </w:rPr>
        <w:t xml:space="preserve"> their opinions. In addition, my work regionally is largely with practitioners rather than headteachers</w:t>
      </w:r>
      <w:r>
        <w:rPr>
          <w:rFonts w:cstheme="minorHAnsi"/>
        </w:rPr>
        <w:t>.</w:t>
      </w:r>
    </w:p>
    <w:p w14:paraId="6890E183" w14:textId="77777777" w:rsidR="0087372C" w:rsidRDefault="0087372C" w:rsidP="0087372C">
      <w:pPr>
        <w:pStyle w:val="NoSpacing"/>
        <w:jc w:val="both"/>
        <w:rPr>
          <w:rFonts w:cstheme="minorHAnsi"/>
        </w:rPr>
      </w:pPr>
    </w:p>
    <w:p w14:paraId="2F40D6E1" w14:textId="1A1B0E5A" w:rsidR="00BD2FED" w:rsidRDefault="001C08E7" w:rsidP="00BD2FED">
      <w:pPr>
        <w:pStyle w:val="NoSpacing"/>
        <w:jc w:val="both"/>
        <w:rPr>
          <w:rFonts w:cstheme="minorHAnsi"/>
        </w:rPr>
      </w:pPr>
      <w:r>
        <w:rPr>
          <w:rFonts w:cstheme="minorHAnsi"/>
        </w:rPr>
        <w:t xml:space="preserve">As PL on CfW is available to all practitioners in Wales, a wide selection criteria was used, with all qualified and practicing practitioners in Wales targeted. </w:t>
      </w:r>
      <w:r w:rsidR="002B46B1">
        <w:rPr>
          <w:rFonts w:cstheme="minorHAnsi"/>
        </w:rPr>
        <w:t>In developing the recruitment plan</w:t>
      </w:r>
      <w:r w:rsidR="006C7B15">
        <w:rPr>
          <w:rFonts w:cstheme="minorHAnsi"/>
        </w:rPr>
        <w:t xml:space="preserve">, </w:t>
      </w:r>
      <w:r>
        <w:rPr>
          <w:rFonts w:cstheme="minorHAnsi"/>
        </w:rPr>
        <w:t xml:space="preserve">a </w:t>
      </w:r>
      <w:r w:rsidR="002F38D4">
        <w:rPr>
          <w:rFonts w:cstheme="minorHAnsi"/>
        </w:rPr>
        <w:t xml:space="preserve">potentially obstructive </w:t>
      </w:r>
      <w:r w:rsidR="006C7B15">
        <w:rPr>
          <w:rFonts w:cstheme="minorHAnsi"/>
        </w:rPr>
        <w:t xml:space="preserve">role of </w:t>
      </w:r>
      <w:r w:rsidR="002F38D4">
        <w:rPr>
          <w:rFonts w:cstheme="minorHAnsi"/>
        </w:rPr>
        <w:t xml:space="preserve">Headteachers acting as </w:t>
      </w:r>
      <w:r w:rsidR="006C7B15">
        <w:rPr>
          <w:rFonts w:cstheme="minorHAnsi"/>
        </w:rPr>
        <w:t>gatekeepers was considered</w:t>
      </w:r>
      <w:r w:rsidR="002F38D4">
        <w:rPr>
          <w:rFonts w:cstheme="minorHAnsi"/>
        </w:rPr>
        <w:t xml:space="preserve"> </w:t>
      </w:r>
      <w:r w:rsidR="002F38D4" w:rsidRPr="002F38D4">
        <w:rPr>
          <w:rFonts w:cstheme="minorHAnsi"/>
          <w:noProof/>
        </w:rPr>
        <w:t>(Negrin</w:t>
      </w:r>
      <w:r w:rsidR="002F38D4">
        <w:rPr>
          <w:rFonts w:cstheme="minorHAnsi"/>
          <w:noProof/>
        </w:rPr>
        <w:t xml:space="preserve"> et al, </w:t>
      </w:r>
      <w:r w:rsidR="002F38D4" w:rsidRPr="002F38D4">
        <w:rPr>
          <w:rFonts w:cstheme="minorHAnsi"/>
          <w:noProof/>
        </w:rPr>
        <w:t>2022)</w:t>
      </w:r>
      <w:r w:rsidR="006C7B15">
        <w:rPr>
          <w:rFonts w:cstheme="minorHAnsi"/>
        </w:rPr>
        <w:t xml:space="preserve">. </w:t>
      </w:r>
      <w:r w:rsidR="002F38D4">
        <w:rPr>
          <w:rFonts w:cstheme="minorHAnsi"/>
        </w:rPr>
        <w:t xml:space="preserve">As the research </w:t>
      </w:r>
      <w:r>
        <w:rPr>
          <w:rFonts w:cstheme="minorHAnsi"/>
        </w:rPr>
        <w:t>included</w:t>
      </w:r>
      <w:r w:rsidR="002F38D4">
        <w:rPr>
          <w:rFonts w:cstheme="minorHAnsi"/>
        </w:rPr>
        <w:t xml:space="preserve"> gather</w:t>
      </w:r>
      <w:r>
        <w:rPr>
          <w:rFonts w:cstheme="minorHAnsi"/>
        </w:rPr>
        <w:t>ing</w:t>
      </w:r>
      <w:r w:rsidR="002F38D4">
        <w:rPr>
          <w:rFonts w:cstheme="minorHAnsi"/>
        </w:rPr>
        <w:t xml:space="preserve"> the views of practitioners on PL prov</w:t>
      </w:r>
      <w:r w:rsidR="00BD2FED">
        <w:rPr>
          <w:rFonts w:cstheme="minorHAnsi"/>
        </w:rPr>
        <w:t>ided by school leaders</w:t>
      </w:r>
      <w:r w:rsidR="002F38D4">
        <w:rPr>
          <w:rFonts w:cstheme="minorHAnsi"/>
        </w:rPr>
        <w:t xml:space="preserve">, participants were not recruited through their school, and </w:t>
      </w:r>
      <w:r w:rsidR="002B46B1">
        <w:rPr>
          <w:rFonts w:cstheme="minorHAnsi"/>
        </w:rPr>
        <w:t xml:space="preserve">instead </w:t>
      </w:r>
      <w:r w:rsidR="002F38D4">
        <w:rPr>
          <w:rFonts w:cstheme="minorHAnsi"/>
        </w:rPr>
        <w:t xml:space="preserve">the research was communicated directly.  </w:t>
      </w:r>
      <w:r w:rsidR="000E3050">
        <w:rPr>
          <w:rFonts w:cstheme="minorHAnsi"/>
        </w:rPr>
        <w:t>Despite the efficacy of direct, face to face recruitment strategies, I was c</w:t>
      </w:r>
      <w:r w:rsidR="002B46B1">
        <w:rPr>
          <w:rFonts w:cstheme="minorHAnsi"/>
        </w:rPr>
        <w:t xml:space="preserve">onscious of </w:t>
      </w:r>
      <w:r w:rsidR="000E3050">
        <w:rPr>
          <w:rFonts w:cstheme="minorHAnsi"/>
        </w:rPr>
        <w:t xml:space="preserve">the </w:t>
      </w:r>
      <w:r>
        <w:rPr>
          <w:rFonts w:cstheme="minorHAnsi"/>
        </w:rPr>
        <w:t xml:space="preserve">positionality, and the </w:t>
      </w:r>
      <w:r w:rsidR="000E3050">
        <w:rPr>
          <w:rFonts w:cstheme="minorHAnsi"/>
        </w:rPr>
        <w:t xml:space="preserve">potential for </w:t>
      </w:r>
      <w:r w:rsidR="002B46B1">
        <w:rPr>
          <w:rFonts w:cstheme="minorHAnsi"/>
        </w:rPr>
        <w:t xml:space="preserve">my role as a regional school improvement adviser </w:t>
      </w:r>
      <w:r w:rsidR="000E3050">
        <w:rPr>
          <w:rFonts w:cstheme="minorHAnsi"/>
        </w:rPr>
        <w:t>to</w:t>
      </w:r>
      <w:r w:rsidR="002B46B1">
        <w:rPr>
          <w:rFonts w:cstheme="minorHAnsi"/>
        </w:rPr>
        <w:t xml:space="preserve"> influence participants</w:t>
      </w:r>
      <w:r w:rsidR="000E3050">
        <w:rPr>
          <w:rFonts w:cstheme="minorHAnsi"/>
        </w:rPr>
        <w:t xml:space="preserve">. Therefore direct recruitment of practitioners through meetings was not used. </w:t>
      </w:r>
      <w:r w:rsidR="002B46B1">
        <w:rPr>
          <w:rFonts w:cstheme="minorHAnsi"/>
        </w:rPr>
        <w:t xml:space="preserve"> </w:t>
      </w:r>
      <w:r w:rsidR="000E3050">
        <w:rPr>
          <w:rFonts w:cstheme="minorHAnsi"/>
        </w:rPr>
        <w:t>P</w:t>
      </w:r>
      <w:r w:rsidR="002B46B1">
        <w:rPr>
          <w:rFonts w:cstheme="minorHAnsi"/>
        </w:rPr>
        <w:t xml:space="preserve">assive methods of recruitment were relied upon, including emails </w:t>
      </w:r>
      <w:r>
        <w:rPr>
          <w:rFonts w:cstheme="minorHAnsi"/>
        </w:rPr>
        <w:t xml:space="preserve">to personal contacts and networks, </w:t>
      </w:r>
      <w:r w:rsidR="002B46B1">
        <w:rPr>
          <w:rFonts w:cstheme="minorHAnsi"/>
        </w:rPr>
        <w:t xml:space="preserve">and dissemination of information via social media.  </w:t>
      </w:r>
      <w:r w:rsidR="006C1AF1">
        <w:rPr>
          <w:rFonts w:cstheme="minorHAnsi"/>
        </w:rPr>
        <w:t xml:space="preserve">  </w:t>
      </w:r>
      <w:r w:rsidR="002B46B1">
        <w:rPr>
          <w:rFonts w:cstheme="minorHAnsi"/>
        </w:rPr>
        <w:t>Snowball sampling was also a</w:t>
      </w:r>
      <w:r w:rsidR="000E3050">
        <w:rPr>
          <w:rFonts w:cstheme="minorHAnsi"/>
        </w:rPr>
        <w:t>n organic</w:t>
      </w:r>
      <w:r w:rsidR="002B46B1">
        <w:rPr>
          <w:rFonts w:cstheme="minorHAnsi"/>
        </w:rPr>
        <w:t xml:space="preserve"> element of recruitment, as two participants at interview requested the questionnaire link to disseminate to colleagues.  </w:t>
      </w:r>
    </w:p>
    <w:p w14:paraId="7BE6979D" w14:textId="77777777" w:rsidR="00BD2FED" w:rsidRDefault="00BD2FED" w:rsidP="00BD2FED">
      <w:pPr>
        <w:pStyle w:val="NoSpacing"/>
        <w:jc w:val="both"/>
        <w:rPr>
          <w:rFonts w:cstheme="minorHAnsi"/>
        </w:rPr>
      </w:pPr>
    </w:p>
    <w:p w14:paraId="07229753" w14:textId="62BA41CE" w:rsidR="006C7B15" w:rsidRDefault="00BD2FED" w:rsidP="008A5CC5">
      <w:pPr>
        <w:pStyle w:val="NoSpacing"/>
        <w:jc w:val="both"/>
        <w:rPr>
          <w:rFonts w:cstheme="minorHAnsi"/>
        </w:rPr>
      </w:pPr>
      <w:r>
        <w:rPr>
          <w:rFonts w:cstheme="minorHAnsi"/>
        </w:rPr>
        <w:t>These methods of recruitment were</w:t>
      </w:r>
      <w:r w:rsidRPr="00777695">
        <w:rPr>
          <w:rFonts w:cstheme="minorHAnsi"/>
        </w:rPr>
        <w:t xml:space="preserve"> both feasible and manageable in the context of this research. </w:t>
      </w:r>
      <w:r>
        <w:rPr>
          <w:rFonts w:cstheme="minorHAnsi"/>
        </w:rPr>
        <w:t xml:space="preserve">  </w:t>
      </w:r>
      <w:r w:rsidR="00093EC1" w:rsidRPr="00854820">
        <w:rPr>
          <w:rFonts w:cstheme="minorHAnsi"/>
        </w:rPr>
        <w:t xml:space="preserve">The participants </w:t>
      </w:r>
      <w:r>
        <w:rPr>
          <w:rFonts w:cstheme="minorHAnsi"/>
        </w:rPr>
        <w:t xml:space="preserve">were therefore a self-selected sample, who </w:t>
      </w:r>
      <w:r w:rsidRPr="00854820">
        <w:rPr>
          <w:rFonts w:cstheme="minorHAnsi"/>
        </w:rPr>
        <w:t xml:space="preserve">volunteered freely </w:t>
      </w:r>
      <w:r>
        <w:rPr>
          <w:rFonts w:cstheme="minorHAnsi"/>
        </w:rPr>
        <w:t xml:space="preserve">to participate after being provided with information via social media or email. </w:t>
      </w:r>
    </w:p>
    <w:p w14:paraId="407BD632" w14:textId="77777777" w:rsidR="00093EC1" w:rsidRDefault="00093EC1" w:rsidP="008A5CC5">
      <w:pPr>
        <w:pStyle w:val="NoSpacing"/>
        <w:jc w:val="both"/>
        <w:rPr>
          <w:rFonts w:cstheme="minorHAnsi"/>
          <w:b/>
          <w:bCs/>
        </w:rPr>
      </w:pPr>
    </w:p>
    <w:p w14:paraId="11FD3E3F" w14:textId="732B13A6" w:rsidR="007E2D68" w:rsidRPr="00BB10E7" w:rsidRDefault="00BB10E7" w:rsidP="008A5CC5">
      <w:pPr>
        <w:pStyle w:val="NoSpacing"/>
        <w:jc w:val="both"/>
        <w:rPr>
          <w:rFonts w:cstheme="minorHAnsi"/>
          <w:i/>
          <w:iCs/>
        </w:rPr>
      </w:pPr>
      <w:r w:rsidRPr="00BB10E7">
        <w:rPr>
          <w:rFonts w:cstheme="minorHAnsi"/>
          <w:i/>
          <w:iCs/>
        </w:rPr>
        <w:t>Questionnaire</w:t>
      </w:r>
    </w:p>
    <w:p w14:paraId="638E6C16" w14:textId="796659DF" w:rsidR="00320E41" w:rsidRPr="00751C0C" w:rsidRDefault="00093EC1" w:rsidP="007E2D68">
      <w:pPr>
        <w:jc w:val="both"/>
        <w:rPr>
          <w:rFonts w:cstheme="minorHAnsi"/>
        </w:rPr>
      </w:pPr>
      <w:r w:rsidRPr="00777695">
        <w:t>The anonymous online questionnaire</w:t>
      </w:r>
      <w:r w:rsidR="00BD2FED">
        <w:t xml:space="preserve"> was </w:t>
      </w:r>
      <w:r>
        <w:t>distributed during the spring and early summer of 2023</w:t>
      </w:r>
      <w:r w:rsidRPr="00777695">
        <w:t xml:space="preserve">.  </w:t>
      </w:r>
      <w:r w:rsidR="00320E41">
        <w:rPr>
          <w:rFonts w:cstheme="minorHAnsi"/>
        </w:rPr>
        <w:t>The anonymity of responses does</w:t>
      </w:r>
      <w:r w:rsidR="00320E41" w:rsidRPr="00777695">
        <w:rPr>
          <w:rFonts w:cstheme="minorHAnsi"/>
        </w:rPr>
        <w:t xml:space="preserve"> mean that the researcher does not know if the sample is representative of the profession in Wales</w:t>
      </w:r>
      <w:r w:rsidR="00751C0C">
        <w:rPr>
          <w:rFonts w:cstheme="minorHAnsi"/>
        </w:rPr>
        <w:t>, however, q</w:t>
      </w:r>
      <w:r w:rsidR="00751C0C" w:rsidRPr="00777695">
        <w:rPr>
          <w:rFonts w:cstheme="minorHAnsi"/>
        </w:rPr>
        <w:t>uestions on the type of school each participant worked in, and the nature of their role were included in order for the researcher to have an indication of the representative nature of the sample</w:t>
      </w:r>
      <w:r w:rsidR="00751C0C" w:rsidRPr="00777695">
        <w:t xml:space="preserve">. </w:t>
      </w:r>
    </w:p>
    <w:p w14:paraId="2EF65352" w14:textId="4B77D9B2" w:rsidR="00093EC1" w:rsidRPr="007E2D68" w:rsidRDefault="00093EC1" w:rsidP="007E2D68">
      <w:pPr>
        <w:jc w:val="both"/>
      </w:pPr>
      <w:r>
        <w:t>In the introduction, it was made clear that only current prac</w:t>
      </w:r>
      <w:r w:rsidR="007E2D68">
        <w:t>titioners</w:t>
      </w:r>
      <w:r>
        <w:t xml:space="preserve"> should complete it</w:t>
      </w:r>
      <w:r w:rsidR="00BD2FED">
        <w:t>, and submission of the form was used as confirmation of consent to participate.</w:t>
      </w:r>
      <w:r>
        <w:t xml:space="preserve"> </w:t>
      </w:r>
      <w:r w:rsidR="00320E41">
        <w:t xml:space="preserve"> </w:t>
      </w:r>
      <w:r w:rsidRPr="00777695">
        <w:t xml:space="preserve">However, </w:t>
      </w:r>
      <w:r w:rsidR="00320E41">
        <w:t xml:space="preserve">it is possible that practitioners who had strong positive or negative views on their PL experiences were more likely to volunteer and spend the time completing the questionnaire and interview, potentially distorting the data. </w:t>
      </w:r>
      <w:r w:rsidR="006C1AF1">
        <w:t xml:space="preserve"> </w:t>
      </w:r>
      <w:r w:rsidR="00320E41">
        <w:t xml:space="preserve">Some practitioners </w:t>
      </w:r>
      <w:r w:rsidR="006C1AF1">
        <w:t>who may have particularly positive or negative experiences of PL may</w:t>
      </w:r>
      <w:r w:rsidR="002767FD">
        <w:t xml:space="preserve"> </w:t>
      </w:r>
      <w:r w:rsidR="006C1AF1">
        <w:lastRenderedPageBreak/>
        <w:t>see</w:t>
      </w:r>
      <w:r w:rsidR="002767FD">
        <w:t xml:space="preserve"> participation in this research</w:t>
      </w:r>
      <w:r w:rsidR="006C1AF1">
        <w:t xml:space="preserve"> as </w:t>
      </w:r>
      <w:r w:rsidR="00320E41">
        <w:t>an opportunity to voice their opinions on PL</w:t>
      </w:r>
      <w:r w:rsidR="006C1AF1">
        <w:t xml:space="preserve">.  Potentially, the participants views may not represent </w:t>
      </w:r>
      <w:r w:rsidR="00320E41">
        <w:t xml:space="preserve">the whole of the practitioner population.  </w:t>
      </w:r>
      <w:r w:rsidRPr="00777695">
        <w:t xml:space="preserve"> </w:t>
      </w:r>
    </w:p>
    <w:p w14:paraId="1DDAFE3E" w14:textId="0BFAC4D9" w:rsidR="00751C0C" w:rsidRDefault="00093EC1" w:rsidP="007E2D68">
      <w:pPr>
        <w:jc w:val="both"/>
        <w:rPr>
          <w:rFonts w:cstheme="minorHAnsi"/>
        </w:rPr>
      </w:pPr>
      <w:r w:rsidRPr="00777695">
        <w:rPr>
          <w:rFonts w:cstheme="minorHAnsi"/>
        </w:rPr>
        <w:t xml:space="preserve">The questionnaire was brief and straightforward, in order to ensure that </w:t>
      </w:r>
      <w:r w:rsidR="00320E41">
        <w:rPr>
          <w:rFonts w:cstheme="minorHAnsi"/>
        </w:rPr>
        <w:t xml:space="preserve">participation was not burdensome and to increase the response rate.  </w:t>
      </w:r>
      <w:r w:rsidR="00320E41" w:rsidRPr="00777695">
        <w:rPr>
          <w:rFonts w:cstheme="minorHAnsi"/>
        </w:rPr>
        <w:t xml:space="preserve">Care was taken to ensure the </w:t>
      </w:r>
      <w:r w:rsidR="00751C0C">
        <w:rPr>
          <w:rFonts w:cstheme="minorHAnsi"/>
        </w:rPr>
        <w:t xml:space="preserve">internal </w:t>
      </w:r>
      <w:r w:rsidR="00320E41" w:rsidRPr="00777695">
        <w:rPr>
          <w:rFonts w:cstheme="minorHAnsi"/>
        </w:rPr>
        <w:t>validity of the questionnaire</w:t>
      </w:r>
      <w:r w:rsidR="00751C0C">
        <w:rPr>
          <w:rFonts w:cstheme="minorHAnsi"/>
        </w:rPr>
        <w:t xml:space="preserve">, through checking and trialling of the </w:t>
      </w:r>
      <w:r w:rsidR="00320E41" w:rsidRPr="00777695">
        <w:rPr>
          <w:rFonts w:cstheme="minorHAnsi"/>
        </w:rPr>
        <w:t xml:space="preserve"> questions</w:t>
      </w:r>
      <w:r w:rsidR="00751C0C">
        <w:rPr>
          <w:rFonts w:cstheme="minorHAnsi"/>
        </w:rPr>
        <w:t xml:space="preserve">, </w:t>
      </w:r>
      <w:r w:rsidR="00320E41" w:rsidRPr="00777695">
        <w:rPr>
          <w:rFonts w:cstheme="minorHAnsi"/>
        </w:rPr>
        <w:t xml:space="preserve">so that they were  clear, easily understood, and not leading. </w:t>
      </w:r>
      <w:r w:rsidR="00751C0C">
        <w:rPr>
          <w:rFonts w:cstheme="minorHAnsi"/>
        </w:rPr>
        <w:t xml:space="preserve"> </w:t>
      </w:r>
      <w:r w:rsidR="00320E41">
        <w:rPr>
          <w:rFonts w:cstheme="minorHAnsi"/>
        </w:rPr>
        <w:t>This was important as</w:t>
      </w:r>
      <w:r w:rsidR="00320E41" w:rsidRPr="00777695">
        <w:rPr>
          <w:rFonts w:cstheme="minorHAnsi"/>
        </w:rPr>
        <w:t xml:space="preserve"> the questionnaire was online, it was not possible for participants to ask questions or to clarify their understanding.  </w:t>
      </w:r>
      <w:r w:rsidRPr="00777695">
        <w:rPr>
          <w:rFonts w:cstheme="minorHAnsi"/>
        </w:rPr>
        <w:t>The questions were trailed on two teachers before distribution to ensure they were as clear as possible</w:t>
      </w:r>
      <w:r w:rsidR="007E2D68">
        <w:rPr>
          <w:rFonts w:cstheme="minorHAnsi"/>
        </w:rPr>
        <w:t>, and discussed at length with my academic supervisor</w:t>
      </w:r>
      <w:r w:rsidRPr="00777695">
        <w:rPr>
          <w:rFonts w:cstheme="minorHAnsi"/>
        </w:rPr>
        <w:t>. One question was adapted as a result of their feedback</w:t>
      </w:r>
      <w:r w:rsidR="007E2D68">
        <w:rPr>
          <w:rFonts w:cstheme="minorHAnsi"/>
        </w:rPr>
        <w:t xml:space="preserve">. </w:t>
      </w:r>
      <w:r>
        <w:rPr>
          <w:rFonts w:cstheme="minorHAnsi"/>
        </w:rPr>
        <w:t xml:space="preserve"> </w:t>
      </w:r>
    </w:p>
    <w:p w14:paraId="79DB8CF6" w14:textId="72EA67DE" w:rsidR="00093EC1" w:rsidRPr="00777695" w:rsidRDefault="00093EC1" w:rsidP="008A5CC5">
      <w:pPr>
        <w:jc w:val="both"/>
        <w:rPr>
          <w:rFonts w:cstheme="minorHAnsi"/>
        </w:rPr>
      </w:pPr>
      <w:r w:rsidRPr="00777695">
        <w:rPr>
          <w:rFonts w:cstheme="minorHAnsi"/>
        </w:rPr>
        <w:t>A questionnaire was selected as it was considered appropriate to the circumstances of the research</w:t>
      </w:r>
      <w:r w:rsidR="002767FD">
        <w:rPr>
          <w:rFonts w:cstheme="minorHAnsi"/>
        </w:rPr>
        <w:t xml:space="preserve">, as they are a </w:t>
      </w:r>
      <w:r w:rsidRPr="00777695">
        <w:rPr>
          <w:rFonts w:cstheme="minorHAnsi"/>
        </w:rPr>
        <w:t>practical, cheap, easy, quick and reliable method of data collection that can include both qualitative and quantitative (Cohen et al, 2018).  The questions focus</w:t>
      </w:r>
      <w:r w:rsidR="00751C0C">
        <w:rPr>
          <w:rFonts w:cstheme="minorHAnsi"/>
        </w:rPr>
        <w:t>ed</w:t>
      </w:r>
      <w:r w:rsidRPr="00777695">
        <w:rPr>
          <w:rFonts w:cstheme="minorHAnsi"/>
        </w:rPr>
        <w:t xml:space="preserve"> largely on the types and range of </w:t>
      </w:r>
      <w:r w:rsidR="005843FE">
        <w:rPr>
          <w:rFonts w:cstheme="minorHAnsi"/>
        </w:rPr>
        <w:t>PL</w:t>
      </w:r>
      <w:r w:rsidR="00751C0C">
        <w:rPr>
          <w:rFonts w:cstheme="minorHAnsi"/>
        </w:rPr>
        <w:t xml:space="preserve"> </w:t>
      </w:r>
      <w:r w:rsidRPr="00777695">
        <w:rPr>
          <w:rFonts w:cstheme="minorHAnsi"/>
        </w:rPr>
        <w:t xml:space="preserve">experiences teachers have engaged with. These style of questions are quick for participants to complete, easy to code and analyse for frequency, patterns and correlations.  </w:t>
      </w:r>
      <w:r w:rsidR="00751C0C">
        <w:rPr>
          <w:rFonts w:cstheme="minorHAnsi"/>
        </w:rPr>
        <w:t xml:space="preserve"> </w:t>
      </w:r>
      <w:r w:rsidRPr="00777695">
        <w:rPr>
          <w:rFonts w:cstheme="minorHAnsi"/>
        </w:rPr>
        <w:t>An ’other’ category has been included in</w:t>
      </w:r>
      <w:r w:rsidR="00751C0C">
        <w:rPr>
          <w:rFonts w:cstheme="minorHAnsi"/>
        </w:rPr>
        <w:t xml:space="preserve"> relevant</w:t>
      </w:r>
      <w:r w:rsidRPr="00777695">
        <w:rPr>
          <w:rFonts w:cstheme="minorHAnsi"/>
        </w:rPr>
        <w:t xml:space="preserve"> questions, along with ‘all of the above’ and ‘none of the above’ in order to cover responses that the researcher had not anticipated or was aware of.  A  ‘don’t know’ category has not been included as th</w:t>
      </w:r>
      <w:r w:rsidR="006C1AF1">
        <w:rPr>
          <w:rFonts w:cstheme="minorHAnsi"/>
        </w:rPr>
        <w:t>i</w:t>
      </w:r>
      <w:r w:rsidRPr="00777695">
        <w:rPr>
          <w:rFonts w:cstheme="minorHAnsi"/>
        </w:rPr>
        <w:t xml:space="preserve">s can compromise the data (Krosnick and Presser, 2010). </w:t>
      </w:r>
    </w:p>
    <w:p w14:paraId="76BBC195" w14:textId="2162091B" w:rsidR="00093EC1" w:rsidRPr="00777695" w:rsidRDefault="00093EC1" w:rsidP="008A5CC5">
      <w:pPr>
        <w:jc w:val="both"/>
        <w:rPr>
          <w:rFonts w:cstheme="minorHAnsi"/>
        </w:rPr>
      </w:pPr>
      <w:r w:rsidRPr="00777695">
        <w:rPr>
          <w:rFonts w:cstheme="minorHAnsi"/>
        </w:rPr>
        <w:t>The questionnaire include</w:t>
      </w:r>
      <w:r w:rsidR="00751C0C">
        <w:rPr>
          <w:rFonts w:cstheme="minorHAnsi"/>
        </w:rPr>
        <w:t>d</w:t>
      </w:r>
      <w:r w:rsidRPr="00777695">
        <w:rPr>
          <w:rFonts w:cstheme="minorHAnsi"/>
        </w:rPr>
        <w:t xml:space="preserve"> a range of open-ended questions </w:t>
      </w:r>
      <w:r w:rsidR="00751C0C">
        <w:rPr>
          <w:rFonts w:cstheme="minorHAnsi"/>
        </w:rPr>
        <w:t xml:space="preserve">that aided in </w:t>
      </w:r>
      <w:r w:rsidRPr="00777695">
        <w:rPr>
          <w:rFonts w:cstheme="minorHAnsi"/>
        </w:rPr>
        <w:t>collect</w:t>
      </w:r>
      <w:r w:rsidR="00751C0C">
        <w:rPr>
          <w:rFonts w:cstheme="minorHAnsi"/>
        </w:rPr>
        <w:t>ing</w:t>
      </w:r>
      <w:r w:rsidRPr="00777695">
        <w:rPr>
          <w:rFonts w:cstheme="minorHAnsi"/>
        </w:rPr>
        <w:t xml:space="preserve"> qualitative data</w:t>
      </w:r>
      <w:r w:rsidR="00751C0C">
        <w:rPr>
          <w:rFonts w:cstheme="minorHAnsi"/>
        </w:rPr>
        <w:t xml:space="preserve">. </w:t>
      </w:r>
      <w:r w:rsidRPr="00777695">
        <w:rPr>
          <w:rFonts w:cstheme="minorHAnsi"/>
        </w:rPr>
        <w:t>This is an appropriate method based on the constructivist nature of the research paradigm</w:t>
      </w:r>
      <w:r w:rsidR="00751C0C">
        <w:rPr>
          <w:rFonts w:cstheme="minorHAnsi"/>
        </w:rPr>
        <w:t xml:space="preserve"> as open ended questions are able to probe participants experiences and perspectives and enable them to provide their opinions.</w:t>
      </w:r>
      <w:r w:rsidRPr="00777695">
        <w:rPr>
          <w:rFonts w:cstheme="minorHAnsi"/>
        </w:rPr>
        <w:t xml:space="preserve"> </w:t>
      </w:r>
    </w:p>
    <w:p w14:paraId="18D91C27" w14:textId="77777777" w:rsidR="00BB10E7" w:rsidRDefault="007E2D68" w:rsidP="008A5CC5">
      <w:pPr>
        <w:jc w:val="both"/>
        <w:rPr>
          <w:rFonts w:cstheme="minorHAnsi"/>
          <w:i/>
          <w:iCs/>
        </w:rPr>
      </w:pPr>
      <w:r w:rsidRPr="00BB10E7">
        <w:rPr>
          <w:rFonts w:cstheme="minorHAnsi"/>
          <w:i/>
          <w:iCs/>
        </w:rPr>
        <w:t>Interviews</w:t>
      </w:r>
    </w:p>
    <w:p w14:paraId="1BFE7A07" w14:textId="6C1828E2" w:rsidR="00093EC1" w:rsidRPr="00BB10E7" w:rsidRDefault="00093EC1" w:rsidP="008A5CC5">
      <w:pPr>
        <w:jc w:val="both"/>
        <w:rPr>
          <w:rFonts w:cstheme="minorHAnsi"/>
          <w:i/>
          <w:iCs/>
        </w:rPr>
      </w:pPr>
      <w:r>
        <w:rPr>
          <w:rFonts w:cstheme="minorHAnsi"/>
        </w:rPr>
        <w:t>Following the questionnaire distribution, s</w:t>
      </w:r>
      <w:r w:rsidRPr="00777695">
        <w:rPr>
          <w:rFonts w:cstheme="minorHAnsi"/>
        </w:rPr>
        <w:t xml:space="preserve">emi structured interviews were </w:t>
      </w:r>
      <w:r w:rsidR="00751C0C">
        <w:rPr>
          <w:rFonts w:cstheme="minorHAnsi"/>
        </w:rPr>
        <w:t>conducted</w:t>
      </w:r>
      <w:r>
        <w:rPr>
          <w:rFonts w:cstheme="minorHAnsi"/>
        </w:rPr>
        <w:t xml:space="preserve"> </w:t>
      </w:r>
      <w:r w:rsidR="002767FD">
        <w:rPr>
          <w:rFonts w:cstheme="minorHAnsi"/>
        </w:rPr>
        <w:t xml:space="preserve"> to provide </w:t>
      </w:r>
      <w:r w:rsidRPr="00777695">
        <w:rPr>
          <w:rFonts w:cstheme="minorHAnsi"/>
        </w:rPr>
        <w:t xml:space="preserve">a </w:t>
      </w:r>
      <w:r w:rsidR="002767FD">
        <w:rPr>
          <w:rFonts w:cstheme="minorHAnsi"/>
        </w:rPr>
        <w:t xml:space="preserve">more </w:t>
      </w:r>
      <w:r w:rsidRPr="00777695">
        <w:rPr>
          <w:rFonts w:cstheme="minorHAnsi"/>
        </w:rPr>
        <w:t>detailed understanding of the participants views, experiences, attitudes and beliefs</w:t>
      </w:r>
      <w:r w:rsidR="006C1AF1">
        <w:rPr>
          <w:rFonts w:cstheme="minorHAnsi"/>
        </w:rPr>
        <w:t xml:space="preserve">, and </w:t>
      </w:r>
      <w:r w:rsidR="002767FD">
        <w:rPr>
          <w:rFonts w:cstheme="minorHAnsi"/>
        </w:rPr>
        <w:t>to</w:t>
      </w:r>
      <w:r w:rsidR="006C1AF1">
        <w:rPr>
          <w:rFonts w:cstheme="minorHAnsi"/>
        </w:rPr>
        <w:t xml:space="preserve"> probe </w:t>
      </w:r>
      <w:r w:rsidRPr="00777695">
        <w:rPr>
          <w:rFonts w:cstheme="minorHAnsi"/>
        </w:rPr>
        <w:t xml:space="preserve">the ways that the participants make sense of their experiences.  It was expected in the methodology design, that the interviews would yield the most valuable qualitative data for this </w:t>
      </w:r>
      <w:r w:rsidR="001C014B">
        <w:rPr>
          <w:rFonts w:cstheme="minorHAnsi"/>
        </w:rPr>
        <w:t>study</w:t>
      </w:r>
      <w:r w:rsidRPr="00777695">
        <w:rPr>
          <w:rFonts w:cstheme="minorHAnsi"/>
        </w:rPr>
        <w:t xml:space="preserve">, as they allow </w:t>
      </w:r>
      <w:r w:rsidR="001C014B">
        <w:rPr>
          <w:rFonts w:cstheme="minorHAnsi"/>
        </w:rPr>
        <w:t>discussion of</w:t>
      </w:r>
      <w:r w:rsidRPr="00777695">
        <w:rPr>
          <w:rFonts w:cstheme="minorHAnsi"/>
        </w:rPr>
        <w:t xml:space="preserve"> the nuances of behaviour and language (Thomas 2017 p 202).  The interviews w</w:t>
      </w:r>
      <w:r>
        <w:rPr>
          <w:rFonts w:cstheme="minorHAnsi"/>
        </w:rPr>
        <w:t>ere</w:t>
      </w:r>
      <w:r w:rsidRPr="00777695">
        <w:rPr>
          <w:rFonts w:cstheme="minorHAnsi"/>
        </w:rPr>
        <w:t xml:space="preserve"> semi structured in order to be flexible enough to develop </w:t>
      </w:r>
      <w:r w:rsidR="00751C0C">
        <w:rPr>
          <w:rFonts w:cstheme="minorHAnsi"/>
        </w:rPr>
        <w:t xml:space="preserve">deeper understanding of the </w:t>
      </w:r>
      <w:r w:rsidRPr="00777695">
        <w:rPr>
          <w:rFonts w:cstheme="minorHAnsi"/>
        </w:rPr>
        <w:t xml:space="preserve">specific participants </w:t>
      </w:r>
      <w:r w:rsidR="00751C0C">
        <w:rPr>
          <w:rFonts w:cstheme="minorHAnsi"/>
        </w:rPr>
        <w:t xml:space="preserve">responses to the questionnaire. </w:t>
      </w:r>
    </w:p>
    <w:p w14:paraId="599D24CC" w14:textId="795187D0" w:rsidR="00093EC1" w:rsidRPr="00777695" w:rsidRDefault="00093EC1" w:rsidP="008A5CC5">
      <w:pPr>
        <w:jc w:val="both"/>
        <w:rPr>
          <w:rFonts w:cstheme="minorHAnsi"/>
        </w:rPr>
      </w:pPr>
      <w:r w:rsidRPr="00777695">
        <w:rPr>
          <w:rFonts w:cstheme="minorHAnsi"/>
        </w:rPr>
        <w:t>A common issue with interviews is th</w:t>
      </w:r>
      <w:r w:rsidR="006C1AF1">
        <w:rPr>
          <w:rFonts w:cstheme="minorHAnsi"/>
        </w:rPr>
        <w:t xml:space="preserve">at </w:t>
      </w:r>
      <w:r w:rsidRPr="00777695">
        <w:rPr>
          <w:rFonts w:cstheme="minorHAnsi"/>
        </w:rPr>
        <w:t xml:space="preserve">participants may distort their answers in order to put themselves in a positive light, or to provide the responses that they believe the researcher </w:t>
      </w:r>
      <w:r w:rsidR="006C1AF1">
        <w:rPr>
          <w:rFonts w:cstheme="minorHAnsi"/>
        </w:rPr>
        <w:t xml:space="preserve">is </w:t>
      </w:r>
      <w:r w:rsidRPr="00777695">
        <w:rPr>
          <w:rFonts w:cstheme="minorHAnsi"/>
        </w:rPr>
        <w:t>looking for. This is a concern in this research</w:t>
      </w:r>
      <w:r w:rsidR="006C1AF1">
        <w:rPr>
          <w:rFonts w:cstheme="minorHAnsi"/>
        </w:rPr>
        <w:t xml:space="preserve"> as I </w:t>
      </w:r>
      <w:r w:rsidRPr="00777695">
        <w:rPr>
          <w:rFonts w:cstheme="minorHAnsi"/>
        </w:rPr>
        <w:t xml:space="preserve">work for a </w:t>
      </w:r>
      <w:r w:rsidR="006C1AF1">
        <w:rPr>
          <w:rFonts w:cstheme="minorHAnsi"/>
        </w:rPr>
        <w:t>PL provider</w:t>
      </w:r>
      <w:r w:rsidRPr="00777695">
        <w:rPr>
          <w:rFonts w:cstheme="minorHAnsi"/>
        </w:rPr>
        <w:t xml:space="preserve">, there may be a willingness of some participants to be more positive about their experiences engaging in those </w:t>
      </w:r>
      <w:r w:rsidR="005843FE">
        <w:rPr>
          <w:rFonts w:cstheme="minorHAnsi"/>
        </w:rPr>
        <w:t>PL</w:t>
      </w:r>
      <w:r w:rsidR="00751C0C">
        <w:rPr>
          <w:rFonts w:cstheme="minorHAnsi"/>
        </w:rPr>
        <w:t xml:space="preserve"> </w:t>
      </w:r>
      <w:r w:rsidRPr="00777695">
        <w:rPr>
          <w:rFonts w:cstheme="minorHAnsi"/>
        </w:rPr>
        <w:t xml:space="preserve">experiences.  I </w:t>
      </w:r>
      <w:r w:rsidR="006C1AF1">
        <w:rPr>
          <w:rFonts w:cstheme="minorHAnsi"/>
        </w:rPr>
        <w:t xml:space="preserve">therefore </w:t>
      </w:r>
      <w:r w:rsidRPr="00777695">
        <w:rPr>
          <w:rFonts w:cstheme="minorHAnsi"/>
        </w:rPr>
        <w:t>ensured that questions were phrased in open ended, non-leading way.</w:t>
      </w:r>
      <w:r w:rsidR="006C1AF1">
        <w:rPr>
          <w:rFonts w:cstheme="minorHAnsi"/>
        </w:rPr>
        <w:t xml:space="preserve">, and that the purpose and audience of the research was made clear to participants. </w:t>
      </w:r>
    </w:p>
    <w:p w14:paraId="2BF5EF1A" w14:textId="77777777" w:rsidR="00093EC1" w:rsidRPr="00777695" w:rsidRDefault="00093EC1" w:rsidP="008A5CC5">
      <w:pPr>
        <w:pStyle w:val="BodyTextIndent"/>
        <w:ind w:left="0" w:firstLine="0"/>
        <w:rPr>
          <w:rFonts w:asciiTheme="minorHAnsi" w:hAnsiTheme="minorHAnsi" w:cstheme="minorHAnsi"/>
          <w:b/>
          <w:bCs/>
          <w:sz w:val="22"/>
          <w:szCs w:val="22"/>
        </w:rPr>
      </w:pPr>
      <w:r w:rsidRPr="00777695">
        <w:rPr>
          <w:rFonts w:asciiTheme="minorHAnsi" w:hAnsiTheme="minorHAnsi" w:cstheme="minorHAnsi"/>
          <w:b/>
          <w:bCs/>
          <w:sz w:val="22"/>
          <w:szCs w:val="22"/>
        </w:rPr>
        <w:t>Data Analysis</w:t>
      </w:r>
    </w:p>
    <w:p w14:paraId="202954FB" w14:textId="29BFBB87" w:rsidR="00DF71E0" w:rsidRDefault="003F7349" w:rsidP="008A5CC5">
      <w:pPr>
        <w:pStyle w:val="NoSpacing"/>
        <w:jc w:val="both"/>
      </w:pPr>
      <w:r>
        <w:t xml:space="preserve">The </w:t>
      </w:r>
      <w:r w:rsidR="00751C0C">
        <w:t xml:space="preserve">quantitative </w:t>
      </w:r>
      <w:r>
        <w:t xml:space="preserve">data was analysed using </w:t>
      </w:r>
      <w:r w:rsidR="00751C0C">
        <w:t>descriptive statistics.</w:t>
      </w:r>
      <w:r>
        <w:t xml:space="preserve">  </w:t>
      </w:r>
      <w:r w:rsidR="00DF71E0">
        <w:t xml:space="preserve">The demographic information of participants, including type of school and role </w:t>
      </w:r>
      <w:r w:rsidR="003419A8">
        <w:t xml:space="preserve">played, </w:t>
      </w:r>
      <w:r w:rsidR="00DF71E0">
        <w:t xml:space="preserve">was analysed and presented in </w:t>
      </w:r>
      <w:r w:rsidR="003419A8">
        <w:t xml:space="preserve">a </w:t>
      </w:r>
      <w:r w:rsidR="00DF71E0">
        <w:t xml:space="preserve">table </w:t>
      </w:r>
      <w:r w:rsidR="003419A8">
        <w:t>outlining the frequencies and percentages.</w:t>
      </w:r>
      <w:r w:rsidR="00DF71E0">
        <w:t xml:space="preserve"> The engagement with different types of PL </w:t>
      </w:r>
      <w:r w:rsidR="00B9108E">
        <w:t xml:space="preserve">activities </w:t>
      </w:r>
      <w:r w:rsidR="00DF71E0">
        <w:t xml:space="preserve">was </w:t>
      </w:r>
      <w:r>
        <w:t xml:space="preserve">listed by category provided on the questionnaire, and also </w:t>
      </w:r>
      <w:r w:rsidR="00DF71E0">
        <w:t xml:space="preserve">analysed through considering range, mean and median statistics.  </w:t>
      </w:r>
    </w:p>
    <w:p w14:paraId="0520EC1D" w14:textId="77777777" w:rsidR="003F7349" w:rsidRDefault="003F7349" w:rsidP="008A5CC5">
      <w:pPr>
        <w:pStyle w:val="NoSpacing"/>
        <w:jc w:val="both"/>
      </w:pPr>
    </w:p>
    <w:p w14:paraId="08D43FAD" w14:textId="33551957" w:rsidR="003F7349" w:rsidRDefault="003F7349" w:rsidP="008A5CC5">
      <w:pPr>
        <w:pStyle w:val="NoSpacing"/>
        <w:jc w:val="both"/>
      </w:pPr>
      <w:r>
        <w:t xml:space="preserve">Qualitative responses on the questionnaire </w:t>
      </w:r>
      <w:r w:rsidR="00B9108E">
        <w:t xml:space="preserve">that </w:t>
      </w:r>
      <w:r>
        <w:t xml:space="preserve">focused on the factors that made PL more or less impactful were coded into themes, and the frequency of themes was tabulated.  Qualitative responses </w:t>
      </w:r>
      <w:r w:rsidR="00B9108E">
        <w:lastRenderedPageBreak/>
        <w:t xml:space="preserve">that </w:t>
      </w:r>
      <w:r>
        <w:t xml:space="preserve">focused on the extent of change resulting from PL were analysed for themes, and listed as there was little commonality of response. </w:t>
      </w:r>
    </w:p>
    <w:p w14:paraId="3F64905A" w14:textId="77777777" w:rsidR="00093EC1" w:rsidRDefault="00093EC1" w:rsidP="008A5CC5">
      <w:pPr>
        <w:pStyle w:val="NoSpacing"/>
        <w:jc w:val="both"/>
      </w:pPr>
    </w:p>
    <w:p w14:paraId="1002B021" w14:textId="7CECD7A7" w:rsidR="00093EC1" w:rsidRDefault="00093EC1" w:rsidP="008A5CC5">
      <w:pPr>
        <w:pStyle w:val="NoSpacing"/>
        <w:jc w:val="both"/>
      </w:pPr>
      <w:r>
        <w:t xml:space="preserve">The </w:t>
      </w:r>
      <w:r w:rsidR="003F7349">
        <w:t>interview</w:t>
      </w:r>
      <w:r>
        <w:t xml:space="preserve"> transcripts</w:t>
      </w:r>
      <w:r w:rsidR="003F7349">
        <w:t xml:space="preserve"> were </w:t>
      </w:r>
      <w:r>
        <w:t xml:space="preserve"> analysed using a t</w:t>
      </w:r>
      <w:r w:rsidRPr="00777695">
        <w:t>hematic analysis</w:t>
      </w:r>
      <w:r>
        <w:t xml:space="preserve"> approach</w:t>
      </w:r>
      <w:r w:rsidR="00B9108E">
        <w:t xml:space="preserve"> </w:t>
      </w:r>
      <w:r>
        <w:t xml:space="preserve">. This approach </w:t>
      </w:r>
      <w:r w:rsidR="003F7349">
        <w:t xml:space="preserve">identified </w:t>
      </w:r>
      <w:r>
        <w:t>patterns of meaning, and dr</w:t>
      </w:r>
      <w:r w:rsidR="003F7349">
        <w:t>e</w:t>
      </w:r>
      <w:r>
        <w:t>w out the key themes related to the specific research questions.  This</w:t>
      </w:r>
      <w:r w:rsidR="003F7349">
        <w:t xml:space="preserve"> was </w:t>
      </w:r>
      <w:r>
        <w:t>the most appropriate analysis method particularly for the second</w:t>
      </w:r>
      <w:r w:rsidR="003F7349">
        <w:t xml:space="preserve"> and third</w:t>
      </w:r>
      <w:r>
        <w:t xml:space="preserve"> research question</w:t>
      </w:r>
      <w:r w:rsidR="003F7349">
        <w:t>s</w:t>
      </w:r>
      <w:r>
        <w:t xml:space="preserve">, as </w:t>
      </w:r>
      <w:r w:rsidR="00713B30">
        <w:t xml:space="preserve">it </w:t>
      </w:r>
      <w:r>
        <w:t>identif</w:t>
      </w:r>
      <w:r w:rsidR="00713B30">
        <w:t>ied</w:t>
      </w:r>
      <w:r>
        <w:t xml:space="preserve"> the key reasons and factors that explain why teachers feel that their </w:t>
      </w:r>
      <w:r w:rsidR="005843FE">
        <w:t>PL</w:t>
      </w:r>
      <w:r w:rsidR="00B9108E">
        <w:t xml:space="preserve"> </w:t>
      </w:r>
      <w:r>
        <w:t>has or has not been impactful</w:t>
      </w:r>
      <w:r w:rsidR="003F7349">
        <w:t xml:space="preserve">. </w:t>
      </w:r>
      <w:r>
        <w:t xml:space="preserve"> As the aims of this investigation are to identify teachers’ opinions, perceptions and views about their experiences, thematic analysis is the most appropriate tool.  </w:t>
      </w:r>
    </w:p>
    <w:p w14:paraId="522B96E3" w14:textId="77777777" w:rsidR="00093EC1" w:rsidRPr="009C1A4E" w:rsidRDefault="00093EC1" w:rsidP="008A5CC5">
      <w:pPr>
        <w:pStyle w:val="NoSpacing"/>
        <w:jc w:val="both"/>
      </w:pPr>
    </w:p>
    <w:p w14:paraId="6D486571" w14:textId="77777777" w:rsidR="00093EC1" w:rsidRPr="00777695" w:rsidRDefault="00093EC1" w:rsidP="008A5CC5">
      <w:pPr>
        <w:pStyle w:val="BodyTextIndent"/>
        <w:ind w:left="0" w:firstLine="0"/>
        <w:rPr>
          <w:rFonts w:asciiTheme="minorHAnsi" w:hAnsiTheme="minorHAnsi" w:cstheme="minorHAnsi"/>
          <w:b/>
          <w:bCs/>
          <w:sz w:val="22"/>
          <w:szCs w:val="22"/>
        </w:rPr>
      </w:pPr>
      <w:r w:rsidRPr="00777695">
        <w:rPr>
          <w:rFonts w:asciiTheme="minorHAnsi" w:hAnsiTheme="minorHAnsi" w:cstheme="minorHAnsi"/>
          <w:b/>
          <w:bCs/>
          <w:sz w:val="22"/>
          <w:szCs w:val="22"/>
        </w:rPr>
        <w:t>Ethical considerations</w:t>
      </w:r>
    </w:p>
    <w:p w14:paraId="0D689E3C" w14:textId="6A8DAB05" w:rsidR="00093EC1" w:rsidRPr="00465C43" w:rsidRDefault="00093EC1" w:rsidP="008A5CC5">
      <w:pPr>
        <w:pStyle w:val="NoSpacing"/>
        <w:jc w:val="both"/>
        <w:rPr>
          <w:rFonts w:cstheme="minorHAnsi"/>
        </w:rPr>
      </w:pPr>
      <w:r w:rsidRPr="00465C43">
        <w:rPr>
          <w:rFonts w:cstheme="minorHAnsi"/>
        </w:rPr>
        <w:t xml:space="preserve">Ethical approval for this research was sought and received from the University prior to the start of the </w:t>
      </w:r>
      <w:r w:rsidR="00B9108E">
        <w:rPr>
          <w:rFonts w:cstheme="minorHAnsi"/>
        </w:rPr>
        <w:t>study</w:t>
      </w:r>
      <w:r w:rsidRPr="00465C43">
        <w:rPr>
          <w:rFonts w:cstheme="minorHAnsi"/>
        </w:rPr>
        <w:t>.  The researcher consulted BERA</w:t>
      </w:r>
      <w:r w:rsidRPr="00465C43">
        <w:rPr>
          <w:rFonts w:cstheme="minorHAnsi"/>
          <w:noProof/>
        </w:rPr>
        <w:t xml:space="preserve"> (2018) and UWTSD</w:t>
      </w:r>
      <w:r w:rsidRPr="00465C43">
        <w:rPr>
          <w:rFonts w:cstheme="minorHAnsi"/>
        </w:rPr>
        <w:t xml:space="preserve"> Research Ethics and Integrity Code of Practice (UWTSD, 2017)</w:t>
      </w:r>
      <w:r w:rsidRPr="00465C43">
        <w:rPr>
          <w:rFonts w:cstheme="minorHAnsi"/>
          <w:noProof/>
        </w:rPr>
        <w:t xml:space="preserve">.  As the research was with adults, the key ethical considerations </w:t>
      </w:r>
      <w:r>
        <w:rPr>
          <w:rFonts w:cstheme="minorHAnsi"/>
          <w:noProof/>
        </w:rPr>
        <w:t xml:space="preserve">during the data collection and analysis phases </w:t>
      </w:r>
      <w:r w:rsidRPr="00465C43">
        <w:rPr>
          <w:rFonts w:cstheme="minorHAnsi"/>
          <w:noProof/>
        </w:rPr>
        <w:t>were consent, confidentiality</w:t>
      </w:r>
      <w:r>
        <w:rPr>
          <w:rFonts w:cstheme="minorHAnsi"/>
          <w:noProof/>
        </w:rPr>
        <w:t>,</w:t>
      </w:r>
      <w:r w:rsidRPr="00465C43">
        <w:rPr>
          <w:rFonts w:cstheme="minorHAnsi"/>
          <w:noProof/>
        </w:rPr>
        <w:t xml:space="preserve"> anonymity</w:t>
      </w:r>
      <w:r>
        <w:rPr>
          <w:rFonts w:cstheme="minorHAnsi"/>
          <w:noProof/>
        </w:rPr>
        <w:t xml:space="preserve"> and risk.  </w:t>
      </w:r>
    </w:p>
    <w:p w14:paraId="018B12C8" w14:textId="77777777" w:rsidR="00093EC1" w:rsidRDefault="00093EC1" w:rsidP="008A5CC5">
      <w:pPr>
        <w:pStyle w:val="NoSpacing"/>
        <w:jc w:val="both"/>
      </w:pPr>
    </w:p>
    <w:p w14:paraId="38E29F44" w14:textId="43CD4631" w:rsidR="00093EC1" w:rsidRDefault="00E20108" w:rsidP="008A5CC5">
      <w:pPr>
        <w:pStyle w:val="NoSpacing"/>
        <w:jc w:val="both"/>
      </w:pPr>
      <w:r>
        <w:t xml:space="preserve">Information regarding </w:t>
      </w:r>
      <w:r w:rsidR="00093EC1">
        <w:t xml:space="preserve">consent, </w:t>
      </w:r>
      <w:r w:rsidR="00093EC1" w:rsidRPr="00777695">
        <w:t xml:space="preserve">confidentiality, </w:t>
      </w:r>
      <w:r w:rsidR="00093EC1">
        <w:t xml:space="preserve">and </w:t>
      </w:r>
      <w:r w:rsidR="00093EC1" w:rsidRPr="00777695">
        <w:t>anonymity</w:t>
      </w:r>
      <w:r w:rsidR="00093EC1">
        <w:t xml:space="preserve"> </w:t>
      </w:r>
      <w:r>
        <w:t xml:space="preserve">were provided in the information that accompanied the questionnaire </w:t>
      </w:r>
      <w:r w:rsidR="00093EC1">
        <w:t>(</w:t>
      </w:r>
      <w:r w:rsidR="00713B30">
        <w:t>A</w:t>
      </w:r>
      <w:r w:rsidR="00093EC1">
        <w:t xml:space="preserve">ppendix </w:t>
      </w:r>
      <w:r>
        <w:t>A</w:t>
      </w:r>
      <w:r w:rsidR="00093EC1">
        <w:t>)</w:t>
      </w:r>
      <w:r>
        <w:t>, as well as during interview (</w:t>
      </w:r>
      <w:r w:rsidR="00713B30">
        <w:t>A</w:t>
      </w:r>
      <w:r>
        <w:t xml:space="preserve">ppendix B). </w:t>
      </w:r>
      <w:r w:rsidR="00093EC1" w:rsidRPr="00777695">
        <w:t xml:space="preserve"> Participants were informed </w:t>
      </w:r>
      <w:r w:rsidR="00093EC1">
        <w:t xml:space="preserve">that they could withdraw </w:t>
      </w:r>
      <w:r w:rsidR="00B9108E">
        <w:t>from the study</w:t>
      </w:r>
      <w:r w:rsidR="00093EC1">
        <w:t xml:space="preserve"> at any point</w:t>
      </w:r>
      <w:r w:rsidR="00713B30">
        <w:t>,</w:t>
      </w:r>
      <w:r>
        <w:t xml:space="preserve"> (BERA, 2018 p 18),</w:t>
      </w:r>
      <w:r w:rsidR="00B9108E">
        <w:t xml:space="preserve"> and c</w:t>
      </w:r>
      <w:r w:rsidR="00093EC1">
        <w:t>ontact details for the researcher and supervisor were provided</w:t>
      </w:r>
      <w:r w:rsidR="00B9108E">
        <w:t xml:space="preserve">. </w:t>
      </w:r>
      <w:r>
        <w:t xml:space="preserve">  </w:t>
      </w:r>
    </w:p>
    <w:p w14:paraId="318A2010" w14:textId="10D7C4CF" w:rsidR="0047452B" w:rsidRDefault="0047452B" w:rsidP="008A5CC5">
      <w:pPr>
        <w:pStyle w:val="NoSpacing"/>
        <w:jc w:val="both"/>
      </w:pPr>
    </w:p>
    <w:p w14:paraId="1DFBE05F" w14:textId="55CB65FF" w:rsidR="00093EC1" w:rsidRPr="00042523" w:rsidRDefault="00B9108E" w:rsidP="008A5CC5">
      <w:pPr>
        <w:jc w:val="both"/>
        <w:rPr>
          <w:rFonts w:cstheme="minorHAnsi"/>
        </w:rPr>
      </w:pPr>
      <w:r>
        <w:rPr>
          <w:rFonts w:cstheme="minorHAnsi"/>
        </w:rPr>
        <w:t xml:space="preserve">One ethical concern at all stages </w:t>
      </w:r>
      <w:r w:rsidR="00093EC1" w:rsidRPr="00042523">
        <w:rPr>
          <w:rFonts w:cstheme="minorHAnsi"/>
        </w:rPr>
        <w:t xml:space="preserve">was </w:t>
      </w:r>
      <w:r w:rsidR="0047452B">
        <w:rPr>
          <w:rFonts w:cstheme="minorHAnsi"/>
        </w:rPr>
        <w:t>positionality and power.  A</w:t>
      </w:r>
      <w:r w:rsidR="00093EC1" w:rsidRPr="00042523">
        <w:rPr>
          <w:rFonts w:cstheme="minorHAnsi"/>
        </w:rPr>
        <w:t xml:space="preserve">s I </w:t>
      </w:r>
      <w:r w:rsidR="00713B30">
        <w:rPr>
          <w:rFonts w:cstheme="minorHAnsi"/>
        </w:rPr>
        <w:t xml:space="preserve">work for a PL provider, </w:t>
      </w:r>
      <w:r w:rsidR="00093EC1" w:rsidRPr="00042523">
        <w:rPr>
          <w:rFonts w:cstheme="minorHAnsi"/>
        </w:rPr>
        <w:t xml:space="preserve">participants </w:t>
      </w:r>
      <w:r>
        <w:rPr>
          <w:rFonts w:cstheme="minorHAnsi"/>
        </w:rPr>
        <w:t>c</w:t>
      </w:r>
      <w:r w:rsidR="00093EC1" w:rsidRPr="00042523">
        <w:rPr>
          <w:rFonts w:cstheme="minorHAnsi"/>
        </w:rPr>
        <w:t xml:space="preserve">ould feel under pressure to participate, or respond </w:t>
      </w:r>
      <w:r w:rsidR="003402C0">
        <w:rPr>
          <w:rFonts w:cstheme="minorHAnsi"/>
        </w:rPr>
        <w:t>in a specific way</w:t>
      </w:r>
      <w:r w:rsidR="00093EC1" w:rsidRPr="00042523">
        <w:rPr>
          <w:rFonts w:cstheme="minorHAnsi"/>
        </w:rPr>
        <w:t xml:space="preserve">. </w:t>
      </w:r>
      <w:r w:rsidR="00713B30">
        <w:rPr>
          <w:rFonts w:cstheme="minorHAnsi"/>
        </w:rPr>
        <w:t xml:space="preserve"> </w:t>
      </w:r>
      <w:r w:rsidR="0047452B">
        <w:rPr>
          <w:rFonts w:cstheme="minorHAnsi"/>
        </w:rPr>
        <w:t xml:space="preserve">However, this relationship is not a straightforward example of collecting data </w:t>
      </w:r>
      <w:r w:rsidR="00440828">
        <w:rPr>
          <w:rFonts w:cstheme="minorHAnsi"/>
        </w:rPr>
        <w:t>‘</w:t>
      </w:r>
      <w:r w:rsidR="0047452B">
        <w:rPr>
          <w:rFonts w:cstheme="minorHAnsi"/>
        </w:rPr>
        <w:t>upwards or downward</w:t>
      </w:r>
      <w:r w:rsidR="00440828">
        <w:rPr>
          <w:rFonts w:cstheme="minorHAnsi"/>
        </w:rPr>
        <w:t xml:space="preserve">s’ </w:t>
      </w:r>
      <w:r w:rsidR="00440828" w:rsidRPr="00440828">
        <w:rPr>
          <w:rFonts w:cstheme="minorHAnsi"/>
          <w:noProof/>
        </w:rPr>
        <w:t>(Brooks, Riele, &amp; Maguire, 2016</w:t>
      </w:r>
      <w:r w:rsidR="00440828">
        <w:rPr>
          <w:rFonts w:cstheme="minorHAnsi"/>
          <w:noProof/>
        </w:rPr>
        <w:t xml:space="preserve"> p104</w:t>
      </w:r>
      <w:r w:rsidR="00440828" w:rsidRPr="00440828">
        <w:rPr>
          <w:rFonts w:cstheme="minorHAnsi"/>
          <w:noProof/>
        </w:rPr>
        <w:t>)</w:t>
      </w:r>
      <w:r>
        <w:rPr>
          <w:rFonts w:cstheme="minorHAnsi"/>
        </w:rPr>
        <w:t xml:space="preserve"> as I</w:t>
      </w:r>
      <w:r w:rsidR="00440828">
        <w:rPr>
          <w:rFonts w:cstheme="minorHAnsi"/>
        </w:rPr>
        <w:t xml:space="preserve"> am not in any formal position of power over a participant</w:t>
      </w:r>
      <w:r>
        <w:rPr>
          <w:rFonts w:cstheme="minorHAnsi"/>
        </w:rPr>
        <w:t>, but</w:t>
      </w:r>
      <w:r w:rsidR="00440828">
        <w:rPr>
          <w:rFonts w:cstheme="minorHAnsi"/>
        </w:rPr>
        <w:t xml:space="preserve"> participants may know me, or have engaged with PL I have facilitated</w:t>
      </w:r>
      <w:r>
        <w:rPr>
          <w:rFonts w:cstheme="minorHAnsi"/>
        </w:rPr>
        <w:t xml:space="preserve">.  This ethical concern influenced the recruitment and data collection methods. </w:t>
      </w:r>
    </w:p>
    <w:p w14:paraId="144565D3" w14:textId="0C9FC8B2" w:rsidR="00093EC1" w:rsidRDefault="00E20108" w:rsidP="008A5CC5">
      <w:pPr>
        <w:pStyle w:val="NoSpacing"/>
        <w:jc w:val="both"/>
      </w:pPr>
      <w:r>
        <w:t>T</w:t>
      </w:r>
      <w:r w:rsidR="00093EC1">
        <w:t>he online questionnaire responses were submitted entirely anonymously</w:t>
      </w:r>
      <w:r>
        <w:t xml:space="preserve">, </w:t>
      </w:r>
      <w:r w:rsidR="00093EC1">
        <w:t xml:space="preserve">unless </w:t>
      </w:r>
      <w:r w:rsidR="003402C0">
        <w:t>participants</w:t>
      </w:r>
      <w:r w:rsidR="00093EC1">
        <w:t xml:space="preserve"> wished to provide contact details</w:t>
      </w:r>
      <w:r>
        <w:t xml:space="preserve"> to engage in the </w:t>
      </w:r>
      <w:r w:rsidR="00093EC1">
        <w:t>interview stage</w:t>
      </w:r>
      <w:r w:rsidR="00713B30">
        <w:t xml:space="preserve">. </w:t>
      </w:r>
      <w:r w:rsidR="00093EC1">
        <w:t>The electronic records of the responses have been stored securely</w:t>
      </w:r>
      <w:r>
        <w:t xml:space="preserve"> and</w:t>
      </w:r>
      <w:r w:rsidR="00093EC1">
        <w:t xml:space="preserve"> transcripts of the interviews</w:t>
      </w:r>
      <w:r>
        <w:t xml:space="preserve"> have been coded for anonymity. </w:t>
      </w:r>
      <w:r w:rsidR="00093EC1">
        <w:t xml:space="preserve"> Care </w:t>
      </w:r>
      <w:r>
        <w:t>has been</w:t>
      </w:r>
      <w:r w:rsidR="00093EC1">
        <w:t xml:space="preserve"> taken to ensure that of there are any aspects of the interview responses that could identify the participant is not included in th</w:t>
      </w:r>
      <w:r w:rsidR="00713B30">
        <w:t>is</w:t>
      </w:r>
      <w:r w:rsidR="00093EC1">
        <w:t xml:space="preserve"> </w:t>
      </w:r>
      <w:r>
        <w:t xml:space="preserve">dissertation. </w:t>
      </w:r>
      <w:r w:rsidR="00093EC1">
        <w:t xml:space="preserve">  </w:t>
      </w:r>
    </w:p>
    <w:p w14:paraId="455FF93D" w14:textId="77777777" w:rsidR="00093EC1" w:rsidRDefault="00093EC1" w:rsidP="008A5CC5">
      <w:pPr>
        <w:pStyle w:val="NoSpacing"/>
        <w:jc w:val="both"/>
      </w:pPr>
    </w:p>
    <w:p w14:paraId="2058B87B" w14:textId="2E7750D0" w:rsidR="00093EC1" w:rsidRPr="00E20108" w:rsidRDefault="00E20108" w:rsidP="00E20108">
      <w:pPr>
        <w:jc w:val="both"/>
        <w:rPr>
          <w:rFonts w:ascii="Arial" w:hAnsi="Arial" w:cs="Arial"/>
        </w:rPr>
      </w:pPr>
      <w:r>
        <w:t xml:space="preserve">Any </w:t>
      </w:r>
      <w:r w:rsidR="00BB10E7">
        <w:t xml:space="preserve">potential risks </w:t>
      </w:r>
      <w:r>
        <w:t xml:space="preserve">to participants </w:t>
      </w:r>
      <w:r w:rsidR="00BB10E7">
        <w:t>were considered prior to any data collection (BERA, 2018 p19).</w:t>
      </w:r>
      <w:r w:rsidR="00093EC1">
        <w:t xml:space="preserve"> The nature of the research is focused on aspects of professional </w:t>
      </w:r>
      <w:r w:rsidR="00713B30">
        <w:t>life</w:t>
      </w:r>
      <w:r w:rsidR="00BB10E7">
        <w:t>, and so it</w:t>
      </w:r>
      <w:r w:rsidR="00093EC1">
        <w:t xml:space="preserve"> </w:t>
      </w:r>
      <w:r>
        <w:t xml:space="preserve">is </w:t>
      </w:r>
      <w:r w:rsidR="00093EC1">
        <w:t xml:space="preserve">unlikely that </w:t>
      </w:r>
      <w:r>
        <w:t>to</w:t>
      </w:r>
      <w:r w:rsidR="00093EC1">
        <w:t xml:space="preserve"> touch on any sensitive, personal or emotional issues for the teachers.  However, this </w:t>
      </w:r>
      <w:r w:rsidR="00093EC1" w:rsidRPr="00042523">
        <w:rPr>
          <w:rFonts w:cstheme="minorHAnsi"/>
        </w:rPr>
        <w:t>is a time of teacher workload concern</w:t>
      </w:r>
      <w:r w:rsidR="00713B30">
        <w:rPr>
          <w:rFonts w:cstheme="minorHAnsi"/>
        </w:rPr>
        <w:t>s</w:t>
      </w:r>
      <w:r>
        <w:rPr>
          <w:rFonts w:cstheme="minorHAnsi"/>
        </w:rPr>
        <w:t xml:space="preserve">, and the risk of </w:t>
      </w:r>
      <w:r w:rsidR="00713B30">
        <w:rPr>
          <w:rFonts w:cstheme="minorHAnsi"/>
        </w:rPr>
        <w:t xml:space="preserve">causing </w:t>
      </w:r>
      <w:r w:rsidR="00093EC1" w:rsidRPr="00042523">
        <w:rPr>
          <w:rFonts w:cstheme="minorHAnsi"/>
        </w:rPr>
        <w:t>additional stress</w:t>
      </w:r>
      <w:r w:rsidR="00713B30">
        <w:rPr>
          <w:rFonts w:cstheme="minorHAnsi"/>
        </w:rPr>
        <w:t xml:space="preserve"> </w:t>
      </w:r>
      <w:r>
        <w:rPr>
          <w:rFonts w:cstheme="minorHAnsi"/>
        </w:rPr>
        <w:t>was considered</w:t>
      </w:r>
      <w:r w:rsidR="00713B30">
        <w:rPr>
          <w:rFonts w:cstheme="minorHAnsi"/>
        </w:rPr>
        <w:t>.  T</w:t>
      </w:r>
      <w:r w:rsidR="00093EC1" w:rsidRPr="00042523">
        <w:rPr>
          <w:rFonts w:cstheme="minorHAnsi"/>
        </w:rPr>
        <w:t>he voluntary nature of the participation</w:t>
      </w:r>
      <w:r w:rsidR="00713B30">
        <w:rPr>
          <w:rFonts w:cstheme="minorHAnsi"/>
        </w:rPr>
        <w:t>,</w:t>
      </w:r>
      <w:r w:rsidR="00093EC1" w:rsidRPr="00042523">
        <w:rPr>
          <w:rFonts w:cstheme="minorHAnsi"/>
        </w:rPr>
        <w:t xml:space="preserve"> </w:t>
      </w:r>
      <w:r w:rsidR="00713B30">
        <w:rPr>
          <w:rFonts w:cstheme="minorHAnsi"/>
        </w:rPr>
        <w:t xml:space="preserve">and no requirement for </w:t>
      </w:r>
      <w:r w:rsidR="00BB10E7">
        <w:rPr>
          <w:rFonts w:cstheme="minorHAnsi"/>
        </w:rPr>
        <w:t>commitment over a period of time, as would be common in ethnographic research</w:t>
      </w:r>
      <w:r w:rsidR="00713B30">
        <w:rPr>
          <w:rFonts w:cstheme="minorHAnsi"/>
        </w:rPr>
        <w:t xml:space="preserve"> were used to negate any risk</w:t>
      </w:r>
      <w:r w:rsidR="00BB10E7">
        <w:rPr>
          <w:rFonts w:cstheme="minorHAnsi"/>
        </w:rPr>
        <w:t xml:space="preserve">. </w:t>
      </w:r>
      <w:r w:rsidR="0047452B">
        <w:rPr>
          <w:rFonts w:cstheme="minorHAnsi"/>
        </w:rPr>
        <w:t xml:space="preserve"> </w:t>
      </w:r>
      <w:r w:rsidR="00713B30">
        <w:rPr>
          <w:rFonts w:cstheme="minorHAnsi"/>
        </w:rPr>
        <w:t>Q</w:t>
      </w:r>
      <w:r w:rsidR="00093EC1" w:rsidRPr="00042523">
        <w:rPr>
          <w:rFonts w:cstheme="minorHAnsi"/>
        </w:rPr>
        <w:t xml:space="preserve">uestionnaire </w:t>
      </w:r>
      <w:r w:rsidR="00093EC1" w:rsidRPr="00BB10E7">
        <w:rPr>
          <w:rFonts w:cstheme="minorHAnsi"/>
        </w:rPr>
        <w:t>and</w:t>
      </w:r>
      <w:r w:rsidR="00093EC1" w:rsidRPr="00042523">
        <w:rPr>
          <w:rFonts w:cstheme="minorHAnsi"/>
        </w:rPr>
        <w:t xml:space="preserve"> interview</w:t>
      </w:r>
      <w:r w:rsidR="00BB10E7">
        <w:rPr>
          <w:rFonts w:cstheme="minorHAnsi"/>
        </w:rPr>
        <w:t xml:space="preserve"> questions</w:t>
      </w:r>
      <w:r w:rsidR="00093EC1" w:rsidRPr="00042523">
        <w:rPr>
          <w:rFonts w:cstheme="minorHAnsi"/>
        </w:rPr>
        <w:t xml:space="preserve"> </w:t>
      </w:r>
      <w:r w:rsidR="00713B30">
        <w:rPr>
          <w:rFonts w:cstheme="minorHAnsi"/>
        </w:rPr>
        <w:t xml:space="preserve">were </w:t>
      </w:r>
      <w:r w:rsidR="00093EC1" w:rsidRPr="00042523">
        <w:rPr>
          <w:rFonts w:cstheme="minorHAnsi"/>
        </w:rPr>
        <w:t xml:space="preserve">designed to be completed quickly and to only collect the </w:t>
      </w:r>
      <w:r w:rsidR="00093EC1">
        <w:rPr>
          <w:rFonts w:cstheme="minorHAnsi"/>
        </w:rPr>
        <w:t xml:space="preserve">required </w:t>
      </w:r>
      <w:r w:rsidR="00093EC1" w:rsidRPr="00042523">
        <w:rPr>
          <w:rFonts w:cstheme="minorHAnsi"/>
        </w:rPr>
        <w:t xml:space="preserve">amount of data, </w:t>
      </w:r>
      <w:r w:rsidR="0047452B">
        <w:rPr>
          <w:rFonts w:cstheme="minorHAnsi"/>
        </w:rPr>
        <w:t>to provide balance between the rights of individuals and the benefits of the research (BERA, 2018 p20)</w:t>
      </w:r>
      <w:r w:rsidR="00093EC1" w:rsidRPr="00042523">
        <w:rPr>
          <w:rFonts w:cstheme="minorHAnsi"/>
        </w:rPr>
        <w:t>. The research methods are also activities that are familiar to practitioners in school settings, so will cause limited stress from lack of ability to engage with the methods.</w:t>
      </w:r>
      <w:r w:rsidR="00093EC1">
        <w:rPr>
          <w:rFonts w:ascii="Arial" w:hAnsi="Arial" w:cs="Arial"/>
        </w:rPr>
        <w:t xml:space="preserve"> </w:t>
      </w:r>
    </w:p>
    <w:p w14:paraId="49B6485E" w14:textId="77777777" w:rsidR="00B9108E" w:rsidRDefault="00B9108E">
      <w:pPr>
        <w:rPr>
          <w:rFonts w:eastAsia="Arial" w:cstheme="minorHAnsi"/>
          <w:b/>
          <w:bCs/>
          <w:color w:val="000000"/>
          <w:u w:color="000000"/>
          <w:bdr w:val="nil"/>
          <w:lang w:val="en-US"/>
        </w:rPr>
      </w:pPr>
      <w:r>
        <w:rPr>
          <w:rFonts w:cstheme="minorHAnsi"/>
          <w:b/>
          <w:bCs/>
        </w:rPr>
        <w:br w:type="page"/>
      </w:r>
    </w:p>
    <w:p w14:paraId="06AA16F0" w14:textId="229B284D" w:rsidR="00093EC1" w:rsidRPr="00204DF2" w:rsidRDefault="00B9108E" w:rsidP="008A5CC5">
      <w:pPr>
        <w:pStyle w:val="BodyTextIndent"/>
        <w:ind w:left="0" w:firstLine="0"/>
        <w:rPr>
          <w:rFonts w:asciiTheme="minorHAnsi" w:hAnsiTheme="minorHAnsi" w:cstheme="minorHAnsi"/>
          <w:b/>
          <w:bCs/>
          <w:sz w:val="28"/>
          <w:szCs w:val="28"/>
        </w:rPr>
      </w:pPr>
      <w:r w:rsidRPr="00204DF2">
        <w:rPr>
          <w:rFonts w:asciiTheme="minorHAnsi" w:hAnsiTheme="minorHAnsi" w:cstheme="minorHAnsi"/>
          <w:b/>
          <w:bCs/>
          <w:sz w:val="28"/>
          <w:szCs w:val="28"/>
        </w:rPr>
        <w:lastRenderedPageBreak/>
        <w:t xml:space="preserve">Chapter 4 - </w:t>
      </w:r>
      <w:r w:rsidR="00093EC1" w:rsidRPr="00204DF2">
        <w:rPr>
          <w:rFonts w:asciiTheme="minorHAnsi" w:hAnsiTheme="minorHAnsi" w:cstheme="minorHAnsi"/>
          <w:b/>
          <w:bCs/>
          <w:sz w:val="28"/>
          <w:szCs w:val="28"/>
        </w:rPr>
        <w:t>Presentation of</w:t>
      </w:r>
      <w:r w:rsidRPr="00204DF2">
        <w:rPr>
          <w:rFonts w:asciiTheme="minorHAnsi" w:hAnsiTheme="minorHAnsi" w:cstheme="minorHAnsi"/>
          <w:b/>
          <w:bCs/>
          <w:sz w:val="28"/>
          <w:szCs w:val="28"/>
        </w:rPr>
        <w:t xml:space="preserve"> findings </w:t>
      </w:r>
    </w:p>
    <w:p w14:paraId="335F197F" w14:textId="03E2E723" w:rsidR="00B9108E" w:rsidRPr="00865BC4" w:rsidRDefault="00B9108E" w:rsidP="00865BC4">
      <w:pPr>
        <w:jc w:val="both"/>
        <w:rPr>
          <w:rFonts w:cstheme="minorHAnsi"/>
          <w:lang w:val="en-US"/>
        </w:rPr>
      </w:pPr>
      <w:r>
        <w:rPr>
          <w:rFonts w:cstheme="minorHAnsi"/>
          <w:lang w:val="en-US"/>
        </w:rPr>
        <w:t xml:space="preserve">The findings from the analysis of quantitative and qualitative data are presented beginning with the demographic characteristics, and then considering the </w:t>
      </w:r>
      <w:r w:rsidR="00865BC4">
        <w:rPr>
          <w:rFonts w:cstheme="minorHAnsi"/>
          <w:lang w:val="en-US"/>
        </w:rPr>
        <w:t>nature and extent of engagement with PL.  Findings regarding practitioner perspectives on</w:t>
      </w:r>
      <w:r w:rsidR="003236DC">
        <w:rPr>
          <w:rFonts w:cstheme="minorHAnsi"/>
          <w:lang w:val="en-US"/>
        </w:rPr>
        <w:t xml:space="preserve"> their own confidence in implementing CfW as well as their views on the factors that made PL more or less impactful will be presented. </w:t>
      </w:r>
    </w:p>
    <w:p w14:paraId="38D543CF" w14:textId="2896A0B3" w:rsidR="002904BC" w:rsidRPr="00E20108" w:rsidRDefault="00093EC1" w:rsidP="008A5CC5">
      <w:pPr>
        <w:jc w:val="both"/>
        <w:rPr>
          <w:rFonts w:eastAsia="Arial" w:cstheme="minorHAnsi"/>
          <w:b/>
          <w:bCs/>
          <w:color w:val="000000"/>
          <w:u w:color="000000"/>
          <w:bdr w:val="nil"/>
          <w:lang w:val="en-US"/>
        </w:rPr>
      </w:pPr>
      <w:r w:rsidRPr="00E20108">
        <w:rPr>
          <w:rFonts w:cstheme="minorHAnsi"/>
          <w:b/>
          <w:bCs/>
        </w:rPr>
        <w:t xml:space="preserve">Demographic characteristics of the participants </w:t>
      </w:r>
    </w:p>
    <w:p w14:paraId="58043E39" w14:textId="427182BE" w:rsidR="002904BC" w:rsidRDefault="00B9108E" w:rsidP="008A5CC5">
      <w:pPr>
        <w:jc w:val="both"/>
        <w:rPr>
          <w:rFonts w:eastAsia="Arial" w:cstheme="minorHAnsi"/>
          <w:color w:val="000000"/>
          <w:u w:color="000000"/>
          <w:bdr w:val="nil"/>
          <w:lang w:val="en-US"/>
        </w:rPr>
      </w:pPr>
      <w:r>
        <w:rPr>
          <w:rFonts w:eastAsia="Arial" w:cstheme="minorHAnsi"/>
          <w:color w:val="000000"/>
          <w:u w:color="000000"/>
          <w:bdr w:val="nil"/>
          <w:lang w:val="en-US"/>
        </w:rPr>
        <w:t xml:space="preserve">23 participants completed the online </w:t>
      </w:r>
      <w:r w:rsidR="002904BC" w:rsidRPr="002904BC">
        <w:rPr>
          <w:rFonts w:eastAsia="Arial" w:cstheme="minorHAnsi"/>
          <w:color w:val="000000"/>
          <w:u w:color="000000"/>
          <w:bdr w:val="nil"/>
          <w:lang w:val="en-US"/>
        </w:rPr>
        <w:t>questionnaire</w:t>
      </w:r>
      <w:r>
        <w:rPr>
          <w:rFonts w:eastAsia="Arial" w:cstheme="minorHAnsi"/>
          <w:color w:val="000000"/>
          <w:u w:color="000000"/>
          <w:bdr w:val="nil"/>
          <w:lang w:val="en-US"/>
        </w:rPr>
        <w:t xml:space="preserve">. </w:t>
      </w:r>
      <w:r w:rsidR="00E20108">
        <w:rPr>
          <w:rFonts w:eastAsia="Arial" w:cstheme="minorHAnsi"/>
          <w:color w:val="000000"/>
          <w:u w:color="000000"/>
          <w:bdr w:val="nil"/>
          <w:lang w:val="en-US"/>
        </w:rPr>
        <w:t xml:space="preserve"> </w:t>
      </w:r>
      <w:r w:rsidR="00E06AFE">
        <w:rPr>
          <w:rFonts w:eastAsia="Arial" w:cstheme="minorHAnsi"/>
          <w:color w:val="000000"/>
          <w:u w:color="000000"/>
          <w:bdr w:val="nil"/>
          <w:lang w:val="en-US"/>
        </w:rPr>
        <w:t xml:space="preserve">10 (43%) were from primary schools, 10 (43%) were from secondary schools and 3 (13%) were from 3-16/all through school settings.  </w:t>
      </w:r>
      <w:r w:rsidR="002904BC">
        <w:rPr>
          <w:rFonts w:eastAsia="Arial" w:cstheme="minorHAnsi"/>
          <w:color w:val="000000"/>
          <w:u w:color="000000"/>
          <w:bdr w:val="nil"/>
          <w:lang w:val="en-US"/>
        </w:rPr>
        <w:t>There were no participants from PRU</w:t>
      </w:r>
      <w:r w:rsidR="00E20108">
        <w:rPr>
          <w:rFonts w:eastAsia="Arial" w:cstheme="minorHAnsi"/>
          <w:color w:val="000000"/>
          <w:u w:color="000000"/>
          <w:bdr w:val="nil"/>
          <w:lang w:val="en-US"/>
        </w:rPr>
        <w:t>’s</w:t>
      </w:r>
      <w:r w:rsidR="002904BC">
        <w:rPr>
          <w:rFonts w:eastAsia="Arial" w:cstheme="minorHAnsi"/>
          <w:color w:val="000000"/>
          <w:u w:color="000000"/>
          <w:bdr w:val="nil"/>
          <w:lang w:val="en-US"/>
        </w:rPr>
        <w:t xml:space="preserve">, special schools or nursery settings. </w:t>
      </w:r>
      <w:r w:rsidR="00E06AFE">
        <w:rPr>
          <w:rFonts w:eastAsia="Arial" w:cstheme="minorHAnsi"/>
          <w:color w:val="000000"/>
          <w:u w:color="000000"/>
          <w:bdr w:val="nil"/>
          <w:lang w:val="en-US"/>
        </w:rPr>
        <w:t xml:space="preserve"> Most </w:t>
      </w:r>
      <w:r w:rsidR="000C691F">
        <w:rPr>
          <w:rFonts w:eastAsia="Arial" w:cstheme="minorHAnsi"/>
          <w:color w:val="000000"/>
          <w:u w:color="000000"/>
          <w:bdr w:val="nil"/>
          <w:lang w:val="en-US"/>
        </w:rPr>
        <w:t xml:space="preserve">of the surveyed </w:t>
      </w:r>
      <w:r w:rsidR="00E06AFE">
        <w:rPr>
          <w:rFonts w:eastAsia="Arial" w:cstheme="minorHAnsi"/>
          <w:color w:val="000000"/>
          <w:u w:color="000000"/>
          <w:bdr w:val="nil"/>
          <w:lang w:val="en-US"/>
        </w:rPr>
        <w:t xml:space="preserve">participants (71%) classed themselves as either teachers or middle leaders within their setting. </w:t>
      </w:r>
      <w:r w:rsidR="000C691F">
        <w:rPr>
          <w:rFonts w:eastAsia="Arial" w:cstheme="minorHAnsi"/>
          <w:color w:val="000000"/>
          <w:u w:color="000000"/>
          <w:bdr w:val="nil"/>
          <w:lang w:val="en-US"/>
        </w:rPr>
        <w:t xml:space="preserve"> In terms of the curriculum area taught, the majority of secondary participants were from a Humanities background, as indicated on table 2.</w:t>
      </w:r>
    </w:p>
    <w:p w14:paraId="1487C558" w14:textId="79801E07" w:rsidR="002904BC" w:rsidRPr="002904BC" w:rsidRDefault="000C691F" w:rsidP="008A5CC5">
      <w:pPr>
        <w:jc w:val="both"/>
        <w:rPr>
          <w:rFonts w:eastAsia="Arial" w:cstheme="minorHAnsi"/>
          <w:i/>
          <w:iCs/>
          <w:color w:val="000000"/>
          <w:u w:color="000000"/>
          <w:bdr w:val="nil"/>
          <w:lang w:val="en-US"/>
        </w:rPr>
      </w:pPr>
      <w:r>
        <w:rPr>
          <w:rFonts w:eastAsia="Arial" w:cstheme="minorHAnsi"/>
          <w:i/>
          <w:iCs/>
          <w:color w:val="000000"/>
          <w:u w:color="000000"/>
          <w:bdr w:val="nil"/>
          <w:lang w:val="en-US"/>
        </w:rPr>
        <w:t xml:space="preserve">Table 1: </w:t>
      </w:r>
      <w:r w:rsidR="002904BC" w:rsidRPr="002904BC">
        <w:rPr>
          <w:rFonts w:eastAsia="Arial" w:cstheme="minorHAnsi"/>
          <w:i/>
          <w:iCs/>
          <w:color w:val="000000"/>
          <w:u w:color="000000"/>
          <w:bdr w:val="nil"/>
          <w:lang w:val="en-US"/>
        </w:rPr>
        <w:t xml:space="preserve">Role/position of participants within their school/setting: </w:t>
      </w:r>
    </w:p>
    <w:tbl>
      <w:tblPr>
        <w:tblStyle w:val="TableGrid"/>
        <w:tblW w:w="0" w:type="auto"/>
        <w:tblLook w:val="04A0" w:firstRow="1" w:lastRow="0" w:firstColumn="1" w:lastColumn="0" w:noHBand="0" w:noVBand="1"/>
      </w:tblPr>
      <w:tblGrid>
        <w:gridCol w:w="3006"/>
        <w:gridCol w:w="3005"/>
        <w:gridCol w:w="3005"/>
      </w:tblGrid>
      <w:tr w:rsidR="002904BC" w14:paraId="25A67A0D" w14:textId="1ED9AEB7" w:rsidTr="00713B30">
        <w:tc>
          <w:tcPr>
            <w:tcW w:w="3006" w:type="dxa"/>
            <w:shd w:val="clear" w:color="auto" w:fill="E7E6E6" w:themeFill="background2"/>
          </w:tcPr>
          <w:p w14:paraId="663F4E29" w14:textId="77777777" w:rsidR="002904BC" w:rsidRDefault="002904BC" w:rsidP="008A5CC5">
            <w:pPr>
              <w:jc w:val="both"/>
              <w:rPr>
                <w:rFonts w:eastAsia="Arial" w:cstheme="minorHAnsi"/>
                <w:color w:val="000000"/>
                <w:u w:color="000000"/>
                <w:bdr w:val="nil"/>
                <w:lang w:val="en-US"/>
              </w:rPr>
            </w:pPr>
          </w:p>
        </w:tc>
        <w:tc>
          <w:tcPr>
            <w:tcW w:w="3005" w:type="dxa"/>
            <w:shd w:val="clear" w:color="auto" w:fill="E7E6E6" w:themeFill="background2"/>
          </w:tcPr>
          <w:p w14:paraId="0051D39B" w14:textId="450EBAFC" w:rsidR="002904BC" w:rsidRDefault="000C691F" w:rsidP="008A5CC5">
            <w:pPr>
              <w:jc w:val="both"/>
              <w:rPr>
                <w:rFonts w:eastAsia="Arial" w:cstheme="minorHAnsi"/>
                <w:color w:val="000000"/>
                <w:u w:color="000000"/>
                <w:bdr w:val="nil"/>
                <w:lang w:val="en-US"/>
              </w:rPr>
            </w:pPr>
            <w:r>
              <w:rPr>
                <w:rFonts w:eastAsia="Arial" w:cstheme="minorHAnsi"/>
                <w:color w:val="000000"/>
                <w:u w:color="000000"/>
                <w:bdr w:val="nil"/>
                <w:lang w:val="en-US"/>
              </w:rPr>
              <w:t>Frequency</w:t>
            </w:r>
          </w:p>
        </w:tc>
        <w:tc>
          <w:tcPr>
            <w:tcW w:w="3005" w:type="dxa"/>
            <w:shd w:val="clear" w:color="auto" w:fill="E7E6E6" w:themeFill="background2"/>
          </w:tcPr>
          <w:p w14:paraId="201065EB" w14:textId="35EC632A" w:rsidR="002904BC" w:rsidRDefault="002904BC" w:rsidP="008A5CC5">
            <w:pPr>
              <w:jc w:val="both"/>
              <w:rPr>
                <w:rFonts w:eastAsia="Arial" w:cstheme="minorHAnsi"/>
                <w:color w:val="000000"/>
                <w:u w:color="000000"/>
                <w:bdr w:val="nil"/>
                <w:lang w:val="en-US"/>
              </w:rPr>
            </w:pPr>
            <w:r>
              <w:rPr>
                <w:rFonts w:eastAsia="Arial" w:cstheme="minorHAnsi"/>
                <w:color w:val="000000"/>
                <w:u w:color="000000"/>
                <w:bdr w:val="nil"/>
                <w:lang w:val="en-US"/>
              </w:rPr>
              <w:t xml:space="preserve">% of responses </w:t>
            </w:r>
          </w:p>
        </w:tc>
      </w:tr>
      <w:tr w:rsidR="002904BC" w14:paraId="1B39DE09" w14:textId="3022AE21" w:rsidTr="002904BC">
        <w:tc>
          <w:tcPr>
            <w:tcW w:w="3006" w:type="dxa"/>
          </w:tcPr>
          <w:p w14:paraId="7EA50190" w14:textId="68E82015" w:rsidR="002904BC" w:rsidRDefault="002904BC" w:rsidP="008A5CC5">
            <w:pPr>
              <w:jc w:val="both"/>
              <w:rPr>
                <w:rFonts w:eastAsia="Arial" w:cstheme="minorHAnsi"/>
                <w:color w:val="000000"/>
                <w:u w:color="000000"/>
                <w:bdr w:val="nil"/>
                <w:lang w:val="en-US"/>
              </w:rPr>
            </w:pPr>
            <w:r>
              <w:rPr>
                <w:rFonts w:eastAsia="Arial" w:cstheme="minorHAnsi"/>
                <w:color w:val="000000"/>
                <w:u w:color="000000"/>
                <w:bdr w:val="nil"/>
                <w:lang w:val="en-US"/>
              </w:rPr>
              <w:t>Headteacher</w:t>
            </w:r>
          </w:p>
        </w:tc>
        <w:tc>
          <w:tcPr>
            <w:tcW w:w="3005" w:type="dxa"/>
          </w:tcPr>
          <w:p w14:paraId="5FAE543F" w14:textId="0EA53FAB" w:rsidR="002904BC" w:rsidRDefault="002904BC" w:rsidP="008A5CC5">
            <w:pPr>
              <w:jc w:val="both"/>
              <w:rPr>
                <w:rFonts w:eastAsia="Arial" w:cstheme="minorHAnsi"/>
                <w:color w:val="000000"/>
                <w:u w:color="000000"/>
                <w:bdr w:val="nil"/>
                <w:lang w:val="en-US"/>
              </w:rPr>
            </w:pPr>
            <w:r>
              <w:rPr>
                <w:rFonts w:eastAsia="Arial" w:cstheme="minorHAnsi"/>
                <w:color w:val="000000"/>
                <w:u w:color="000000"/>
                <w:bdr w:val="nil"/>
                <w:lang w:val="en-US"/>
              </w:rPr>
              <w:t>1</w:t>
            </w:r>
          </w:p>
        </w:tc>
        <w:tc>
          <w:tcPr>
            <w:tcW w:w="3005" w:type="dxa"/>
          </w:tcPr>
          <w:p w14:paraId="3D7F05F3" w14:textId="618D295C" w:rsidR="002904BC" w:rsidRDefault="002904BC" w:rsidP="008A5CC5">
            <w:pPr>
              <w:jc w:val="both"/>
              <w:rPr>
                <w:rFonts w:eastAsia="Arial" w:cstheme="minorHAnsi"/>
                <w:color w:val="000000"/>
                <w:u w:color="000000"/>
                <w:bdr w:val="nil"/>
                <w:lang w:val="en-US"/>
              </w:rPr>
            </w:pPr>
            <w:r>
              <w:rPr>
                <w:rFonts w:eastAsia="Arial" w:cstheme="minorHAnsi"/>
                <w:color w:val="000000"/>
                <w:u w:color="000000"/>
                <w:bdr w:val="nil"/>
                <w:lang w:val="en-US"/>
              </w:rPr>
              <w:t>4%</w:t>
            </w:r>
          </w:p>
        </w:tc>
      </w:tr>
      <w:tr w:rsidR="002904BC" w14:paraId="439CF5D0" w14:textId="4D140C93" w:rsidTr="002904BC">
        <w:tc>
          <w:tcPr>
            <w:tcW w:w="3006" w:type="dxa"/>
          </w:tcPr>
          <w:p w14:paraId="1607C854" w14:textId="579D8016" w:rsidR="002904BC" w:rsidRDefault="002904BC" w:rsidP="008A5CC5">
            <w:pPr>
              <w:jc w:val="both"/>
              <w:rPr>
                <w:rFonts w:eastAsia="Arial" w:cstheme="minorHAnsi"/>
                <w:color w:val="000000"/>
                <w:u w:color="000000"/>
                <w:bdr w:val="nil"/>
                <w:lang w:val="en-US"/>
              </w:rPr>
            </w:pPr>
            <w:r>
              <w:rPr>
                <w:rFonts w:eastAsia="Arial" w:cstheme="minorHAnsi"/>
                <w:color w:val="000000"/>
                <w:u w:color="000000"/>
                <w:bdr w:val="nil"/>
                <w:lang w:val="en-US"/>
              </w:rPr>
              <w:t>Senior leader (Deputy Headteacher/Assistant Headteacher)</w:t>
            </w:r>
          </w:p>
        </w:tc>
        <w:tc>
          <w:tcPr>
            <w:tcW w:w="3005" w:type="dxa"/>
          </w:tcPr>
          <w:p w14:paraId="446EA138" w14:textId="74882A75" w:rsidR="002904BC" w:rsidRDefault="002904BC" w:rsidP="008A5CC5">
            <w:pPr>
              <w:jc w:val="both"/>
              <w:rPr>
                <w:rFonts w:eastAsia="Arial" w:cstheme="minorHAnsi"/>
                <w:color w:val="000000"/>
                <w:u w:color="000000"/>
                <w:bdr w:val="nil"/>
                <w:lang w:val="en-US"/>
              </w:rPr>
            </w:pPr>
            <w:r>
              <w:rPr>
                <w:rFonts w:eastAsia="Arial" w:cstheme="minorHAnsi"/>
                <w:color w:val="000000"/>
                <w:u w:color="000000"/>
                <w:bdr w:val="nil"/>
                <w:lang w:val="en-US"/>
              </w:rPr>
              <w:t>6</w:t>
            </w:r>
          </w:p>
        </w:tc>
        <w:tc>
          <w:tcPr>
            <w:tcW w:w="3005" w:type="dxa"/>
          </w:tcPr>
          <w:p w14:paraId="15334051" w14:textId="7AA2E376" w:rsidR="002904BC" w:rsidRDefault="002904BC" w:rsidP="008A5CC5">
            <w:pPr>
              <w:jc w:val="both"/>
              <w:rPr>
                <w:rFonts w:eastAsia="Arial" w:cstheme="minorHAnsi"/>
                <w:color w:val="000000"/>
                <w:u w:color="000000"/>
                <w:bdr w:val="nil"/>
                <w:lang w:val="en-US"/>
              </w:rPr>
            </w:pPr>
            <w:r>
              <w:rPr>
                <w:rFonts w:eastAsia="Arial" w:cstheme="minorHAnsi"/>
                <w:color w:val="000000"/>
                <w:u w:color="000000"/>
                <w:bdr w:val="nil"/>
                <w:lang w:val="en-US"/>
              </w:rPr>
              <w:t>25%</w:t>
            </w:r>
          </w:p>
        </w:tc>
      </w:tr>
      <w:tr w:rsidR="002904BC" w14:paraId="45402BBA" w14:textId="6A371FE4" w:rsidTr="002904BC">
        <w:tc>
          <w:tcPr>
            <w:tcW w:w="3006" w:type="dxa"/>
          </w:tcPr>
          <w:p w14:paraId="778F0859" w14:textId="0AA638FD" w:rsidR="002904BC" w:rsidRDefault="002904BC" w:rsidP="008A5CC5">
            <w:pPr>
              <w:jc w:val="both"/>
              <w:rPr>
                <w:rFonts w:eastAsia="Arial" w:cstheme="minorHAnsi"/>
                <w:color w:val="000000"/>
                <w:u w:color="000000"/>
                <w:bdr w:val="nil"/>
                <w:lang w:val="en-US"/>
              </w:rPr>
            </w:pPr>
            <w:r>
              <w:rPr>
                <w:rFonts w:eastAsia="Arial" w:cstheme="minorHAnsi"/>
                <w:color w:val="000000"/>
                <w:u w:color="000000"/>
                <w:bdr w:val="nil"/>
                <w:lang w:val="en-US"/>
              </w:rPr>
              <w:t>Middle leader</w:t>
            </w:r>
          </w:p>
        </w:tc>
        <w:tc>
          <w:tcPr>
            <w:tcW w:w="3005" w:type="dxa"/>
          </w:tcPr>
          <w:p w14:paraId="220EB0D9" w14:textId="26D1B235" w:rsidR="002904BC" w:rsidRDefault="002904BC" w:rsidP="008A5CC5">
            <w:pPr>
              <w:jc w:val="both"/>
              <w:rPr>
                <w:rFonts w:eastAsia="Arial" w:cstheme="minorHAnsi"/>
                <w:color w:val="000000"/>
                <w:u w:color="000000"/>
                <w:bdr w:val="nil"/>
                <w:lang w:val="en-US"/>
              </w:rPr>
            </w:pPr>
            <w:r>
              <w:rPr>
                <w:rFonts w:eastAsia="Arial" w:cstheme="minorHAnsi"/>
                <w:color w:val="000000"/>
                <w:u w:color="000000"/>
                <w:bdr w:val="nil"/>
                <w:lang w:val="en-US"/>
              </w:rPr>
              <w:t>9</w:t>
            </w:r>
          </w:p>
        </w:tc>
        <w:tc>
          <w:tcPr>
            <w:tcW w:w="3005" w:type="dxa"/>
          </w:tcPr>
          <w:p w14:paraId="5FCF5E12" w14:textId="0247B058" w:rsidR="002904BC" w:rsidRDefault="002904BC" w:rsidP="008A5CC5">
            <w:pPr>
              <w:jc w:val="both"/>
              <w:rPr>
                <w:rFonts w:eastAsia="Arial" w:cstheme="minorHAnsi"/>
                <w:color w:val="000000"/>
                <w:u w:color="000000"/>
                <w:bdr w:val="nil"/>
                <w:lang w:val="en-US"/>
              </w:rPr>
            </w:pPr>
            <w:r>
              <w:rPr>
                <w:rFonts w:eastAsia="Arial" w:cstheme="minorHAnsi"/>
                <w:color w:val="000000"/>
                <w:u w:color="000000"/>
                <w:bdr w:val="nil"/>
                <w:lang w:val="en-US"/>
              </w:rPr>
              <w:t>38%</w:t>
            </w:r>
          </w:p>
        </w:tc>
      </w:tr>
      <w:tr w:rsidR="002904BC" w14:paraId="599DF8E2" w14:textId="3158B620" w:rsidTr="002904BC">
        <w:tc>
          <w:tcPr>
            <w:tcW w:w="3006" w:type="dxa"/>
          </w:tcPr>
          <w:p w14:paraId="49DA5FE7" w14:textId="5084B875" w:rsidR="002904BC" w:rsidRDefault="002904BC" w:rsidP="008A5CC5">
            <w:pPr>
              <w:jc w:val="both"/>
              <w:rPr>
                <w:rFonts w:eastAsia="Arial" w:cstheme="minorHAnsi"/>
                <w:color w:val="000000"/>
                <w:u w:color="000000"/>
                <w:bdr w:val="nil"/>
                <w:lang w:val="en-US"/>
              </w:rPr>
            </w:pPr>
            <w:r>
              <w:rPr>
                <w:rFonts w:eastAsia="Arial" w:cstheme="minorHAnsi"/>
                <w:color w:val="000000"/>
                <w:u w:color="000000"/>
                <w:bdr w:val="nil"/>
                <w:lang w:val="en-US"/>
              </w:rPr>
              <w:t xml:space="preserve">Teacher </w:t>
            </w:r>
          </w:p>
        </w:tc>
        <w:tc>
          <w:tcPr>
            <w:tcW w:w="3005" w:type="dxa"/>
          </w:tcPr>
          <w:p w14:paraId="1A02C5B2" w14:textId="55AE5DB7" w:rsidR="002904BC" w:rsidRDefault="002904BC" w:rsidP="008A5CC5">
            <w:pPr>
              <w:jc w:val="both"/>
              <w:rPr>
                <w:rFonts w:eastAsia="Arial" w:cstheme="minorHAnsi"/>
                <w:color w:val="000000"/>
                <w:u w:color="000000"/>
                <w:bdr w:val="nil"/>
                <w:lang w:val="en-US"/>
              </w:rPr>
            </w:pPr>
            <w:r>
              <w:rPr>
                <w:rFonts w:eastAsia="Arial" w:cstheme="minorHAnsi"/>
                <w:color w:val="000000"/>
                <w:u w:color="000000"/>
                <w:bdr w:val="nil"/>
                <w:lang w:val="en-US"/>
              </w:rPr>
              <w:t>8</w:t>
            </w:r>
          </w:p>
        </w:tc>
        <w:tc>
          <w:tcPr>
            <w:tcW w:w="3005" w:type="dxa"/>
          </w:tcPr>
          <w:p w14:paraId="334FBE72" w14:textId="5093638E" w:rsidR="002904BC" w:rsidRDefault="002904BC" w:rsidP="008A5CC5">
            <w:pPr>
              <w:jc w:val="both"/>
              <w:rPr>
                <w:rFonts w:eastAsia="Arial" w:cstheme="minorHAnsi"/>
                <w:color w:val="000000"/>
                <w:u w:color="000000"/>
                <w:bdr w:val="nil"/>
                <w:lang w:val="en-US"/>
              </w:rPr>
            </w:pPr>
            <w:r>
              <w:rPr>
                <w:rFonts w:eastAsia="Arial" w:cstheme="minorHAnsi"/>
                <w:color w:val="000000"/>
                <w:u w:color="000000"/>
                <w:bdr w:val="nil"/>
                <w:lang w:val="en-US"/>
              </w:rPr>
              <w:t>33%</w:t>
            </w:r>
          </w:p>
        </w:tc>
      </w:tr>
      <w:tr w:rsidR="000C691F" w14:paraId="16B8C422" w14:textId="77777777" w:rsidTr="002904BC">
        <w:tc>
          <w:tcPr>
            <w:tcW w:w="3006" w:type="dxa"/>
          </w:tcPr>
          <w:p w14:paraId="7B69E26C" w14:textId="5FA57F3F" w:rsidR="000C691F" w:rsidRDefault="000C691F" w:rsidP="008A5CC5">
            <w:pPr>
              <w:jc w:val="both"/>
              <w:rPr>
                <w:rFonts w:eastAsia="Arial" w:cstheme="minorHAnsi"/>
                <w:color w:val="000000"/>
                <w:u w:color="000000"/>
                <w:bdr w:val="nil"/>
                <w:lang w:val="en-US"/>
              </w:rPr>
            </w:pPr>
            <w:r>
              <w:rPr>
                <w:rFonts w:eastAsia="Arial" w:cstheme="minorHAnsi"/>
                <w:color w:val="000000"/>
                <w:u w:color="000000"/>
                <w:bdr w:val="nil"/>
                <w:lang w:val="en-US"/>
              </w:rPr>
              <w:t>Total</w:t>
            </w:r>
          </w:p>
        </w:tc>
        <w:tc>
          <w:tcPr>
            <w:tcW w:w="3005" w:type="dxa"/>
          </w:tcPr>
          <w:p w14:paraId="28203608" w14:textId="4C16518A" w:rsidR="000C691F" w:rsidRDefault="000C691F" w:rsidP="008A5CC5">
            <w:pPr>
              <w:jc w:val="both"/>
              <w:rPr>
                <w:rFonts w:eastAsia="Arial" w:cstheme="minorHAnsi"/>
                <w:color w:val="000000"/>
                <w:u w:color="000000"/>
                <w:bdr w:val="nil"/>
                <w:lang w:val="en-US"/>
              </w:rPr>
            </w:pPr>
            <w:r>
              <w:rPr>
                <w:rFonts w:eastAsia="Arial" w:cstheme="minorHAnsi"/>
                <w:color w:val="000000"/>
                <w:u w:color="000000"/>
                <w:bdr w:val="nil"/>
                <w:lang w:val="en-US"/>
              </w:rPr>
              <w:t>24</w:t>
            </w:r>
          </w:p>
        </w:tc>
        <w:tc>
          <w:tcPr>
            <w:tcW w:w="3005" w:type="dxa"/>
          </w:tcPr>
          <w:p w14:paraId="76C5A0DA" w14:textId="253D5D89" w:rsidR="000C691F" w:rsidRDefault="000C691F" w:rsidP="008A5CC5">
            <w:pPr>
              <w:jc w:val="both"/>
              <w:rPr>
                <w:rFonts w:eastAsia="Arial" w:cstheme="minorHAnsi"/>
                <w:color w:val="000000"/>
                <w:u w:color="000000"/>
                <w:bdr w:val="nil"/>
                <w:lang w:val="en-US"/>
              </w:rPr>
            </w:pPr>
            <w:r>
              <w:rPr>
                <w:rFonts w:eastAsia="Arial" w:cstheme="minorHAnsi"/>
                <w:color w:val="000000"/>
                <w:u w:color="000000"/>
                <w:bdr w:val="nil"/>
                <w:lang w:val="en-US"/>
              </w:rPr>
              <w:t>100%</w:t>
            </w:r>
          </w:p>
        </w:tc>
      </w:tr>
      <w:tr w:rsidR="002904BC" w14:paraId="03FBB61F" w14:textId="77777777" w:rsidTr="00475CD6">
        <w:tc>
          <w:tcPr>
            <w:tcW w:w="3006" w:type="dxa"/>
          </w:tcPr>
          <w:p w14:paraId="2F8AB1CF" w14:textId="77777777" w:rsidR="002904BC" w:rsidRDefault="002904BC" w:rsidP="008A5CC5">
            <w:pPr>
              <w:jc w:val="both"/>
              <w:rPr>
                <w:rFonts w:eastAsia="Arial" w:cstheme="minorHAnsi"/>
                <w:color w:val="000000"/>
                <w:u w:color="000000"/>
                <w:bdr w:val="nil"/>
                <w:lang w:val="en-US"/>
              </w:rPr>
            </w:pPr>
          </w:p>
        </w:tc>
        <w:tc>
          <w:tcPr>
            <w:tcW w:w="6010" w:type="dxa"/>
            <w:gridSpan w:val="2"/>
          </w:tcPr>
          <w:p w14:paraId="42B06411" w14:textId="08C7F389" w:rsidR="002904BC" w:rsidRDefault="002904BC" w:rsidP="008A5CC5">
            <w:pPr>
              <w:jc w:val="both"/>
              <w:rPr>
                <w:rFonts w:eastAsia="Arial" w:cstheme="minorHAnsi"/>
                <w:color w:val="000000"/>
                <w:u w:color="000000"/>
                <w:bdr w:val="nil"/>
                <w:lang w:val="en-US"/>
              </w:rPr>
            </w:pPr>
            <w:r>
              <w:rPr>
                <w:rFonts w:eastAsia="Arial" w:cstheme="minorHAnsi"/>
                <w:color w:val="000000"/>
                <w:u w:color="000000"/>
                <w:bdr w:val="nil"/>
                <w:lang w:val="en-US"/>
              </w:rPr>
              <w:t>NB: One primary participant classified themselves as both a senior leader and a classroom teacher</w:t>
            </w:r>
          </w:p>
        </w:tc>
      </w:tr>
    </w:tbl>
    <w:p w14:paraId="2ADA5367" w14:textId="77777777" w:rsidR="002904BC" w:rsidRDefault="002904BC" w:rsidP="008A5CC5">
      <w:pPr>
        <w:jc w:val="both"/>
        <w:rPr>
          <w:rFonts w:eastAsia="Arial" w:cstheme="minorHAnsi"/>
          <w:color w:val="000000"/>
          <w:u w:color="000000"/>
          <w:bdr w:val="nil"/>
          <w:lang w:val="en-US"/>
        </w:rPr>
      </w:pPr>
    </w:p>
    <w:p w14:paraId="55A7FCE5" w14:textId="28125F24" w:rsidR="002904BC" w:rsidRPr="00E20108" w:rsidRDefault="000C691F" w:rsidP="008A5CC5">
      <w:pPr>
        <w:jc w:val="both"/>
        <w:rPr>
          <w:rFonts w:eastAsia="Arial" w:cstheme="minorHAnsi"/>
          <w:i/>
          <w:iCs/>
          <w:color w:val="000000"/>
          <w:u w:color="000000"/>
          <w:bdr w:val="nil"/>
          <w:lang w:val="en-US"/>
        </w:rPr>
      </w:pPr>
      <w:r w:rsidRPr="00E20108">
        <w:rPr>
          <w:rFonts w:eastAsia="Arial" w:cstheme="minorHAnsi"/>
          <w:i/>
          <w:iCs/>
          <w:color w:val="000000"/>
          <w:u w:color="000000"/>
          <w:bdr w:val="nil"/>
          <w:lang w:val="en-US"/>
        </w:rPr>
        <w:t xml:space="preserve">Table 2: </w:t>
      </w:r>
      <w:r w:rsidR="00E20108" w:rsidRPr="00E20108">
        <w:rPr>
          <w:rFonts w:eastAsia="Arial" w:cstheme="minorHAnsi"/>
          <w:i/>
          <w:iCs/>
          <w:color w:val="000000"/>
          <w:u w:color="000000"/>
          <w:bdr w:val="nil"/>
          <w:lang w:val="en-US"/>
        </w:rPr>
        <w:t xml:space="preserve">Secondary participants subject specialism: </w:t>
      </w:r>
    </w:p>
    <w:tbl>
      <w:tblPr>
        <w:tblStyle w:val="TableGrid"/>
        <w:tblW w:w="0" w:type="auto"/>
        <w:tblLook w:val="04A0" w:firstRow="1" w:lastRow="0" w:firstColumn="1" w:lastColumn="0" w:noHBand="0" w:noVBand="1"/>
      </w:tblPr>
      <w:tblGrid>
        <w:gridCol w:w="7225"/>
        <w:gridCol w:w="1791"/>
      </w:tblGrid>
      <w:tr w:rsidR="00E63F84" w14:paraId="4CA9F542" w14:textId="77777777" w:rsidTr="00713B30">
        <w:tc>
          <w:tcPr>
            <w:tcW w:w="7225" w:type="dxa"/>
            <w:shd w:val="clear" w:color="auto" w:fill="E7E6E6" w:themeFill="background2"/>
          </w:tcPr>
          <w:p w14:paraId="70E020B2" w14:textId="616EC48A" w:rsidR="00E63F84" w:rsidRDefault="000C691F" w:rsidP="008A5CC5">
            <w:pPr>
              <w:jc w:val="both"/>
              <w:rPr>
                <w:rFonts w:eastAsia="Arial" w:cstheme="minorHAnsi"/>
                <w:color w:val="000000"/>
                <w:u w:color="000000"/>
                <w:bdr w:val="nil"/>
                <w:lang w:val="en-US"/>
              </w:rPr>
            </w:pPr>
            <w:r>
              <w:rPr>
                <w:rFonts w:eastAsia="Arial" w:cstheme="minorHAnsi"/>
                <w:color w:val="000000"/>
                <w:u w:color="000000"/>
                <w:bdr w:val="nil"/>
                <w:lang w:val="en-US"/>
              </w:rPr>
              <w:t>Curriculum area taught</w:t>
            </w:r>
          </w:p>
        </w:tc>
        <w:tc>
          <w:tcPr>
            <w:tcW w:w="1791" w:type="dxa"/>
            <w:shd w:val="clear" w:color="auto" w:fill="E7E6E6" w:themeFill="background2"/>
          </w:tcPr>
          <w:p w14:paraId="50D313C3" w14:textId="00A9999E" w:rsidR="00E63F84" w:rsidRDefault="000C691F" w:rsidP="008A5CC5">
            <w:pPr>
              <w:jc w:val="both"/>
              <w:rPr>
                <w:rFonts w:eastAsia="Arial" w:cstheme="minorHAnsi"/>
                <w:color w:val="000000"/>
                <w:u w:color="000000"/>
                <w:bdr w:val="nil"/>
                <w:lang w:val="en-US"/>
              </w:rPr>
            </w:pPr>
            <w:r>
              <w:rPr>
                <w:rFonts w:eastAsia="Arial" w:cstheme="minorHAnsi"/>
                <w:color w:val="000000"/>
                <w:u w:color="000000"/>
                <w:bdr w:val="nil"/>
                <w:lang w:val="en-US"/>
              </w:rPr>
              <w:t xml:space="preserve">No of </w:t>
            </w:r>
            <w:r w:rsidR="00E63F84">
              <w:rPr>
                <w:rFonts w:eastAsia="Arial" w:cstheme="minorHAnsi"/>
                <w:color w:val="000000"/>
                <w:u w:color="000000"/>
                <w:bdr w:val="nil"/>
                <w:lang w:val="en-US"/>
              </w:rPr>
              <w:t>Participants</w:t>
            </w:r>
          </w:p>
        </w:tc>
      </w:tr>
      <w:tr w:rsidR="00E63F84" w14:paraId="703C84FB" w14:textId="77777777" w:rsidTr="00E63F84">
        <w:tc>
          <w:tcPr>
            <w:tcW w:w="7225" w:type="dxa"/>
          </w:tcPr>
          <w:p w14:paraId="2F32C184" w14:textId="534FF931" w:rsidR="00E63F84" w:rsidRDefault="00E63F84" w:rsidP="008A5CC5">
            <w:pPr>
              <w:jc w:val="both"/>
              <w:rPr>
                <w:rFonts w:eastAsia="Arial" w:cstheme="minorHAnsi"/>
                <w:color w:val="000000"/>
                <w:u w:color="000000"/>
                <w:bdr w:val="nil"/>
                <w:lang w:val="en-US"/>
              </w:rPr>
            </w:pPr>
            <w:r>
              <w:rPr>
                <w:rFonts w:eastAsia="Arial" w:cstheme="minorHAnsi"/>
                <w:color w:val="000000"/>
                <w:u w:color="000000"/>
                <w:bdr w:val="nil"/>
                <w:lang w:val="en-US"/>
              </w:rPr>
              <w:t xml:space="preserve">Humanities </w:t>
            </w:r>
          </w:p>
        </w:tc>
        <w:tc>
          <w:tcPr>
            <w:tcW w:w="1791" w:type="dxa"/>
          </w:tcPr>
          <w:p w14:paraId="50629009" w14:textId="6B3A089C" w:rsidR="00E63F84" w:rsidRDefault="00E63F84" w:rsidP="008A5CC5">
            <w:pPr>
              <w:jc w:val="both"/>
              <w:rPr>
                <w:rFonts w:eastAsia="Arial" w:cstheme="minorHAnsi"/>
                <w:color w:val="000000"/>
                <w:u w:color="000000"/>
                <w:bdr w:val="nil"/>
                <w:lang w:val="en-US"/>
              </w:rPr>
            </w:pPr>
            <w:r>
              <w:rPr>
                <w:rFonts w:eastAsia="Arial" w:cstheme="minorHAnsi"/>
                <w:color w:val="000000"/>
                <w:u w:color="000000"/>
                <w:bdr w:val="nil"/>
                <w:lang w:val="en-US"/>
              </w:rPr>
              <w:t>11</w:t>
            </w:r>
          </w:p>
        </w:tc>
      </w:tr>
      <w:tr w:rsidR="00E63F84" w14:paraId="3FF70EAC" w14:textId="77777777" w:rsidTr="00E63F84">
        <w:tc>
          <w:tcPr>
            <w:tcW w:w="7225" w:type="dxa"/>
          </w:tcPr>
          <w:p w14:paraId="5CC6779C" w14:textId="0EA322BE" w:rsidR="00E63F84" w:rsidRDefault="00E63F84" w:rsidP="008A5CC5">
            <w:pPr>
              <w:jc w:val="both"/>
              <w:rPr>
                <w:rFonts w:eastAsia="Arial" w:cstheme="minorHAnsi"/>
                <w:color w:val="000000"/>
                <w:u w:color="000000"/>
                <w:bdr w:val="nil"/>
                <w:lang w:val="en-US"/>
              </w:rPr>
            </w:pPr>
            <w:r>
              <w:rPr>
                <w:rFonts w:eastAsia="Arial" w:cstheme="minorHAnsi"/>
                <w:color w:val="000000"/>
                <w:u w:color="000000"/>
                <w:bdr w:val="nil"/>
                <w:lang w:val="en-US"/>
              </w:rPr>
              <w:t xml:space="preserve">Languages, </w:t>
            </w:r>
            <w:proofErr w:type="gramStart"/>
            <w:r>
              <w:rPr>
                <w:rFonts w:eastAsia="Arial" w:cstheme="minorHAnsi"/>
                <w:color w:val="000000"/>
                <w:u w:color="000000"/>
                <w:bdr w:val="nil"/>
                <w:lang w:val="en-US"/>
              </w:rPr>
              <w:t>literacy</w:t>
            </w:r>
            <w:proofErr w:type="gramEnd"/>
            <w:r>
              <w:rPr>
                <w:rFonts w:eastAsia="Arial" w:cstheme="minorHAnsi"/>
                <w:color w:val="000000"/>
                <w:u w:color="000000"/>
                <w:bdr w:val="nil"/>
                <w:lang w:val="en-US"/>
              </w:rPr>
              <w:t xml:space="preserve"> and communication (English, Welsh, International languages) </w:t>
            </w:r>
          </w:p>
        </w:tc>
        <w:tc>
          <w:tcPr>
            <w:tcW w:w="1791" w:type="dxa"/>
          </w:tcPr>
          <w:p w14:paraId="00546017" w14:textId="158BFBA9" w:rsidR="00E63F84" w:rsidRDefault="00E63F84" w:rsidP="008A5CC5">
            <w:pPr>
              <w:jc w:val="both"/>
              <w:rPr>
                <w:rFonts w:eastAsia="Arial" w:cstheme="minorHAnsi"/>
                <w:color w:val="000000"/>
                <w:u w:color="000000"/>
                <w:bdr w:val="nil"/>
                <w:lang w:val="en-US"/>
              </w:rPr>
            </w:pPr>
            <w:r>
              <w:rPr>
                <w:rFonts w:eastAsia="Arial" w:cstheme="minorHAnsi"/>
                <w:color w:val="000000"/>
                <w:u w:color="000000"/>
                <w:bdr w:val="nil"/>
                <w:lang w:val="en-US"/>
              </w:rPr>
              <w:t>1</w:t>
            </w:r>
          </w:p>
        </w:tc>
      </w:tr>
      <w:tr w:rsidR="00E63F84" w14:paraId="1C6B7525" w14:textId="77777777" w:rsidTr="00E63F84">
        <w:tc>
          <w:tcPr>
            <w:tcW w:w="7225" w:type="dxa"/>
          </w:tcPr>
          <w:p w14:paraId="03FABECC" w14:textId="0AC3F10E" w:rsidR="00E63F84" w:rsidRDefault="00E63F84" w:rsidP="008A5CC5">
            <w:pPr>
              <w:jc w:val="both"/>
              <w:rPr>
                <w:rFonts w:eastAsia="Arial" w:cstheme="minorHAnsi"/>
                <w:color w:val="000000"/>
                <w:u w:color="000000"/>
                <w:bdr w:val="nil"/>
                <w:lang w:val="en-US"/>
              </w:rPr>
            </w:pPr>
            <w:r>
              <w:rPr>
                <w:rFonts w:eastAsia="Arial" w:cstheme="minorHAnsi"/>
                <w:color w:val="000000"/>
                <w:u w:color="000000"/>
                <w:bdr w:val="nil"/>
                <w:lang w:val="en-US"/>
              </w:rPr>
              <w:t xml:space="preserve">Health and wellbeing </w:t>
            </w:r>
          </w:p>
        </w:tc>
        <w:tc>
          <w:tcPr>
            <w:tcW w:w="1791" w:type="dxa"/>
          </w:tcPr>
          <w:p w14:paraId="64729FDB" w14:textId="786B855D" w:rsidR="00E63F84" w:rsidRDefault="00E63F84" w:rsidP="008A5CC5">
            <w:pPr>
              <w:jc w:val="both"/>
              <w:rPr>
                <w:rFonts w:eastAsia="Arial" w:cstheme="minorHAnsi"/>
                <w:color w:val="000000"/>
                <w:u w:color="000000"/>
                <w:bdr w:val="nil"/>
                <w:lang w:val="en-US"/>
              </w:rPr>
            </w:pPr>
            <w:r>
              <w:rPr>
                <w:rFonts w:eastAsia="Arial" w:cstheme="minorHAnsi"/>
                <w:color w:val="000000"/>
                <w:u w:color="000000"/>
                <w:bdr w:val="nil"/>
                <w:lang w:val="en-US"/>
              </w:rPr>
              <w:t>1</w:t>
            </w:r>
          </w:p>
        </w:tc>
      </w:tr>
      <w:tr w:rsidR="00E63F84" w14:paraId="7DA8A29D" w14:textId="77777777" w:rsidTr="00E63F84">
        <w:tc>
          <w:tcPr>
            <w:tcW w:w="7225" w:type="dxa"/>
          </w:tcPr>
          <w:p w14:paraId="5E5762D9" w14:textId="0315F8DC" w:rsidR="00E63F84" w:rsidRDefault="00E63F84" w:rsidP="008A5CC5">
            <w:pPr>
              <w:jc w:val="both"/>
              <w:rPr>
                <w:rFonts w:eastAsia="Arial" w:cstheme="minorHAnsi"/>
                <w:color w:val="000000"/>
                <w:u w:color="000000"/>
                <w:bdr w:val="nil"/>
                <w:lang w:val="en-US"/>
              </w:rPr>
            </w:pPr>
            <w:r>
              <w:rPr>
                <w:rFonts w:eastAsia="Arial" w:cstheme="minorHAnsi"/>
                <w:color w:val="000000"/>
                <w:u w:color="000000"/>
                <w:bdr w:val="nil"/>
                <w:lang w:val="en-US"/>
              </w:rPr>
              <w:t>Science and technology</w:t>
            </w:r>
          </w:p>
        </w:tc>
        <w:tc>
          <w:tcPr>
            <w:tcW w:w="1791" w:type="dxa"/>
          </w:tcPr>
          <w:p w14:paraId="6D8E0D7F" w14:textId="1CEEE155" w:rsidR="00E63F84" w:rsidRDefault="00E63F84" w:rsidP="008A5CC5">
            <w:pPr>
              <w:jc w:val="both"/>
              <w:rPr>
                <w:rFonts w:eastAsia="Arial" w:cstheme="minorHAnsi"/>
                <w:color w:val="000000"/>
                <w:u w:color="000000"/>
                <w:bdr w:val="nil"/>
                <w:lang w:val="en-US"/>
              </w:rPr>
            </w:pPr>
            <w:r>
              <w:rPr>
                <w:rFonts w:eastAsia="Arial" w:cstheme="minorHAnsi"/>
                <w:color w:val="000000"/>
                <w:u w:color="000000"/>
                <w:bdr w:val="nil"/>
                <w:lang w:val="en-US"/>
              </w:rPr>
              <w:t>1</w:t>
            </w:r>
          </w:p>
        </w:tc>
      </w:tr>
      <w:tr w:rsidR="000C691F" w14:paraId="7B4FF406" w14:textId="77777777" w:rsidTr="00E63F84">
        <w:tc>
          <w:tcPr>
            <w:tcW w:w="7225" w:type="dxa"/>
          </w:tcPr>
          <w:p w14:paraId="087E2122" w14:textId="495C9E7C" w:rsidR="000C691F" w:rsidRDefault="000C691F" w:rsidP="008A5CC5">
            <w:pPr>
              <w:jc w:val="both"/>
              <w:rPr>
                <w:rFonts w:eastAsia="Arial" w:cstheme="minorHAnsi"/>
                <w:color w:val="000000"/>
                <w:u w:color="000000"/>
                <w:bdr w:val="nil"/>
                <w:lang w:val="en-US"/>
              </w:rPr>
            </w:pPr>
            <w:r>
              <w:rPr>
                <w:rFonts w:eastAsia="Arial" w:cstheme="minorHAnsi"/>
                <w:color w:val="000000"/>
                <w:u w:color="000000"/>
                <w:bdr w:val="nil"/>
                <w:lang w:val="en-US"/>
              </w:rPr>
              <w:t xml:space="preserve">Total </w:t>
            </w:r>
          </w:p>
        </w:tc>
        <w:tc>
          <w:tcPr>
            <w:tcW w:w="1791" w:type="dxa"/>
          </w:tcPr>
          <w:p w14:paraId="69C9BC76" w14:textId="7C5479BF" w:rsidR="000C691F" w:rsidRDefault="000C691F" w:rsidP="008A5CC5">
            <w:pPr>
              <w:jc w:val="both"/>
              <w:rPr>
                <w:rFonts w:eastAsia="Arial" w:cstheme="minorHAnsi"/>
                <w:color w:val="000000"/>
                <w:u w:color="000000"/>
                <w:bdr w:val="nil"/>
                <w:lang w:val="en-US"/>
              </w:rPr>
            </w:pPr>
            <w:r>
              <w:rPr>
                <w:rFonts w:eastAsia="Arial" w:cstheme="minorHAnsi"/>
                <w:color w:val="000000"/>
                <w:u w:color="000000"/>
                <w:bdr w:val="nil"/>
                <w:lang w:val="en-US"/>
              </w:rPr>
              <w:t>14</w:t>
            </w:r>
          </w:p>
        </w:tc>
      </w:tr>
      <w:tr w:rsidR="002904BC" w14:paraId="20FA8CB7" w14:textId="77777777" w:rsidTr="00917B61">
        <w:tc>
          <w:tcPr>
            <w:tcW w:w="9016" w:type="dxa"/>
            <w:gridSpan w:val="2"/>
          </w:tcPr>
          <w:p w14:paraId="21BC3226" w14:textId="05678970" w:rsidR="002904BC" w:rsidRDefault="002904BC" w:rsidP="008A5CC5">
            <w:pPr>
              <w:jc w:val="both"/>
              <w:rPr>
                <w:rFonts w:eastAsia="Arial" w:cstheme="minorHAnsi"/>
                <w:color w:val="000000"/>
                <w:u w:color="000000"/>
                <w:bdr w:val="nil"/>
                <w:lang w:val="en-US"/>
              </w:rPr>
            </w:pPr>
            <w:r>
              <w:rPr>
                <w:rFonts w:eastAsia="Arial" w:cstheme="minorHAnsi"/>
                <w:color w:val="000000"/>
                <w:u w:color="000000"/>
                <w:bdr w:val="nil"/>
                <w:lang w:val="en-US"/>
              </w:rPr>
              <w:t xml:space="preserve">NB: One participant categorized themselves as both Health and wellbeing and science and technology. It is likely that this would be a design Technology/Food and nutrition teacher as this subject spans the two areas. </w:t>
            </w:r>
          </w:p>
          <w:p w14:paraId="012E05E8" w14:textId="2469CCA4" w:rsidR="00E06AFE" w:rsidRDefault="00E06AFE" w:rsidP="008A5CC5">
            <w:pPr>
              <w:jc w:val="both"/>
              <w:rPr>
                <w:rFonts w:eastAsia="Arial" w:cstheme="minorHAnsi"/>
                <w:color w:val="000000"/>
                <w:u w:color="000000"/>
                <w:bdr w:val="nil"/>
                <w:lang w:val="en-US"/>
              </w:rPr>
            </w:pPr>
            <w:r>
              <w:rPr>
                <w:rFonts w:eastAsia="Arial" w:cstheme="minorHAnsi"/>
                <w:color w:val="000000"/>
                <w:u w:color="000000"/>
                <w:bdr w:val="nil"/>
                <w:lang w:val="en-US"/>
              </w:rPr>
              <w:t xml:space="preserve">Responses indicate that the 3 participants from 3-16 schools all teach in the secondary phase, as all identified Humanities as their subject specialism. </w:t>
            </w:r>
          </w:p>
          <w:p w14:paraId="208B7454" w14:textId="09B4E2DC" w:rsidR="002904BC" w:rsidRDefault="002904BC" w:rsidP="008A5CC5">
            <w:pPr>
              <w:jc w:val="both"/>
              <w:rPr>
                <w:rFonts w:eastAsia="Arial" w:cstheme="minorHAnsi"/>
                <w:color w:val="000000"/>
                <w:u w:color="000000"/>
                <w:bdr w:val="nil"/>
                <w:lang w:val="en-US"/>
              </w:rPr>
            </w:pPr>
          </w:p>
        </w:tc>
      </w:tr>
    </w:tbl>
    <w:p w14:paraId="42FE7E19" w14:textId="77777777" w:rsidR="002904BC" w:rsidRDefault="002904BC" w:rsidP="008A5CC5">
      <w:pPr>
        <w:jc w:val="both"/>
        <w:rPr>
          <w:rFonts w:eastAsia="Arial" w:cstheme="minorHAnsi"/>
          <w:color w:val="000000"/>
          <w:u w:color="000000"/>
          <w:bdr w:val="nil"/>
          <w:lang w:val="en-US"/>
        </w:rPr>
      </w:pPr>
    </w:p>
    <w:p w14:paraId="08D09409" w14:textId="0F030DAA" w:rsidR="002904BC" w:rsidRDefault="002904BC" w:rsidP="008A5CC5">
      <w:pPr>
        <w:jc w:val="both"/>
        <w:rPr>
          <w:rFonts w:eastAsia="Arial" w:cstheme="minorHAnsi"/>
          <w:color w:val="000000"/>
          <w:u w:color="000000"/>
          <w:bdr w:val="nil"/>
          <w:lang w:val="en-US"/>
        </w:rPr>
      </w:pPr>
      <w:r>
        <w:rPr>
          <w:rFonts w:eastAsia="Arial" w:cstheme="minorHAnsi"/>
          <w:color w:val="000000"/>
          <w:u w:color="000000"/>
          <w:bdr w:val="nil"/>
          <w:lang w:val="en-US"/>
        </w:rPr>
        <w:t xml:space="preserve">The four interview participants were: </w:t>
      </w:r>
    </w:p>
    <w:p w14:paraId="5C7B243E" w14:textId="478200AC" w:rsidR="002904BC" w:rsidRDefault="002904BC" w:rsidP="008A5CC5">
      <w:pPr>
        <w:jc w:val="both"/>
        <w:rPr>
          <w:rFonts w:eastAsia="Arial" w:cstheme="minorHAnsi"/>
          <w:color w:val="000000"/>
          <w:u w:color="000000"/>
          <w:bdr w:val="nil"/>
          <w:lang w:val="en-US"/>
        </w:rPr>
      </w:pPr>
      <w:r>
        <w:rPr>
          <w:rFonts w:eastAsia="Arial" w:cstheme="minorHAnsi"/>
          <w:color w:val="000000"/>
          <w:u w:color="000000"/>
          <w:bdr w:val="nil"/>
          <w:lang w:val="en-US"/>
        </w:rPr>
        <w:t>Teacher L – a secondary school teacher who has worked in several schools as a classroom teacher, and supply teacher. The school that the participant discussed in greatest detail was a small secondary school in south Wales, with high levels of deprivation</w:t>
      </w:r>
      <w:r w:rsidR="00440828">
        <w:rPr>
          <w:rFonts w:eastAsia="Arial" w:cstheme="minorHAnsi"/>
          <w:color w:val="000000"/>
          <w:u w:color="000000"/>
          <w:bdr w:val="nil"/>
          <w:lang w:val="en-US"/>
        </w:rPr>
        <w:t>, and lack of diversity</w:t>
      </w:r>
      <w:r>
        <w:rPr>
          <w:rFonts w:eastAsia="Arial" w:cstheme="minorHAnsi"/>
          <w:color w:val="000000"/>
          <w:u w:color="000000"/>
          <w:bdr w:val="nil"/>
          <w:lang w:val="en-US"/>
        </w:rPr>
        <w:t xml:space="preserve">. </w:t>
      </w:r>
    </w:p>
    <w:p w14:paraId="378404CE" w14:textId="0A7F5D30" w:rsidR="002904BC" w:rsidRDefault="002904BC" w:rsidP="008A5CC5">
      <w:pPr>
        <w:jc w:val="both"/>
        <w:rPr>
          <w:rFonts w:eastAsia="Arial" w:cstheme="minorHAnsi"/>
          <w:color w:val="000000"/>
          <w:u w:color="000000"/>
          <w:bdr w:val="nil"/>
          <w:lang w:val="en-US"/>
        </w:rPr>
      </w:pPr>
      <w:r>
        <w:rPr>
          <w:rFonts w:eastAsia="Arial" w:cstheme="minorHAnsi"/>
          <w:color w:val="000000"/>
          <w:u w:color="000000"/>
          <w:bdr w:val="nil"/>
          <w:lang w:val="en-US"/>
        </w:rPr>
        <w:lastRenderedPageBreak/>
        <w:t xml:space="preserve">Teacher T </w:t>
      </w:r>
      <w:r w:rsidR="00E63F84">
        <w:rPr>
          <w:rFonts w:eastAsia="Arial" w:cstheme="minorHAnsi"/>
          <w:color w:val="000000"/>
          <w:u w:color="000000"/>
          <w:bdr w:val="nil"/>
          <w:lang w:val="en-US"/>
        </w:rPr>
        <w:t>–</w:t>
      </w:r>
      <w:r>
        <w:rPr>
          <w:rFonts w:eastAsia="Arial" w:cstheme="minorHAnsi"/>
          <w:color w:val="000000"/>
          <w:u w:color="000000"/>
          <w:bdr w:val="nil"/>
          <w:lang w:val="en-US"/>
        </w:rPr>
        <w:t xml:space="preserve"> </w:t>
      </w:r>
      <w:r w:rsidR="00F4065C">
        <w:rPr>
          <w:rFonts w:eastAsia="Arial" w:cstheme="minorHAnsi"/>
          <w:color w:val="000000"/>
          <w:u w:color="000000"/>
          <w:bdr w:val="nil"/>
          <w:lang w:val="en-US"/>
        </w:rPr>
        <w:t>a</w:t>
      </w:r>
      <w:r w:rsidR="00E63F84">
        <w:rPr>
          <w:rFonts w:eastAsia="Arial" w:cstheme="minorHAnsi"/>
          <w:color w:val="000000"/>
          <w:u w:color="000000"/>
          <w:bdr w:val="nil"/>
          <w:lang w:val="en-US"/>
        </w:rPr>
        <w:t xml:space="preserve"> senior </w:t>
      </w:r>
      <w:r w:rsidR="00A10C4F">
        <w:rPr>
          <w:rFonts w:eastAsia="Arial" w:cstheme="minorHAnsi"/>
          <w:color w:val="000000"/>
          <w:u w:color="000000"/>
          <w:bdr w:val="nil"/>
          <w:lang w:val="en-US"/>
        </w:rPr>
        <w:t xml:space="preserve">secondary </w:t>
      </w:r>
      <w:r w:rsidR="00E63F84">
        <w:rPr>
          <w:rFonts w:eastAsia="Arial" w:cstheme="minorHAnsi"/>
          <w:color w:val="000000"/>
          <w:u w:color="000000"/>
          <w:bdr w:val="nil"/>
          <w:lang w:val="en-US"/>
        </w:rPr>
        <w:t xml:space="preserve">middle leader, in a </w:t>
      </w:r>
      <w:r w:rsidR="00440828">
        <w:rPr>
          <w:rFonts w:eastAsia="Arial" w:cstheme="minorHAnsi"/>
          <w:color w:val="000000"/>
          <w:u w:color="000000"/>
          <w:bdr w:val="nil"/>
          <w:lang w:val="en-US"/>
        </w:rPr>
        <w:t>large</w:t>
      </w:r>
      <w:r w:rsidR="00E63F84">
        <w:rPr>
          <w:rFonts w:eastAsia="Arial" w:cstheme="minorHAnsi"/>
          <w:color w:val="000000"/>
          <w:u w:color="000000"/>
          <w:bdr w:val="nil"/>
          <w:lang w:val="en-US"/>
        </w:rPr>
        <w:t xml:space="preserve"> school in South Wales.  The school has above average FSM, but this has been falling in recent years. The area is not ethnically diverse. </w:t>
      </w:r>
    </w:p>
    <w:p w14:paraId="6F8B03B6" w14:textId="573F735D" w:rsidR="002904BC" w:rsidRDefault="002904BC" w:rsidP="008A5CC5">
      <w:pPr>
        <w:jc w:val="both"/>
        <w:rPr>
          <w:rFonts w:eastAsia="Arial" w:cstheme="minorHAnsi"/>
          <w:color w:val="000000"/>
          <w:u w:color="000000"/>
          <w:bdr w:val="nil"/>
          <w:lang w:val="en-US"/>
        </w:rPr>
      </w:pPr>
      <w:r>
        <w:rPr>
          <w:rFonts w:eastAsia="Arial" w:cstheme="minorHAnsi"/>
          <w:color w:val="000000"/>
          <w:u w:color="000000"/>
          <w:bdr w:val="nil"/>
          <w:lang w:val="en-US"/>
        </w:rPr>
        <w:t xml:space="preserve">Teacher M – </w:t>
      </w:r>
      <w:r w:rsidR="00F4065C">
        <w:rPr>
          <w:rFonts w:eastAsia="Arial" w:cstheme="minorHAnsi"/>
          <w:color w:val="000000"/>
          <w:u w:color="000000"/>
          <w:bdr w:val="nil"/>
          <w:lang w:val="en-US"/>
        </w:rPr>
        <w:t>a</w:t>
      </w:r>
      <w:r>
        <w:rPr>
          <w:rFonts w:eastAsia="Arial" w:cstheme="minorHAnsi"/>
          <w:color w:val="000000"/>
          <w:u w:color="000000"/>
          <w:bdr w:val="nil"/>
          <w:lang w:val="en-US"/>
        </w:rPr>
        <w:t xml:space="preserve"> primary school middle leader</w:t>
      </w:r>
      <w:r w:rsidR="00F4065C">
        <w:rPr>
          <w:rFonts w:eastAsia="Arial" w:cstheme="minorHAnsi"/>
          <w:color w:val="000000"/>
          <w:u w:color="000000"/>
          <w:bdr w:val="nil"/>
          <w:lang w:val="en-US"/>
        </w:rPr>
        <w:t xml:space="preserve"> at a large, diverse</w:t>
      </w:r>
      <w:r w:rsidR="003402C0">
        <w:rPr>
          <w:rFonts w:eastAsia="Arial" w:cstheme="minorHAnsi"/>
          <w:color w:val="000000"/>
          <w:u w:color="000000"/>
          <w:bdr w:val="nil"/>
          <w:lang w:val="en-US"/>
        </w:rPr>
        <w:t xml:space="preserve"> </w:t>
      </w:r>
      <w:r w:rsidR="00F4065C">
        <w:rPr>
          <w:rFonts w:eastAsia="Arial" w:cstheme="minorHAnsi"/>
          <w:color w:val="000000"/>
          <w:u w:color="000000"/>
          <w:bdr w:val="nil"/>
          <w:lang w:val="en-US"/>
        </w:rPr>
        <w:t>city school</w:t>
      </w:r>
      <w:r w:rsidR="003402C0">
        <w:rPr>
          <w:rFonts w:eastAsia="Arial" w:cstheme="minorHAnsi"/>
          <w:color w:val="000000"/>
          <w:u w:color="000000"/>
          <w:bdr w:val="nil"/>
          <w:lang w:val="en-US"/>
        </w:rPr>
        <w:t xml:space="preserve"> in South Wales</w:t>
      </w:r>
      <w:r w:rsidR="00F4065C">
        <w:rPr>
          <w:rFonts w:eastAsia="Arial" w:cstheme="minorHAnsi"/>
          <w:color w:val="000000"/>
          <w:u w:color="000000"/>
          <w:bdr w:val="nil"/>
          <w:lang w:val="en-US"/>
        </w:rPr>
        <w:t xml:space="preserve">.  The school has a high rate of FSM and has recently been removed from an Estyn supervision category. </w:t>
      </w:r>
    </w:p>
    <w:p w14:paraId="4D76E5B6" w14:textId="3611DD4A" w:rsidR="000C691F" w:rsidRPr="00E20108" w:rsidRDefault="002904BC" w:rsidP="000C691F">
      <w:pPr>
        <w:jc w:val="both"/>
        <w:rPr>
          <w:rFonts w:eastAsia="Arial" w:cstheme="minorHAnsi"/>
          <w:color w:val="000000"/>
          <w:u w:color="000000"/>
          <w:bdr w:val="nil"/>
          <w:lang w:val="en-US"/>
        </w:rPr>
      </w:pPr>
      <w:r>
        <w:rPr>
          <w:rFonts w:eastAsia="Arial" w:cstheme="minorHAnsi"/>
          <w:color w:val="000000"/>
          <w:u w:color="000000"/>
          <w:bdr w:val="nil"/>
          <w:lang w:val="en-US"/>
        </w:rPr>
        <w:t>Teacher P – a middle leader in a medium sized co-educational secondary school in</w:t>
      </w:r>
      <w:r w:rsidR="00A10C4F">
        <w:rPr>
          <w:rFonts w:eastAsia="Arial" w:cstheme="minorHAnsi"/>
          <w:color w:val="000000"/>
          <w:u w:color="000000"/>
          <w:bdr w:val="nil"/>
          <w:lang w:val="en-US"/>
        </w:rPr>
        <w:t xml:space="preserve"> </w:t>
      </w:r>
      <w:r>
        <w:rPr>
          <w:rFonts w:eastAsia="Arial" w:cstheme="minorHAnsi"/>
          <w:color w:val="000000"/>
          <w:u w:color="000000"/>
          <w:bdr w:val="nil"/>
          <w:lang w:val="en-US"/>
        </w:rPr>
        <w:t>South Wales. The school is in a tow</w:t>
      </w:r>
      <w:r w:rsidR="00F4065C">
        <w:rPr>
          <w:rFonts w:eastAsia="Arial" w:cstheme="minorHAnsi"/>
          <w:color w:val="000000"/>
          <w:u w:color="000000"/>
          <w:bdr w:val="nil"/>
          <w:lang w:val="en-US"/>
        </w:rPr>
        <w:t>n</w:t>
      </w:r>
      <w:r>
        <w:rPr>
          <w:rFonts w:eastAsia="Arial" w:cstheme="minorHAnsi"/>
          <w:color w:val="000000"/>
          <w:u w:color="000000"/>
          <w:bdr w:val="nil"/>
          <w:lang w:val="en-US"/>
        </w:rPr>
        <w:t xml:space="preserve">, with </w:t>
      </w:r>
      <w:r w:rsidR="00E63F84">
        <w:rPr>
          <w:rFonts w:eastAsia="Arial" w:cstheme="minorHAnsi"/>
          <w:color w:val="000000"/>
          <w:u w:color="000000"/>
          <w:bdr w:val="nil"/>
          <w:lang w:val="en-US"/>
        </w:rPr>
        <w:t>above</w:t>
      </w:r>
      <w:r>
        <w:rPr>
          <w:rFonts w:eastAsia="Arial" w:cstheme="minorHAnsi"/>
          <w:color w:val="000000"/>
          <w:u w:color="000000"/>
          <w:bdr w:val="nil"/>
          <w:lang w:val="en-US"/>
        </w:rPr>
        <w:t xml:space="preserve"> average </w:t>
      </w:r>
      <w:r w:rsidR="00F4065C">
        <w:rPr>
          <w:rFonts w:eastAsia="Arial" w:cstheme="minorHAnsi"/>
          <w:color w:val="000000"/>
          <w:u w:color="000000"/>
          <w:bdr w:val="nil"/>
          <w:lang w:val="en-US"/>
        </w:rPr>
        <w:t xml:space="preserve">rate of </w:t>
      </w:r>
      <w:r>
        <w:rPr>
          <w:rFonts w:eastAsia="Arial" w:cstheme="minorHAnsi"/>
          <w:color w:val="000000"/>
          <w:u w:color="000000"/>
          <w:bdr w:val="nil"/>
          <w:lang w:val="en-US"/>
        </w:rPr>
        <w:t xml:space="preserve">FSM. </w:t>
      </w:r>
    </w:p>
    <w:p w14:paraId="752EFCF0" w14:textId="0482B990" w:rsidR="000C691F" w:rsidRPr="00E20108" w:rsidRDefault="000C691F" w:rsidP="000C691F">
      <w:pPr>
        <w:jc w:val="both"/>
        <w:rPr>
          <w:rFonts w:cstheme="minorHAnsi"/>
          <w:b/>
          <w:bCs/>
        </w:rPr>
      </w:pPr>
      <w:r w:rsidRPr="00E20108">
        <w:rPr>
          <w:rFonts w:cstheme="minorHAnsi"/>
          <w:b/>
          <w:bCs/>
        </w:rPr>
        <w:t>Engagement with</w:t>
      </w:r>
      <w:r w:rsidR="00902690" w:rsidRPr="00E20108">
        <w:rPr>
          <w:rFonts w:cstheme="minorHAnsi"/>
          <w:b/>
          <w:bCs/>
        </w:rPr>
        <w:t xml:space="preserve"> different types of </w:t>
      </w:r>
      <w:r w:rsidRPr="00E20108">
        <w:rPr>
          <w:rFonts w:cstheme="minorHAnsi"/>
          <w:b/>
          <w:bCs/>
        </w:rPr>
        <w:t xml:space="preserve"> PL Activities.</w:t>
      </w:r>
    </w:p>
    <w:p w14:paraId="26AA8125" w14:textId="39AD72A1" w:rsidR="000C691F" w:rsidRDefault="000C691F" w:rsidP="000C691F">
      <w:pPr>
        <w:jc w:val="both"/>
        <w:rPr>
          <w:rFonts w:cstheme="minorHAnsi"/>
        </w:rPr>
      </w:pPr>
      <w:r>
        <w:rPr>
          <w:rFonts w:cstheme="minorHAnsi"/>
        </w:rPr>
        <w:t>The surveyed p</w:t>
      </w:r>
      <w:r w:rsidRPr="00265D57">
        <w:rPr>
          <w:rFonts w:cstheme="minorHAnsi"/>
        </w:rPr>
        <w:t xml:space="preserve">articipants were asked to </w:t>
      </w:r>
      <w:r>
        <w:rPr>
          <w:rFonts w:cstheme="minorHAnsi"/>
        </w:rPr>
        <w:t xml:space="preserve">indicate their engagement with a range of individual, school led, regionally led or nationally provided PL activities. </w:t>
      </w:r>
      <w:r w:rsidRPr="00265D57">
        <w:rPr>
          <w:rFonts w:cstheme="minorHAnsi"/>
        </w:rPr>
        <w:t xml:space="preserve"> As indicated in the table below, </w:t>
      </w:r>
      <w:r>
        <w:rPr>
          <w:rFonts w:cstheme="minorHAnsi"/>
        </w:rPr>
        <w:t xml:space="preserve">there was far higher engagement with PL at individual and school level than with PL provided by regions/LAs or by the Welsh Government.  </w:t>
      </w:r>
    </w:p>
    <w:p w14:paraId="05E8C777" w14:textId="61355774" w:rsidR="00902690" w:rsidRPr="00E20108" w:rsidRDefault="000C691F" w:rsidP="008A5CC5">
      <w:pPr>
        <w:jc w:val="both"/>
        <w:rPr>
          <w:rFonts w:cstheme="minorHAnsi"/>
          <w:i/>
          <w:iCs/>
        </w:rPr>
      </w:pPr>
      <w:r w:rsidRPr="00E20108">
        <w:rPr>
          <w:rFonts w:cstheme="minorHAnsi"/>
          <w:i/>
          <w:iCs/>
        </w:rPr>
        <w:t xml:space="preserve">Table 3: </w:t>
      </w:r>
      <w:r w:rsidR="00093EC1" w:rsidRPr="00E20108">
        <w:rPr>
          <w:rFonts w:cstheme="minorHAnsi"/>
          <w:i/>
          <w:iCs/>
        </w:rPr>
        <w:t xml:space="preserve">Engagement with </w:t>
      </w:r>
      <w:r w:rsidR="00902690" w:rsidRPr="00E20108">
        <w:rPr>
          <w:rFonts w:cstheme="minorHAnsi"/>
          <w:i/>
          <w:iCs/>
        </w:rPr>
        <w:t xml:space="preserve">different types of </w:t>
      </w:r>
      <w:r w:rsidR="00093EC1" w:rsidRPr="00E20108">
        <w:rPr>
          <w:rFonts w:cstheme="minorHAnsi"/>
          <w:i/>
          <w:iCs/>
        </w:rPr>
        <w:t>PL</w:t>
      </w:r>
      <w:r w:rsidRPr="00E20108">
        <w:rPr>
          <w:rFonts w:cstheme="minorHAnsi"/>
          <w:i/>
          <w:iCs/>
        </w:rPr>
        <w:t xml:space="preserve"> activities</w:t>
      </w:r>
    </w:p>
    <w:tbl>
      <w:tblPr>
        <w:tblStyle w:val="TableGrid"/>
        <w:tblW w:w="9493" w:type="dxa"/>
        <w:tblLook w:val="04A0" w:firstRow="1" w:lastRow="0" w:firstColumn="1" w:lastColumn="0" w:noHBand="0" w:noVBand="1"/>
      </w:tblPr>
      <w:tblGrid>
        <w:gridCol w:w="1555"/>
        <w:gridCol w:w="2268"/>
        <w:gridCol w:w="3685"/>
        <w:gridCol w:w="1985"/>
      </w:tblGrid>
      <w:tr w:rsidR="002904BC" w14:paraId="460732BE" w14:textId="6DD57911" w:rsidTr="00713B30">
        <w:tc>
          <w:tcPr>
            <w:tcW w:w="1555" w:type="dxa"/>
            <w:shd w:val="clear" w:color="auto" w:fill="E7E6E6" w:themeFill="background2"/>
          </w:tcPr>
          <w:p w14:paraId="725C32C0" w14:textId="77777777" w:rsidR="002904BC" w:rsidRPr="002904BC" w:rsidRDefault="002904BC" w:rsidP="008A5CC5">
            <w:pPr>
              <w:jc w:val="both"/>
              <w:rPr>
                <w:rFonts w:cstheme="minorHAnsi"/>
              </w:rPr>
            </w:pPr>
          </w:p>
        </w:tc>
        <w:tc>
          <w:tcPr>
            <w:tcW w:w="2268" w:type="dxa"/>
            <w:shd w:val="clear" w:color="auto" w:fill="E7E6E6" w:themeFill="background2"/>
          </w:tcPr>
          <w:p w14:paraId="5613EB4E" w14:textId="4F6D830A" w:rsidR="002904BC" w:rsidRPr="002904BC" w:rsidRDefault="002904BC" w:rsidP="008A5CC5">
            <w:pPr>
              <w:jc w:val="both"/>
              <w:rPr>
                <w:rFonts w:cstheme="minorHAnsi"/>
              </w:rPr>
            </w:pPr>
            <w:r>
              <w:rPr>
                <w:rFonts w:cstheme="minorHAnsi"/>
              </w:rPr>
              <w:t>Total number</w:t>
            </w:r>
            <w:r w:rsidRPr="002904BC">
              <w:rPr>
                <w:rFonts w:cstheme="minorHAnsi"/>
              </w:rPr>
              <w:t xml:space="preserve"> (%) of participants who have engaged with this PL</w:t>
            </w:r>
          </w:p>
        </w:tc>
        <w:tc>
          <w:tcPr>
            <w:tcW w:w="3685" w:type="dxa"/>
            <w:shd w:val="clear" w:color="auto" w:fill="E7E6E6" w:themeFill="background2"/>
          </w:tcPr>
          <w:p w14:paraId="5536FD68" w14:textId="575A28C6" w:rsidR="002904BC" w:rsidRPr="002904BC" w:rsidRDefault="002904BC" w:rsidP="008A5CC5">
            <w:pPr>
              <w:jc w:val="both"/>
              <w:rPr>
                <w:rFonts w:cstheme="minorHAnsi"/>
              </w:rPr>
            </w:pPr>
            <w:r w:rsidRPr="002904BC">
              <w:rPr>
                <w:rFonts w:cstheme="minorHAnsi"/>
              </w:rPr>
              <w:t>Specific types of PL</w:t>
            </w:r>
            <w:r>
              <w:rPr>
                <w:rFonts w:cstheme="minorHAnsi"/>
              </w:rPr>
              <w:t xml:space="preserve"> </w:t>
            </w:r>
            <w:r w:rsidR="00771ADF">
              <w:rPr>
                <w:rFonts w:cstheme="minorHAnsi"/>
              </w:rPr>
              <w:t xml:space="preserve">activities </w:t>
            </w:r>
            <w:r>
              <w:rPr>
                <w:rFonts w:cstheme="minorHAnsi"/>
              </w:rPr>
              <w:t>participants have engaged with</w:t>
            </w:r>
          </w:p>
        </w:tc>
        <w:tc>
          <w:tcPr>
            <w:tcW w:w="1985" w:type="dxa"/>
            <w:shd w:val="clear" w:color="auto" w:fill="E7E6E6" w:themeFill="background2"/>
          </w:tcPr>
          <w:p w14:paraId="31926056" w14:textId="3FC97214" w:rsidR="002904BC" w:rsidRPr="002904BC" w:rsidRDefault="002904BC" w:rsidP="008A5CC5">
            <w:pPr>
              <w:jc w:val="both"/>
              <w:rPr>
                <w:rFonts w:cstheme="minorHAnsi"/>
              </w:rPr>
            </w:pPr>
            <w:r w:rsidRPr="002904BC">
              <w:rPr>
                <w:rFonts w:cstheme="minorHAnsi"/>
              </w:rPr>
              <w:t>No of participants who have engaged with this PL</w:t>
            </w:r>
          </w:p>
        </w:tc>
      </w:tr>
      <w:tr w:rsidR="002904BC" w14:paraId="1E6FC582" w14:textId="57869117" w:rsidTr="00DA634F">
        <w:trPr>
          <w:trHeight w:val="90"/>
        </w:trPr>
        <w:tc>
          <w:tcPr>
            <w:tcW w:w="1555" w:type="dxa"/>
            <w:vMerge w:val="restart"/>
          </w:tcPr>
          <w:p w14:paraId="1D326DE1" w14:textId="279B9A4E" w:rsidR="002904BC" w:rsidRPr="002904BC" w:rsidRDefault="002904BC" w:rsidP="008A5CC5">
            <w:pPr>
              <w:jc w:val="both"/>
              <w:rPr>
                <w:rFonts w:cstheme="minorHAnsi"/>
              </w:rPr>
            </w:pPr>
            <w:r w:rsidRPr="002904BC">
              <w:rPr>
                <w:rFonts w:cstheme="minorHAnsi"/>
              </w:rPr>
              <w:t xml:space="preserve">Individual PL activities </w:t>
            </w:r>
          </w:p>
        </w:tc>
        <w:tc>
          <w:tcPr>
            <w:tcW w:w="2268" w:type="dxa"/>
            <w:vMerge w:val="restart"/>
          </w:tcPr>
          <w:p w14:paraId="32AE15D3" w14:textId="4CB0B29F" w:rsidR="002904BC" w:rsidRPr="002904BC" w:rsidRDefault="002904BC" w:rsidP="008A5CC5">
            <w:pPr>
              <w:jc w:val="both"/>
              <w:rPr>
                <w:rFonts w:cstheme="minorHAnsi"/>
              </w:rPr>
            </w:pPr>
            <w:r w:rsidRPr="002904BC">
              <w:rPr>
                <w:rFonts w:cstheme="minorHAnsi"/>
              </w:rPr>
              <w:t>21</w:t>
            </w:r>
            <w:r w:rsidR="00A76B17">
              <w:rPr>
                <w:rFonts w:cstheme="minorHAnsi"/>
              </w:rPr>
              <w:t xml:space="preserve"> (91%)</w:t>
            </w:r>
          </w:p>
        </w:tc>
        <w:tc>
          <w:tcPr>
            <w:tcW w:w="3685" w:type="dxa"/>
          </w:tcPr>
          <w:p w14:paraId="7C76EFE5" w14:textId="404F3D3A" w:rsidR="002904BC" w:rsidRPr="002904BC" w:rsidRDefault="002904BC" w:rsidP="008A5CC5">
            <w:pPr>
              <w:jc w:val="both"/>
              <w:rPr>
                <w:rFonts w:cstheme="minorHAnsi"/>
              </w:rPr>
            </w:pPr>
            <w:r>
              <w:rPr>
                <w:rFonts w:cstheme="minorHAnsi"/>
              </w:rPr>
              <w:t>Reading and research</w:t>
            </w:r>
          </w:p>
        </w:tc>
        <w:tc>
          <w:tcPr>
            <w:tcW w:w="1985" w:type="dxa"/>
          </w:tcPr>
          <w:p w14:paraId="607914FE" w14:textId="20B3E543" w:rsidR="002904BC" w:rsidRPr="002904BC" w:rsidRDefault="00DA634F" w:rsidP="008A5CC5">
            <w:pPr>
              <w:jc w:val="both"/>
              <w:rPr>
                <w:rFonts w:cstheme="minorHAnsi"/>
              </w:rPr>
            </w:pPr>
            <w:r>
              <w:rPr>
                <w:rFonts w:cstheme="minorHAnsi"/>
              </w:rPr>
              <w:t>18</w:t>
            </w:r>
          </w:p>
        </w:tc>
      </w:tr>
      <w:tr w:rsidR="002904BC" w14:paraId="35E3C683" w14:textId="77777777" w:rsidTr="00DA634F">
        <w:trPr>
          <w:trHeight w:val="90"/>
        </w:trPr>
        <w:tc>
          <w:tcPr>
            <w:tcW w:w="1555" w:type="dxa"/>
            <w:vMerge/>
          </w:tcPr>
          <w:p w14:paraId="2982B781" w14:textId="77777777" w:rsidR="002904BC" w:rsidRPr="002904BC" w:rsidRDefault="002904BC" w:rsidP="008A5CC5">
            <w:pPr>
              <w:jc w:val="both"/>
              <w:rPr>
                <w:rFonts w:cstheme="minorHAnsi"/>
              </w:rPr>
            </w:pPr>
          </w:p>
        </w:tc>
        <w:tc>
          <w:tcPr>
            <w:tcW w:w="2268" w:type="dxa"/>
            <w:vMerge/>
          </w:tcPr>
          <w:p w14:paraId="16C69F37" w14:textId="77777777" w:rsidR="002904BC" w:rsidRPr="002904BC" w:rsidRDefault="002904BC" w:rsidP="008A5CC5">
            <w:pPr>
              <w:jc w:val="both"/>
              <w:rPr>
                <w:rFonts w:cstheme="minorHAnsi"/>
              </w:rPr>
            </w:pPr>
          </w:p>
        </w:tc>
        <w:tc>
          <w:tcPr>
            <w:tcW w:w="3685" w:type="dxa"/>
          </w:tcPr>
          <w:p w14:paraId="3D6C7A67" w14:textId="2E05DBCE" w:rsidR="002904BC" w:rsidRPr="002904BC" w:rsidRDefault="002904BC" w:rsidP="008A5CC5">
            <w:pPr>
              <w:jc w:val="both"/>
              <w:rPr>
                <w:rFonts w:cstheme="minorHAnsi"/>
              </w:rPr>
            </w:pPr>
            <w:r>
              <w:rPr>
                <w:rFonts w:cstheme="minorHAnsi"/>
              </w:rPr>
              <w:t>Classroom trials/enquiry</w:t>
            </w:r>
          </w:p>
        </w:tc>
        <w:tc>
          <w:tcPr>
            <w:tcW w:w="1985" w:type="dxa"/>
          </w:tcPr>
          <w:p w14:paraId="5CD6C22B" w14:textId="2FD45FA9" w:rsidR="002904BC" w:rsidRPr="002904BC" w:rsidRDefault="00DA634F" w:rsidP="008A5CC5">
            <w:pPr>
              <w:jc w:val="both"/>
              <w:rPr>
                <w:rFonts w:cstheme="minorHAnsi"/>
              </w:rPr>
            </w:pPr>
            <w:r>
              <w:rPr>
                <w:rFonts w:cstheme="minorHAnsi"/>
              </w:rPr>
              <w:t>11</w:t>
            </w:r>
          </w:p>
        </w:tc>
      </w:tr>
      <w:tr w:rsidR="002904BC" w14:paraId="1A49A526" w14:textId="77777777" w:rsidTr="00DA634F">
        <w:trPr>
          <w:trHeight w:val="90"/>
        </w:trPr>
        <w:tc>
          <w:tcPr>
            <w:tcW w:w="1555" w:type="dxa"/>
            <w:vMerge/>
          </w:tcPr>
          <w:p w14:paraId="7E434FBA" w14:textId="77777777" w:rsidR="002904BC" w:rsidRPr="002904BC" w:rsidRDefault="002904BC" w:rsidP="008A5CC5">
            <w:pPr>
              <w:jc w:val="both"/>
              <w:rPr>
                <w:rFonts w:cstheme="minorHAnsi"/>
              </w:rPr>
            </w:pPr>
          </w:p>
        </w:tc>
        <w:tc>
          <w:tcPr>
            <w:tcW w:w="2268" w:type="dxa"/>
            <w:vMerge/>
          </w:tcPr>
          <w:p w14:paraId="77567EFD" w14:textId="77777777" w:rsidR="002904BC" w:rsidRPr="002904BC" w:rsidRDefault="002904BC" w:rsidP="008A5CC5">
            <w:pPr>
              <w:jc w:val="both"/>
              <w:rPr>
                <w:rFonts w:cstheme="minorHAnsi"/>
              </w:rPr>
            </w:pPr>
          </w:p>
        </w:tc>
        <w:tc>
          <w:tcPr>
            <w:tcW w:w="3685" w:type="dxa"/>
          </w:tcPr>
          <w:p w14:paraId="10EF4C38" w14:textId="63261BAA" w:rsidR="002904BC" w:rsidRPr="002904BC" w:rsidRDefault="002904BC" w:rsidP="008A5CC5">
            <w:pPr>
              <w:jc w:val="both"/>
              <w:rPr>
                <w:rFonts w:cstheme="minorHAnsi"/>
              </w:rPr>
            </w:pPr>
            <w:r>
              <w:rPr>
                <w:rFonts w:cstheme="minorHAnsi"/>
              </w:rPr>
              <w:t>Discussions with other teachers</w:t>
            </w:r>
          </w:p>
        </w:tc>
        <w:tc>
          <w:tcPr>
            <w:tcW w:w="1985" w:type="dxa"/>
          </w:tcPr>
          <w:p w14:paraId="4C52A9D1" w14:textId="1B5FC3FA" w:rsidR="002904BC" w:rsidRPr="002904BC" w:rsidRDefault="00DA634F" w:rsidP="008A5CC5">
            <w:pPr>
              <w:jc w:val="both"/>
              <w:rPr>
                <w:rFonts w:cstheme="minorHAnsi"/>
              </w:rPr>
            </w:pPr>
            <w:r>
              <w:rPr>
                <w:rFonts w:cstheme="minorHAnsi"/>
              </w:rPr>
              <w:t>18</w:t>
            </w:r>
          </w:p>
        </w:tc>
      </w:tr>
      <w:tr w:rsidR="002904BC" w14:paraId="15072F15" w14:textId="77777777" w:rsidTr="00DA634F">
        <w:trPr>
          <w:trHeight w:val="90"/>
        </w:trPr>
        <w:tc>
          <w:tcPr>
            <w:tcW w:w="1555" w:type="dxa"/>
            <w:vMerge/>
          </w:tcPr>
          <w:p w14:paraId="16515DB4" w14:textId="77777777" w:rsidR="002904BC" w:rsidRPr="002904BC" w:rsidRDefault="002904BC" w:rsidP="008A5CC5">
            <w:pPr>
              <w:jc w:val="both"/>
              <w:rPr>
                <w:rFonts w:cstheme="minorHAnsi"/>
              </w:rPr>
            </w:pPr>
          </w:p>
        </w:tc>
        <w:tc>
          <w:tcPr>
            <w:tcW w:w="2268" w:type="dxa"/>
            <w:vMerge/>
          </w:tcPr>
          <w:p w14:paraId="4A846D06" w14:textId="77777777" w:rsidR="002904BC" w:rsidRPr="002904BC" w:rsidRDefault="002904BC" w:rsidP="008A5CC5">
            <w:pPr>
              <w:jc w:val="both"/>
              <w:rPr>
                <w:rFonts w:cstheme="minorHAnsi"/>
              </w:rPr>
            </w:pPr>
          </w:p>
        </w:tc>
        <w:tc>
          <w:tcPr>
            <w:tcW w:w="3685" w:type="dxa"/>
          </w:tcPr>
          <w:p w14:paraId="77C1F3FD" w14:textId="008B6D6E" w:rsidR="002904BC" w:rsidRPr="002904BC" w:rsidRDefault="002904BC" w:rsidP="008A5CC5">
            <w:pPr>
              <w:jc w:val="both"/>
              <w:rPr>
                <w:rFonts w:cstheme="minorHAnsi"/>
              </w:rPr>
            </w:pPr>
            <w:r>
              <w:rPr>
                <w:rFonts w:cstheme="minorHAnsi"/>
              </w:rPr>
              <w:t>Social media engagement</w:t>
            </w:r>
          </w:p>
        </w:tc>
        <w:tc>
          <w:tcPr>
            <w:tcW w:w="1985" w:type="dxa"/>
          </w:tcPr>
          <w:p w14:paraId="55576694" w14:textId="00E4A44B" w:rsidR="002904BC" w:rsidRPr="002904BC" w:rsidRDefault="00DA634F" w:rsidP="008A5CC5">
            <w:pPr>
              <w:jc w:val="both"/>
              <w:rPr>
                <w:rFonts w:cstheme="minorHAnsi"/>
              </w:rPr>
            </w:pPr>
            <w:r>
              <w:rPr>
                <w:rFonts w:cstheme="minorHAnsi"/>
              </w:rPr>
              <w:t>10</w:t>
            </w:r>
          </w:p>
        </w:tc>
      </w:tr>
      <w:tr w:rsidR="002904BC" w14:paraId="5D05CD8E" w14:textId="77777777" w:rsidTr="00DA634F">
        <w:trPr>
          <w:trHeight w:val="90"/>
        </w:trPr>
        <w:tc>
          <w:tcPr>
            <w:tcW w:w="1555" w:type="dxa"/>
            <w:vMerge/>
          </w:tcPr>
          <w:p w14:paraId="7CD65ED7" w14:textId="77777777" w:rsidR="002904BC" w:rsidRPr="002904BC" w:rsidRDefault="002904BC" w:rsidP="008A5CC5">
            <w:pPr>
              <w:jc w:val="both"/>
              <w:rPr>
                <w:rFonts w:cstheme="minorHAnsi"/>
              </w:rPr>
            </w:pPr>
          </w:p>
        </w:tc>
        <w:tc>
          <w:tcPr>
            <w:tcW w:w="2268" w:type="dxa"/>
            <w:vMerge/>
          </w:tcPr>
          <w:p w14:paraId="4701594A" w14:textId="77777777" w:rsidR="002904BC" w:rsidRPr="002904BC" w:rsidRDefault="002904BC" w:rsidP="008A5CC5">
            <w:pPr>
              <w:jc w:val="both"/>
              <w:rPr>
                <w:rFonts w:cstheme="minorHAnsi"/>
              </w:rPr>
            </w:pPr>
          </w:p>
        </w:tc>
        <w:tc>
          <w:tcPr>
            <w:tcW w:w="3685" w:type="dxa"/>
          </w:tcPr>
          <w:p w14:paraId="19CB370A" w14:textId="728850E5" w:rsidR="002904BC" w:rsidRDefault="002904BC" w:rsidP="008A5CC5">
            <w:pPr>
              <w:jc w:val="both"/>
              <w:rPr>
                <w:rFonts w:cstheme="minorHAnsi"/>
              </w:rPr>
            </w:pPr>
            <w:r>
              <w:rPr>
                <w:rFonts w:cstheme="minorHAnsi"/>
              </w:rPr>
              <w:t xml:space="preserve">Other </w:t>
            </w:r>
            <w:r w:rsidR="00DA634F">
              <w:rPr>
                <w:rFonts w:cstheme="minorHAnsi"/>
              </w:rPr>
              <w:t xml:space="preserve"> (professional Doctorate)</w:t>
            </w:r>
          </w:p>
        </w:tc>
        <w:tc>
          <w:tcPr>
            <w:tcW w:w="1985" w:type="dxa"/>
          </w:tcPr>
          <w:p w14:paraId="240B353B" w14:textId="11747B76" w:rsidR="002904BC" w:rsidRDefault="00DA634F" w:rsidP="008A5CC5">
            <w:pPr>
              <w:jc w:val="both"/>
              <w:rPr>
                <w:rFonts w:cstheme="minorHAnsi"/>
              </w:rPr>
            </w:pPr>
            <w:r>
              <w:rPr>
                <w:rFonts w:cstheme="minorHAnsi"/>
              </w:rPr>
              <w:t>1</w:t>
            </w:r>
          </w:p>
        </w:tc>
      </w:tr>
      <w:tr w:rsidR="002904BC" w14:paraId="0F75B2AB" w14:textId="3F0764CE" w:rsidTr="00DA634F">
        <w:trPr>
          <w:trHeight w:val="29"/>
        </w:trPr>
        <w:tc>
          <w:tcPr>
            <w:tcW w:w="1555" w:type="dxa"/>
            <w:vMerge w:val="restart"/>
          </w:tcPr>
          <w:p w14:paraId="798A6869" w14:textId="0F1A3307" w:rsidR="002904BC" w:rsidRPr="002904BC" w:rsidRDefault="002904BC" w:rsidP="008A5CC5">
            <w:pPr>
              <w:jc w:val="both"/>
              <w:rPr>
                <w:rFonts w:cstheme="minorHAnsi"/>
              </w:rPr>
            </w:pPr>
            <w:r w:rsidRPr="002904BC">
              <w:rPr>
                <w:rFonts w:cstheme="minorHAnsi"/>
              </w:rPr>
              <w:t xml:space="preserve">School led PL </w:t>
            </w:r>
          </w:p>
        </w:tc>
        <w:tc>
          <w:tcPr>
            <w:tcW w:w="2268" w:type="dxa"/>
            <w:vMerge w:val="restart"/>
          </w:tcPr>
          <w:p w14:paraId="4DD48445" w14:textId="6B7FF4B1" w:rsidR="002904BC" w:rsidRPr="002904BC" w:rsidRDefault="002904BC" w:rsidP="008A5CC5">
            <w:pPr>
              <w:jc w:val="both"/>
              <w:rPr>
                <w:rFonts w:cstheme="minorHAnsi"/>
              </w:rPr>
            </w:pPr>
            <w:r w:rsidRPr="002904BC">
              <w:rPr>
                <w:rFonts w:cstheme="minorHAnsi"/>
              </w:rPr>
              <w:t>23 (100%)</w:t>
            </w:r>
          </w:p>
        </w:tc>
        <w:tc>
          <w:tcPr>
            <w:tcW w:w="3685" w:type="dxa"/>
          </w:tcPr>
          <w:p w14:paraId="6CEE52BF" w14:textId="68BA60AF" w:rsidR="002904BC" w:rsidRPr="002904BC" w:rsidRDefault="002904BC" w:rsidP="008A5CC5">
            <w:pPr>
              <w:jc w:val="both"/>
              <w:rPr>
                <w:rFonts w:cstheme="minorHAnsi"/>
              </w:rPr>
            </w:pPr>
            <w:r>
              <w:rPr>
                <w:rFonts w:cstheme="minorHAnsi"/>
              </w:rPr>
              <w:t>INSET led by school staff</w:t>
            </w:r>
          </w:p>
        </w:tc>
        <w:tc>
          <w:tcPr>
            <w:tcW w:w="1985" w:type="dxa"/>
          </w:tcPr>
          <w:p w14:paraId="19B2FC6B" w14:textId="082D0C6F" w:rsidR="002904BC" w:rsidRPr="002904BC" w:rsidRDefault="002904BC" w:rsidP="008A5CC5">
            <w:pPr>
              <w:jc w:val="both"/>
              <w:rPr>
                <w:rFonts w:cstheme="minorHAnsi"/>
              </w:rPr>
            </w:pPr>
            <w:r>
              <w:rPr>
                <w:rFonts w:cstheme="minorHAnsi"/>
              </w:rPr>
              <w:t>20</w:t>
            </w:r>
          </w:p>
        </w:tc>
      </w:tr>
      <w:tr w:rsidR="002904BC" w14:paraId="6AB9C825" w14:textId="77777777" w:rsidTr="00DA634F">
        <w:trPr>
          <w:trHeight w:val="24"/>
        </w:trPr>
        <w:tc>
          <w:tcPr>
            <w:tcW w:w="1555" w:type="dxa"/>
            <w:vMerge/>
          </w:tcPr>
          <w:p w14:paraId="55BF54DF" w14:textId="77777777" w:rsidR="002904BC" w:rsidRPr="002904BC" w:rsidRDefault="002904BC" w:rsidP="008A5CC5">
            <w:pPr>
              <w:jc w:val="both"/>
              <w:rPr>
                <w:rFonts w:cstheme="minorHAnsi"/>
              </w:rPr>
            </w:pPr>
          </w:p>
        </w:tc>
        <w:tc>
          <w:tcPr>
            <w:tcW w:w="2268" w:type="dxa"/>
            <w:vMerge/>
          </w:tcPr>
          <w:p w14:paraId="2827C8C7" w14:textId="77777777" w:rsidR="002904BC" w:rsidRPr="002904BC" w:rsidRDefault="002904BC" w:rsidP="008A5CC5">
            <w:pPr>
              <w:jc w:val="both"/>
              <w:rPr>
                <w:rFonts w:cstheme="minorHAnsi"/>
              </w:rPr>
            </w:pPr>
          </w:p>
        </w:tc>
        <w:tc>
          <w:tcPr>
            <w:tcW w:w="3685" w:type="dxa"/>
          </w:tcPr>
          <w:p w14:paraId="05753BD4" w14:textId="462DAE2D" w:rsidR="002904BC" w:rsidRPr="002904BC" w:rsidRDefault="002904BC" w:rsidP="008A5CC5">
            <w:pPr>
              <w:jc w:val="both"/>
              <w:rPr>
                <w:rFonts w:cstheme="minorHAnsi"/>
              </w:rPr>
            </w:pPr>
            <w:r>
              <w:rPr>
                <w:rFonts w:cstheme="minorHAnsi"/>
              </w:rPr>
              <w:t>INSET led by external private organisations</w:t>
            </w:r>
            <w:r w:rsidR="00DA634F">
              <w:rPr>
                <w:rFonts w:cstheme="minorHAnsi"/>
              </w:rPr>
              <w:t xml:space="preserve"> or </w:t>
            </w:r>
            <w:r>
              <w:rPr>
                <w:rFonts w:cstheme="minorHAnsi"/>
              </w:rPr>
              <w:t>consultants</w:t>
            </w:r>
          </w:p>
        </w:tc>
        <w:tc>
          <w:tcPr>
            <w:tcW w:w="1985" w:type="dxa"/>
          </w:tcPr>
          <w:p w14:paraId="194E4500" w14:textId="1F1E6F42" w:rsidR="002904BC" w:rsidRPr="002904BC" w:rsidRDefault="002904BC" w:rsidP="008A5CC5">
            <w:pPr>
              <w:jc w:val="both"/>
              <w:rPr>
                <w:rFonts w:cstheme="minorHAnsi"/>
              </w:rPr>
            </w:pPr>
            <w:r>
              <w:rPr>
                <w:rFonts w:cstheme="minorHAnsi"/>
              </w:rPr>
              <w:t>10</w:t>
            </w:r>
          </w:p>
        </w:tc>
      </w:tr>
      <w:tr w:rsidR="002904BC" w14:paraId="0119C520" w14:textId="77777777" w:rsidTr="00DA634F">
        <w:trPr>
          <w:trHeight w:val="24"/>
        </w:trPr>
        <w:tc>
          <w:tcPr>
            <w:tcW w:w="1555" w:type="dxa"/>
            <w:vMerge/>
          </w:tcPr>
          <w:p w14:paraId="744027A7" w14:textId="77777777" w:rsidR="002904BC" w:rsidRPr="002904BC" w:rsidRDefault="002904BC" w:rsidP="008A5CC5">
            <w:pPr>
              <w:jc w:val="both"/>
              <w:rPr>
                <w:rFonts w:cstheme="minorHAnsi"/>
              </w:rPr>
            </w:pPr>
          </w:p>
        </w:tc>
        <w:tc>
          <w:tcPr>
            <w:tcW w:w="2268" w:type="dxa"/>
            <w:vMerge/>
          </w:tcPr>
          <w:p w14:paraId="5C3E274E" w14:textId="77777777" w:rsidR="002904BC" w:rsidRPr="002904BC" w:rsidRDefault="002904BC" w:rsidP="008A5CC5">
            <w:pPr>
              <w:jc w:val="both"/>
              <w:rPr>
                <w:rFonts w:cstheme="minorHAnsi"/>
              </w:rPr>
            </w:pPr>
          </w:p>
        </w:tc>
        <w:tc>
          <w:tcPr>
            <w:tcW w:w="3685" w:type="dxa"/>
          </w:tcPr>
          <w:p w14:paraId="1D2199EF" w14:textId="1629A2C9" w:rsidR="002904BC" w:rsidRPr="002904BC" w:rsidRDefault="002904BC" w:rsidP="008A5CC5">
            <w:pPr>
              <w:jc w:val="both"/>
              <w:rPr>
                <w:rFonts w:cstheme="minorHAnsi"/>
              </w:rPr>
            </w:pPr>
            <w:r>
              <w:rPr>
                <w:rFonts w:cstheme="minorHAnsi"/>
              </w:rPr>
              <w:t>Teacher collaborative enquiry projects</w:t>
            </w:r>
          </w:p>
        </w:tc>
        <w:tc>
          <w:tcPr>
            <w:tcW w:w="1985" w:type="dxa"/>
          </w:tcPr>
          <w:p w14:paraId="5776BC11" w14:textId="662EE63B" w:rsidR="002904BC" w:rsidRPr="002904BC" w:rsidRDefault="002904BC" w:rsidP="008A5CC5">
            <w:pPr>
              <w:jc w:val="both"/>
              <w:rPr>
                <w:rFonts w:cstheme="minorHAnsi"/>
              </w:rPr>
            </w:pPr>
            <w:r>
              <w:rPr>
                <w:rFonts w:cstheme="minorHAnsi"/>
              </w:rPr>
              <w:t>6</w:t>
            </w:r>
          </w:p>
        </w:tc>
      </w:tr>
      <w:tr w:rsidR="002904BC" w14:paraId="1B5C9346" w14:textId="77777777" w:rsidTr="00DA634F">
        <w:trPr>
          <w:trHeight w:val="24"/>
        </w:trPr>
        <w:tc>
          <w:tcPr>
            <w:tcW w:w="1555" w:type="dxa"/>
            <w:vMerge/>
          </w:tcPr>
          <w:p w14:paraId="54AC1425" w14:textId="77777777" w:rsidR="002904BC" w:rsidRPr="002904BC" w:rsidRDefault="002904BC" w:rsidP="008A5CC5">
            <w:pPr>
              <w:jc w:val="both"/>
              <w:rPr>
                <w:rFonts w:cstheme="minorHAnsi"/>
              </w:rPr>
            </w:pPr>
          </w:p>
        </w:tc>
        <w:tc>
          <w:tcPr>
            <w:tcW w:w="2268" w:type="dxa"/>
            <w:vMerge/>
          </w:tcPr>
          <w:p w14:paraId="688DC022" w14:textId="77777777" w:rsidR="002904BC" w:rsidRPr="002904BC" w:rsidRDefault="002904BC" w:rsidP="008A5CC5">
            <w:pPr>
              <w:jc w:val="both"/>
              <w:rPr>
                <w:rFonts w:cstheme="minorHAnsi"/>
              </w:rPr>
            </w:pPr>
          </w:p>
        </w:tc>
        <w:tc>
          <w:tcPr>
            <w:tcW w:w="3685" w:type="dxa"/>
          </w:tcPr>
          <w:p w14:paraId="0BC2B191" w14:textId="49667FEC" w:rsidR="002904BC" w:rsidRPr="002904BC" w:rsidRDefault="002904BC" w:rsidP="008A5CC5">
            <w:pPr>
              <w:jc w:val="both"/>
              <w:rPr>
                <w:rFonts w:cstheme="minorHAnsi"/>
              </w:rPr>
            </w:pPr>
            <w:r>
              <w:rPr>
                <w:rFonts w:cstheme="minorHAnsi"/>
              </w:rPr>
              <w:t>PLC’s</w:t>
            </w:r>
          </w:p>
        </w:tc>
        <w:tc>
          <w:tcPr>
            <w:tcW w:w="1985" w:type="dxa"/>
          </w:tcPr>
          <w:p w14:paraId="2110C4DA" w14:textId="7778890E" w:rsidR="002904BC" w:rsidRPr="002904BC" w:rsidRDefault="002904BC" w:rsidP="008A5CC5">
            <w:pPr>
              <w:jc w:val="both"/>
              <w:rPr>
                <w:rFonts w:cstheme="minorHAnsi"/>
              </w:rPr>
            </w:pPr>
            <w:r>
              <w:rPr>
                <w:rFonts w:cstheme="minorHAnsi"/>
              </w:rPr>
              <w:t>12</w:t>
            </w:r>
          </w:p>
        </w:tc>
      </w:tr>
      <w:tr w:rsidR="002904BC" w14:paraId="3671FC13" w14:textId="77777777" w:rsidTr="00DA634F">
        <w:trPr>
          <w:trHeight w:val="24"/>
        </w:trPr>
        <w:tc>
          <w:tcPr>
            <w:tcW w:w="1555" w:type="dxa"/>
            <w:vMerge/>
          </w:tcPr>
          <w:p w14:paraId="498AA11F" w14:textId="77777777" w:rsidR="002904BC" w:rsidRPr="002904BC" w:rsidRDefault="002904BC" w:rsidP="008A5CC5">
            <w:pPr>
              <w:jc w:val="both"/>
              <w:rPr>
                <w:rFonts w:cstheme="minorHAnsi"/>
              </w:rPr>
            </w:pPr>
          </w:p>
        </w:tc>
        <w:tc>
          <w:tcPr>
            <w:tcW w:w="2268" w:type="dxa"/>
            <w:vMerge/>
          </w:tcPr>
          <w:p w14:paraId="6654010B" w14:textId="77777777" w:rsidR="002904BC" w:rsidRPr="002904BC" w:rsidRDefault="002904BC" w:rsidP="008A5CC5">
            <w:pPr>
              <w:jc w:val="both"/>
              <w:rPr>
                <w:rFonts w:cstheme="minorHAnsi"/>
              </w:rPr>
            </w:pPr>
          </w:p>
        </w:tc>
        <w:tc>
          <w:tcPr>
            <w:tcW w:w="3685" w:type="dxa"/>
          </w:tcPr>
          <w:p w14:paraId="1A794F2A" w14:textId="33F81394" w:rsidR="002904BC" w:rsidRPr="002904BC" w:rsidRDefault="002904BC" w:rsidP="008A5CC5">
            <w:pPr>
              <w:jc w:val="both"/>
              <w:rPr>
                <w:rFonts w:cstheme="minorHAnsi"/>
              </w:rPr>
            </w:pPr>
            <w:r>
              <w:rPr>
                <w:rFonts w:cstheme="minorHAnsi"/>
              </w:rPr>
              <w:t>Lesson study/team teaching</w:t>
            </w:r>
          </w:p>
        </w:tc>
        <w:tc>
          <w:tcPr>
            <w:tcW w:w="1985" w:type="dxa"/>
          </w:tcPr>
          <w:p w14:paraId="3FB8FA95" w14:textId="1642BFC3" w:rsidR="002904BC" w:rsidRPr="002904BC" w:rsidRDefault="002904BC" w:rsidP="008A5CC5">
            <w:pPr>
              <w:jc w:val="both"/>
              <w:rPr>
                <w:rFonts w:cstheme="minorHAnsi"/>
              </w:rPr>
            </w:pPr>
            <w:r>
              <w:rPr>
                <w:rFonts w:cstheme="minorHAnsi"/>
              </w:rPr>
              <w:t>4</w:t>
            </w:r>
          </w:p>
        </w:tc>
      </w:tr>
      <w:tr w:rsidR="002904BC" w14:paraId="53B750FA" w14:textId="77777777" w:rsidTr="00DA634F">
        <w:trPr>
          <w:trHeight w:val="24"/>
        </w:trPr>
        <w:tc>
          <w:tcPr>
            <w:tcW w:w="1555" w:type="dxa"/>
            <w:vMerge/>
          </w:tcPr>
          <w:p w14:paraId="4DE0257D" w14:textId="77777777" w:rsidR="002904BC" w:rsidRPr="002904BC" w:rsidRDefault="002904BC" w:rsidP="008A5CC5">
            <w:pPr>
              <w:jc w:val="both"/>
              <w:rPr>
                <w:rFonts w:cstheme="minorHAnsi"/>
              </w:rPr>
            </w:pPr>
          </w:p>
        </w:tc>
        <w:tc>
          <w:tcPr>
            <w:tcW w:w="2268" w:type="dxa"/>
            <w:vMerge/>
          </w:tcPr>
          <w:p w14:paraId="2B0B1C48" w14:textId="77777777" w:rsidR="002904BC" w:rsidRPr="002904BC" w:rsidRDefault="002904BC" w:rsidP="008A5CC5">
            <w:pPr>
              <w:jc w:val="both"/>
              <w:rPr>
                <w:rFonts w:cstheme="minorHAnsi"/>
              </w:rPr>
            </w:pPr>
          </w:p>
        </w:tc>
        <w:tc>
          <w:tcPr>
            <w:tcW w:w="3685" w:type="dxa"/>
          </w:tcPr>
          <w:p w14:paraId="37D6988A" w14:textId="28BE4DD4" w:rsidR="002904BC" w:rsidRPr="002904BC" w:rsidRDefault="002904BC" w:rsidP="008A5CC5">
            <w:pPr>
              <w:jc w:val="both"/>
              <w:rPr>
                <w:rFonts w:cstheme="minorHAnsi"/>
              </w:rPr>
            </w:pPr>
            <w:r>
              <w:rPr>
                <w:rFonts w:cstheme="minorHAnsi"/>
              </w:rPr>
              <w:t>Working parties</w:t>
            </w:r>
          </w:p>
        </w:tc>
        <w:tc>
          <w:tcPr>
            <w:tcW w:w="1985" w:type="dxa"/>
          </w:tcPr>
          <w:p w14:paraId="6448B0E6" w14:textId="26C95EB3" w:rsidR="002904BC" w:rsidRPr="002904BC" w:rsidRDefault="002904BC" w:rsidP="008A5CC5">
            <w:pPr>
              <w:jc w:val="both"/>
              <w:rPr>
                <w:rFonts w:cstheme="minorHAnsi"/>
              </w:rPr>
            </w:pPr>
            <w:r>
              <w:rPr>
                <w:rFonts w:cstheme="minorHAnsi"/>
              </w:rPr>
              <w:t>13</w:t>
            </w:r>
          </w:p>
        </w:tc>
      </w:tr>
      <w:tr w:rsidR="002904BC" w14:paraId="6E0F51E7" w14:textId="77777777" w:rsidTr="00DA634F">
        <w:trPr>
          <w:trHeight w:val="24"/>
        </w:trPr>
        <w:tc>
          <w:tcPr>
            <w:tcW w:w="1555" w:type="dxa"/>
            <w:vMerge/>
          </w:tcPr>
          <w:p w14:paraId="3AAA7677" w14:textId="77777777" w:rsidR="002904BC" w:rsidRPr="002904BC" w:rsidRDefault="002904BC" w:rsidP="008A5CC5">
            <w:pPr>
              <w:jc w:val="both"/>
              <w:rPr>
                <w:rFonts w:cstheme="minorHAnsi"/>
              </w:rPr>
            </w:pPr>
          </w:p>
        </w:tc>
        <w:tc>
          <w:tcPr>
            <w:tcW w:w="2268" w:type="dxa"/>
            <w:vMerge/>
          </w:tcPr>
          <w:p w14:paraId="388F7F6F" w14:textId="77777777" w:rsidR="002904BC" w:rsidRPr="002904BC" w:rsidRDefault="002904BC" w:rsidP="008A5CC5">
            <w:pPr>
              <w:jc w:val="both"/>
              <w:rPr>
                <w:rFonts w:cstheme="minorHAnsi"/>
              </w:rPr>
            </w:pPr>
          </w:p>
        </w:tc>
        <w:tc>
          <w:tcPr>
            <w:tcW w:w="3685" w:type="dxa"/>
          </w:tcPr>
          <w:p w14:paraId="58E04AD5" w14:textId="035C3444" w:rsidR="002904BC" w:rsidRPr="002904BC" w:rsidRDefault="002904BC" w:rsidP="008A5CC5">
            <w:pPr>
              <w:jc w:val="both"/>
              <w:rPr>
                <w:rFonts w:cstheme="minorHAnsi"/>
              </w:rPr>
            </w:pPr>
            <w:r>
              <w:rPr>
                <w:rFonts w:cstheme="minorHAnsi"/>
              </w:rPr>
              <w:t xml:space="preserve">Other </w:t>
            </w:r>
          </w:p>
        </w:tc>
        <w:tc>
          <w:tcPr>
            <w:tcW w:w="1985" w:type="dxa"/>
          </w:tcPr>
          <w:p w14:paraId="741894BF" w14:textId="034DC9C2" w:rsidR="002904BC" w:rsidRPr="002904BC" w:rsidRDefault="002904BC" w:rsidP="008A5CC5">
            <w:pPr>
              <w:jc w:val="both"/>
              <w:rPr>
                <w:rFonts w:cstheme="minorHAnsi"/>
              </w:rPr>
            </w:pPr>
            <w:r>
              <w:rPr>
                <w:rFonts w:cstheme="minorHAnsi"/>
              </w:rPr>
              <w:t>2</w:t>
            </w:r>
          </w:p>
        </w:tc>
      </w:tr>
      <w:tr w:rsidR="002904BC" w14:paraId="1D549B9F" w14:textId="028A5696" w:rsidTr="00DA634F">
        <w:trPr>
          <w:trHeight w:val="72"/>
        </w:trPr>
        <w:tc>
          <w:tcPr>
            <w:tcW w:w="1555" w:type="dxa"/>
            <w:vMerge w:val="restart"/>
          </w:tcPr>
          <w:p w14:paraId="3153FA4D" w14:textId="14A52DE7" w:rsidR="002904BC" w:rsidRPr="002904BC" w:rsidRDefault="002904BC" w:rsidP="008A5CC5">
            <w:pPr>
              <w:jc w:val="both"/>
              <w:rPr>
                <w:rFonts w:cstheme="minorHAnsi"/>
              </w:rPr>
            </w:pPr>
            <w:r w:rsidRPr="002904BC">
              <w:rPr>
                <w:rFonts w:cstheme="minorHAnsi"/>
              </w:rPr>
              <w:t xml:space="preserve">Regional Consortia/LA led  PL </w:t>
            </w:r>
          </w:p>
        </w:tc>
        <w:tc>
          <w:tcPr>
            <w:tcW w:w="2268" w:type="dxa"/>
            <w:vMerge w:val="restart"/>
          </w:tcPr>
          <w:p w14:paraId="7DB62DF1" w14:textId="42AC9D73" w:rsidR="002904BC" w:rsidRPr="002904BC" w:rsidRDefault="002904BC" w:rsidP="008A5CC5">
            <w:pPr>
              <w:jc w:val="both"/>
              <w:rPr>
                <w:rFonts w:cstheme="minorHAnsi"/>
              </w:rPr>
            </w:pPr>
            <w:r w:rsidRPr="002904BC">
              <w:rPr>
                <w:rFonts w:cstheme="minorHAnsi"/>
              </w:rPr>
              <w:t>16</w:t>
            </w:r>
            <w:r w:rsidR="00A76B17">
              <w:rPr>
                <w:rFonts w:cstheme="minorHAnsi"/>
              </w:rPr>
              <w:t xml:space="preserve"> (70%)</w:t>
            </w:r>
          </w:p>
        </w:tc>
        <w:tc>
          <w:tcPr>
            <w:tcW w:w="3685" w:type="dxa"/>
          </w:tcPr>
          <w:p w14:paraId="6EF89F96" w14:textId="20CC2A71" w:rsidR="002904BC" w:rsidRPr="002904BC" w:rsidRDefault="002904BC" w:rsidP="008A5CC5">
            <w:pPr>
              <w:jc w:val="both"/>
              <w:rPr>
                <w:rFonts w:cstheme="minorHAnsi"/>
              </w:rPr>
            </w:pPr>
            <w:r>
              <w:rPr>
                <w:rFonts w:cstheme="minorHAnsi"/>
              </w:rPr>
              <w:t>Consortia/LA led INSET days/twilights</w:t>
            </w:r>
          </w:p>
        </w:tc>
        <w:tc>
          <w:tcPr>
            <w:tcW w:w="1985" w:type="dxa"/>
          </w:tcPr>
          <w:p w14:paraId="1028776F" w14:textId="2C53FFD0" w:rsidR="002904BC" w:rsidRPr="002904BC" w:rsidRDefault="002904BC" w:rsidP="008A5CC5">
            <w:pPr>
              <w:jc w:val="both"/>
              <w:rPr>
                <w:rFonts w:cstheme="minorHAnsi"/>
              </w:rPr>
            </w:pPr>
            <w:r>
              <w:rPr>
                <w:rFonts w:cstheme="minorHAnsi"/>
              </w:rPr>
              <w:t>10</w:t>
            </w:r>
          </w:p>
        </w:tc>
      </w:tr>
      <w:tr w:rsidR="002904BC" w14:paraId="00541ACF" w14:textId="77777777" w:rsidTr="00DA634F">
        <w:trPr>
          <w:trHeight w:val="72"/>
        </w:trPr>
        <w:tc>
          <w:tcPr>
            <w:tcW w:w="1555" w:type="dxa"/>
            <w:vMerge/>
          </w:tcPr>
          <w:p w14:paraId="5FE48378" w14:textId="77777777" w:rsidR="002904BC" w:rsidRPr="002904BC" w:rsidRDefault="002904BC" w:rsidP="008A5CC5">
            <w:pPr>
              <w:jc w:val="both"/>
              <w:rPr>
                <w:rFonts w:cstheme="minorHAnsi"/>
              </w:rPr>
            </w:pPr>
          </w:p>
        </w:tc>
        <w:tc>
          <w:tcPr>
            <w:tcW w:w="2268" w:type="dxa"/>
            <w:vMerge/>
          </w:tcPr>
          <w:p w14:paraId="5C9483E2" w14:textId="77777777" w:rsidR="002904BC" w:rsidRPr="002904BC" w:rsidRDefault="002904BC" w:rsidP="008A5CC5">
            <w:pPr>
              <w:jc w:val="both"/>
              <w:rPr>
                <w:rFonts w:cstheme="minorHAnsi"/>
              </w:rPr>
            </w:pPr>
          </w:p>
        </w:tc>
        <w:tc>
          <w:tcPr>
            <w:tcW w:w="3685" w:type="dxa"/>
          </w:tcPr>
          <w:p w14:paraId="038D89CE" w14:textId="31EFFF55" w:rsidR="002904BC" w:rsidRPr="002904BC" w:rsidRDefault="002904BC" w:rsidP="008A5CC5">
            <w:pPr>
              <w:jc w:val="both"/>
              <w:rPr>
                <w:rFonts w:cstheme="minorHAnsi"/>
              </w:rPr>
            </w:pPr>
            <w:r>
              <w:rPr>
                <w:rFonts w:cstheme="minorHAnsi"/>
              </w:rPr>
              <w:t>PL programmes</w:t>
            </w:r>
          </w:p>
        </w:tc>
        <w:tc>
          <w:tcPr>
            <w:tcW w:w="1985" w:type="dxa"/>
          </w:tcPr>
          <w:p w14:paraId="48946784" w14:textId="728B157E" w:rsidR="002904BC" w:rsidRPr="002904BC" w:rsidRDefault="002904BC" w:rsidP="008A5CC5">
            <w:pPr>
              <w:jc w:val="both"/>
              <w:rPr>
                <w:rFonts w:cstheme="minorHAnsi"/>
              </w:rPr>
            </w:pPr>
            <w:r>
              <w:rPr>
                <w:rFonts w:cstheme="minorHAnsi"/>
              </w:rPr>
              <w:t>8</w:t>
            </w:r>
          </w:p>
        </w:tc>
      </w:tr>
      <w:tr w:rsidR="002904BC" w14:paraId="169DA69A" w14:textId="77777777" w:rsidTr="00DA634F">
        <w:trPr>
          <w:trHeight w:val="72"/>
        </w:trPr>
        <w:tc>
          <w:tcPr>
            <w:tcW w:w="1555" w:type="dxa"/>
            <w:vMerge/>
          </w:tcPr>
          <w:p w14:paraId="3595213C" w14:textId="77777777" w:rsidR="002904BC" w:rsidRPr="002904BC" w:rsidRDefault="002904BC" w:rsidP="008A5CC5">
            <w:pPr>
              <w:jc w:val="both"/>
              <w:rPr>
                <w:rFonts w:cstheme="minorHAnsi"/>
              </w:rPr>
            </w:pPr>
          </w:p>
        </w:tc>
        <w:tc>
          <w:tcPr>
            <w:tcW w:w="2268" w:type="dxa"/>
            <w:vMerge/>
          </w:tcPr>
          <w:p w14:paraId="3528D0D1" w14:textId="77777777" w:rsidR="002904BC" w:rsidRPr="002904BC" w:rsidRDefault="002904BC" w:rsidP="008A5CC5">
            <w:pPr>
              <w:jc w:val="both"/>
              <w:rPr>
                <w:rFonts w:cstheme="minorHAnsi"/>
              </w:rPr>
            </w:pPr>
          </w:p>
        </w:tc>
        <w:tc>
          <w:tcPr>
            <w:tcW w:w="3685" w:type="dxa"/>
          </w:tcPr>
          <w:p w14:paraId="3B3A4B8E" w14:textId="51EF5A7A" w:rsidR="002904BC" w:rsidRPr="002904BC" w:rsidRDefault="002904BC" w:rsidP="008A5CC5">
            <w:pPr>
              <w:jc w:val="both"/>
              <w:rPr>
                <w:rFonts w:cstheme="minorHAnsi"/>
              </w:rPr>
            </w:pPr>
            <w:r>
              <w:rPr>
                <w:rFonts w:cstheme="minorHAnsi"/>
              </w:rPr>
              <w:t>Network meetings</w:t>
            </w:r>
          </w:p>
        </w:tc>
        <w:tc>
          <w:tcPr>
            <w:tcW w:w="1985" w:type="dxa"/>
          </w:tcPr>
          <w:p w14:paraId="79DFB7DE" w14:textId="10AA5BA9" w:rsidR="002904BC" w:rsidRPr="002904BC" w:rsidRDefault="002904BC" w:rsidP="008A5CC5">
            <w:pPr>
              <w:jc w:val="both"/>
              <w:rPr>
                <w:rFonts w:cstheme="minorHAnsi"/>
              </w:rPr>
            </w:pPr>
            <w:r>
              <w:rPr>
                <w:rFonts w:cstheme="minorHAnsi"/>
              </w:rPr>
              <w:t>16</w:t>
            </w:r>
          </w:p>
        </w:tc>
      </w:tr>
      <w:tr w:rsidR="002904BC" w14:paraId="346BC2BB" w14:textId="77777777" w:rsidTr="00DA634F">
        <w:trPr>
          <w:trHeight w:val="72"/>
        </w:trPr>
        <w:tc>
          <w:tcPr>
            <w:tcW w:w="1555" w:type="dxa"/>
            <w:vMerge/>
          </w:tcPr>
          <w:p w14:paraId="390D2B9A" w14:textId="77777777" w:rsidR="002904BC" w:rsidRPr="002904BC" w:rsidRDefault="002904BC" w:rsidP="008A5CC5">
            <w:pPr>
              <w:jc w:val="both"/>
              <w:rPr>
                <w:rFonts w:cstheme="minorHAnsi"/>
              </w:rPr>
            </w:pPr>
          </w:p>
        </w:tc>
        <w:tc>
          <w:tcPr>
            <w:tcW w:w="2268" w:type="dxa"/>
            <w:vMerge/>
          </w:tcPr>
          <w:p w14:paraId="494E7BA0" w14:textId="77777777" w:rsidR="002904BC" w:rsidRPr="002904BC" w:rsidRDefault="002904BC" w:rsidP="008A5CC5">
            <w:pPr>
              <w:jc w:val="both"/>
              <w:rPr>
                <w:rFonts w:cstheme="minorHAnsi"/>
              </w:rPr>
            </w:pPr>
          </w:p>
        </w:tc>
        <w:tc>
          <w:tcPr>
            <w:tcW w:w="3685" w:type="dxa"/>
          </w:tcPr>
          <w:p w14:paraId="2CFDA484" w14:textId="5F110323" w:rsidR="002904BC" w:rsidRPr="002904BC" w:rsidRDefault="002904BC" w:rsidP="008A5CC5">
            <w:pPr>
              <w:jc w:val="both"/>
              <w:rPr>
                <w:rFonts w:cstheme="minorHAnsi"/>
              </w:rPr>
            </w:pPr>
            <w:r>
              <w:rPr>
                <w:rFonts w:cstheme="minorHAnsi"/>
              </w:rPr>
              <w:t>Brokered support</w:t>
            </w:r>
          </w:p>
        </w:tc>
        <w:tc>
          <w:tcPr>
            <w:tcW w:w="1985" w:type="dxa"/>
          </w:tcPr>
          <w:p w14:paraId="62E98A4E" w14:textId="5CC47E54" w:rsidR="002904BC" w:rsidRPr="002904BC" w:rsidRDefault="002904BC" w:rsidP="008A5CC5">
            <w:pPr>
              <w:jc w:val="both"/>
              <w:rPr>
                <w:rFonts w:cstheme="minorHAnsi"/>
              </w:rPr>
            </w:pPr>
            <w:r>
              <w:rPr>
                <w:rFonts w:cstheme="minorHAnsi"/>
              </w:rPr>
              <w:t>3</w:t>
            </w:r>
          </w:p>
        </w:tc>
      </w:tr>
      <w:tr w:rsidR="002904BC" w14:paraId="5DBF3494" w14:textId="77777777" w:rsidTr="00DA634F">
        <w:trPr>
          <w:trHeight w:val="72"/>
        </w:trPr>
        <w:tc>
          <w:tcPr>
            <w:tcW w:w="1555" w:type="dxa"/>
            <w:vMerge/>
          </w:tcPr>
          <w:p w14:paraId="251A4518" w14:textId="77777777" w:rsidR="002904BC" w:rsidRPr="002904BC" w:rsidRDefault="002904BC" w:rsidP="008A5CC5">
            <w:pPr>
              <w:jc w:val="both"/>
              <w:rPr>
                <w:rFonts w:cstheme="minorHAnsi"/>
              </w:rPr>
            </w:pPr>
          </w:p>
        </w:tc>
        <w:tc>
          <w:tcPr>
            <w:tcW w:w="2268" w:type="dxa"/>
            <w:vMerge/>
          </w:tcPr>
          <w:p w14:paraId="7BD9764B" w14:textId="77777777" w:rsidR="002904BC" w:rsidRPr="002904BC" w:rsidRDefault="002904BC" w:rsidP="008A5CC5">
            <w:pPr>
              <w:jc w:val="both"/>
              <w:rPr>
                <w:rFonts w:cstheme="minorHAnsi"/>
              </w:rPr>
            </w:pPr>
          </w:p>
        </w:tc>
        <w:tc>
          <w:tcPr>
            <w:tcW w:w="3685" w:type="dxa"/>
          </w:tcPr>
          <w:p w14:paraId="7B6E28E9" w14:textId="2F770BCB" w:rsidR="002904BC" w:rsidRPr="002904BC" w:rsidRDefault="002904BC" w:rsidP="008A5CC5">
            <w:pPr>
              <w:jc w:val="both"/>
              <w:rPr>
                <w:rFonts w:cstheme="minorHAnsi"/>
              </w:rPr>
            </w:pPr>
            <w:r>
              <w:rPr>
                <w:rFonts w:cstheme="minorHAnsi"/>
              </w:rPr>
              <w:t>Asynchronous materials and resources</w:t>
            </w:r>
          </w:p>
        </w:tc>
        <w:tc>
          <w:tcPr>
            <w:tcW w:w="1985" w:type="dxa"/>
          </w:tcPr>
          <w:p w14:paraId="609C0D83" w14:textId="264D2FD0" w:rsidR="002904BC" w:rsidRPr="002904BC" w:rsidRDefault="002904BC" w:rsidP="008A5CC5">
            <w:pPr>
              <w:jc w:val="both"/>
              <w:rPr>
                <w:rFonts w:cstheme="minorHAnsi"/>
              </w:rPr>
            </w:pPr>
            <w:r>
              <w:rPr>
                <w:rFonts w:cstheme="minorHAnsi"/>
              </w:rPr>
              <w:t>10</w:t>
            </w:r>
          </w:p>
        </w:tc>
      </w:tr>
      <w:tr w:rsidR="002904BC" w14:paraId="36B26B65" w14:textId="7B7AA6FA" w:rsidTr="00DA634F">
        <w:trPr>
          <w:trHeight w:val="180"/>
        </w:trPr>
        <w:tc>
          <w:tcPr>
            <w:tcW w:w="1555" w:type="dxa"/>
            <w:vMerge w:val="restart"/>
          </w:tcPr>
          <w:p w14:paraId="51E2EA3E" w14:textId="152F1948" w:rsidR="002904BC" w:rsidRPr="002904BC" w:rsidRDefault="002904BC" w:rsidP="008A5CC5">
            <w:pPr>
              <w:jc w:val="both"/>
              <w:rPr>
                <w:rFonts w:cstheme="minorHAnsi"/>
              </w:rPr>
            </w:pPr>
            <w:r w:rsidRPr="002904BC">
              <w:rPr>
                <w:rFonts w:cstheme="minorHAnsi"/>
              </w:rPr>
              <w:t>Welsh Government led PL</w:t>
            </w:r>
          </w:p>
        </w:tc>
        <w:tc>
          <w:tcPr>
            <w:tcW w:w="2268" w:type="dxa"/>
            <w:vMerge w:val="restart"/>
          </w:tcPr>
          <w:p w14:paraId="0941314E" w14:textId="038451B9" w:rsidR="002904BC" w:rsidRPr="002904BC" w:rsidRDefault="002904BC" w:rsidP="008A5CC5">
            <w:pPr>
              <w:jc w:val="both"/>
              <w:rPr>
                <w:rFonts w:cstheme="minorHAnsi"/>
              </w:rPr>
            </w:pPr>
            <w:r w:rsidRPr="002904BC">
              <w:rPr>
                <w:rFonts w:cstheme="minorHAnsi"/>
              </w:rPr>
              <w:t>5</w:t>
            </w:r>
            <w:r w:rsidR="00A76B17">
              <w:rPr>
                <w:rFonts w:cstheme="minorHAnsi"/>
              </w:rPr>
              <w:t xml:space="preserve"> (22%)</w:t>
            </w:r>
          </w:p>
        </w:tc>
        <w:tc>
          <w:tcPr>
            <w:tcW w:w="3685" w:type="dxa"/>
          </w:tcPr>
          <w:p w14:paraId="6E5B6CE1" w14:textId="72747632" w:rsidR="002904BC" w:rsidRPr="002904BC" w:rsidRDefault="002904BC" w:rsidP="008A5CC5">
            <w:pPr>
              <w:jc w:val="both"/>
              <w:rPr>
                <w:rFonts w:cstheme="minorHAnsi"/>
              </w:rPr>
            </w:pPr>
            <w:r>
              <w:rPr>
                <w:rFonts w:cstheme="minorHAnsi"/>
              </w:rPr>
              <w:t>National Network conversations</w:t>
            </w:r>
          </w:p>
        </w:tc>
        <w:tc>
          <w:tcPr>
            <w:tcW w:w="1985" w:type="dxa"/>
          </w:tcPr>
          <w:p w14:paraId="2B64CADE" w14:textId="1054068D" w:rsidR="002904BC" w:rsidRPr="002904BC" w:rsidRDefault="002904BC" w:rsidP="008A5CC5">
            <w:pPr>
              <w:jc w:val="both"/>
              <w:rPr>
                <w:rFonts w:cstheme="minorHAnsi"/>
              </w:rPr>
            </w:pPr>
            <w:r>
              <w:rPr>
                <w:rFonts w:cstheme="minorHAnsi"/>
              </w:rPr>
              <w:t>5</w:t>
            </w:r>
          </w:p>
        </w:tc>
      </w:tr>
      <w:tr w:rsidR="002904BC" w14:paraId="35E0830E" w14:textId="77777777" w:rsidTr="00DA634F">
        <w:trPr>
          <w:trHeight w:val="180"/>
        </w:trPr>
        <w:tc>
          <w:tcPr>
            <w:tcW w:w="1555" w:type="dxa"/>
            <w:vMerge/>
          </w:tcPr>
          <w:p w14:paraId="20E29281" w14:textId="77777777" w:rsidR="002904BC" w:rsidRPr="002904BC" w:rsidRDefault="002904BC" w:rsidP="008A5CC5">
            <w:pPr>
              <w:jc w:val="both"/>
              <w:rPr>
                <w:rFonts w:cstheme="minorHAnsi"/>
              </w:rPr>
            </w:pPr>
          </w:p>
        </w:tc>
        <w:tc>
          <w:tcPr>
            <w:tcW w:w="2268" w:type="dxa"/>
            <w:vMerge/>
          </w:tcPr>
          <w:p w14:paraId="2F1B290B" w14:textId="77777777" w:rsidR="002904BC" w:rsidRPr="002904BC" w:rsidRDefault="002904BC" w:rsidP="008A5CC5">
            <w:pPr>
              <w:jc w:val="both"/>
              <w:rPr>
                <w:rFonts w:cstheme="minorHAnsi"/>
              </w:rPr>
            </w:pPr>
          </w:p>
        </w:tc>
        <w:tc>
          <w:tcPr>
            <w:tcW w:w="3685" w:type="dxa"/>
          </w:tcPr>
          <w:p w14:paraId="6BE7FE46" w14:textId="547EE2C4" w:rsidR="002904BC" w:rsidRPr="002904BC" w:rsidRDefault="002904BC" w:rsidP="008A5CC5">
            <w:pPr>
              <w:jc w:val="both"/>
              <w:rPr>
                <w:rFonts w:cstheme="minorHAnsi"/>
              </w:rPr>
            </w:pPr>
            <w:r>
              <w:rPr>
                <w:rFonts w:cstheme="minorHAnsi"/>
              </w:rPr>
              <w:t>Talk Pedagogy</w:t>
            </w:r>
          </w:p>
        </w:tc>
        <w:tc>
          <w:tcPr>
            <w:tcW w:w="1985" w:type="dxa"/>
          </w:tcPr>
          <w:p w14:paraId="40025E18" w14:textId="028BFF2E" w:rsidR="002904BC" w:rsidRPr="002904BC" w:rsidRDefault="002904BC" w:rsidP="008A5CC5">
            <w:pPr>
              <w:jc w:val="both"/>
              <w:rPr>
                <w:rFonts w:cstheme="minorHAnsi"/>
              </w:rPr>
            </w:pPr>
            <w:r>
              <w:rPr>
                <w:rFonts w:cstheme="minorHAnsi"/>
              </w:rPr>
              <w:t>2</w:t>
            </w:r>
          </w:p>
        </w:tc>
      </w:tr>
    </w:tbl>
    <w:p w14:paraId="043C233C" w14:textId="77777777" w:rsidR="002904BC" w:rsidRDefault="002904BC" w:rsidP="008A5CC5">
      <w:pPr>
        <w:jc w:val="both"/>
        <w:rPr>
          <w:rFonts w:cstheme="minorHAnsi"/>
          <w:b/>
          <w:bCs/>
        </w:rPr>
      </w:pPr>
    </w:p>
    <w:p w14:paraId="1DACF915" w14:textId="63CEC263" w:rsidR="00577401" w:rsidRDefault="00071F74" w:rsidP="008A5CC5">
      <w:pPr>
        <w:jc w:val="both"/>
        <w:rPr>
          <w:rFonts w:cstheme="minorHAnsi"/>
        </w:rPr>
      </w:pPr>
      <w:r>
        <w:rPr>
          <w:rFonts w:cstheme="minorHAnsi"/>
        </w:rPr>
        <w:t xml:space="preserve">The participants all stated that they had engaged with </w:t>
      </w:r>
      <w:r w:rsidR="00902690">
        <w:rPr>
          <w:rFonts w:cstheme="minorHAnsi"/>
        </w:rPr>
        <w:t xml:space="preserve">some </w:t>
      </w:r>
      <w:r>
        <w:rPr>
          <w:rFonts w:cstheme="minorHAnsi"/>
        </w:rPr>
        <w:t>PL activities</w:t>
      </w:r>
      <w:r w:rsidR="000C691F">
        <w:rPr>
          <w:rFonts w:cstheme="minorHAnsi"/>
        </w:rPr>
        <w:t xml:space="preserve"> related to CfW within the previous year,</w:t>
      </w:r>
      <w:r>
        <w:rPr>
          <w:rFonts w:cstheme="minorHAnsi"/>
        </w:rPr>
        <w:t xml:space="preserve"> either led by themselves, their school, Regionals Consortia/LA’s or Welsh Government. </w:t>
      </w:r>
      <w:r w:rsidR="00577401">
        <w:rPr>
          <w:rFonts w:cstheme="minorHAnsi"/>
        </w:rPr>
        <w:t xml:space="preserve"> This picture of higher engagement at personal and school level was supported by interview evidence. None of the interview participants had engaged with any </w:t>
      </w:r>
      <w:r w:rsidR="00E20108">
        <w:rPr>
          <w:rFonts w:cstheme="minorHAnsi"/>
        </w:rPr>
        <w:t>Welsh Government</w:t>
      </w:r>
      <w:r w:rsidR="00577401">
        <w:rPr>
          <w:rFonts w:cstheme="minorHAnsi"/>
        </w:rPr>
        <w:t xml:space="preserve"> PL, such as the National Networks</w:t>
      </w:r>
      <w:r w:rsidR="00E20108">
        <w:rPr>
          <w:rFonts w:cstheme="minorHAnsi"/>
        </w:rPr>
        <w:t xml:space="preserve">. </w:t>
      </w:r>
      <w:r w:rsidR="00713B30">
        <w:rPr>
          <w:rFonts w:cstheme="minorHAnsi"/>
        </w:rPr>
        <w:t xml:space="preserve"> Two</w:t>
      </w:r>
      <w:r w:rsidR="00577401">
        <w:rPr>
          <w:rFonts w:cstheme="minorHAnsi"/>
        </w:rPr>
        <w:t xml:space="preserve"> had engaged with PL from regional consortia, and all had engaged with PL at school level. There was varying degrees of engagement with personal PL such as reading or social media engagement.</w:t>
      </w:r>
      <w:r w:rsidR="004651A1">
        <w:rPr>
          <w:rFonts w:cstheme="minorHAnsi"/>
        </w:rPr>
        <w:t xml:space="preserve">  </w:t>
      </w:r>
    </w:p>
    <w:p w14:paraId="0B2A387A" w14:textId="1E4BBCA4" w:rsidR="00902690" w:rsidRPr="00265D57" w:rsidRDefault="00902690" w:rsidP="00902690">
      <w:pPr>
        <w:jc w:val="both"/>
        <w:rPr>
          <w:rFonts w:cstheme="minorHAnsi"/>
        </w:rPr>
      </w:pPr>
      <w:r w:rsidRPr="00265D57">
        <w:rPr>
          <w:rFonts w:cstheme="minorHAnsi"/>
        </w:rPr>
        <w:lastRenderedPageBreak/>
        <w:t xml:space="preserve">A further analysis was conducted to find out how teachers in primary schools and secondary schools </w:t>
      </w:r>
      <w:r>
        <w:rPr>
          <w:rFonts w:cstheme="minorHAnsi"/>
        </w:rPr>
        <w:t>differed in their engagement with PL.  The aim was to identify if whether there was significant difference</w:t>
      </w:r>
      <w:r w:rsidR="00E20108">
        <w:rPr>
          <w:rFonts w:cstheme="minorHAnsi"/>
        </w:rPr>
        <w:t xml:space="preserve"> as the</w:t>
      </w:r>
      <w:r>
        <w:rPr>
          <w:rFonts w:cstheme="minorHAnsi"/>
        </w:rPr>
        <w:t xml:space="preserve"> CfW is being implemented in </w:t>
      </w:r>
      <w:r w:rsidR="00E20108">
        <w:rPr>
          <w:rFonts w:cstheme="minorHAnsi"/>
        </w:rPr>
        <w:t>p</w:t>
      </w:r>
      <w:r>
        <w:rPr>
          <w:rFonts w:cstheme="minorHAnsi"/>
        </w:rPr>
        <w:t xml:space="preserve">rimary schools from 2022, but with a rolling implementation in secondaries, it </w:t>
      </w:r>
      <w:r w:rsidR="00713B30">
        <w:rPr>
          <w:rFonts w:cstheme="minorHAnsi"/>
        </w:rPr>
        <w:t xml:space="preserve">was hypothesised that </w:t>
      </w:r>
      <w:r>
        <w:rPr>
          <w:rFonts w:cstheme="minorHAnsi"/>
        </w:rPr>
        <w:t xml:space="preserve">primary practitioners may have engaged more with PL on CfW.  As indicated in the table below, the results revealed that primary practitioners had engaged to a greater degree with personal PL, such as reading or social media engagement. However, secondary practitioners had accessed more regional/LA PL.   This shows a mixed picture of PL engagement across the sectors. </w:t>
      </w:r>
    </w:p>
    <w:p w14:paraId="6DC56062" w14:textId="0712AE32" w:rsidR="00902690" w:rsidRPr="000E1540" w:rsidRDefault="00902690" w:rsidP="00902690">
      <w:pPr>
        <w:jc w:val="both"/>
        <w:rPr>
          <w:rFonts w:cstheme="minorHAnsi"/>
          <w:i/>
          <w:iCs/>
        </w:rPr>
      </w:pPr>
      <w:r w:rsidRPr="000E1540">
        <w:rPr>
          <w:rFonts w:cstheme="minorHAnsi"/>
          <w:i/>
          <w:iCs/>
        </w:rPr>
        <w:t xml:space="preserve">Table 4 – Comparison of Primary, secondary and 3-16 </w:t>
      </w:r>
      <w:r w:rsidR="00A5515E" w:rsidRPr="000E1540">
        <w:rPr>
          <w:rFonts w:cstheme="minorHAnsi"/>
          <w:i/>
          <w:iCs/>
        </w:rPr>
        <w:t>practitioners’</w:t>
      </w:r>
      <w:r w:rsidRPr="000E1540">
        <w:rPr>
          <w:rFonts w:cstheme="minorHAnsi"/>
          <w:i/>
          <w:iCs/>
        </w:rPr>
        <w:t xml:space="preserve"> engagement with PL.   </w:t>
      </w:r>
    </w:p>
    <w:tbl>
      <w:tblPr>
        <w:tblStyle w:val="TableGrid"/>
        <w:tblW w:w="9016" w:type="dxa"/>
        <w:tblLook w:val="04A0" w:firstRow="1" w:lastRow="0" w:firstColumn="1" w:lastColumn="0" w:noHBand="0" w:noVBand="1"/>
      </w:tblPr>
      <w:tblGrid>
        <w:gridCol w:w="1880"/>
        <w:gridCol w:w="2042"/>
        <w:gridCol w:w="1698"/>
        <w:gridCol w:w="1698"/>
        <w:gridCol w:w="1698"/>
      </w:tblGrid>
      <w:tr w:rsidR="00902690" w14:paraId="240C9FBA" w14:textId="77777777" w:rsidTr="00A10C4F">
        <w:tc>
          <w:tcPr>
            <w:tcW w:w="1880" w:type="dxa"/>
            <w:shd w:val="clear" w:color="auto" w:fill="E7E6E6" w:themeFill="background2"/>
          </w:tcPr>
          <w:p w14:paraId="480F750E" w14:textId="77777777" w:rsidR="00902690" w:rsidRPr="002904BC" w:rsidRDefault="00902690" w:rsidP="00265D57">
            <w:pPr>
              <w:jc w:val="both"/>
              <w:rPr>
                <w:rFonts w:cstheme="minorHAnsi"/>
              </w:rPr>
            </w:pPr>
            <w:r>
              <w:rPr>
                <w:rFonts w:cstheme="minorHAnsi"/>
              </w:rPr>
              <w:t>Category of PL activity provider</w:t>
            </w:r>
          </w:p>
        </w:tc>
        <w:tc>
          <w:tcPr>
            <w:tcW w:w="2042" w:type="dxa"/>
            <w:shd w:val="clear" w:color="auto" w:fill="E7E6E6" w:themeFill="background2"/>
          </w:tcPr>
          <w:p w14:paraId="140A71D4" w14:textId="77777777" w:rsidR="00902690" w:rsidRPr="002904BC" w:rsidRDefault="00902690" w:rsidP="00265D57">
            <w:pPr>
              <w:jc w:val="both"/>
              <w:rPr>
                <w:rFonts w:cstheme="minorHAnsi"/>
              </w:rPr>
            </w:pPr>
            <w:r>
              <w:rPr>
                <w:rFonts w:cstheme="minorHAnsi"/>
              </w:rPr>
              <w:t xml:space="preserve">Number </w:t>
            </w:r>
            <w:r w:rsidRPr="002904BC">
              <w:rPr>
                <w:rFonts w:cstheme="minorHAnsi"/>
              </w:rPr>
              <w:t>of participants who have engaged with this PL</w:t>
            </w:r>
          </w:p>
        </w:tc>
        <w:tc>
          <w:tcPr>
            <w:tcW w:w="1698" w:type="dxa"/>
            <w:shd w:val="clear" w:color="auto" w:fill="E7E6E6" w:themeFill="background2"/>
          </w:tcPr>
          <w:p w14:paraId="6FBDA063" w14:textId="77777777" w:rsidR="00902690" w:rsidRDefault="00902690" w:rsidP="00265D57">
            <w:pPr>
              <w:jc w:val="both"/>
              <w:rPr>
                <w:rFonts w:cstheme="minorHAnsi"/>
              </w:rPr>
            </w:pPr>
            <w:r>
              <w:rPr>
                <w:rFonts w:cstheme="minorHAnsi"/>
              </w:rPr>
              <w:t>Percentage of  Primary participants who have engaged with this PL</w:t>
            </w:r>
          </w:p>
        </w:tc>
        <w:tc>
          <w:tcPr>
            <w:tcW w:w="1698" w:type="dxa"/>
            <w:shd w:val="clear" w:color="auto" w:fill="E7E6E6" w:themeFill="background2"/>
          </w:tcPr>
          <w:p w14:paraId="58BEF604" w14:textId="77777777" w:rsidR="00902690" w:rsidRDefault="00902690" w:rsidP="00265D57">
            <w:pPr>
              <w:jc w:val="both"/>
              <w:rPr>
                <w:rFonts w:cstheme="minorHAnsi"/>
              </w:rPr>
            </w:pPr>
            <w:r>
              <w:rPr>
                <w:rFonts w:cstheme="minorHAnsi"/>
              </w:rPr>
              <w:t>Percentage of  Secondary participants who have engaged with this PL</w:t>
            </w:r>
          </w:p>
        </w:tc>
        <w:tc>
          <w:tcPr>
            <w:tcW w:w="1698" w:type="dxa"/>
            <w:shd w:val="clear" w:color="auto" w:fill="E7E6E6" w:themeFill="background2"/>
          </w:tcPr>
          <w:p w14:paraId="30F0E1A1" w14:textId="77777777" w:rsidR="00902690" w:rsidRDefault="00902690" w:rsidP="00265D57">
            <w:pPr>
              <w:jc w:val="both"/>
              <w:rPr>
                <w:rFonts w:cstheme="minorHAnsi"/>
              </w:rPr>
            </w:pPr>
            <w:r>
              <w:rPr>
                <w:rFonts w:cstheme="minorHAnsi"/>
              </w:rPr>
              <w:t>Number and percentage of 3-16 participants who have engaged with this PL</w:t>
            </w:r>
          </w:p>
        </w:tc>
      </w:tr>
      <w:tr w:rsidR="00902690" w14:paraId="4220BEDF" w14:textId="77777777" w:rsidTr="00265D57">
        <w:trPr>
          <w:trHeight w:val="796"/>
        </w:trPr>
        <w:tc>
          <w:tcPr>
            <w:tcW w:w="1880" w:type="dxa"/>
          </w:tcPr>
          <w:p w14:paraId="13586BEE" w14:textId="77777777" w:rsidR="00902690" w:rsidRPr="002904BC" w:rsidRDefault="00902690" w:rsidP="00265D57">
            <w:pPr>
              <w:jc w:val="both"/>
              <w:rPr>
                <w:rFonts w:cstheme="minorHAnsi"/>
              </w:rPr>
            </w:pPr>
            <w:r w:rsidRPr="002904BC">
              <w:rPr>
                <w:rFonts w:cstheme="minorHAnsi"/>
              </w:rPr>
              <w:t xml:space="preserve">Individual PL activities </w:t>
            </w:r>
          </w:p>
        </w:tc>
        <w:tc>
          <w:tcPr>
            <w:tcW w:w="2042" w:type="dxa"/>
          </w:tcPr>
          <w:p w14:paraId="42313645" w14:textId="77777777" w:rsidR="00902690" w:rsidRPr="002904BC" w:rsidRDefault="00902690" w:rsidP="00265D57">
            <w:pPr>
              <w:jc w:val="both"/>
              <w:rPr>
                <w:rFonts w:cstheme="minorHAnsi"/>
              </w:rPr>
            </w:pPr>
            <w:r w:rsidRPr="002904BC">
              <w:rPr>
                <w:rFonts w:cstheme="minorHAnsi"/>
              </w:rPr>
              <w:t>21</w:t>
            </w:r>
            <w:r>
              <w:rPr>
                <w:rFonts w:cstheme="minorHAnsi"/>
              </w:rPr>
              <w:t xml:space="preserve"> (91%)</w:t>
            </w:r>
          </w:p>
        </w:tc>
        <w:tc>
          <w:tcPr>
            <w:tcW w:w="1698" w:type="dxa"/>
          </w:tcPr>
          <w:p w14:paraId="74FBC05E" w14:textId="77777777" w:rsidR="00902690" w:rsidRPr="002904BC" w:rsidRDefault="00902690" w:rsidP="00265D57">
            <w:pPr>
              <w:jc w:val="both"/>
              <w:rPr>
                <w:rFonts w:cstheme="minorHAnsi"/>
              </w:rPr>
            </w:pPr>
            <w:r>
              <w:rPr>
                <w:rFonts w:cstheme="minorHAnsi"/>
              </w:rPr>
              <w:t>100%</w:t>
            </w:r>
          </w:p>
        </w:tc>
        <w:tc>
          <w:tcPr>
            <w:tcW w:w="1698" w:type="dxa"/>
          </w:tcPr>
          <w:p w14:paraId="790FC50A" w14:textId="77777777" w:rsidR="00902690" w:rsidRPr="002904BC" w:rsidRDefault="00902690" w:rsidP="00265D57">
            <w:pPr>
              <w:jc w:val="both"/>
              <w:rPr>
                <w:rFonts w:cstheme="minorHAnsi"/>
              </w:rPr>
            </w:pPr>
            <w:r>
              <w:rPr>
                <w:rFonts w:cstheme="minorHAnsi"/>
              </w:rPr>
              <w:t>80%</w:t>
            </w:r>
          </w:p>
        </w:tc>
        <w:tc>
          <w:tcPr>
            <w:tcW w:w="1698" w:type="dxa"/>
          </w:tcPr>
          <w:p w14:paraId="6D070A3D" w14:textId="77777777" w:rsidR="00902690" w:rsidRPr="002904BC" w:rsidRDefault="00902690" w:rsidP="00265D57">
            <w:pPr>
              <w:jc w:val="both"/>
              <w:rPr>
                <w:rFonts w:cstheme="minorHAnsi"/>
              </w:rPr>
            </w:pPr>
            <w:r>
              <w:rPr>
                <w:rFonts w:cstheme="minorHAnsi"/>
              </w:rPr>
              <w:t>100%</w:t>
            </w:r>
          </w:p>
        </w:tc>
      </w:tr>
      <w:tr w:rsidR="00902690" w14:paraId="2766CB45" w14:textId="77777777" w:rsidTr="00265D57">
        <w:trPr>
          <w:trHeight w:val="405"/>
        </w:trPr>
        <w:tc>
          <w:tcPr>
            <w:tcW w:w="1880" w:type="dxa"/>
          </w:tcPr>
          <w:p w14:paraId="7D473C76" w14:textId="77777777" w:rsidR="00902690" w:rsidRPr="002904BC" w:rsidRDefault="00902690" w:rsidP="00265D57">
            <w:pPr>
              <w:jc w:val="both"/>
              <w:rPr>
                <w:rFonts w:cstheme="minorHAnsi"/>
              </w:rPr>
            </w:pPr>
            <w:r w:rsidRPr="002904BC">
              <w:rPr>
                <w:rFonts w:cstheme="minorHAnsi"/>
              </w:rPr>
              <w:t xml:space="preserve">School led PL </w:t>
            </w:r>
          </w:p>
        </w:tc>
        <w:tc>
          <w:tcPr>
            <w:tcW w:w="2042" w:type="dxa"/>
          </w:tcPr>
          <w:p w14:paraId="30E777B3" w14:textId="77777777" w:rsidR="00902690" w:rsidRPr="002904BC" w:rsidRDefault="00902690" w:rsidP="00265D57">
            <w:pPr>
              <w:jc w:val="both"/>
              <w:rPr>
                <w:rFonts w:cstheme="minorHAnsi"/>
              </w:rPr>
            </w:pPr>
            <w:r>
              <w:rPr>
                <w:rFonts w:cstheme="minorHAnsi"/>
              </w:rPr>
              <w:t>23 (100%)</w:t>
            </w:r>
          </w:p>
        </w:tc>
        <w:tc>
          <w:tcPr>
            <w:tcW w:w="1698" w:type="dxa"/>
          </w:tcPr>
          <w:p w14:paraId="3AE7D92E" w14:textId="77777777" w:rsidR="00902690" w:rsidRPr="002904BC" w:rsidRDefault="00902690" w:rsidP="00265D57">
            <w:pPr>
              <w:jc w:val="both"/>
              <w:rPr>
                <w:rFonts w:cstheme="minorHAnsi"/>
              </w:rPr>
            </w:pPr>
            <w:r>
              <w:rPr>
                <w:rFonts w:cstheme="minorHAnsi"/>
              </w:rPr>
              <w:t>100%</w:t>
            </w:r>
          </w:p>
        </w:tc>
        <w:tc>
          <w:tcPr>
            <w:tcW w:w="1698" w:type="dxa"/>
          </w:tcPr>
          <w:p w14:paraId="6B839AAA" w14:textId="77777777" w:rsidR="00902690" w:rsidRPr="002904BC" w:rsidRDefault="00902690" w:rsidP="00265D57">
            <w:pPr>
              <w:jc w:val="both"/>
              <w:rPr>
                <w:rFonts w:cstheme="minorHAnsi"/>
              </w:rPr>
            </w:pPr>
            <w:r>
              <w:rPr>
                <w:rFonts w:cstheme="minorHAnsi"/>
              </w:rPr>
              <w:t>100%</w:t>
            </w:r>
          </w:p>
        </w:tc>
        <w:tc>
          <w:tcPr>
            <w:tcW w:w="1698" w:type="dxa"/>
          </w:tcPr>
          <w:p w14:paraId="32D16D9C" w14:textId="77777777" w:rsidR="00902690" w:rsidRPr="002904BC" w:rsidRDefault="00902690" w:rsidP="00265D57">
            <w:pPr>
              <w:jc w:val="both"/>
              <w:rPr>
                <w:rFonts w:cstheme="minorHAnsi"/>
              </w:rPr>
            </w:pPr>
            <w:r>
              <w:rPr>
                <w:rFonts w:cstheme="minorHAnsi"/>
              </w:rPr>
              <w:t>100%</w:t>
            </w:r>
          </w:p>
        </w:tc>
      </w:tr>
      <w:tr w:rsidR="00902690" w14:paraId="74DF6EEB" w14:textId="77777777" w:rsidTr="00265D57">
        <w:trPr>
          <w:trHeight w:val="855"/>
        </w:trPr>
        <w:tc>
          <w:tcPr>
            <w:tcW w:w="1880" w:type="dxa"/>
          </w:tcPr>
          <w:p w14:paraId="2D90E87D" w14:textId="77777777" w:rsidR="00902690" w:rsidRPr="002904BC" w:rsidRDefault="00902690" w:rsidP="00265D57">
            <w:pPr>
              <w:jc w:val="both"/>
              <w:rPr>
                <w:rFonts w:cstheme="minorHAnsi"/>
              </w:rPr>
            </w:pPr>
            <w:r w:rsidRPr="002904BC">
              <w:rPr>
                <w:rFonts w:cstheme="minorHAnsi"/>
              </w:rPr>
              <w:t xml:space="preserve">Regional Consortia/LA led  PL </w:t>
            </w:r>
          </w:p>
        </w:tc>
        <w:tc>
          <w:tcPr>
            <w:tcW w:w="2042" w:type="dxa"/>
          </w:tcPr>
          <w:p w14:paraId="2B33D5C2" w14:textId="77777777" w:rsidR="00902690" w:rsidRPr="002904BC" w:rsidRDefault="00902690" w:rsidP="00265D57">
            <w:pPr>
              <w:jc w:val="both"/>
              <w:rPr>
                <w:rFonts w:cstheme="minorHAnsi"/>
              </w:rPr>
            </w:pPr>
            <w:r w:rsidRPr="002904BC">
              <w:rPr>
                <w:rFonts w:cstheme="minorHAnsi"/>
              </w:rPr>
              <w:t>16</w:t>
            </w:r>
            <w:r>
              <w:rPr>
                <w:rFonts w:cstheme="minorHAnsi"/>
              </w:rPr>
              <w:t xml:space="preserve"> (70%)</w:t>
            </w:r>
          </w:p>
        </w:tc>
        <w:tc>
          <w:tcPr>
            <w:tcW w:w="1698" w:type="dxa"/>
          </w:tcPr>
          <w:p w14:paraId="7E9C3EDA" w14:textId="77777777" w:rsidR="00902690" w:rsidRPr="002904BC" w:rsidRDefault="00902690" w:rsidP="00265D57">
            <w:pPr>
              <w:jc w:val="both"/>
              <w:rPr>
                <w:rFonts w:cstheme="minorHAnsi"/>
              </w:rPr>
            </w:pPr>
            <w:r>
              <w:rPr>
                <w:rFonts w:cstheme="minorHAnsi"/>
              </w:rPr>
              <w:t>60%</w:t>
            </w:r>
          </w:p>
        </w:tc>
        <w:tc>
          <w:tcPr>
            <w:tcW w:w="1698" w:type="dxa"/>
          </w:tcPr>
          <w:p w14:paraId="4B24270F" w14:textId="77777777" w:rsidR="00902690" w:rsidRPr="002904BC" w:rsidRDefault="00902690" w:rsidP="00265D57">
            <w:pPr>
              <w:jc w:val="both"/>
              <w:rPr>
                <w:rFonts w:cstheme="minorHAnsi"/>
              </w:rPr>
            </w:pPr>
            <w:r>
              <w:rPr>
                <w:rFonts w:cstheme="minorHAnsi"/>
              </w:rPr>
              <w:t>90%</w:t>
            </w:r>
          </w:p>
        </w:tc>
        <w:tc>
          <w:tcPr>
            <w:tcW w:w="1698" w:type="dxa"/>
          </w:tcPr>
          <w:p w14:paraId="44FB39A6" w14:textId="77777777" w:rsidR="00902690" w:rsidRPr="002904BC" w:rsidRDefault="00902690" w:rsidP="00265D57">
            <w:pPr>
              <w:jc w:val="both"/>
              <w:rPr>
                <w:rFonts w:cstheme="minorHAnsi"/>
              </w:rPr>
            </w:pPr>
            <w:r>
              <w:rPr>
                <w:rFonts w:cstheme="minorHAnsi"/>
              </w:rPr>
              <w:t>33%</w:t>
            </w:r>
          </w:p>
        </w:tc>
      </w:tr>
      <w:tr w:rsidR="00902690" w14:paraId="6F9169A2" w14:textId="77777777" w:rsidTr="00265D57">
        <w:trPr>
          <w:trHeight w:val="548"/>
        </w:trPr>
        <w:tc>
          <w:tcPr>
            <w:tcW w:w="1880" w:type="dxa"/>
          </w:tcPr>
          <w:p w14:paraId="3AAF1080" w14:textId="77777777" w:rsidR="00902690" w:rsidRPr="002904BC" w:rsidRDefault="00902690" w:rsidP="00265D57">
            <w:pPr>
              <w:jc w:val="both"/>
              <w:rPr>
                <w:rFonts w:cstheme="minorHAnsi"/>
              </w:rPr>
            </w:pPr>
            <w:r w:rsidRPr="002904BC">
              <w:rPr>
                <w:rFonts w:cstheme="minorHAnsi"/>
              </w:rPr>
              <w:t>Welsh Government led PL</w:t>
            </w:r>
          </w:p>
        </w:tc>
        <w:tc>
          <w:tcPr>
            <w:tcW w:w="2042" w:type="dxa"/>
          </w:tcPr>
          <w:p w14:paraId="6918E453" w14:textId="77777777" w:rsidR="00902690" w:rsidRPr="002904BC" w:rsidRDefault="00902690" w:rsidP="00265D57">
            <w:pPr>
              <w:jc w:val="both"/>
              <w:rPr>
                <w:rFonts w:cstheme="minorHAnsi"/>
              </w:rPr>
            </w:pPr>
            <w:r w:rsidRPr="002904BC">
              <w:rPr>
                <w:rFonts w:cstheme="minorHAnsi"/>
              </w:rPr>
              <w:t>5</w:t>
            </w:r>
            <w:r>
              <w:rPr>
                <w:rFonts w:cstheme="minorHAnsi"/>
              </w:rPr>
              <w:t xml:space="preserve"> (22%)</w:t>
            </w:r>
          </w:p>
        </w:tc>
        <w:tc>
          <w:tcPr>
            <w:tcW w:w="1698" w:type="dxa"/>
          </w:tcPr>
          <w:p w14:paraId="7AFC3E95" w14:textId="77777777" w:rsidR="00902690" w:rsidRPr="002904BC" w:rsidRDefault="00902690" w:rsidP="00265D57">
            <w:pPr>
              <w:jc w:val="both"/>
              <w:rPr>
                <w:rFonts w:cstheme="minorHAnsi"/>
              </w:rPr>
            </w:pPr>
            <w:r>
              <w:rPr>
                <w:rFonts w:cstheme="minorHAnsi"/>
              </w:rPr>
              <w:t>30%</w:t>
            </w:r>
          </w:p>
        </w:tc>
        <w:tc>
          <w:tcPr>
            <w:tcW w:w="1698" w:type="dxa"/>
          </w:tcPr>
          <w:p w14:paraId="39F9D2B0" w14:textId="77777777" w:rsidR="00902690" w:rsidRPr="002904BC" w:rsidRDefault="00902690" w:rsidP="00265D57">
            <w:pPr>
              <w:jc w:val="both"/>
              <w:rPr>
                <w:rFonts w:cstheme="minorHAnsi"/>
              </w:rPr>
            </w:pPr>
            <w:r>
              <w:rPr>
                <w:rFonts w:cstheme="minorHAnsi"/>
              </w:rPr>
              <w:t>20%</w:t>
            </w:r>
          </w:p>
        </w:tc>
        <w:tc>
          <w:tcPr>
            <w:tcW w:w="1698" w:type="dxa"/>
          </w:tcPr>
          <w:p w14:paraId="40148DD1" w14:textId="77777777" w:rsidR="00902690" w:rsidRPr="002904BC" w:rsidRDefault="00902690" w:rsidP="00265D57">
            <w:pPr>
              <w:jc w:val="both"/>
              <w:rPr>
                <w:rFonts w:cstheme="minorHAnsi"/>
              </w:rPr>
            </w:pPr>
            <w:r>
              <w:rPr>
                <w:rFonts w:cstheme="minorHAnsi"/>
              </w:rPr>
              <w:t>0</w:t>
            </w:r>
          </w:p>
        </w:tc>
      </w:tr>
    </w:tbl>
    <w:p w14:paraId="65911D9F" w14:textId="77777777" w:rsidR="00902690" w:rsidRDefault="00902690" w:rsidP="008A5CC5">
      <w:pPr>
        <w:jc w:val="both"/>
        <w:rPr>
          <w:rFonts w:cstheme="minorHAnsi"/>
        </w:rPr>
      </w:pPr>
    </w:p>
    <w:p w14:paraId="708FB046" w14:textId="0ADA3D00" w:rsidR="000C691F" w:rsidRDefault="00771ADF" w:rsidP="008A5CC5">
      <w:pPr>
        <w:jc w:val="both"/>
        <w:rPr>
          <w:rFonts w:cstheme="minorHAnsi"/>
        </w:rPr>
      </w:pPr>
      <w:r>
        <w:rPr>
          <w:rFonts w:cstheme="minorHAnsi"/>
        </w:rPr>
        <w:t xml:space="preserve"> A further analysis of the number of specific PL activities each participant had engaged with was conducted. As indicated in the table </w:t>
      </w:r>
      <w:r w:rsidR="00713B30">
        <w:rPr>
          <w:rFonts w:cstheme="minorHAnsi"/>
        </w:rPr>
        <w:t>5</w:t>
      </w:r>
      <w:r>
        <w:rPr>
          <w:rFonts w:cstheme="minorHAnsi"/>
        </w:rPr>
        <w:t xml:space="preserve">, the lowest level of engagement was with </w:t>
      </w:r>
      <w:r w:rsidR="002C5CBB">
        <w:rPr>
          <w:rFonts w:cstheme="minorHAnsi"/>
        </w:rPr>
        <w:t>two</w:t>
      </w:r>
      <w:r>
        <w:rPr>
          <w:rFonts w:cstheme="minorHAnsi"/>
        </w:rPr>
        <w:t xml:space="preserve"> activities, and the highest was </w:t>
      </w:r>
      <w:r w:rsidR="002C5CBB">
        <w:rPr>
          <w:rFonts w:cstheme="minorHAnsi"/>
        </w:rPr>
        <w:t>fifteen</w:t>
      </w:r>
      <w:r>
        <w:rPr>
          <w:rFonts w:cstheme="minorHAnsi"/>
        </w:rPr>
        <w:t xml:space="preserve">, giving a range of </w:t>
      </w:r>
      <w:r w:rsidR="002C5CBB">
        <w:rPr>
          <w:rFonts w:cstheme="minorHAnsi"/>
        </w:rPr>
        <w:t>thirteen</w:t>
      </w:r>
      <w:r>
        <w:rPr>
          <w:rFonts w:cstheme="minorHAnsi"/>
        </w:rPr>
        <w:t xml:space="preserve">. </w:t>
      </w:r>
      <w:r w:rsidR="00577401">
        <w:rPr>
          <w:rFonts w:cstheme="minorHAnsi"/>
        </w:rPr>
        <w:t xml:space="preserve"> </w:t>
      </w:r>
      <w:r>
        <w:rPr>
          <w:rFonts w:cstheme="minorHAnsi"/>
        </w:rPr>
        <w:t>The median number of activities engaged with was 8.5, with the mean of 7.7 and the mode of 8.   The range and mean for secondary practitioners (11 and 7) was slightly lower than for primary (13 and 8</w:t>
      </w:r>
      <w:r w:rsidR="000E1540">
        <w:rPr>
          <w:rFonts w:cstheme="minorHAnsi"/>
        </w:rPr>
        <w:t>).</w:t>
      </w:r>
    </w:p>
    <w:p w14:paraId="02C6E65E" w14:textId="6A13FBC1" w:rsidR="00771ADF" w:rsidRPr="000E1540" w:rsidRDefault="000C691F" w:rsidP="008A5CC5">
      <w:pPr>
        <w:jc w:val="both"/>
        <w:rPr>
          <w:rFonts w:cstheme="minorHAnsi"/>
          <w:i/>
          <w:iCs/>
        </w:rPr>
      </w:pPr>
      <w:r w:rsidRPr="000E1540">
        <w:rPr>
          <w:rFonts w:cstheme="minorHAnsi"/>
          <w:i/>
          <w:iCs/>
        </w:rPr>
        <w:t xml:space="preserve">Table </w:t>
      </w:r>
      <w:r w:rsidR="00902690" w:rsidRPr="000E1540">
        <w:rPr>
          <w:rFonts w:cstheme="minorHAnsi"/>
          <w:i/>
          <w:iCs/>
        </w:rPr>
        <w:t>5</w:t>
      </w:r>
      <w:r w:rsidRPr="000E1540">
        <w:rPr>
          <w:rFonts w:cstheme="minorHAnsi"/>
          <w:i/>
          <w:iCs/>
        </w:rPr>
        <w:t xml:space="preserve"> – </w:t>
      </w:r>
      <w:r w:rsidR="00865BC4" w:rsidRPr="000E1540">
        <w:rPr>
          <w:rFonts w:cstheme="minorHAnsi"/>
          <w:i/>
          <w:iCs/>
        </w:rPr>
        <w:t>Extent</w:t>
      </w:r>
      <w:r w:rsidRPr="000E1540">
        <w:rPr>
          <w:rFonts w:cstheme="minorHAnsi"/>
          <w:i/>
          <w:iCs/>
        </w:rPr>
        <w:t xml:space="preserve"> of engagement with PL per participant </w:t>
      </w:r>
    </w:p>
    <w:tbl>
      <w:tblPr>
        <w:tblStyle w:val="TableGrid"/>
        <w:tblW w:w="0" w:type="auto"/>
        <w:tblLook w:val="04A0" w:firstRow="1" w:lastRow="0" w:firstColumn="1" w:lastColumn="0" w:noHBand="0" w:noVBand="1"/>
      </w:tblPr>
      <w:tblGrid>
        <w:gridCol w:w="1980"/>
        <w:gridCol w:w="1701"/>
      </w:tblGrid>
      <w:tr w:rsidR="00771ADF" w14:paraId="1BBEBB92" w14:textId="77777777" w:rsidTr="00A10C4F">
        <w:tc>
          <w:tcPr>
            <w:tcW w:w="1980" w:type="dxa"/>
            <w:shd w:val="clear" w:color="auto" w:fill="E7E6E6" w:themeFill="background2"/>
          </w:tcPr>
          <w:p w14:paraId="731847C8" w14:textId="49142F34" w:rsidR="00771ADF" w:rsidRDefault="00771ADF" w:rsidP="008A5CC5">
            <w:pPr>
              <w:jc w:val="both"/>
              <w:rPr>
                <w:rFonts w:cstheme="minorHAnsi"/>
              </w:rPr>
            </w:pPr>
            <w:r>
              <w:rPr>
                <w:rFonts w:cstheme="minorHAnsi"/>
              </w:rPr>
              <w:t xml:space="preserve">Number of specific PL activities participant had engaged with </w:t>
            </w:r>
          </w:p>
        </w:tc>
        <w:tc>
          <w:tcPr>
            <w:tcW w:w="1701" w:type="dxa"/>
            <w:shd w:val="clear" w:color="auto" w:fill="E7E6E6" w:themeFill="background2"/>
          </w:tcPr>
          <w:p w14:paraId="0586B447" w14:textId="1B036DE1" w:rsidR="00771ADF" w:rsidRDefault="00771ADF" w:rsidP="008A5CC5">
            <w:pPr>
              <w:jc w:val="both"/>
              <w:rPr>
                <w:rFonts w:cstheme="minorHAnsi"/>
              </w:rPr>
            </w:pPr>
            <w:r>
              <w:rPr>
                <w:rFonts w:cstheme="minorHAnsi"/>
              </w:rPr>
              <w:t>Frequency of response</w:t>
            </w:r>
          </w:p>
        </w:tc>
      </w:tr>
      <w:tr w:rsidR="00771ADF" w14:paraId="06450CD6" w14:textId="77777777" w:rsidTr="00577401">
        <w:tc>
          <w:tcPr>
            <w:tcW w:w="1980" w:type="dxa"/>
          </w:tcPr>
          <w:p w14:paraId="7F2E9738" w14:textId="707079F4" w:rsidR="00771ADF" w:rsidRDefault="00771ADF" w:rsidP="008A5CC5">
            <w:pPr>
              <w:jc w:val="both"/>
              <w:rPr>
                <w:rFonts w:cstheme="minorHAnsi"/>
              </w:rPr>
            </w:pPr>
            <w:r>
              <w:rPr>
                <w:rFonts w:cstheme="minorHAnsi"/>
              </w:rPr>
              <w:t>2</w:t>
            </w:r>
          </w:p>
        </w:tc>
        <w:tc>
          <w:tcPr>
            <w:tcW w:w="1701" w:type="dxa"/>
          </w:tcPr>
          <w:p w14:paraId="396C2E9D" w14:textId="6505638A" w:rsidR="00771ADF" w:rsidRDefault="00577401" w:rsidP="008A5CC5">
            <w:pPr>
              <w:jc w:val="both"/>
              <w:rPr>
                <w:rFonts w:cstheme="minorHAnsi"/>
              </w:rPr>
            </w:pPr>
            <w:r>
              <w:rPr>
                <w:rFonts w:cstheme="minorHAnsi"/>
              </w:rPr>
              <w:t>2</w:t>
            </w:r>
          </w:p>
        </w:tc>
      </w:tr>
      <w:tr w:rsidR="00771ADF" w14:paraId="1013B2CF" w14:textId="77777777" w:rsidTr="00577401">
        <w:tc>
          <w:tcPr>
            <w:tcW w:w="1980" w:type="dxa"/>
          </w:tcPr>
          <w:p w14:paraId="220A3261" w14:textId="260370B7" w:rsidR="00771ADF" w:rsidRDefault="00771ADF" w:rsidP="008A5CC5">
            <w:pPr>
              <w:jc w:val="both"/>
              <w:rPr>
                <w:rFonts w:cstheme="minorHAnsi"/>
              </w:rPr>
            </w:pPr>
            <w:r>
              <w:rPr>
                <w:rFonts w:cstheme="minorHAnsi"/>
              </w:rPr>
              <w:t>3</w:t>
            </w:r>
          </w:p>
        </w:tc>
        <w:tc>
          <w:tcPr>
            <w:tcW w:w="1701" w:type="dxa"/>
          </w:tcPr>
          <w:p w14:paraId="7C3B7566" w14:textId="6D9B0B2E" w:rsidR="00771ADF" w:rsidRDefault="00577401" w:rsidP="008A5CC5">
            <w:pPr>
              <w:jc w:val="both"/>
              <w:rPr>
                <w:rFonts w:cstheme="minorHAnsi"/>
              </w:rPr>
            </w:pPr>
            <w:r>
              <w:rPr>
                <w:rFonts w:cstheme="minorHAnsi"/>
              </w:rPr>
              <w:t>2</w:t>
            </w:r>
          </w:p>
        </w:tc>
      </w:tr>
      <w:tr w:rsidR="00771ADF" w14:paraId="3D388335" w14:textId="77777777" w:rsidTr="00577401">
        <w:tc>
          <w:tcPr>
            <w:tcW w:w="1980" w:type="dxa"/>
          </w:tcPr>
          <w:p w14:paraId="5EBF6047" w14:textId="6D07E5AF" w:rsidR="00771ADF" w:rsidRDefault="00771ADF" w:rsidP="008A5CC5">
            <w:pPr>
              <w:jc w:val="both"/>
              <w:rPr>
                <w:rFonts w:cstheme="minorHAnsi"/>
              </w:rPr>
            </w:pPr>
            <w:r>
              <w:rPr>
                <w:rFonts w:cstheme="minorHAnsi"/>
              </w:rPr>
              <w:t>4</w:t>
            </w:r>
          </w:p>
        </w:tc>
        <w:tc>
          <w:tcPr>
            <w:tcW w:w="1701" w:type="dxa"/>
          </w:tcPr>
          <w:p w14:paraId="6EDD5CA8" w14:textId="7008D79F" w:rsidR="00771ADF" w:rsidRDefault="00577401" w:rsidP="008A5CC5">
            <w:pPr>
              <w:jc w:val="both"/>
              <w:rPr>
                <w:rFonts w:cstheme="minorHAnsi"/>
              </w:rPr>
            </w:pPr>
            <w:r>
              <w:rPr>
                <w:rFonts w:cstheme="minorHAnsi"/>
              </w:rPr>
              <w:t>1</w:t>
            </w:r>
          </w:p>
        </w:tc>
      </w:tr>
      <w:tr w:rsidR="00771ADF" w14:paraId="0115680E" w14:textId="77777777" w:rsidTr="00577401">
        <w:tc>
          <w:tcPr>
            <w:tcW w:w="1980" w:type="dxa"/>
          </w:tcPr>
          <w:p w14:paraId="3C0E4A91" w14:textId="27D496E1" w:rsidR="00771ADF" w:rsidRDefault="00577401" w:rsidP="008A5CC5">
            <w:pPr>
              <w:jc w:val="both"/>
              <w:rPr>
                <w:rFonts w:cstheme="minorHAnsi"/>
              </w:rPr>
            </w:pPr>
            <w:r>
              <w:rPr>
                <w:rFonts w:cstheme="minorHAnsi"/>
              </w:rPr>
              <w:t>5</w:t>
            </w:r>
          </w:p>
        </w:tc>
        <w:tc>
          <w:tcPr>
            <w:tcW w:w="1701" w:type="dxa"/>
          </w:tcPr>
          <w:p w14:paraId="0B4F6D01" w14:textId="1E44EEF7" w:rsidR="00771ADF" w:rsidRDefault="00577401" w:rsidP="008A5CC5">
            <w:pPr>
              <w:jc w:val="both"/>
              <w:rPr>
                <w:rFonts w:cstheme="minorHAnsi"/>
              </w:rPr>
            </w:pPr>
            <w:r>
              <w:rPr>
                <w:rFonts w:cstheme="minorHAnsi"/>
              </w:rPr>
              <w:t>2</w:t>
            </w:r>
          </w:p>
        </w:tc>
      </w:tr>
      <w:tr w:rsidR="00771ADF" w14:paraId="7D986019" w14:textId="77777777" w:rsidTr="00577401">
        <w:tc>
          <w:tcPr>
            <w:tcW w:w="1980" w:type="dxa"/>
          </w:tcPr>
          <w:p w14:paraId="2D458667" w14:textId="21ACF940" w:rsidR="00771ADF" w:rsidRDefault="00577401" w:rsidP="008A5CC5">
            <w:pPr>
              <w:jc w:val="both"/>
              <w:rPr>
                <w:rFonts w:cstheme="minorHAnsi"/>
              </w:rPr>
            </w:pPr>
            <w:r>
              <w:rPr>
                <w:rFonts w:cstheme="minorHAnsi"/>
              </w:rPr>
              <w:t>6</w:t>
            </w:r>
          </w:p>
        </w:tc>
        <w:tc>
          <w:tcPr>
            <w:tcW w:w="1701" w:type="dxa"/>
          </w:tcPr>
          <w:p w14:paraId="5F41E26D" w14:textId="55904B7A" w:rsidR="00771ADF" w:rsidRDefault="00577401" w:rsidP="008A5CC5">
            <w:pPr>
              <w:jc w:val="both"/>
              <w:rPr>
                <w:rFonts w:cstheme="minorHAnsi"/>
              </w:rPr>
            </w:pPr>
            <w:r>
              <w:rPr>
                <w:rFonts w:cstheme="minorHAnsi"/>
              </w:rPr>
              <w:t>2</w:t>
            </w:r>
          </w:p>
        </w:tc>
      </w:tr>
      <w:tr w:rsidR="00771ADF" w14:paraId="79657AEB" w14:textId="77777777" w:rsidTr="00577401">
        <w:tc>
          <w:tcPr>
            <w:tcW w:w="1980" w:type="dxa"/>
          </w:tcPr>
          <w:p w14:paraId="59ABA833" w14:textId="03E2D8FB" w:rsidR="00771ADF" w:rsidRDefault="00577401" w:rsidP="008A5CC5">
            <w:pPr>
              <w:jc w:val="both"/>
              <w:rPr>
                <w:rFonts w:cstheme="minorHAnsi"/>
              </w:rPr>
            </w:pPr>
            <w:r>
              <w:rPr>
                <w:rFonts w:cstheme="minorHAnsi"/>
              </w:rPr>
              <w:t>7</w:t>
            </w:r>
          </w:p>
        </w:tc>
        <w:tc>
          <w:tcPr>
            <w:tcW w:w="1701" w:type="dxa"/>
          </w:tcPr>
          <w:p w14:paraId="296095F4" w14:textId="1BAC67AE" w:rsidR="00771ADF" w:rsidRDefault="00577401" w:rsidP="008A5CC5">
            <w:pPr>
              <w:jc w:val="both"/>
              <w:rPr>
                <w:rFonts w:cstheme="minorHAnsi"/>
              </w:rPr>
            </w:pPr>
            <w:r>
              <w:rPr>
                <w:rFonts w:cstheme="minorHAnsi"/>
              </w:rPr>
              <w:t>3</w:t>
            </w:r>
          </w:p>
        </w:tc>
      </w:tr>
      <w:tr w:rsidR="00771ADF" w14:paraId="6BA3B00F" w14:textId="77777777" w:rsidTr="00577401">
        <w:tc>
          <w:tcPr>
            <w:tcW w:w="1980" w:type="dxa"/>
          </w:tcPr>
          <w:p w14:paraId="45297BF0" w14:textId="30AAC8A9" w:rsidR="00771ADF" w:rsidRDefault="00577401" w:rsidP="008A5CC5">
            <w:pPr>
              <w:jc w:val="both"/>
              <w:rPr>
                <w:rFonts w:cstheme="minorHAnsi"/>
              </w:rPr>
            </w:pPr>
            <w:r>
              <w:rPr>
                <w:rFonts w:cstheme="minorHAnsi"/>
              </w:rPr>
              <w:t>8</w:t>
            </w:r>
          </w:p>
        </w:tc>
        <w:tc>
          <w:tcPr>
            <w:tcW w:w="1701" w:type="dxa"/>
          </w:tcPr>
          <w:p w14:paraId="638475AF" w14:textId="40124851" w:rsidR="00771ADF" w:rsidRDefault="00577401" w:rsidP="008A5CC5">
            <w:pPr>
              <w:jc w:val="both"/>
              <w:rPr>
                <w:rFonts w:cstheme="minorHAnsi"/>
              </w:rPr>
            </w:pPr>
            <w:r>
              <w:rPr>
                <w:rFonts w:cstheme="minorHAnsi"/>
              </w:rPr>
              <w:t>4</w:t>
            </w:r>
          </w:p>
        </w:tc>
      </w:tr>
      <w:tr w:rsidR="00577401" w14:paraId="0D3A85D6" w14:textId="77777777" w:rsidTr="00577401">
        <w:tc>
          <w:tcPr>
            <w:tcW w:w="1980" w:type="dxa"/>
          </w:tcPr>
          <w:p w14:paraId="184F063B" w14:textId="7B66807C" w:rsidR="00577401" w:rsidRDefault="00577401" w:rsidP="00265D57">
            <w:pPr>
              <w:jc w:val="both"/>
              <w:rPr>
                <w:rFonts w:cstheme="minorHAnsi"/>
              </w:rPr>
            </w:pPr>
            <w:r>
              <w:rPr>
                <w:rFonts w:cstheme="minorHAnsi"/>
              </w:rPr>
              <w:t>9</w:t>
            </w:r>
          </w:p>
        </w:tc>
        <w:tc>
          <w:tcPr>
            <w:tcW w:w="1701" w:type="dxa"/>
          </w:tcPr>
          <w:p w14:paraId="2AAEC14E" w14:textId="186D178E" w:rsidR="00577401" w:rsidRDefault="00577401" w:rsidP="00265D57">
            <w:pPr>
              <w:jc w:val="both"/>
              <w:rPr>
                <w:rFonts w:cstheme="minorHAnsi"/>
              </w:rPr>
            </w:pPr>
            <w:r>
              <w:rPr>
                <w:rFonts w:cstheme="minorHAnsi"/>
              </w:rPr>
              <w:t>0</w:t>
            </w:r>
          </w:p>
        </w:tc>
      </w:tr>
      <w:tr w:rsidR="00577401" w14:paraId="155D3D40" w14:textId="77777777" w:rsidTr="00577401">
        <w:tc>
          <w:tcPr>
            <w:tcW w:w="1980" w:type="dxa"/>
          </w:tcPr>
          <w:p w14:paraId="192D1492" w14:textId="7DBC05EA" w:rsidR="00577401" w:rsidRDefault="00577401" w:rsidP="00265D57">
            <w:pPr>
              <w:jc w:val="both"/>
              <w:rPr>
                <w:rFonts w:cstheme="minorHAnsi"/>
              </w:rPr>
            </w:pPr>
            <w:r>
              <w:rPr>
                <w:rFonts w:cstheme="minorHAnsi"/>
              </w:rPr>
              <w:t>10</w:t>
            </w:r>
          </w:p>
        </w:tc>
        <w:tc>
          <w:tcPr>
            <w:tcW w:w="1701" w:type="dxa"/>
          </w:tcPr>
          <w:p w14:paraId="717AF6DC" w14:textId="2C2D6B0B" w:rsidR="00577401" w:rsidRDefault="00577401" w:rsidP="00265D57">
            <w:pPr>
              <w:jc w:val="both"/>
              <w:rPr>
                <w:rFonts w:cstheme="minorHAnsi"/>
              </w:rPr>
            </w:pPr>
            <w:r>
              <w:rPr>
                <w:rFonts w:cstheme="minorHAnsi"/>
              </w:rPr>
              <w:t>1</w:t>
            </w:r>
          </w:p>
        </w:tc>
      </w:tr>
      <w:tr w:rsidR="00577401" w14:paraId="4FF750CC" w14:textId="77777777" w:rsidTr="00577401">
        <w:tc>
          <w:tcPr>
            <w:tcW w:w="1980" w:type="dxa"/>
          </w:tcPr>
          <w:p w14:paraId="3503864F" w14:textId="4ED0055E" w:rsidR="00577401" w:rsidRDefault="00577401" w:rsidP="00265D57">
            <w:pPr>
              <w:jc w:val="both"/>
              <w:rPr>
                <w:rFonts w:cstheme="minorHAnsi"/>
              </w:rPr>
            </w:pPr>
            <w:r>
              <w:rPr>
                <w:rFonts w:cstheme="minorHAnsi"/>
              </w:rPr>
              <w:t>11</w:t>
            </w:r>
          </w:p>
        </w:tc>
        <w:tc>
          <w:tcPr>
            <w:tcW w:w="1701" w:type="dxa"/>
          </w:tcPr>
          <w:p w14:paraId="6344582B" w14:textId="65705145" w:rsidR="00577401" w:rsidRDefault="00577401" w:rsidP="00265D57">
            <w:pPr>
              <w:jc w:val="both"/>
              <w:rPr>
                <w:rFonts w:cstheme="minorHAnsi"/>
              </w:rPr>
            </w:pPr>
            <w:r>
              <w:rPr>
                <w:rFonts w:cstheme="minorHAnsi"/>
              </w:rPr>
              <w:t>1</w:t>
            </w:r>
          </w:p>
        </w:tc>
      </w:tr>
      <w:tr w:rsidR="00577401" w14:paraId="00078100" w14:textId="77777777" w:rsidTr="00577401">
        <w:tc>
          <w:tcPr>
            <w:tcW w:w="1980" w:type="dxa"/>
          </w:tcPr>
          <w:p w14:paraId="5DE38084" w14:textId="0B95CE95" w:rsidR="00577401" w:rsidRDefault="00577401" w:rsidP="00265D57">
            <w:pPr>
              <w:jc w:val="both"/>
              <w:rPr>
                <w:rFonts w:cstheme="minorHAnsi"/>
              </w:rPr>
            </w:pPr>
            <w:r>
              <w:rPr>
                <w:rFonts w:cstheme="minorHAnsi"/>
              </w:rPr>
              <w:lastRenderedPageBreak/>
              <w:t>12</w:t>
            </w:r>
          </w:p>
        </w:tc>
        <w:tc>
          <w:tcPr>
            <w:tcW w:w="1701" w:type="dxa"/>
          </w:tcPr>
          <w:p w14:paraId="7BC6430F" w14:textId="20EAC0D3" w:rsidR="00577401" w:rsidRDefault="00577401" w:rsidP="00265D57">
            <w:pPr>
              <w:jc w:val="both"/>
              <w:rPr>
                <w:rFonts w:cstheme="minorHAnsi"/>
              </w:rPr>
            </w:pPr>
            <w:r>
              <w:rPr>
                <w:rFonts w:cstheme="minorHAnsi"/>
              </w:rPr>
              <w:t>2</w:t>
            </w:r>
          </w:p>
        </w:tc>
      </w:tr>
      <w:tr w:rsidR="00577401" w14:paraId="6710FBAE" w14:textId="77777777" w:rsidTr="00577401">
        <w:tc>
          <w:tcPr>
            <w:tcW w:w="1980" w:type="dxa"/>
          </w:tcPr>
          <w:p w14:paraId="3AEC9BDE" w14:textId="63205FD5" w:rsidR="00577401" w:rsidRDefault="00577401" w:rsidP="00265D57">
            <w:pPr>
              <w:jc w:val="both"/>
              <w:rPr>
                <w:rFonts w:cstheme="minorHAnsi"/>
              </w:rPr>
            </w:pPr>
            <w:r>
              <w:rPr>
                <w:rFonts w:cstheme="minorHAnsi"/>
              </w:rPr>
              <w:t>13</w:t>
            </w:r>
          </w:p>
        </w:tc>
        <w:tc>
          <w:tcPr>
            <w:tcW w:w="1701" w:type="dxa"/>
          </w:tcPr>
          <w:p w14:paraId="22245657" w14:textId="68F422AF" w:rsidR="00577401" w:rsidRDefault="00577401" w:rsidP="00265D57">
            <w:pPr>
              <w:jc w:val="both"/>
              <w:rPr>
                <w:rFonts w:cstheme="minorHAnsi"/>
              </w:rPr>
            </w:pPr>
            <w:r>
              <w:rPr>
                <w:rFonts w:cstheme="minorHAnsi"/>
              </w:rPr>
              <w:t>1</w:t>
            </w:r>
          </w:p>
        </w:tc>
      </w:tr>
      <w:tr w:rsidR="00577401" w14:paraId="1D609D31" w14:textId="77777777" w:rsidTr="00577401">
        <w:tc>
          <w:tcPr>
            <w:tcW w:w="1980" w:type="dxa"/>
          </w:tcPr>
          <w:p w14:paraId="7A960622" w14:textId="17BE857A" w:rsidR="00577401" w:rsidRDefault="00577401" w:rsidP="00265D57">
            <w:pPr>
              <w:jc w:val="both"/>
              <w:rPr>
                <w:rFonts w:cstheme="minorHAnsi"/>
              </w:rPr>
            </w:pPr>
            <w:r>
              <w:rPr>
                <w:rFonts w:cstheme="minorHAnsi"/>
              </w:rPr>
              <w:t>14</w:t>
            </w:r>
          </w:p>
        </w:tc>
        <w:tc>
          <w:tcPr>
            <w:tcW w:w="1701" w:type="dxa"/>
          </w:tcPr>
          <w:p w14:paraId="68764C79" w14:textId="78E39113" w:rsidR="00577401" w:rsidRDefault="00577401" w:rsidP="00265D57">
            <w:pPr>
              <w:jc w:val="both"/>
              <w:rPr>
                <w:rFonts w:cstheme="minorHAnsi"/>
              </w:rPr>
            </w:pPr>
            <w:r>
              <w:rPr>
                <w:rFonts w:cstheme="minorHAnsi"/>
              </w:rPr>
              <w:t>1</w:t>
            </w:r>
          </w:p>
        </w:tc>
      </w:tr>
      <w:tr w:rsidR="00577401" w14:paraId="47300134" w14:textId="77777777" w:rsidTr="00577401">
        <w:tc>
          <w:tcPr>
            <w:tcW w:w="1980" w:type="dxa"/>
          </w:tcPr>
          <w:p w14:paraId="69C5B954" w14:textId="18E003FB" w:rsidR="00577401" w:rsidRDefault="00577401" w:rsidP="00265D57">
            <w:pPr>
              <w:jc w:val="both"/>
              <w:rPr>
                <w:rFonts w:cstheme="minorHAnsi"/>
              </w:rPr>
            </w:pPr>
            <w:r>
              <w:rPr>
                <w:rFonts w:cstheme="minorHAnsi"/>
              </w:rPr>
              <w:t>15</w:t>
            </w:r>
          </w:p>
        </w:tc>
        <w:tc>
          <w:tcPr>
            <w:tcW w:w="1701" w:type="dxa"/>
          </w:tcPr>
          <w:p w14:paraId="6163A7FA" w14:textId="4D418F9F" w:rsidR="00577401" w:rsidRDefault="00577401" w:rsidP="00265D57">
            <w:pPr>
              <w:jc w:val="both"/>
              <w:rPr>
                <w:rFonts w:cstheme="minorHAnsi"/>
              </w:rPr>
            </w:pPr>
            <w:r>
              <w:rPr>
                <w:rFonts w:cstheme="minorHAnsi"/>
              </w:rPr>
              <w:t>1</w:t>
            </w:r>
          </w:p>
        </w:tc>
      </w:tr>
    </w:tbl>
    <w:p w14:paraId="64D6CBFA" w14:textId="1C7C316C" w:rsidR="000C691F" w:rsidRDefault="000C691F" w:rsidP="008A5CC5">
      <w:pPr>
        <w:jc w:val="both"/>
        <w:rPr>
          <w:rFonts w:cstheme="minorHAnsi"/>
        </w:rPr>
      </w:pPr>
    </w:p>
    <w:p w14:paraId="618DC143" w14:textId="7587877E" w:rsidR="006E7FF2" w:rsidRDefault="006E7FF2" w:rsidP="008A5CC5">
      <w:pPr>
        <w:jc w:val="both"/>
        <w:rPr>
          <w:rFonts w:cstheme="minorHAnsi"/>
        </w:rPr>
      </w:pPr>
      <w:r>
        <w:rPr>
          <w:rFonts w:cstheme="minorHAnsi"/>
        </w:rPr>
        <w:t xml:space="preserve">This shows a significant difference between participants in the amount of PL engaged with. </w:t>
      </w:r>
      <w:r>
        <w:t xml:space="preserve">For example, </w:t>
      </w:r>
      <w:r w:rsidR="003402C0">
        <w:t>2</w:t>
      </w:r>
      <w:r>
        <w:t xml:space="preserve"> of the participants had engaged with only </w:t>
      </w:r>
      <w:r w:rsidR="003402C0">
        <w:t>2</w:t>
      </w:r>
      <w:r>
        <w:t xml:space="preserve"> PL activities</w:t>
      </w:r>
      <w:r w:rsidR="002C5CBB">
        <w:t xml:space="preserve">, </w:t>
      </w:r>
      <w:r>
        <w:t xml:space="preserve"> </w:t>
      </w:r>
      <w:r w:rsidR="002C5CBB">
        <w:t>o</w:t>
      </w:r>
      <w:r>
        <w:t xml:space="preserve">ne had undertaken some personal reading and been involved in a school curriculum working party, </w:t>
      </w:r>
      <w:r w:rsidR="002C5CBB">
        <w:t xml:space="preserve">and the </w:t>
      </w:r>
      <w:r>
        <w:t xml:space="preserve">second had attended a school led </w:t>
      </w:r>
      <w:r w:rsidR="002C5CBB">
        <w:t>and a</w:t>
      </w:r>
      <w:r>
        <w:t xml:space="preserve"> consultant led school </w:t>
      </w:r>
      <w:r w:rsidR="002C5CBB">
        <w:t>INSET</w:t>
      </w:r>
      <w:r>
        <w:t xml:space="preserve">.  In contrast, </w:t>
      </w:r>
      <w:r w:rsidR="003402C0">
        <w:t>1</w:t>
      </w:r>
      <w:r>
        <w:t xml:space="preserve"> of the other participants had engaged with 15 different PL activities, including National Networks, regional PL and networks, school PL events and working parties, and significant personal reading and university accredited research.  </w:t>
      </w:r>
    </w:p>
    <w:p w14:paraId="6A1046CA" w14:textId="379D6BF2" w:rsidR="004651A1" w:rsidRDefault="004651A1" w:rsidP="008A5CC5">
      <w:pPr>
        <w:jc w:val="both"/>
        <w:rPr>
          <w:rFonts w:cstheme="minorHAnsi"/>
        </w:rPr>
      </w:pPr>
      <w:r>
        <w:rPr>
          <w:rFonts w:cstheme="minorHAnsi"/>
        </w:rPr>
        <w:t xml:space="preserve">The extent of engagement with PL activities was probed to a greater extent at interview.  The table below outlines the extent of engagement with PL activities </w:t>
      </w:r>
      <w:r w:rsidR="000E1540">
        <w:rPr>
          <w:rFonts w:cstheme="minorHAnsi"/>
        </w:rPr>
        <w:t xml:space="preserve">of </w:t>
      </w:r>
      <w:r>
        <w:rPr>
          <w:rFonts w:cstheme="minorHAnsi"/>
        </w:rPr>
        <w:t xml:space="preserve">each interviewee. </w:t>
      </w:r>
      <w:r w:rsidR="00C47107">
        <w:rPr>
          <w:rFonts w:cstheme="minorHAnsi"/>
        </w:rPr>
        <w:t xml:space="preserve"> </w:t>
      </w:r>
    </w:p>
    <w:p w14:paraId="05BD2530" w14:textId="10CB743E" w:rsidR="004651A1" w:rsidRPr="000E1540" w:rsidRDefault="004651A1" w:rsidP="008A5CC5">
      <w:pPr>
        <w:jc w:val="both"/>
        <w:rPr>
          <w:rFonts w:cstheme="minorHAnsi"/>
          <w:i/>
          <w:iCs/>
        </w:rPr>
      </w:pPr>
      <w:r w:rsidRPr="000E1540">
        <w:rPr>
          <w:rFonts w:cstheme="minorHAnsi"/>
          <w:i/>
          <w:iCs/>
        </w:rPr>
        <w:t>Table 6</w:t>
      </w:r>
      <w:r w:rsidR="00C47107" w:rsidRPr="000E1540">
        <w:rPr>
          <w:rFonts w:cstheme="minorHAnsi"/>
          <w:i/>
          <w:iCs/>
        </w:rPr>
        <w:t xml:space="preserve">: </w:t>
      </w:r>
      <w:r w:rsidRPr="000E1540">
        <w:rPr>
          <w:rFonts w:cstheme="minorHAnsi"/>
          <w:i/>
          <w:iCs/>
        </w:rPr>
        <w:t xml:space="preserve"> Range of PL activities each interviewee </w:t>
      </w:r>
      <w:r w:rsidR="00C47107" w:rsidRPr="000E1540">
        <w:rPr>
          <w:rFonts w:cstheme="minorHAnsi"/>
          <w:i/>
          <w:iCs/>
        </w:rPr>
        <w:t xml:space="preserve">has </w:t>
      </w:r>
      <w:r w:rsidRPr="000E1540">
        <w:rPr>
          <w:rFonts w:cstheme="minorHAnsi"/>
          <w:i/>
          <w:iCs/>
        </w:rPr>
        <w:t>engaged with</w:t>
      </w:r>
      <w:r w:rsidR="00C47107" w:rsidRPr="000E1540">
        <w:rPr>
          <w:rFonts w:cstheme="minorHAnsi"/>
          <w:i/>
          <w:iCs/>
        </w:rPr>
        <w:t xml:space="preserve">. </w:t>
      </w:r>
    </w:p>
    <w:tbl>
      <w:tblPr>
        <w:tblStyle w:val="TableGrid"/>
        <w:tblW w:w="9351" w:type="dxa"/>
        <w:tblLook w:val="04A0" w:firstRow="1" w:lastRow="0" w:firstColumn="1" w:lastColumn="0" w:noHBand="0" w:noVBand="1"/>
      </w:tblPr>
      <w:tblGrid>
        <w:gridCol w:w="1271"/>
        <w:gridCol w:w="1985"/>
        <w:gridCol w:w="2066"/>
        <w:gridCol w:w="2044"/>
        <w:gridCol w:w="1985"/>
      </w:tblGrid>
      <w:tr w:rsidR="004651A1" w14:paraId="4012C973" w14:textId="77777777" w:rsidTr="000E1540">
        <w:tc>
          <w:tcPr>
            <w:tcW w:w="1271" w:type="dxa"/>
            <w:shd w:val="clear" w:color="auto" w:fill="E7E6E6" w:themeFill="background2"/>
          </w:tcPr>
          <w:p w14:paraId="74987F5B" w14:textId="422BC4B0" w:rsidR="004651A1" w:rsidRDefault="004651A1" w:rsidP="008A5CC5">
            <w:pPr>
              <w:jc w:val="both"/>
              <w:rPr>
                <w:rFonts w:cstheme="minorHAnsi"/>
              </w:rPr>
            </w:pPr>
            <w:r>
              <w:rPr>
                <w:rFonts w:cstheme="minorHAnsi"/>
              </w:rPr>
              <w:t>Category of PL</w:t>
            </w:r>
          </w:p>
        </w:tc>
        <w:tc>
          <w:tcPr>
            <w:tcW w:w="1985" w:type="dxa"/>
            <w:shd w:val="clear" w:color="auto" w:fill="E7E6E6" w:themeFill="background2"/>
          </w:tcPr>
          <w:p w14:paraId="15E258B6" w14:textId="7C982A37" w:rsidR="004651A1" w:rsidRDefault="004651A1" w:rsidP="008A5CC5">
            <w:pPr>
              <w:jc w:val="both"/>
              <w:rPr>
                <w:rFonts w:cstheme="minorHAnsi"/>
              </w:rPr>
            </w:pPr>
            <w:r>
              <w:rPr>
                <w:rFonts w:cstheme="minorHAnsi"/>
              </w:rPr>
              <w:t>Teacher L</w:t>
            </w:r>
          </w:p>
        </w:tc>
        <w:tc>
          <w:tcPr>
            <w:tcW w:w="2066" w:type="dxa"/>
            <w:shd w:val="clear" w:color="auto" w:fill="E7E6E6" w:themeFill="background2"/>
          </w:tcPr>
          <w:p w14:paraId="2771F3C5" w14:textId="79066E13" w:rsidR="004651A1" w:rsidRDefault="004651A1" w:rsidP="008A5CC5">
            <w:pPr>
              <w:jc w:val="both"/>
              <w:rPr>
                <w:rFonts w:cstheme="minorHAnsi"/>
              </w:rPr>
            </w:pPr>
            <w:r>
              <w:rPr>
                <w:rFonts w:cstheme="minorHAnsi"/>
              </w:rPr>
              <w:t>Teacher P</w:t>
            </w:r>
          </w:p>
        </w:tc>
        <w:tc>
          <w:tcPr>
            <w:tcW w:w="2044" w:type="dxa"/>
            <w:shd w:val="clear" w:color="auto" w:fill="E7E6E6" w:themeFill="background2"/>
          </w:tcPr>
          <w:p w14:paraId="59A18224" w14:textId="05E5D619" w:rsidR="004651A1" w:rsidRDefault="004651A1" w:rsidP="008A5CC5">
            <w:pPr>
              <w:jc w:val="both"/>
              <w:rPr>
                <w:rFonts w:cstheme="minorHAnsi"/>
              </w:rPr>
            </w:pPr>
            <w:r>
              <w:rPr>
                <w:rFonts w:cstheme="minorHAnsi"/>
              </w:rPr>
              <w:t>Teacher M</w:t>
            </w:r>
          </w:p>
        </w:tc>
        <w:tc>
          <w:tcPr>
            <w:tcW w:w="1985" w:type="dxa"/>
            <w:shd w:val="clear" w:color="auto" w:fill="E7E6E6" w:themeFill="background2"/>
          </w:tcPr>
          <w:p w14:paraId="240A740D" w14:textId="4BE8BDF9" w:rsidR="004651A1" w:rsidRDefault="004651A1" w:rsidP="008A5CC5">
            <w:pPr>
              <w:jc w:val="both"/>
              <w:rPr>
                <w:rFonts w:cstheme="minorHAnsi"/>
              </w:rPr>
            </w:pPr>
            <w:r>
              <w:rPr>
                <w:rFonts w:cstheme="minorHAnsi"/>
              </w:rPr>
              <w:t>Teacher T</w:t>
            </w:r>
          </w:p>
        </w:tc>
      </w:tr>
      <w:tr w:rsidR="004651A1" w14:paraId="08E9FD29" w14:textId="77777777" w:rsidTr="00C47107">
        <w:tc>
          <w:tcPr>
            <w:tcW w:w="1271" w:type="dxa"/>
          </w:tcPr>
          <w:p w14:paraId="493E580E" w14:textId="384720A0" w:rsidR="004651A1" w:rsidRDefault="004651A1" w:rsidP="008A5CC5">
            <w:pPr>
              <w:jc w:val="both"/>
              <w:rPr>
                <w:rFonts w:cstheme="minorHAnsi"/>
              </w:rPr>
            </w:pPr>
            <w:r>
              <w:rPr>
                <w:rFonts w:cstheme="minorHAnsi"/>
              </w:rPr>
              <w:t>Individual PL</w:t>
            </w:r>
          </w:p>
        </w:tc>
        <w:tc>
          <w:tcPr>
            <w:tcW w:w="1985" w:type="dxa"/>
          </w:tcPr>
          <w:p w14:paraId="2BC7197E" w14:textId="67FC6961" w:rsidR="004651A1" w:rsidRDefault="00C47107" w:rsidP="008A5CC5">
            <w:pPr>
              <w:jc w:val="both"/>
              <w:rPr>
                <w:rFonts w:cstheme="minorHAnsi"/>
              </w:rPr>
            </w:pPr>
            <w:r>
              <w:rPr>
                <w:rFonts w:cstheme="minorHAnsi"/>
              </w:rPr>
              <w:t xml:space="preserve">Social media engagement. </w:t>
            </w:r>
          </w:p>
        </w:tc>
        <w:tc>
          <w:tcPr>
            <w:tcW w:w="2066" w:type="dxa"/>
          </w:tcPr>
          <w:p w14:paraId="1029D303" w14:textId="39380761" w:rsidR="004651A1" w:rsidRDefault="00C47107" w:rsidP="008A5CC5">
            <w:pPr>
              <w:jc w:val="both"/>
              <w:rPr>
                <w:rFonts w:cstheme="minorHAnsi"/>
              </w:rPr>
            </w:pPr>
            <w:r>
              <w:rPr>
                <w:rFonts w:cstheme="minorHAnsi"/>
              </w:rPr>
              <w:t xml:space="preserve">Social media engagement. </w:t>
            </w:r>
          </w:p>
        </w:tc>
        <w:tc>
          <w:tcPr>
            <w:tcW w:w="2044" w:type="dxa"/>
          </w:tcPr>
          <w:p w14:paraId="117D310D" w14:textId="77777777" w:rsidR="004651A1" w:rsidRDefault="00C47107" w:rsidP="008A5CC5">
            <w:pPr>
              <w:jc w:val="both"/>
              <w:rPr>
                <w:rFonts w:cstheme="minorHAnsi"/>
              </w:rPr>
            </w:pPr>
            <w:r>
              <w:rPr>
                <w:rFonts w:cstheme="minorHAnsi"/>
              </w:rPr>
              <w:t>Professional doctorate.</w:t>
            </w:r>
          </w:p>
          <w:p w14:paraId="503DEB32" w14:textId="1871AB84" w:rsidR="00C47107" w:rsidRDefault="00C47107" w:rsidP="008A5CC5">
            <w:pPr>
              <w:jc w:val="both"/>
              <w:rPr>
                <w:rFonts w:cstheme="minorHAnsi"/>
              </w:rPr>
            </w:pPr>
            <w:r>
              <w:rPr>
                <w:rFonts w:cstheme="minorHAnsi"/>
              </w:rPr>
              <w:t xml:space="preserve">Background reading and research. </w:t>
            </w:r>
          </w:p>
          <w:p w14:paraId="7C2E22A9" w14:textId="53A5FCC1" w:rsidR="00C47107" w:rsidRDefault="00C47107" w:rsidP="008A5CC5">
            <w:pPr>
              <w:jc w:val="both"/>
              <w:rPr>
                <w:rFonts w:cstheme="minorHAnsi"/>
              </w:rPr>
            </w:pPr>
            <w:r>
              <w:rPr>
                <w:rFonts w:cstheme="minorHAnsi"/>
              </w:rPr>
              <w:t xml:space="preserve">Social media engagement. </w:t>
            </w:r>
          </w:p>
          <w:p w14:paraId="6B67B360" w14:textId="6B307F9F" w:rsidR="00C47107" w:rsidRDefault="00C47107" w:rsidP="008A5CC5">
            <w:pPr>
              <w:jc w:val="both"/>
              <w:rPr>
                <w:rFonts w:cstheme="minorHAnsi"/>
              </w:rPr>
            </w:pPr>
            <w:r>
              <w:rPr>
                <w:rFonts w:cstheme="minorHAnsi"/>
              </w:rPr>
              <w:t xml:space="preserve">One to one discussions with other practitioners. </w:t>
            </w:r>
          </w:p>
          <w:p w14:paraId="2F90E492" w14:textId="253E2C0C" w:rsidR="00C47107" w:rsidRDefault="00C47107" w:rsidP="008A5CC5">
            <w:pPr>
              <w:jc w:val="both"/>
              <w:rPr>
                <w:rFonts w:cstheme="minorHAnsi"/>
              </w:rPr>
            </w:pPr>
          </w:p>
        </w:tc>
        <w:tc>
          <w:tcPr>
            <w:tcW w:w="1985" w:type="dxa"/>
          </w:tcPr>
          <w:p w14:paraId="7DAD637E" w14:textId="77777777" w:rsidR="00C47107" w:rsidRDefault="00C47107" w:rsidP="008A5CC5">
            <w:pPr>
              <w:jc w:val="both"/>
              <w:rPr>
                <w:rFonts w:cstheme="minorHAnsi"/>
              </w:rPr>
            </w:pPr>
            <w:r>
              <w:rPr>
                <w:rFonts w:cstheme="minorHAnsi"/>
              </w:rPr>
              <w:t xml:space="preserve">One to one contact with meetings with academics. </w:t>
            </w:r>
          </w:p>
          <w:p w14:paraId="5B738CE9" w14:textId="77777777" w:rsidR="004651A1" w:rsidRDefault="00C47107" w:rsidP="008A5CC5">
            <w:pPr>
              <w:jc w:val="both"/>
              <w:rPr>
                <w:rFonts w:cstheme="minorHAnsi"/>
              </w:rPr>
            </w:pPr>
            <w:r>
              <w:rPr>
                <w:rFonts w:cstheme="minorHAnsi"/>
              </w:rPr>
              <w:t xml:space="preserve">Meetings with colleagues from other schools. </w:t>
            </w:r>
          </w:p>
          <w:p w14:paraId="044DA27C" w14:textId="77777777" w:rsidR="00C47107" w:rsidRDefault="00C47107" w:rsidP="008A5CC5">
            <w:pPr>
              <w:jc w:val="both"/>
              <w:rPr>
                <w:rFonts w:cstheme="minorHAnsi"/>
              </w:rPr>
            </w:pPr>
            <w:r>
              <w:rPr>
                <w:rFonts w:cstheme="minorHAnsi"/>
              </w:rPr>
              <w:t xml:space="preserve">Social media engagement. </w:t>
            </w:r>
          </w:p>
          <w:p w14:paraId="649D7DA5" w14:textId="66D28015" w:rsidR="00C47107" w:rsidRDefault="00C47107" w:rsidP="008A5CC5">
            <w:pPr>
              <w:jc w:val="both"/>
              <w:rPr>
                <w:rFonts w:cstheme="minorHAnsi"/>
              </w:rPr>
            </w:pPr>
            <w:r>
              <w:rPr>
                <w:rFonts w:cstheme="minorHAnsi"/>
              </w:rPr>
              <w:t xml:space="preserve">Reading and research. </w:t>
            </w:r>
          </w:p>
        </w:tc>
      </w:tr>
      <w:tr w:rsidR="004651A1" w14:paraId="182AB9F8" w14:textId="77777777" w:rsidTr="00C47107">
        <w:tc>
          <w:tcPr>
            <w:tcW w:w="1271" w:type="dxa"/>
          </w:tcPr>
          <w:p w14:paraId="69B8850E" w14:textId="5D2B09DA" w:rsidR="004651A1" w:rsidRDefault="004651A1" w:rsidP="008A5CC5">
            <w:pPr>
              <w:jc w:val="both"/>
              <w:rPr>
                <w:rFonts w:cstheme="minorHAnsi"/>
              </w:rPr>
            </w:pPr>
            <w:r>
              <w:rPr>
                <w:rFonts w:cstheme="minorHAnsi"/>
              </w:rPr>
              <w:t>School led PL</w:t>
            </w:r>
          </w:p>
        </w:tc>
        <w:tc>
          <w:tcPr>
            <w:tcW w:w="1985" w:type="dxa"/>
          </w:tcPr>
          <w:p w14:paraId="60A500ED" w14:textId="77777777" w:rsidR="00C47107" w:rsidRDefault="00C47107" w:rsidP="008A5CC5">
            <w:pPr>
              <w:jc w:val="both"/>
              <w:rPr>
                <w:rFonts w:cstheme="minorHAnsi"/>
              </w:rPr>
            </w:pPr>
            <w:r>
              <w:rPr>
                <w:rFonts w:cstheme="minorHAnsi"/>
              </w:rPr>
              <w:t xml:space="preserve">School led INSET sessions. </w:t>
            </w:r>
          </w:p>
          <w:p w14:paraId="66D55E13" w14:textId="468650B9" w:rsidR="00C47107" w:rsidRDefault="00C47107" w:rsidP="008A5CC5">
            <w:pPr>
              <w:jc w:val="both"/>
              <w:rPr>
                <w:rFonts w:cstheme="minorHAnsi"/>
              </w:rPr>
            </w:pPr>
            <w:r>
              <w:rPr>
                <w:rFonts w:cstheme="minorHAnsi"/>
              </w:rPr>
              <w:t xml:space="preserve">Departmental collaborations. </w:t>
            </w:r>
          </w:p>
        </w:tc>
        <w:tc>
          <w:tcPr>
            <w:tcW w:w="2066" w:type="dxa"/>
          </w:tcPr>
          <w:p w14:paraId="2446381A" w14:textId="77777777" w:rsidR="004651A1" w:rsidRDefault="00C47107" w:rsidP="008A5CC5">
            <w:pPr>
              <w:jc w:val="both"/>
              <w:rPr>
                <w:rFonts w:cstheme="minorHAnsi"/>
              </w:rPr>
            </w:pPr>
            <w:r>
              <w:rPr>
                <w:rFonts w:cstheme="minorHAnsi"/>
              </w:rPr>
              <w:t xml:space="preserve">School led INSET sessions. </w:t>
            </w:r>
          </w:p>
          <w:p w14:paraId="2286DFA3" w14:textId="7383C2F9" w:rsidR="00C47107" w:rsidRDefault="00C47107" w:rsidP="008A5CC5">
            <w:pPr>
              <w:jc w:val="both"/>
              <w:rPr>
                <w:rFonts w:cstheme="minorHAnsi"/>
              </w:rPr>
            </w:pPr>
            <w:r>
              <w:rPr>
                <w:rFonts w:cstheme="minorHAnsi"/>
              </w:rPr>
              <w:t xml:space="preserve">Departmental collaborations. </w:t>
            </w:r>
          </w:p>
        </w:tc>
        <w:tc>
          <w:tcPr>
            <w:tcW w:w="2044" w:type="dxa"/>
          </w:tcPr>
          <w:p w14:paraId="7152C245" w14:textId="77777777" w:rsidR="004651A1" w:rsidRDefault="00C47107" w:rsidP="008A5CC5">
            <w:pPr>
              <w:jc w:val="both"/>
              <w:rPr>
                <w:rFonts w:cstheme="minorHAnsi"/>
              </w:rPr>
            </w:pPr>
            <w:r>
              <w:rPr>
                <w:rFonts w:cstheme="minorHAnsi"/>
              </w:rPr>
              <w:t xml:space="preserve">School led INSET sessions. </w:t>
            </w:r>
          </w:p>
          <w:p w14:paraId="0AF25A5E" w14:textId="77777777" w:rsidR="00C47107" w:rsidRDefault="00C47107" w:rsidP="008A5CC5">
            <w:pPr>
              <w:jc w:val="both"/>
              <w:rPr>
                <w:rFonts w:cstheme="minorHAnsi"/>
              </w:rPr>
            </w:pPr>
            <w:r>
              <w:rPr>
                <w:rFonts w:cstheme="minorHAnsi"/>
              </w:rPr>
              <w:t xml:space="preserve">School PL events run by external consultants. </w:t>
            </w:r>
          </w:p>
          <w:p w14:paraId="2B3E36CD" w14:textId="3601E7E2" w:rsidR="00C47107" w:rsidRDefault="00C47107" w:rsidP="008A5CC5">
            <w:pPr>
              <w:jc w:val="both"/>
              <w:rPr>
                <w:rFonts w:cstheme="minorHAnsi"/>
              </w:rPr>
            </w:pPr>
            <w:r>
              <w:rPr>
                <w:rFonts w:cstheme="minorHAnsi"/>
              </w:rPr>
              <w:t xml:space="preserve">Staff collaborative groups. </w:t>
            </w:r>
          </w:p>
        </w:tc>
        <w:tc>
          <w:tcPr>
            <w:tcW w:w="1985" w:type="dxa"/>
          </w:tcPr>
          <w:p w14:paraId="1EB1FE86" w14:textId="77777777" w:rsidR="004651A1" w:rsidRDefault="00C47107" w:rsidP="008A5CC5">
            <w:pPr>
              <w:jc w:val="both"/>
              <w:rPr>
                <w:rFonts w:cstheme="minorHAnsi"/>
              </w:rPr>
            </w:pPr>
            <w:r>
              <w:rPr>
                <w:rFonts w:cstheme="minorHAnsi"/>
              </w:rPr>
              <w:t>School led INSET days</w:t>
            </w:r>
          </w:p>
          <w:p w14:paraId="00B5380A" w14:textId="77777777" w:rsidR="00C47107" w:rsidRDefault="00C47107" w:rsidP="008A5CC5">
            <w:pPr>
              <w:jc w:val="both"/>
              <w:rPr>
                <w:rFonts w:cstheme="minorHAnsi"/>
              </w:rPr>
            </w:pPr>
            <w:r>
              <w:rPr>
                <w:rFonts w:cstheme="minorHAnsi"/>
              </w:rPr>
              <w:t>Departmental collaborations</w:t>
            </w:r>
          </w:p>
          <w:p w14:paraId="0CC90DFF" w14:textId="171BE648" w:rsidR="00C47107" w:rsidRDefault="00C47107" w:rsidP="008A5CC5">
            <w:pPr>
              <w:jc w:val="both"/>
              <w:rPr>
                <w:rFonts w:cstheme="minorHAnsi"/>
              </w:rPr>
            </w:pPr>
            <w:r>
              <w:rPr>
                <w:rFonts w:cstheme="minorHAnsi"/>
              </w:rPr>
              <w:t xml:space="preserve">Coaching other colleagues. </w:t>
            </w:r>
          </w:p>
        </w:tc>
      </w:tr>
      <w:tr w:rsidR="004651A1" w14:paraId="64C18C3B" w14:textId="77777777" w:rsidTr="00C47107">
        <w:tc>
          <w:tcPr>
            <w:tcW w:w="1271" w:type="dxa"/>
          </w:tcPr>
          <w:p w14:paraId="1894DF15" w14:textId="12C8E745" w:rsidR="004651A1" w:rsidRDefault="004651A1" w:rsidP="008A5CC5">
            <w:pPr>
              <w:jc w:val="both"/>
              <w:rPr>
                <w:rFonts w:cstheme="minorHAnsi"/>
              </w:rPr>
            </w:pPr>
            <w:r>
              <w:rPr>
                <w:rFonts w:cstheme="minorHAnsi"/>
              </w:rPr>
              <w:t>Regional led PL</w:t>
            </w:r>
          </w:p>
        </w:tc>
        <w:tc>
          <w:tcPr>
            <w:tcW w:w="1985" w:type="dxa"/>
          </w:tcPr>
          <w:p w14:paraId="223ED789" w14:textId="5515AB18" w:rsidR="004651A1" w:rsidRDefault="00C47107" w:rsidP="008A5CC5">
            <w:pPr>
              <w:jc w:val="both"/>
              <w:rPr>
                <w:rFonts w:cstheme="minorHAnsi"/>
              </w:rPr>
            </w:pPr>
            <w:r>
              <w:rPr>
                <w:rFonts w:cstheme="minorHAnsi"/>
              </w:rPr>
              <w:t>None.</w:t>
            </w:r>
          </w:p>
        </w:tc>
        <w:tc>
          <w:tcPr>
            <w:tcW w:w="2066" w:type="dxa"/>
          </w:tcPr>
          <w:p w14:paraId="5FDF715E" w14:textId="2E021BEC" w:rsidR="004651A1" w:rsidRDefault="00C47107" w:rsidP="008A5CC5">
            <w:pPr>
              <w:jc w:val="both"/>
              <w:rPr>
                <w:rFonts w:cstheme="minorHAnsi"/>
              </w:rPr>
            </w:pPr>
            <w:r>
              <w:rPr>
                <w:rFonts w:cstheme="minorHAnsi"/>
              </w:rPr>
              <w:t xml:space="preserve">Attending regional network meetings. </w:t>
            </w:r>
          </w:p>
        </w:tc>
        <w:tc>
          <w:tcPr>
            <w:tcW w:w="2044" w:type="dxa"/>
          </w:tcPr>
          <w:p w14:paraId="1A0D11BF" w14:textId="2007439E" w:rsidR="004651A1" w:rsidRDefault="00C47107" w:rsidP="008A5CC5">
            <w:pPr>
              <w:jc w:val="both"/>
              <w:rPr>
                <w:rFonts w:cstheme="minorHAnsi"/>
              </w:rPr>
            </w:pPr>
            <w:r>
              <w:rPr>
                <w:rFonts w:cstheme="minorHAnsi"/>
              </w:rPr>
              <w:t>None</w:t>
            </w:r>
          </w:p>
        </w:tc>
        <w:tc>
          <w:tcPr>
            <w:tcW w:w="1985" w:type="dxa"/>
          </w:tcPr>
          <w:p w14:paraId="026E83C3" w14:textId="1486CDDA" w:rsidR="004651A1" w:rsidRDefault="00C47107" w:rsidP="008A5CC5">
            <w:pPr>
              <w:jc w:val="both"/>
              <w:rPr>
                <w:rFonts w:cstheme="minorHAnsi"/>
              </w:rPr>
            </w:pPr>
            <w:r>
              <w:rPr>
                <w:rFonts w:cstheme="minorHAnsi"/>
              </w:rPr>
              <w:t>Several one to one meetings with regional advisers. Attending  regional network meetings.</w:t>
            </w:r>
          </w:p>
        </w:tc>
      </w:tr>
      <w:tr w:rsidR="004651A1" w14:paraId="2C406990" w14:textId="77777777" w:rsidTr="00C47107">
        <w:tc>
          <w:tcPr>
            <w:tcW w:w="1271" w:type="dxa"/>
          </w:tcPr>
          <w:p w14:paraId="2F539406" w14:textId="6689D468" w:rsidR="004651A1" w:rsidRDefault="004651A1" w:rsidP="008A5CC5">
            <w:pPr>
              <w:jc w:val="both"/>
              <w:rPr>
                <w:rFonts w:cstheme="minorHAnsi"/>
              </w:rPr>
            </w:pPr>
            <w:r>
              <w:rPr>
                <w:rFonts w:cstheme="minorHAnsi"/>
              </w:rPr>
              <w:t>National PL</w:t>
            </w:r>
          </w:p>
        </w:tc>
        <w:tc>
          <w:tcPr>
            <w:tcW w:w="1985" w:type="dxa"/>
          </w:tcPr>
          <w:p w14:paraId="3462678C" w14:textId="3B518F9C" w:rsidR="004651A1" w:rsidRDefault="004651A1" w:rsidP="008A5CC5">
            <w:pPr>
              <w:jc w:val="both"/>
              <w:rPr>
                <w:rFonts w:cstheme="minorHAnsi"/>
              </w:rPr>
            </w:pPr>
            <w:r>
              <w:rPr>
                <w:rFonts w:cstheme="minorHAnsi"/>
              </w:rPr>
              <w:t>None</w:t>
            </w:r>
            <w:r w:rsidR="00C47107">
              <w:rPr>
                <w:rFonts w:cstheme="minorHAnsi"/>
              </w:rPr>
              <w:t>.</w:t>
            </w:r>
          </w:p>
        </w:tc>
        <w:tc>
          <w:tcPr>
            <w:tcW w:w="2066" w:type="dxa"/>
          </w:tcPr>
          <w:p w14:paraId="3E2B36A2" w14:textId="42FF2FFC" w:rsidR="004651A1" w:rsidRDefault="004651A1" w:rsidP="008A5CC5">
            <w:pPr>
              <w:jc w:val="both"/>
              <w:rPr>
                <w:rFonts w:cstheme="minorHAnsi"/>
              </w:rPr>
            </w:pPr>
            <w:r>
              <w:rPr>
                <w:rFonts w:cstheme="minorHAnsi"/>
              </w:rPr>
              <w:t>None</w:t>
            </w:r>
            <w:r w:rsidR="00C47107">
              <w:rPr>
                <w:rFonts w:cstheme="minorHAnsi"/>
              </w:rPr>
              <w:t>.</w:t>
            </w:r>
          </w:p>
        </w:tc>
        <w:tc>
          <w:tcPr>
            <w:tcW w:w="2044" w:type="dxa"/>
          </w:tcPr>
          <w:p w14:paraId="1ADBB75A" w14:textId="52E0A7FE" w:rsidR="004651A1" w:rsidRDefault="004651A1" w:rsidP="008A5CC5">
            <w:pPr>
              <w:jc w:val="both"/>
              <w:rPr>
                <w:rFonts w:cstheme="minorHAnsi"/>
              </w:rPr>
            </w:pPr>
            <w:r>
              <w:rPr>
                <w:rFonts w:cstheme="minorHAnsi"/>
              </w:rPr>
              <w:t>None</w:t>
            </w:r>
            <w:r w:rsidR="00C47107">
              <w:rPr>
                <w:rFonts w:cstheme="minorHAnsi"/>
              </w:rPr>
              <w:t>.</w:t>
            </w:r>
          </w:p>
        </w:tc>
        <w:tc>
          <w:tcPr>
            <w:tcW w:w="1985" w:type="dxa"/>
          </w:tcPr>
          <w:p w14:paraId="7A15AAA5" w14:textId="0F99A620" w:rsidR="004651A1" w:rsidRDefault="004651A1" w:rsidP="008A5CC5">
            <w:pPr>
              <w:jc w:val="both"/>
              <w:rPr>
                <w:rFonts w:cstheme="minorHAnsi"/>
              </w:rPr>
            </w:pPr>
            <w:r>
              <w:rPr>
                <w:rFonts w:cstheme="minorHAnsi"/>
              </w:rPr>
              <w:t>None</w:t>
            </w:r>
            <w:r w:rsidR="00C47107">
              <w:rPr>
                <w:rFonts w:cstheme="minorHAnsi"/>
              </w:rPr>
              <w:t>.</w:t>
            </w:r>
          </w:p>
        </w:tc>
      </w:tr>
    </w:tbl>
    <w:p w14:paraId="4F1F4A7A" w14:textId="56E67F28" w:rsidR="004651A1" w:rsidRDefault="004651A1" w:rsidP="008A5CC5">
      <w:pPr>
        <w:jc w:val="both"/>
        <w:rPr>
          <w:rFonts w:cstheme="minorHAnsi"/>
        </w:rPr>
      </w:pPr>
    </w:p>
    <w:p w14:paraId="5264047C" w14:textId="3EA0659C" w:rsidR="00204DF2" w:rsidRDefault="00204DF2" w:rsidP="00204DF2">
      <w:pPr>
        <w:jc w:val="both"/>
        <w:rPr>
          <w:rFonts w:cstheme="minorHAnsi"/>
        </w:rPr>
      </w:pPr>
      <w:r>
        <w:t>The interviewees displayed different attitudes to</w:t>
      </w:r>
      <w:r w:rsidR="003402C0">
        <w:t>wards</w:t>
      </w:r>
      <w:r>
        <w:t xml:space="preserve"> PL.   Teachers M and T in were pro-active in accessing a range of PL as individuals, and accessing regional and external opportunities that were available to them. In contrast, Teachers L and P either largely or exclusively had engaged with PL that had been provided to them.  When asked why they had not engaged with some types of PL, teacher L said that they had “not been directed towards it”.  Teacher P had engaged with social media, this was presented in a passive was as  “keeping up to date” and receiving information only.  Both of these two </w:t>
      </w:r>
      <w:r>
        <w:lastRenderedPageBreak/>
        <w:t xml:space="preserve">teachers displayed a perception of PL as something ‘done to’, or provided to, them by someone else, whilst teachers M and T had a more proactive, positive attitude towards engagement.  </w:t>
      </w:r>
    </w:p>
    <w:p w14:paraId="52A895BB" w14:textId="3685F08C" w:rsidR="00902690" w:rsidRDefault="00577401" w:rsidP="008A5CC5">
      <w:pPr>
        <w:jc w:val="both"/>
        <w:rPr>
          <w:rFonts w:cstheme="minorHAnsi"/>
        </w:rPr>
      </w:pPr>
      <w:r>
        <w:rPr>
          <w:rFonts w:cstheme="minorHAnsi"/>
        </w:rPr>
        <w:t xml:space="preserve">Interviewees were </w:t>
      </w:r>
      <w:r w:rsidR="004651A1">
        <w:rPr>
          <w:rFonts w:cstheme="minorHAnsi"/>
        </w:rPr>
        <w:t xml:space="preserve">then </w:t>
      </w:r>
      <w:r>
        <w:rPr>
          <w:rFonts w:cstheme="minorHAnsi"/>
        </w:rPr>
        <w:t xml:space="preserve">asked to assess whether they had engaged with a similar level of PL to their colleagues.  All identified that practitioners in their school engaged to significantly different degrees with PL. </w:t>
      </w:r>
      <w:r w:rsidR="002C5CBB">
        <w:rPr>
          <w:rFonts w:cstheme="minorHAnsi"/>
        </w:rPr>
        <w:t xml:space="preserve"> </w:t>
      </w:r>
      <w:r w:rsidR="003402C0">
        <w:rPr>
          <w:rFonts w:cstheme="minorHAnsi"/>
        </w:rPr>
        <w:t>Two</w:t>
      </w:r>
      <w:r>
        <w:rPr>
          <w:rFonts w:cstheme="minorHAnsi"/>
        </w:rPr>
        <w:t xml:space="preserve"> interviewees felt that they had engaged less with PL than colleagues, whilst two felt that they had engaged with far more PL activities than their colleagues.  </w:t>
      </w:r>
      <w:r w:rsidR="002C5CBB">
        <w:rPr>
          <w:rFonts w:cstheme="minorHAnsi"/>
        </w:rPr>
        <w:t>P</w:t>
      </w:r>
      <w:r>
        <w:rPr>
          <w:rFonts w:cstheme="minorHAnsi"/>
        </w:rPr>
        <w:t>articipants suggested that  senior colleagues, or those with responsibili</w:t>
      </w:r>
      <w:r w:rsidR="002C5CBB">
        <w:rPr>
          <w:rFonts w:cstheme="minorHAnsi"/>
        </w:rPr>
        <w:t>ty</w:t>
      </w:r>
      <w:r>
        <w:rPr>
          <w:rFonts w:cstheme="minorHAnsi"/>
        </w:rPr>
        <w:t xml:space="preserve"> for curriculum had been able to access more PL. They also suggested that time constraints and lack of knowledge of what </w:t>
      </w:r>
      <w:r w:rsidR="003402C0">
        <w:rPr>
          <w:rFonts w:cstheme="minorHAnsi"/>
        </w:rPr>
        <w:t xml:space="preserve">PL </w:t>
      </w:r>
      <w:r>
        <w:rPr>
          <w:rFonts w:cstheme="minorHAnsi"/>
        </w:rPr>
        <w:t>was available beyond school</w:t>
      </w:r>
      <w:r w:rsidR="003402C0">
        <w:rPr>
          <w:rFonts w:cstheme="minorHAnsi"/>
        </w:rPr>
        <w:t xml:space="preserve">, </w:t>
      </w:r>
      <w:r>
        <w:rPr>
          <w:rFonts w:cstheme="minorHAnsi"/>
        </w:rPr>
        <w:t xml:space="preserve"> </w:t>
      </w:r>
      <w:r w:rsidR="00902690">
        <w:rPr>
          <w:rFonts w:cstheme="minorHAnsi"/>
        </w:rPr>
        <w:t xml:space="preserve">were barriers to engagement.  </w:t>
      </w:r>
    </w:p>
    <w:p w14:paraId="5A788000" w14:textId="1140A3C7" w:rsidR="00E06AFE" w:rsidRDefault="00E06AFE" w:rsidP="008A5CC5">
      <w:pPr>
        <w:jc w:val="both"/>
        <w:rPr>
          <w:rFonts w:eastAsia="Arial" w:cstheme="minorHAnsi"/>
          <w:b/>
          <w:bCs/>
          <w:color w:val="000000"/>
          <w:u w:color="000000"/>
          <w:bdr w:val="nil"/>
          <w:lang w:val="en-US"/>
        </w:rPr>
      </w:pPr>
      <w:r w:rsidRPr="002904BC">
        <w:rPr>
          <w:rFonts w:eastAsia="Arial" w:cstheme="minorHAnsi"/>
          <w:b/>
          <w:bCs/>
          <w:color w:val="000000"/>
          <w:u w:color="000000"/>
          <w:bdr w:val="nil"/>
          <w:lang w:val="en-US"/>
        </w:rPr>
        <w:t xml:space="preserve">Teachers’ level of confidence about implementing the </w:t>
      </w:r>
      <w:r w:rsidR="005843FE">
        <w:rPr>
          <w:rFonts w:eastAsia="Arial" w:cstheme="minorHAnsi"/>
          <w:b/>
          <w:bCs/>
          <w:color w:val="000000"/>
          <w:u w:color="000000"/>
          <w:bdr w:val="nil"/>
          <w:lang w:val="en-US"/>
        </w:rPr>
        <w:t>CfW</w:t>
      </w:r>
    </w:p>
    <w:p w14:paraId="5BD3666E" w14:textId="776140AC" w:rsidR="00E06AFE" w:rsidRDefault="000C691F" w:rsidP="008A5CC5">
      <w:pPr>
        <w:jc w:val="both"/>
        <w:rPr>
          <w:rFonts w:eastAsia="Arial" w:cstheme="minorHAnsi"/>
          <w:color w:val="000000"/>
          <w:u w:color="000000"/>
          <w:bdr w:val="nil"/>
          <w:lang w:val="en-US"/>
        </w:rPr>
      </w:pPr>
      <w:r w:rsidRPr="002904BC">
        <w:rPr>
          <w:rFonts w:eastAsia="Arial" w:cstheme="minorHAnsi"/>
          <w:color w:val="000000"/>
          <w:u w:color="000000"/>
          <w:bdr w:val="nil"/>
          <w:lang w:val="en-US"/>
        </w:rPr>
        <w:t xml:space="preserve">Participants were asked to rank their </w:t>
      </w:r>
      <w:r>
        <w:rPr>
          <w:rFonts w:eastAsia="Arial" w:cstheme="minorHAnsi"/>
          <w:color w:val="000000"/>
          <w:u w:color="000000"/>
          <w:bdr w:val="nil"/>
          <w:lang w:val="en-US"/>
        </w:rPr>
        <w:t xml:space="preserve">confidence about implementing the CfW, using a four-point scale. </w:t>
      </w:r>
      <w:r w:rsidR="002C5CBB">
        <w:rPr>
          <w:rFonts w:eastAsia="Arial" w:cstheme="minorHAnsi"/>
          <w:color w:val="000000"/>
          <w:u w:color="000000"/>
          <w:bdr w:val="nil"/>
          <w:lang w:val="en-US"/>
        </w:rPr>
        <w:t xml:space="preserve"> </w:t>
      </w:r>
      <w:r>
        <w:rPr>
          <w:rFonts w:eastAsia="Arial" w:cstheme="minorHAnsi"/>
          <w:color w:val="000000"/>
          <w:u w:color="000000"/>
          <w:bdr w:val="nil"/>
          <w:lang w:val="en-US"/>
        </w:rPr>
        <w:t xml:space="preserve">All 23 participants responded to this question, </w:t>
      </w:r>
      <w:r w:rsidR="00DD029E">
        <w:rPr>
          <w:rFonts w:eastAsia="Arial" w:cstheme="minorHAnsi"/>
          <w:color w:val="000000"/>
          <w:u w:color="000000"/>
          <w:bdr w:val="nil"/>
          <w:lang w:val="en-US"/>
        </w:rPr>
        <w:t xml:space="preserve">and as indicated in the </w:t>
      </w:r>
      <w:r w:rsidR="00CB5609">
        <w:rPr>
          <w:rFonts w:eastAsia="Arial" w:cstheme="minorHAnsi"/>
          <w:color w:val="000000"/>
          <w:u w:color="000000"/>
          <w:bdr w:val="nil"/>
          <w:lang w:val="en-US"/>
        </w:rPr>
        <w:t>t</w:t>
      </w:r>
      <w:r w:rsidR="00DD029E">
        <w:rPr>
          <w:rFonts w:eastAsia="Arial" w:cstheme="minorHAnsi"/>
          <w:color w:val="000000"/>
          <w:u w:color="000000"/>
          <w:bdr w:val="nil"/>
          <w:lang w:val="en-US"/>
        </w:rPr>
        <w:t xml:space="preserve">able </w:t>
      </w:r>
      <w:r w:rsidR="00A5515E">
        <w:rPr>
          <w:rFonts w:eastAsia="Arial" w:cstheme="minorHAnsi"/>
          <w:color w:val="000000"/>
          <w:u w:color="000000"/>
          <w:bdr w:val="nil"/>
          <w:lang w:val="en-US"/>
        </w:rPr>
        <w:t>below, the</w:t>
      </w:r>
      <w:r>
        <w:rPr>
          <w:rFonts w:eastAsia="Arial" w:cstheme="minorHAnsi"/>
          <w:color w:val="000000"/>
          <w:u w:color="000000"/>
          <w:bdr w:val="nil"/>
          <w:lang w:val="en-US"/>
        </w:rPr>
        <w:t xml:space="preserve"> majority (65%) indicating that </w:t>
      </w:r>
      <w:r w:rsidR="00902690">
        <w:rPr>
          <w:rFonts w:eastAsia="Arial" w:cstheme="minorHAnsi"/>
          <w:color w:val="000000"/>
          <w:u w:color="000000"/>
          <w:bdr w:val="nil"/>
          <w:lang w:val="en-US"/>
        </w:rPr>
        <w:t>they felt quite or very confident in implementing Cf</w:t>
      </w:r>
      <w:r w:rsidR="003402C0">
        <w:rPr>
          <w:rFonts w:eastAsia="Arial" w:cstheme="minorHAnsi"/>
          <w:color w:val="000000"/>
          <w:u w:color="000000"/>
          <w:bdr w:val="nil"/>
          <w:lang w:val="en-US"/>
        </w:rPr>
        <w:t>W</w:t>
      </w:r>
      <w:r w:rsidR="00902690">
        <w:rPr>
          <w:rFonts w:eastAsia="Arial" w:cstheme="minorHAnsi"/>
          <w:color w:val="000000"/>
          <w:u w:color="000000"/>
          <w:bdr w:val="nil"/>
          <w:lang w:val="en-US"/>
        </w:rPr>
        <w:t>. This supports recent Welsh Government funded research by Dugg</w:t>
      </w:r>
      <w:r w:rsidR="003402C0">
        <w:rPr>
          <w:rFonts w:eastAsia="Arial" w:cstheme="minorHAnsi"/>
          <w:color w:val="000000"/>
          <w:u w:color="000000"/>
          <w:bdr w:val="nil"/>
          <w:lang w:val="en-US"/>
        </w:rPr>
        <w:t>a</w:t>
      </w:r>
      <w:r w:rsidR="00902690">
        <w:rPr>
          <w:rFonts w:eastAsia="Arial" w:cstheme="minorHAnsi"/>
          <w:color w:val="000000"/>
          <w:u w:color="000000"/>
          <w:bdr w:val="nil"/>
          <w:lang w:val="en-US"/>
        </w:rPr>
        <w:t>n et al</w:t>
      </w:r>
      <w:r w:rsidR="003402C0">
        <w:rPr>
          <w:rFonts w:eastAsia="Arial" w:cstheme="minorHAnsi"/>
          <w:color w:val="000000"/>
          <w:u w:color="000000"/>
          <w:bdr w:val="nil"/>
          <w:lang w:val="en-US"/>
        </w:rPr>
        <w:t>.,</w:t>
      </w:r>
      <w:r w:rsidR="00902690">
        <w:rPr>
          <w:rFonts w:eastAsia="Arial" w:cstheme="minorHAnsi"/>
          <w:color w:val="000000"/>
          <w:u w:color="000000"/>
          <w:bdr w:val="nil"/>
          <w:lang w:val="en-US"/>
        </w:rPr>
        <w:t xml:space="preserve"> (202</w:t>
      </w:r>
      <w:r w:rsidR="003402C0">
        <w:rPr>
          <w:rFonts w:eastAsia="Arial" w:cstheme="minorHAnsi"/>
          <w:color w:val="000000"/>
          <w:u w:color="000000"/>
          <w:bdr w:val="nil"/>
          <w:lang w:val="en-US"/>
        </w:rPr>
        <w:t>2</w:t>
      </w:r>
      <w:r w:rsidR="00902690">
        <w:rPr>
          <w:rFonts w:eastAsia="Arial" w:cstheme="minorHAnsi"/>
          <w:color w:val="000000"/>
          <w:u w:color="000000"/>
          <w:bdr w:val="nil"/>
          <w:lang w:val="en-US"/>
        </w:rPr>
        <w:t xml:space="preserve">). </w:t>
      </w:r>
    </w:p>
    <w:p w14:paraId="3A43E63B" w14:textId="40F860BA" w:rsidR="00902690" w:rsidRPr="000E1540" w:rsidRDefault="00902690" w:rsidP="008A5CC5">
      <w:pPr>
        <w:jc w:val="both"/>
        <w:rPr>
          <w:rFonts w:eastAsia="Arial" w:cstheme="minorHAnsi"/>
          <w:i/>
          <w:iCs/>
          <w:color w:val="000000"/>
          <w:u w:color="000000"/>
          <w:bdr w:val="nil"/>
          <w:lang w:val="en-US"/>
        </w:rPr>
      </w:pPr>
      <w:r w:rsidRPr="000E1540">
        <w:rPr>
          <w:rFonts w:eastAsia="Arial" w:cstheme="minorHAnsi"/>
          <w:i/>
          <w:iCs/>
          <w:color w:val="000000"/>
          <w:u w:color="000000"/>
          <w:bdr w:val="nil"/>
          <w:lang w:val="en-US"/>
        </w:rPr>
        <w:t xml:space="preserve">Table </w:t>
      </w:r>
      <w:r w:rsidR="000E1540" w:rsidRPr="000E1540">
        <w:rPr>
          <w:rFonts w:eastAsia="Arial" w:cstheme="minorHAnsi"/>
          <w:i/>
          <w:iCs/>
          <w:color w:val="000000"/>
          <w:u w:color="000000"/>
          <w:bdr w:val="nil"/>
          <w:lang w:val="en-US"/>
        </w:rPr>
        <w:t>7: Levels of confidence in implementing CfW</w:t>
      </w:r>
    </w:p>
    <w:tbl>
      <w:tblPr>
        <w:tblStyle w:val="TableGrid"/>
        <w:tblW w:w="0" w:type="auto"/>
        <w:tblLook w:val="04A0" w:firstRow="1" w:lastRow="0" w:firstColumn="1" w:lastColumn="0" w:noHBand="0" w:noVBand="1"/>
      </w:tblPr>
      <w:tblGrid>
        <w:gridCol w:w="2254"/>
        <w:gridCol w:w="2254"/>
        <w:gridCol w:w="2254"/>
        <w:gridCol w:w="2254"/>
      </w:tblGrid>
      <w:tr w:rsidR="00E06AFE" w14:paraId="3320339D" w14:textId="77777777" w:rsidTr="00A10C4F">
        <w:tc>
          <w:tcPr>
            <w:tcW w:w="2254" w:type="dxa"/>
            <w:shd w:val="clear" w:color="auto" w:fill="E7E6E6" w:themeFill="background2"/>
          </w:tcPr>
          <w:p w14:paraId="580D600D" w14:textId="77777777" w:rsidR="00E06AFE" w:rsidRDefault="00E06AFE" w:rsidP="008A5CC5">
            <w:pPr>
              <w:jc w:val="both"/>
              <w:rPr>
                <w:rFonts w:eastAsia="Arial" w:cstheme="minorHAnsi"/>
                <w:color w:val="000000"/>
                <w:u w:color="000000"/>
                <w:bdr w:val="nil"/>
                <w:lang w:val="en-US"/>
              </w:rPr>
            </w:pPr>
            <w:r>
              <w:rPr>
                <w:rFonts w:eastAsia="Arial" w:cstheme="minorHAnsi"/>
                <w:color w:val="000000"/>
                <w:u w:color="000000"/>
                <w:bdr w:val="nil"/>
                <w:lang w:val="en-US"/>
              </w:rPr>
              <w:t>Not confident</w:t>
            </w:r>
          </w:p>
        </w:tc>
        <w:tc>
          <w:tcPr>
            <w:tcW w:w="2254" w:type="dxa"/>
            <w:shd w:val="clear" w:color="auto" w:fill="E7E6E6" w:themeFill="background2"/>
          </w:tcPr>
          <w:p w14:paraId="142AC79D" w14:textId="77777777" w:rsidR="00E06AFE" w:rsidRDefault="00E06AFE" w:rsidP="008A5CC5">
            <w:pPr>
              <w:jc w:val="both"/>
              <w:rPr>
                <w:rFonts w:eastAsia="Arial" w:cstheme="minorHAnsi"/>
                <w:color w:val="000000"/>
                <w:u w:color="000000"/>
                <w:bdr w:val="nil"/>
                <w:lang w:val="en-US"/>
              </w:rPr>
            </w:pPr>
            <w:r>
              <w:rPr>
                <w:rFonts w:eastAsia="Arial" w:cstheme="minorHAnsi"/>
                <w:color w:val="000000"/>
                <w:u w:color="000000"/>
                <w:bdr w:val="nil"/>
                <w:lang w:val="en-US"/>
              </w:rPr>
              <w:t>Somewhat confident</w:t>
            </w:r>
          </w:p>
        </w:tc>
        <w:tc>
          <w:tcPr>
            <w:tcW w:w="2254" w:type="dxa"/>
            <w:shd w:val="clear" w:color="auto" w:fill="E7E6E6" w:themeFill="background2"/>
          </w:tcPr>
          <w:p w14:paraId="4838934C" w14:textId="77777777" w:rsidR="00E06AFE" w:rsidRDefault="00E06AFE" w:rsidP="008A5CC5">
            <w:pPr>
              <w:jc w:val="both"/>
              <w:rPr>
                <w:rFonts w:eastAsia="Arial" w:cstheme="minorHAnsi"/>
                <w:color w:val="000000"/>
                <w:u w:color="000000"/>
                <w:bdr w:val="nil"/>
                <w:lang w:val="en-US"/>
              </w:rPr>
            </w:pPr>
            <w:r>
              <w:rPr>
                <w:rFonts w:eastAsia="Arial" w:cstheme="minorHAnsi"/>
                <w:color w:val="000000"/>
                <w:u w:color="000000"/>
                <w:bdr w:val="nil"/>
                <w:lang w:val="en-US"/>
              </w:rPr>
              <w:t>Quite confident</w:t>
            </w:r>
          </w:p>
        </w:tc>
        <w:tc>
          <w:tcPr>
            <w:tcW w:w="2254" w:type="dxa"/>
            <w:shd w:val="clear" w:color="auto" w:fill="E7E6E6" w:themeFill="background2"/>
          </w:tcPr>
          <w:p w14:paraId="3D77AC77" w14:textId="77777777" w:rsidR="00E06AFE" w:rsidRDefault="00E06AFE" w:rsidP="008A5CC5">
            <w:pPr>
              <w:jc w:val="both"/>
              <w:rPr>
                <w:rFonts w:eastAsia="Arial" w:cstheme="minorHAnsi"/>
                <w:color w:val="000000"/>
                <w:u w:color="000000"/>
                <w:bdr w:val="nil"/>
                <w:lang w:val="en-US"/>
              </w:rPr>
            </w:pPr>
            <w:r>
              <w:rPr>
                <w:rFonts w:eastAsia="Arial" w:cstheme="minorHAnsi"/>
                <w:color w:val="000000"/>
                <w:u w:color="000000"/>
                <w:bdr w:val="nil"/>
                <w:lang w:val="en-US"/>
              </w:rPr>
              <w:t>Very confident</w:t>
            </w:r>
          </w:p>
        </w:tc>
      </w:tr>
      <w:tr w:rsidR="00E06AFE" w14:paraId="55D141E5" w14:textId="77777777" w:rsidTr="00E03F40">
        <w:tc>
          <w:tcPr>
            <w:tcW w:w="2254" w:type="dxa"/>
          </w:tcPr>
          <w:p w14:paraId="7568D477" w14:textId="77777777" w:rsidR="00E06AFE" w:rsidRDefault="00E06AFE" w:rsidP="008A5CC5">
            <w:pPr>
              <w:jc w:val="both"/>
              <w:rPr>
                <w:rFonts w:eastAsia="Arial" w:cstheme="minorHAnsi"/>
                <w:color w:val="000000"/>
                <w:u w:color="000000"/>
                <w:bdr w:val="nil"/>
                <w:lang w:val="en-US"/>
              </w:rPr>
            </w:pPr>
            <w:r>
              <w:rPr>
                <w:rFonts w:eastAsia="Arial" w:cstheme="minorHAnsi"/>
                <w:color w:val="000000"/>
                <w:u w:color="000000"/>
                <w:bdr w:val="nil"/>
                <w:lang w:val="en-US"/>
              </w:rPr>
              <w:t>4 (17%)</w:t>
            </w:r>
          </w:p>
        </w:tc>
        <w:tc>
          <w:tcPr>
            <w:tcW w:w="2254" w:type="dxa"/>
          </w:tcPr>
          <w:p w14:paraId="51ABCF8B" w14:textId="77777777" w:rsidR="00E06AFE" w:rsidRDefault="00E06AFE" w:rsidP="008A5CC5">
            <w:pPr>
              <w:jc w:val="both"/>
              <w:rPr>
                <w:rFonts w:eastAsia="Arial" w:cstheme="minorHAnsi"/>
                <w:color w:val="000000"/>
                <w:u w:color="000000"/>
                <w:bdr w:val="nil"/>
                <w:lang w:val="en-US"/>
              </w:rPr>
            </w:pPr>
            <w:r>
              <w:rPr>
                <w:rFonts w:eastAsia="Arial" w:cstheme="minorHAnsi"/>
                <w:color w:val="000000"/>
                <w:u w:color="000000"/>
                <w:bdr w:val="nil"/>
                <w:lang w:val="en-US"/>
              </w:rPr>
              <w:t>3 (13%)</w:t>
            </w:r>
          </w:p>
        </w:tc>
        <w:tc>
          <w:tcPr>
            <w:tcW w:w="2254" w:type="dxa"/>
          </w:tcPr>
          <w:p w14:paraId="4745DA24" w14:textId="77777777" w:rsidR="00E06AFE" w:rsidRDefault="00E06AFE" w:rsidP="008A5CC5">
            <w:pPr>
              <w:jc w:val="both"/>
              <w:rPr>
                <w:rFonts w:eastAsia="Arial" w:cstheme="minorHAnsi"/>
                <w:color w:val="000000"/>
                <w:u w:color="000000"/>
                <w:bdr w:val="nil"/>
                <w:lang w:val="en-US"/>
              </w:rPr>
            </w:pPr>
            <w:r>
              <w:rPr>
                <w:rFonts w:eastAsia="Arial" w:cstheme="minorHAnsi"/>
                <w:color w:val="000000"/>
                <w:u w:color="000000"/>
                <w:bdr w:val="nil"/>
                <w:lang w:val="en-US"/>
              </w:rPr>
              <w:t>15 (65%)</w:t>
            </w:r>
          </w:p>
        </w:tc>
        <w:tc>
          <w:tcPr>
            <w:tcW w:w="2254" w:type="dxa"/>
          </w:tcPr>
          <w:p w14:paraId="5DCE7E54" w14:textId="77777777" w:rsidR="00E06AFE" w:rsidRDefault="00E06AFE" w:rsidP="008A5CC5">
            <w:pPr>
              <w:jc w:val="both"/>
              <w:rPr>
                <w:rFonts w:eastAsia="Arial" w:cstheme="minorHAnsi"/>
                <w:color w:val="000000"/>
                <w:u w:color="000000"/>
                <w:bdr w:val="nil"/>
                <w:lang w:val="en-US"/>
              </w:rPr>
            </w:pPr>
            <w:r>
              <w:rPr>
                <w:rFonts w:eastAsia="Arial" w:cstheme="minorHAnsi"/>
                <w:color w:val="000000"/>
                <w:u w:color="000000"/>
                <w:bdr w:val="nil"/>
                <w:lang w:val="en-US"/>
              </w:rPr>
              <w:t>1 (4%)</w:t>
            </w:r>
          </w:p>
        </w:tc>
      </w:tr>
    </w:tbl>
    <w:p w14:paraId="57D9BED0" w14:textId="77777777" w:rsidR="00E06AFE" w:rsidRDefault="00E06AFE" w:rsidP="008A5CC5">
      <w:pPr>
        <w:jc w:val="both"/>
        <w:rPr>
          <w:rFonts w:eastAsia="Arial" w:cstheme="minorHAnsi"/>
          <w:color w:val="000000"/>
          <w:u w:color="000000"/>
          <w:bdr w:val="nil"/>
          <w:lang w:val="en-US"/>
        </w:rPr>
      </w:pPr>
    </w:p>
    <w:p w14:paraId="0DC57B47" w14:textId="3CCA5E22" w:rsidR="00DD029E" w:rsidRPr="006C1A0B" w:rsidRDefault="002C5CBB" w:rsidP="00DD029E">
      <w:pPr>
        <w:jc w:val="both"/>
        <w:rPr>
          <w:rFonts w:eastAsia="Arial" w:cstheme="minorHAnsi"/>
          <w:color w:val="000000"/>
          <w:u w:color="000000"/>
          <w:bdr w:val="nil"/>
          <w:lang w:val="en-US"/>
        </w:rPr>
      </w:pPr>
      <w:r>
        <w:rPr>
          <w:rFonts w:eastAsia="Arial" w:cstheme="minorHAnsi"/>
          <w:color w:val="000000"/>
          <w:u w:color="000000"/>
          <w:bdr w:val="nil"/>
          <w:lang w:val="en-US"/>
        </w:rPr>
        <w:t>19 participants</w:t>
      </w:r>
      <w:r w:rsidR="00DD029E">
        <w:rPr>
          <w:rFonts w:eastAsia="Arial" w:cstheme="minorHAnsi"/>
          <w:color w:val="000000"/>
          <w:u w:color="000000"/>
          <w:bdr w:val="nil"/>
          <w:lang w:val="en-US"/>
        </w:rPr>
        <w:t xml:space="preserve"> responded when asked to provide a reason for the level of confidence highlighted.  Of the 4 participants who said that they were not confident, 1 cited lack of preparation time 1 stated that there is no clear structure to the curriculum and that all schools are taking different approaches, 1 said that they were teaching exactly the same as before, just using different documentation, and 1 cited confusion over assessment.  The 3 participants who identified that they were somewhat confident cited issues of personal confidence and lack of time.  The 15 participants who indicated that they were quite confident cited several reasons for this level of positivity, including having professional learning, professional </w:t>
      </w:r>
      <w:proofErr w:type="gramStart"/>
      <w:r w:rsidR="00DD029E">
        <w:rPr>
          <w:rFonts w:eastAsia="Arial" w:cstheme="minorHAnsi"/>
          <w:color w:val="000000"/>
          <w:u w:color="000000"/>
          <w:bdr w:val="nil"/>
          <w:lang w:val="en-US"/>
        </w:rPr>
        <w:t>collaborations</w:t>
      </w:r>
      <w:proofErr w:type="gramEnd"/>
      <w:r w:rsidR="00DD029E">
        <w:rPr>
          <w:rFonts w:eastAsia="Arial" w:cstheme="minorHAnsi"/>
          <w:color w:val="000000"/>
          <w:u w:color="000000"/>
          <w:bdr w:val="nil"/>
          <w:lang w:val="en-US"/>
        </w:rPr>
        <w:t xml:space="preserve"> and work with stakeholders. </w:t>
      </w:r>
      <w:r w:rsidR="003402C0">
        <w:rPr>
          <w:rFonts w:eastAsia="Arial" w:cstheme="minorHAnsi"/>
          <w:color w:val="000000"/>
          <w:u w:color="000000"/>
          <w:bdr w:val="nil"/>
          <w:lang w:val="en-US"/>
        </w:rPr>
        <w:t xml:space="preserve"> </w:t>
      </w:r>
      <w:r w:rsidR="00DD029E">
        <w:rPr>
          <w:rFonts w:eastAsia="Arial" w:cstheme="minorHAnsi"/>
          <w:color w:val="000000"/>
          <w:u w:color="000000"/>
          <w:bdr w:val="nil"/>
          <w:lang w:val="en-US"/>
        </w:rPr>
        <w:t xml:space="preserve">However, concerns over assessment and moderation as well as lack of clarity over the expectations of the examinations and inspection regimes were noted as reducing peoples’ confidence overall.   </w:t>
      </w:r>
      <w:r w:rsidR="00DD029E" w:rsidRPr="007775BE">
        <w:rPr>
          <w:rFonts w:eastAsia="Arial" w:cstheme="minorHAnsi"/>
          <w:color w:val="000000"/>
          <w:u w:color="000000"/>
          <w:bdr w:val="nil"/>
          <w:lang w:val="en-US"/>
        </w:rPr>
        <w:t>The p</w:t>
      </w:r>
      <w:r w:rsidR="00DD029E">
        <w:rPr>
          <w:rFonts w:eastAsia="Arial" w:cstheme="minorHAnsi"/>
          <w:color w:val="000000"/>
          <w:u w:color="000000"/>
          <w:bdr w:val="nil"/>
          <w:lang w:val="en-US"/>
        </w:rPr>
        <w:t>ractitioner</w:t>
      </w:r>
      <w:r w:rsidR="00DD029E" w:rsidRPr="007775BE">
        <w:rPr>
          <w:rFonts w:eastAsia="Arial" w:cstheme="minorHAnsi"/>
          <w:color w:val="000000"/>
          <w:u w:color="000000"/>
          <w:bdr w:val="nil"/>
          <w:lang w:val="en-US"/>
        </w:rPr>
        <w:t xml:space="preserve"> who gave the most confident response </w:t>
      </w:r>
      <w:r w:rsidR="00DD029E">
        <w:rPr>
          <w:rFonts w:eastAsia="Arial" w:cstheme="minorHAnsi"/>
          <w:color w:val="000000"/>
          <w:u w:color="000000"/>
          <w:bdr w:val="nil"/>
          <w:lang w:val="en-US"/>
        </w:rPr>
        <w:t xml:space="preserve">about implementing the CfW indicated that it was because of the breadth of their knowledge. </w:t>
      </w:r>
    </w:p>
    <w:p w14:paraId="0DD4D5B6" w14:textId="45376528" w:rsidR="00C47107" w:rsidRDefault="002C5CBB" w:rsidP="00DD029E">
      <w:pPr>
        <w:jc w:val="both"/>
        <w:rPr>
          <w:rFonts w:eastAsia="Arial" w:cstheme="minorHAnsi"/>
          <w:color w:val="000000"/>
          <w:u w:color="000000"/>
          <w:bdr w:val="nil"/>
          <w:lang w:val="en-US"/>
        </w:rPr>
      </w:pPr>
      <w:r>
        <w:rPr>
          <w:rFonts w:eastAsia="Arial" w:cstheme="minorHAnsi"/>
          <w:color w:val="000000"/>
          <w:u w:color="000000"/>
          <w:bdr w:val="nil"/>
          <w:lang w:val="en-US"/>
        </w:rPr>
        <w:t>Interview</w:t>
      </w:r>
      <w:r w:rsidR="00DD029E">
        <w:rPr>
          <w:rFonts w:eastAsia="Arial" w:cstheme="minorHAnsi"/>
          <w:color w:val="000000"/>
          <w:u w:color="000000"/>
          <w:bdr w:val="nil"/>
          <w:lang w:val="en-US"/>
        </w:rPr>
        <w:t xml:space="preserve"> participants </w:t>
      </w:r>
      <w:r>
        <w:rPr>
          <w:rFonts w:eastAsia="Arial" w:cstheme="minorHAnsi"/>
          <w:color w:val="000000"/>
          <w:u w:color="000000"/>
          <w:bdr w:val="nil"/>
          <w:lang w:val="en-US"/>
        </w:rPr>
        <w:t>were all ‘</w:t>
      </w:r>
      <w:r w:rsidR="00DD029E">
        <w:rPr>
          <w:rFonts w:eastAsia="Arial" w:cstheme="minorHAnsi"/>
          <w:color w:val="000000"/>
          <w:u w:color="000000"/>
          <w:bdr w:val="nil"/>
          <w:lang w:val="en-US"/>
        </w:rPr>
        <w:t>quite confident</w:t>
      </w:r>
      <w:r>
        <w:rPr>
          <w:rFonts w:eastAsia="Arial" w:cstheme="minorHAnsi"/>
          <w:color w:val="000000"/>
          <w:u w:color="000000"/>
          <w:bdr w:val="nil"/>
          <w:lang w:val="en-US"/>
        </w:rPr>
        <w:t>’</w:t>
      </w:r>
      <w:r w:rsidR="00DD029E">
        <w:rPr>
          <w:rFonts w:eastAsia="Arial" w:cstheme="minorHAnsi"/>
          <w:color w:val="000000"/>
          <w:u w:color="000000"/>
          <w:bdr w:val="nil"/>
          <w:lang w:val="en-US"/>
        </w:rPr>
        <w:t xml:space="preserve"> about implementing CfW, however one did note that their confidence had recently been reduced by a move of school leading to confused messages about approaches to curriculum design.  </w:t>
      </w:r>
      <w:r w:rsidR="00CC7BD3">
        <w:rPr>
          <w:rFonts w:eastAsia="Arial" w:cstheme="minorHAnsi"/>
          <w:color w:val="000000"/>
          <w:u w:color="000000"/>
          <w:bdr w:val="nil"/>
          <w:lang w:val="en-US"/>
        </w:rPr>
        <w:t>Participants confidence</w:t>
      </w:r>
      <w:r w:rsidR="00DD029E">
        <w:rPr>
          <w:rFonts w:eastAsia="Arial" w:cstheme="minorHAnsi"/>
          <w:color w:val="000000"/>
          <w:u w:color="000000"/>
          <w:bdr w:val="nil"/>
          <w:lang w:val="en-US"/>
        </w:rPr>
        <w:t xml:space="preserve"> stemmed from feeling that they had been provided with time to collaborate with colleagues and to trial approaches.  2 noted that their confidence came largely from personal reading, </w:t>
      </w:r>
      <w:r>
        <w:rPr>
          <w:rFonts w:eastAsia="Arial" w:cstheme="minorHAnsi"/>
          <w:color w:val="000000"/>
          <w:u w:color="000000"/>
          <w:bdr w:val="nil"/>
          <w:lang w:val="en-US"/>
        </w:rPr>
        <w:t>research,</w:t>
      </w:r>
      <w:r w:rsidR="00DD029E">
        <w:rPr>
          <w:rFonts w:eastAsia="Arial" w:cstheme="minorHAnsi"/>
          <w:color w:val="000000"/>
          <w:u w:color="000000"/>
          <w:bdr w:val="nil"/>
          <w:lang w:val="en-US"/>
        </w:rPr>
        <w:t xml:space="preserve"> and engagement with external groups.  All said that in-school collaborations with colleagues had been important in helping them to feel confident. </w:t>
      </w:r>
    </w:p>
    <w:p w14:paraId="43E33E97" w14:textId="391750C7" w:rsidR="00DD029E" w:rsidRPr="00997AEE" w:rsidRDefault="00DD029E" w:rsidP="00DD029E">
      <w:pPr>
        <w:jc w:val="both"/>
        <w:rPr>
          <w:rFonts w:eastAsia="Arial" w:cstheme="minorHAnsi"/>
          <w:b/>
          <w:bCs/>
          <w:color w:val="000000"/>
          <w:u w:color="000000"/>
          <w:bdr w:val="nil"/>
          <w:lang w:val="en-US"/>
        </w:rPr>
      </w:pPr>
      <w:r>
        <w:rPr>
          <w:rFonts w:eastAsia="Arial" w:cstheme="minorHAnsi"/>
          <w:b/>
          <w:bCs/>
          <w:color w:val="000000"/>
          <w:u w:color="000000"/>
          <w:bdr w:val="nil"/>
          <w:lang w:val="en-US"/>
        </w:rPr>
        <w:t>F</w:t>
      </w:r>
      <w:r w:rsidRPr="004C4F71">
        <w:rPr>
          <w:rFonts w:eastAsia="Arial" w:cstheme="minorHAnsi"/>
          <w:b/>
          <w:bCs/>
          <w:color w:val="000000"/>
          <w:u w:color="000000"/>
          <w:bdr w:val="nil"/>
          <w:lang w:val="en-US"/>
        </w:rPr>
        <w:t xml:space="preserve">actors that made PL </w:t>
      </w:r>
      <w:r>
        <w:rPr>
          <w:rFonts w:eastAsia="Arial" w:cstheme="minorHAnsi"/>
          <w:b/>
          <w:bCs/>
          <w:color w:val="000000"/>
          <w:u w:color="000000"/>
          <w:bdr w:val="nil"/>
          <w:lang w:val="en-US"/>
        </w:rPr>
        <w:t xml:space="preserve">activities </w:t>
      </w:r>
      <w:r w:rsidRPr="003F5631">
        <w:rPr>
          <w:rFonts w:eastAsia="Arial" w:cstheme="minorHAnsi"/>
          <w:b/>
          <w:bCs/>
          <w:color w:val="000000"/>
          <w:u w:color="000000"/>
          <w:bdr w:val="nil"/>
          <w:lang w:val="en-US"/>
        </w:rPr>
        <w:t>have a greater or lesser impact</w:t>
      </w:r>
      <w:r>
        <w:rPr>
          <w:rFonts w:eastAsia="Arial" w:cstheme="minorHAnsi"/>
          <w:b/>
          <w:bCs/>
          <w:color w:val="000000"/>
          <w:u w:color="000000"/>
          <w:bdr w:val="nil"/>
          <w:lang w:val="en-US"/>
        </w:rPr>
        <w:t xml:space="preserve"> </w:t>
      </w:r>
      <w:r w:rsidRPr="004C4F71">
        <w:rPr>
          <w:rFonts w:eastAsia="Arial" w:cstheme="minorHAnsi"/>
          <w:b/>
          <w:bCs/>
          <w:color w:val="000000"/>
          <w:u w:color="000000"/>
          <w:bdr w:val="nil"/>
          <w:lang w:val="en-US"/>
        </w:rPr>
        <w:t>on participan</w:t>
      </w:r>
      <w:r>
        <w:rPr>
          <w:rFonts w:eastAsia="Arial" w:cstheme="minorHAnsi"/>
          <w:b/>
          <w:bCs/>
          <w:color w:val="000000"/>
          <w:u w:color="000000"/>
          <w:bdr w:val="nil"/>
          <w:lang w:val="en-US"/>
        </w:rPr>
        <w:t xml:space="preserve">ts’ </w:t>
      </w:r>
      <w:r w:rsidRPr="002904BC">
        <w:rPr>
          <w:rFonts w:eastAsia="Arial" w:cstheme="minorHAnsi"/>
          <w:b/>
          <w:bCs/>
          <w:color w:val="000000"/>
          <w:u w:color="000000"/>
          <w:bdr w:val="nil"/>
          <w:lang w:val="en-US"/>
        </w:rPr>
        <w:t xml:space="preserve">knowledge and understanding of the Curriculum for Wales </w:t>
      </w:r>
    </w:p>
    <w:p w14:paraId="3CEFFABD" w14:textId="14DE5126" w:rsidR="00DD029E" w:rsidRDefault="002C5CBB" w:rsidP="00DD029E">
      <w:pPr>
        <w:jc w:val="both"/>
        <w:rPr>
          <w:rFonts w:eastAsia="Arial" w:cstheme="minorHAnsi"/>
          <w:color w:val="000000"/>
          <w:u w:color="000000"/>
          <w:bdr w:val="nil"/>
          <w:lang w:val="en-US"/>
        </w:rPr>
      </w:pPr>
      <w:r>
        <w:rPr>
          <w:rFonts w:eastAsia="Arial" w:cstheme="minorHAnsi"/>
          <w:color w:val="000000"/>
          <w:u w:color="000000"/>
          <w:bdr w:val="nil"/>
          <w:lang w:val="en-US"/>
        </w:rPr>
        <w:t>Questionnaire p</w:t>
      </w:r>
      <w:r w:rsidR="00DD029E" w:rsidRPr="00E06AFE">
        <w:rPr>
          <w:rFonts w:eastAsia="Arial" w:cstheme="minorHAnsi"/>
          <w:color w:val="000000"/>
          <w:u w:color="000000"/>
          <w:bdr w:val="nil"/>
          <w:lang w:val="en-US"/>
        </w:rPr>
        <w:t xml:space="preserve">articipants were asked to </w:t>
      </w:r>
      <w:r w:rsidR="00DD029E" w:rsidRPr="008946D4">
        <w:rPr>
          <w:rFonts w:eastAsia="Arial" w:cstheme="minorHAnsi"/>
          <w:color w:val="000000"/>
          <w:u w:color="000000"/>
          <w:bdr w:val="nil"/>
          <w:lang w:val="en-US"/>
        </w:rPr>
        <w:t>provide reasons why</w:t>
      </w:r>
      <w:r w:rsidR="00DD029E" w:rsidRPr="00E06AFE">
        <w:rPr>
          <w:rFonts w:eastAsia="Arial" w:cstheme="minorHAnsi"/>
          <w:color w:val="000000"/>
          <w:u w:color="000000"/>
          <w:bdr w:val="nil"/>
          <w:lang w:val="en-US"/>
        </w:rPr>
        <w:t xml:space="preserve"> PL </w:t>
      </w:r>
      <w:r w:rsidR="00DD029E">
        <w:rPr>
          <w:rFonts w:eastAsia="Arial" w:cstheme="minorHAnsi"/>
          <w:color w:val="000000"/>
          <w:u w:color="000000"/>
          <w:bdr w:val="nil"/>
          <w:lang w:val="en-US"/>
        </w:rPr>
        <w:t xml:space="preserve">activities </w:t>
      </w:r>
      <w:r w:rsidR="00DD029E" w:rsidRPr="00E06AFE">
        <w:rPr>
          <w:rFonts w:eastAsia="Arial" w:cstheme="minorHAnsi"/>
          <w:color w:val="000000"/>
          <w:u w:color="000000"/>
          <w:bdr w:val="nil"/>
          <w:lang w:val="en-US"/>
        </w:rPr>
        <w:t xml:space="preserve">had been </w:t>
      </w:r>
      <w:r w:rsidR="00DD029E">
        <w:rPr>
          <w:rFonts w:eastAsia="Arial" w:cstheme="minorHAnsi"/>
          <w:color w:val="000000"/>
          <w:u w:color="000000"/>
          <w:bdr w:val="nil"/>
          <w:lang w:val="en-US"/>
        </w:rPr>
        <w:t xml:space="preserve">more or less </w:t>
      </w:r>
      <w:r w:rsidR="00DD029E" w:rsidRPr="00E06AFE">
        <w:rPr>
          <w:rFonts w:eastAsia="Arial" w:cstheme="minorHAnsi"/>
          <w:color w:val="000000"/>
          <w:u w:color="000000"/>
          <w:bdr w:val="nil"/>
          <w:lang w:val="en-US"/>
        </w:rPr>
        <w:t xml:space="preserve">impactful on their knowledge and </w:t>
      </w:r>
      <w:r w:rsidR="00DD029E" w:rsidRPr="007D22E8">
        <w:rPr>
          <w:rFonts w:cstheme="minorHAnsi"/>
        </w:rPr>
        <w:t xml:space="preserve">understanding of the </w:t>
      </w:r>
      <w:r w:rsidR="00DD029E">
        <w:rPr>
          <w:rFonts w:cstheme="minorHAnsi"/>
        </w:rPr>
        <w:t xml:space="preserve">CfW. </w:t>
      </w:r>
      <w:r w:rsidR="00DD029E">
        <w:rPr>
          <w:rFonts w:eastAsia="Arial" w:cstheme="minorHAnsi"/>
          <w:color w:val="000000"/>
          <w:u w:color="000000"/>
          <w:bdr w:val="nil"/>
          <w:lang w:val="en-US"/>
        </w:rPr>
        <w:t xml:space="preserve"> </w:t>
      </w:r>
      <w:r>
        <w:rPr>
          <w:rFonts w:eastAsia="Arial" w:cstheme="minorHAnsi"/>
          <w:color w:val="000000"/>
          <w:u w:color="000000"/>
          <w:bdr w:val="nil"/>
          <w:lang w:val="en-US"/>
        </w:rPr>
        <w:t>R</w:t>
      </w:r>
      <w:r w:rsidR="00DD029E" w:rsidRPr="00E06AFE">
        <w:rPr>
          <w:rFonts w:eastAsia="Arial" w:cstheme="minorHAnsi"/>
          <w:color w:val="000000"/>
          <w:u w:color="000000"/>
          <w:bdr w:val="nil"/>
          <w:lang w:val="en-US"/>
        </w:rPr>
        <w:t xml:space="preserve">esponses were analysed for common </w:t>
      </w:r>
      <w:r w:rsidR="00DD029E">
        <w:rPr>
          <w:rFonts w:eastAsia="Arial" w:cstheme="minorHAnsi"/>
          <w:color w:val="000000"/>
          <w:u w:color="000000"/>
          <w:bdr w:val="nil"/>
          <w:lang w:val="en-US"/>
        </w:rPr>
        <w:t>reasons that emerged based on the frequencies</w:t>
      </w:r>
      <w:r w:rsidR="00DD029E">
        <w:rPr>
          <w:rFonts w:cstheme="minorHAnsi"/>
        </w:rPr>
        <w:t xml:space="preserve"> as shown in the table below</w:t>
      </w:r>
      <w:r>
        <w:rPr>
          <w:rFonts w:cstheme="minorHAnsi"/>
        </w:rPr>
        <w:t>.</w:t>
      </w:r>
      <w:r w:rsidR="00DD029E">
        <w:rPr>
          <w:rFonts w:eastAsia="Arial" w:cstheme="minorHAnsi"/>
          <w:color w:val="000000"/>
          <w:u w:color="000000"/>
          <w:bdr w:val="nil"/>
          <w:lang w:val="en-US"/>
        </w:rPr>
        <w:t xml:space="preserve"> The majority of the participants identified that collaboration with colleagues had been most impactful, supporting </w:t>
      </w:r>
      <w:r w:rsidR="000E1540">
        <w:rPr>
          <w:rFonts w:eastAsia="Arial" w:cstheme="minorHAnsi"/>
          <w:color w:val="000000"/>
          <w:u w:color="000000"/>
          <w:bdr w:val="nil"/>
          <w:lang w:val="en-US"/>
        </w:rPr>
        <w:lastRenderedPageBreak/>
        <w:t>academic r</w:t>
      </w:r>
      <w:r w:rsidR="00DD029E">
        <w:rPr>
          <w:rFonts w:eastAsia="Arial" w:cstheme="minorHAnsi"/>
          <w:color w:val="000000"/>
          <w:u w:color="000000"/>
          <w:bdr w:val="nil"/>
          <w:lang w:val="en-US"/>
        </w:rPr>
        <w:t>esearch on the value of collaborat</w:t>
      </w:r>
      <w:r>
        <w:rPr>
          <w:rFonts w:eastAsia="Arial" w:cstheme="minorHAnsi"/>
          <w:color w:val="000000"/>
          <w:u w:color="000000"/>
          <w:bdr w:val="nil"/>
          <w:lang w:val="en-US"/>
        </w:rPr>
        <w:t>ion.</w:t>
      </w:r>
      <w:r w:rsidR="00DD029E">
        <w:rPr>
          <w:rFonts w:eastAsia="Arial" w:cstheme="minorHAnsi"/>
          <w:color w:val="000000"/>
          <w:u w:color="000000"/>
          <w:bdr w:val="nil"/>
          <w:lang w:val="en-US"/>
        </w:rPr>
        <w:t xml:space="preserve">  According to the participants, PL activities that were less impactful were as a result of poor PL design and delivery. </w:t>
      </w:r>
      <w:r>
        <w:rPr>
          <w:rFonts w:eastAsia="Arial" w:cstheme="minorHAnsi"/>
          <w:color w:val="000000"/>
          <w:u w:color="000000"/>
          <w:bdr w:val="nil"/>
          <w:lang w:val="en-US"/>
        </w:rPr>
        <w:t xml:space="preserve"> </w:t>
      </w:r>
      <w:r w:rsidR="00DD029E">
        <w:rPr>
          <w:rFonts w:eastAsia="Arial" w:cstheme="minorHAnsi"/>
          <w:color w:val="000000"/>
          <w:u w:color="000000"/>
          <w:bdr w:val="nil"/>
          <w:lang w:val="en-US"/>
        </w:rPr>
        <w:t xml:space="preserve">This may support some of the criticisms of the quality and nature of the PL provided noted above.  </w:t>
      </w:r>
    </w:p>
    <w:tbl>
      <w:tblPr>
        <w:tblStyle w:val="TableGrid"/>
        <w:tblpPr w:leftFromText="180" w:rightFromText="180" w:vertAnchor="text" w:tblpY="205"/>
        <w:tblW w:w="9209" w:type="dxa"/>
        <w:tblLook w:val="04A0" w:firstRow="1" w:lastRow="0" w:firstColumn="1" w:lastColumn="0" w:noHBand="0" w:noVBand="1"/>
      </w:tblPr>
      <w:tblGrid>
        <w:gridCol w:w="2830"/>
        <w:gridCol w:w="1418"/>
        <w:gridCol w:w="3402"/>
        <w:gridCol w:w="1559"/>
      </w:tblGrid>
      <w:tr w:rsidR="00DD029E" w14:paraId="73DC5B81" w14:textId="59F3FD0D" w:rsidTr="00A10C4F">
        <w:tc>
          <w:tcPr>
            <w:tcW w:w="4248" w:type="dxa"/>
            <w:gridSpan w:val="2"/>
            <w:shd w:val="clear" w:color="auto" w:fill="E7E6E6" w:themeFill="background2"/>
          </w:tcPr>
          <w:p w14:paraId="42528C47" w14:textId="77777777" w:rsidR="00DD029E" w:rsidRPr="00DD029E" w:rsidRDefault="00DD029E" w:rsidP="00DD029E">
            <w:pPr>
              <w:jc w:val="both"/>
              <w:rPr>
                <w:rFonts w:eastAsia="Arial" w:cstheme="minorHAnsi"/>
                <w:b/>
                <w:bCs/>
                <w:color w:val="000000"/>
                <w:u w:color="000000"/>
                <w:bdr w:val="nil"/>
                <w:lang w:val="en-US"/>
              </w:rPr>
            </w:pPr>
            <w:r w:rsidRPr="00DD029E">
              <w:rPr>
                <w:rFonts w:eastAsia="Arial" w:cstheme="minorHAnsi"/>
                <w:b/>
                <w:bCs/>
                <w:color w:val="000000"/>
                <w:u w:color="000000"/>
                <w:bdr w:val="nil"/>
                <w:lang w:val="en-US"/>
              </w:rPr>
              <w:t>Impactful PL</w:t>
            </w:r>
          </w:p>
        </w:tc>
        <w:tc>
          <w:tcPr>
            <w:tcW w:w="4961" w:type="dxa"/>
            <w:gridSpan w:val="2"/>
            <w:shd w:val="clear" w:color="auto" w:fill="E7E6E6" w:themeFill="background2"/>
          </w:tcPr>
          <w:p w14:paraId="003FD004" w14:textId="0D2E75C3" w:rsidR="00DD029E" w:rsidRPr="00DD029E" w:rsidRDefault="00DD029E" w:rsidP="00DD029E">
            <w:pPr>
              <w:jc w:val="both"/>
              <w:rPr>
                <w:rFonts w:eastAsia="Arial" w:cstheme="minorHAnsi"/>
                <w:b/>
                <w:bCs/>
                <w:color w:val="000000"/>
                <w:u w:color="000000"/>
                <w:bdr w:val="nil"/>
                <w:lang w:val="en-US"/>
              </w:rPr>
            </w:pPr>
            <w:r w:rsidRPr="00DD029E">
              <w:rPr>
                <w:rFonts w:eastAsia="Arial" w:cstheme="minorHAnsi"/>
                <w:b/>
                <w:bCs/>
                <w:color w:val="000000"/>
                <w:u w:color="000000"/>
                <w:bdr w:val="nil"/>
                <w:lang w:val="en-US"/>
              </w:rPr>
              <w:t>Less impactful PL</w:t>
            </w:r>
          </w:p>
        </w:tc>
      </w:tr>
      <w:tr w:rsidR="00DD029E" w14:paraId="0A7E40B5" w14:textId="2B1BD955" w:rsidTr="00A10C4F">
        <w:tc>
          <w:tcPr>
            <w:tcW w:w="2830" w:type="dxa"/>
            <w:shd w:val="clear" w:color="auto" w:fill="E7E6E6" w:themeFill="background2"/>
          </w:tcPr>
          <w:p w14:paraId="67AF4A4A" w14:textId="77777777" w:rsidR="00DD029E" w:rsidRPr="00DD029E" w:rsidRDefault="00DD029E" w:rsidP="00DD029E">
            <w:pPr>
              <w:jc w:val="both"/>
              <w:rPr>
                <w:rFonts w:eastAsia="Arial" w:cstheme="minorHAnsi"/>
                <w:b/>
                <w:bCs/>
                <w:color w:val="000000"/>
                <w:u w:color="000000"/>
                <w:bdr w:val="nil"/>
                <w:lang w:val="en-US"/>
              </w:rPr>
            </w:pPr>
            <w:r w:rsidRPr="00DD029E">
              <w:rPr>
                <w:rFonts w:eastAsia="Arial" w:cstheme="minorHAnsi"/>
                <w:b/>
                <w:bCs/>
                <w:color w:val="000000"/>
                <w:u w:color="000000"/>
                <w:bdr w:val="nil"/>
                <w:lang w:val="en-US"/>
              </w:rPr>
              <w:t>Theme</w:t>
            </w:r>
          </w:p>
        </w:tc>
        <w:tc>
          <w:tcPr>
            <w:tcW w:w="1418" w:type="dxa"/>
            <w:shd w:val="clear" w:color="auto" w:fill="E7E6E6" w:themeFill="background2"/>
          </w:tcPr>
          <w:p w14:paraId="4AC1DE69" w14:textId="77777777" w:rsidR="00DD029E" w:rsidRPr="00DD029E" w:rsidRDefault="00DD029E" w:rsidP="00DD029E">
            <w:pPr>
              <w:jc w:val="both"/>
              <w:rPr>
                <w:rFonts w:eastAsia="Arial" w:cstheme="minorHAnsi"/>
                <w:b/>
                <w:bCs/>
                <w:color w:val="000000"/>
                <w:u w:color="000000"/>
                <w:bdr w:val="nil"/>
                <w:lang w:val="en-US"/>
              </w:rPr>
            </w:pPr>
            <w:r w:rsidRPr="00DD029E">
              <w:rPr>
                <w:rFonts w:eastAsia="Arial" w:cstheme="minorHAnsi"/>
                <w:b/>
                <w:bCs/>
                <w:color w:val="000000"/>
                <w:u w:color="000000"/>
                <w:bdr w:val="nil"/>
                <w:lang w:val="en-US"/>
              </w:rPr>
              <w:t xml:space="preserve">Frequency </w:t>
            </w:r>
          </w:p>
        </w:tc>
        <w:tc>
          <w:tcPr>
            <w:tcW w:w="3402" w:type="dxa"/>
            <w:shd w:val="clear" w:color="auto" w:fill="E7E6E6" w:themeFill="background2"/>
          </w:tcPr>
          <w:p w14:paraId="49B52393" w14:textId="5ED89F17" w:rsidR="00DD029E" w:rsidRPr="00DD029E" w:rsidRDefault="00DD029E" w:rsidP="00DD029E">
            <w:pPr>
              <w:jc w:val="both"/>
              <w:rPr>
                <w:rFonts w:eastAsia="Arial" w:cstheme="minorHAnsi"/>
                <w:b/>
                <w:bCs/>
                <w:color w:val="000000"/>
                <w:u w:color="000000"/>
                <w:bdr w:val="nil"/>
                <w:lang w:val="en-US"/>
              </w:rPr>
            </w:pPr>
            <w:r w:rsidRPr="00DD029E">
              <w:rPr>
                <w:rFonts w:eastAsia="Arial" w:cstheme="minorHAnsi"/>
                <w:b/>
                <w:bCs/>
                <w:color w:val="000000"/>
                <w:u w:color="000000"/>
                <w:bdr w:val="nil"/>
                <w:lang w:val="en-US"/>
              </w:rPr>
              <w:t xml:space="preserve">Theme </w:t>
            </w:r>
          </w:p>
        </w:tc>
        <w:tc>
          <w:tcPr>
            <w:tcW w:w="1559" w:type="dxa"/>
            <w:shd w:val="clear" w:color="auto" w:fill="E7E6E6" w:themeFill="background2"/>
          </w:tcPr>
          <w:p w14:paraId="666D6E57" w14:textId="019C220B" w:rsidR="00DD029E" w:rsidRPr="00DD029E" w:rsidRDefault="00DD029E" w:rsidP="00DD029E">
            <w:pPr>
              <w:jc w:val="both"/>
              <w:rPr>
                <w:rFonts w:eastAsia="Arial" w:cstheme="minorHAnsi"/>
                <w:b/>
                <w:bCs/>
                <w:color w:val="000000"/>
                <w:u w:color="000000"/>
                <w:bdr w:val="nil"/>
                <w:lang w:val="en-US"/>
              </w:rPr>
            </w:pPr>
            <w:r w:rsidRPr="00DD029E">
              <w:rPr>
                <w:rFonts w:eastAsia="Arial" w:cstheme="minorHAnsi"/>
                <w:b/>
                <w:bCs/>
                <w:color w:val="000000"/>
                <w:u w:color="000000"/>
                <w:bdr w:val="nil"/>
                <w:lang w:val="en-US"/>
              </w:rPr>
              <w:t xml:space="preserve">Frequency </w:t>
            </w:r>
          </w:p>
        </w:tc>
      </w:tr>
      <w:tr w:rsidR="00DD029E" w14:paraId="39FD044C" w14:textId="0F2EED61" w:rsidTr="00DD029E">
        <w:tc>
          <w:tcPr>
            <w:tcW w:w="2830" w:type="dxa"/>
          </w:tcPr>
          <w:p w14:paraId="28851C13" w14:textId="77777777" w:rsidR="00DD029E" w:rsidRDefault="00DD029E" w:rsidP="00DD029E">
            <w:pPr>
              <w:jc w:val="both"/>
              <w:rPr>
                <w:rFonts w:eastAsia="Arial" w:cstheme="minorHAnsi"/>
                <w:color w:val="000000"/>
                <w:u w:color="000000"/>
                <w:bdr w:val="nil"/>
                <w:lang w:val="en-US"/>
              </w:rPr>
            </w:pPr>
            <w:r>
              <w:rPr>
                <w:rFonts w:eastAsia="Arial" w:cstheme="minorHAnsi"/>
                <w:color w:val="000000"/>
                <w:u w:color="000000"/>
                <w:bdr w:val="nil"/>
                <w:lang w:val="en-US"/>
              </w:rPr>
              <w:t xml:space="preserve">Collaboration </w:t>
            </w:r>
          </w:p>
        </w:tc>
        <w:tc>
          <w:tcPr>
            <w:tcW w:w="1418" w:type="dxa"/>
          </w:tcPr>
          <w:p w14:paraId="1592C0D9" w14:textId="77777777" w:rsidR="00DD029E" w:rsidRDefault="00DD029E" w:rsidP="00DD029E">
            <w:pPr>
              <w:jc w:val="both"/>
              <w:rPr>
                <w:rFonts w:eastAsia="Arial" w:cstheme="minorHAnsi"/>
                <w:color w:val="000000"/>
                <w:u w:color="000000"/>
                <w:bdr w:val="nil"/>
                <w:lang w:val="en-US"/>
              </w:rPr>
            </w:pPr>
            <w:r>
              <w:rPr>
                <w:rFonts w:eastAsia="Arial" w:cstheme="minorHAnsi"/>
                <w:color w:val="000000"/>
                <w:u w:color="000000"/>
                <w:bdr w:val="nil"/>
                <w:lang w:val="en-US"/>
              </w:rPr>
              <w:t>11</w:t>
            </w:r>
          </w:p>
        </w:tc>
        <w:tc>
          <w:tcPr>
            <w:tcW w:w="3402" w:type="dxa"/>
          </w:tcPr>
          <w:p w14:paraId="5A59FE27" w14:textId="7E4E2183" w:rsidR="00DD029E" w:rsidRDefault="00DD029E" w:rsidP="00DD029E">
            <w:pPr>
              <w:jc w:val="both"/>
              <w:rPr>
                <w:rFonts w:eastAsia="Arial" w:cstheme="minorHAnsi"/>
                <w:color w:val="000000"/>
                <w:u w:color="000000"/>
                <w:bdr w:val="nil"/>
                <w:lang w:val="en-US"/>
              </w:rPr>
            </w:pPr>
            <w:r>
              <w:rPr>
                <w:rFonts w:eastAsia="Arial" w:cstheme="minorHAnsi"/>
                <w:color w:val="000000"/>
                <w:u w:color="000000"/>
                <w:bdr w:val="nil"/>
                <w:lang w:val="en-US"/>
              </w:rPr>
              <w:t xml:space="preserve">Delivery/genericness/design </w:t>
            </w:r>
            <w:r w:rsidR="00A5515E">
              <w:rPr>
                <w:rFonts w:eastAsia="Arial" w:cstheme="minorHAnsi"/>
                <w:color w:val="000000"/>
                <w:u w:color="000000"/>
                <w:bdr w:val="nil"/>
                <w:lang w:val="en-US"/>
              </w:rPr>
              <w:t>of PL</w:t>
            </w:r>
            <w:r>
              <w:rPr>
                <w:rFonts w:eastAsia="Arial" w:cstheme="minorHAnsi"/>
                <w:color w:val="000000"/>
                <w:u w:color="000000"/>
                <w:bdr w:val="nil"/>
                <w:lang w:val="en-US"/>
              </w:rPr>
              <w:t xml:space="preserve"> </w:t>
            </w:r>
          </w:p>
        </w:tc>
        <w:tc>
          <w:tcPr>
            <w:tcW w:w="1559" w:type="dxa"/>
          </w:tcPr>
          <w:p w14:paraId="165559B0" w14:textId="3B6735F7" w:rsidR="00DD029E" w:rsidRDefault="00DD029E" w:rsidP="00DD029E">
            <w:pPr>
              <w:jc w:val="both"/>
              <w:rPr>
                <w:rFonts w:eastAsia="Arial" w:cstheme="minorHAnsi"/>
                <w:color w:val="000000"/>
                <w:u w:color="000000"/>
                <w:bdr w:val="nil"/>
                <w:lang w:val="en-US"/>
              </w:rPr>
            </w:pPr>
            <w:r>
              <w:rPr>
                <w:rFonts w:eastAsia="Arial" w:cstheme="minorHAnsi"/>
                <w:color w:val="000000"/>
                <w:u w:color="000000"/>
                <w:bdr w:val="nil"/>
                <w:lang w:val="en-US"/>
              </w:rPr>
              <w:t>9</w:t>
            </w:r>
          </w:p>
        </w:tc>
      </w:tr>
      <w:tr w:rsidR="00DD029E" w14:paraId="06EAED97" w14:textId="635E784C" w:rsidTr="00DD029E">
        <w:tc>
          <w:tcPr>
            <w:tcW w:w="2830" w:type="dxa"/>
          </w:tcPr>
          <w:p w14:paraId="3A9AABAE" w14:textId="77777777" w:rsidR="00DD029E" w:rsidRDefault="00DD029E" w:rsidP="00DD029E">
            <w:pPr>
              <w:jc w:val="both"/>
              <w:rPr>
                <w:rFonts w:eastAsia="Arial" w:cstheme="minorHAnsi"/>
                <w:color w:val="000000"/>
                <w:u w:color="000000"/>
                <w:bdr w:val="nil"/>
                <w:lang w:val="en-US"/>
              </w:rPr>
            </w:pPr>
            <w:r>
              <w:rPr>
                <w:rFonts w:eastAsia="Arial" w:cstheme="minorHAnsi"/>
                <w:color w:val="000000"/>
                <w:u w:color="000000"/>
                <w:bdr w:val="nil"/>
                <w:lang w:val="en-US"/>
              </w:rPr>
              <w:t>Piloting and refection on approaches/trials</w:t>
            </w:r>
          </w:p>
        </w:tc>
        <w:tc>
          <w:tcPr>
            <w:tcW w:w="1418" w:type="dxa"/>
          </w:tcPr>
          <w:p w14:paraId="5AB90468" w14:textId="77777777" w:rsidR="00DD029E" w:rsidRDefault="00DD029E" w:rsidP="00DD029E">
            <w:pPr>
              <w:jc w:val="both"/>
              <w:rPr>
                <w:rFonts w:eastAsia="Arial" w:cstheme="minorHAnsi"/>
                <w:color w:val="000000"/>
                <w:u w:color="000000"/>
                <w:bdr w:val="nil"/>
                <w:lang w:val="en-US"/>
              </w:rPr>
            </w:pPr>
            <w:r>
              <w:rPr>
                <w:rFonts w:eastAsia="Arial" w:cstheme="minorHAnsi"/>
                <w:color w:val="000000"/>
                <w:u w:color="000000"/>
                <w:bdr w:val="nil"/>
                <w:lang w:val="en-US"/>
              </w:rPr>
              <w:t>2</w:t>
            </w:r>
          </w:p>
        </w:tc>
        <w:tc>
          <w:tcPr>
            <w:tcW w:w="3402" w:type="dxa"/>
          </w:tcPr>
          <w:p w14:paraId="1BF08533" w14:textId="3EFA5379" w:rsidR="00DD029E" w:rsidRDefault="00DD029E" w:rsidP="00DD029E">
            <w:pPr>
              <w:jc w:val="both"/>
              <w:rPr>
                <w:rFonts w:eastAsia="Arial" w:cstheme="minorHAnsi"/>
                <w:color w:val="000000"/>
                <w:u w:color="000000"/>
                <w:bdr w:val="nil"/>
                <w:lang w:val="en-US"/>
              </w:rPr>
            </w:pPr>
            <w:r>
              <w:rPr>
                <w:rFonts w:eastAsia="Arial" w:cstheme="minorHAnsi"/>
                <w:color w:val="000000"/>
                <w:u w:color="000000"/>
                <w:bdr w:val="nil"/>
                <w:lang w:val="en-US"/>
              </w:rPr>
              <w:t>Lack of relevance to specific setting</w:t>
            </w:r>
          </w:p>
        </w:tc>
        <w:tc>
          <w:tcPr>
            <w:tcW w:w="1559" w:type="dxa"/>
          </w:tcPr>
          <w:p w14:paraId="3A39E0C3" w14:textId="44A7B3AB" w:rsidR="00DD029E" w:rsidRDefault="00DD029E" w:rsidP="00DD029E">
            <w:pPr>
              <w:jc w:val="both"/>
              <w:rPr>
                <w:rFonts w:eastAsia="Arial" w:cstheme="minorHAnsi"/>
                <w:color w:val="000000"/>
                <w:u w:color="000000"/>
                <w:bdr w:val="nil"/>
                <w:lang w:val="en-US"/>
              </w:rPr>
            </w:pPr>
            <w:r>
              <w:rPr>
                <w:rFonts w:eastAsia="Arial" w:cstheme="minorHAnsi"/>
                <w:color w:val="000000"/>
                <w:u w:color="000000"/>
                <w:bdr w:val="nil"/>
                <w:lang w:val="en-US"/>
              </w:rPr>
              <w:t>3</w:t>
            </w:r>
          </w:p>
        </w:tc>
      </w:tr>
      <w:tr w:rsidR="00DD029E" w14:paraId="414A90D3" w14:textId="59707AEB" w:rsidTr="00DD029E">
        <w:tc>
          <w:tcPr>
            <w:tcW w:w="2830" w:type="dxa"/>
          </w:tcPr>
          <w:p w14:paraId="7DA96B3B" w14:textId="77777777" w:rsidR="00DD029E" w:rsidRDefault="00DD029E" w:rsidP="00DD029E">
            <w:pPr>
              <w:jc w:val="both"/>
              <w:rPr>
                <w:rFonts w:eastAsia="Arial" w:cstheme="minorHAnsi"/>
                <w:color w:val="000000"/>
                <w:u w:color="000000"/>
                <w:bdr w:val="nil"/>
                <w:lang w:val="en-US"/>
              </w:rPr>
            </w:pPr>
            <w:r>
              <w:rPr>
                <w:rFonts w:eastAsia="Arial" w:cstheme="minorHAnsi"/>
                <w:color w:val="000000"/>
                <w:u w:color="000000"/>
                <w:bdr w:val="nil"/>
                <w:lang w:val="en-US"/>
              </w:rPr>
              <w:t>Practical ideas/examples from other settings</w:t>
            </w:r>
          </w:p>
        </w:tc>
        <w:tc>
          <w:tcPr>
            <w:tcW w:w="1418" w:type="dxa"/>
          </w:tcPr>
          <w:p w14:paraId="6783AB2B" w14:textId="77777777" w:rsidR="00DD029E" w:rsidRDefault="00DD029E" w:rsidP="00DD029E">
            <w:pPr>
              <w:jc w:val="both"/>
              <w:rPr>
                <w:rFonts w:eastAsia="Arial" w:cstheme="minorHAnsi"/>
                <w:color w:val="000000"/>
                <w:u w:color="000000"/>
                <w:bdr w:val="nil"/>
                <w:lang w:val="en-US"/>
              </w:rPr>
            </w:pPr>
            <w:r>
              <w:rPr>
                <w:rFonts w:eastAsia="Arial" w:cstheme="minorHAnsi"/>
                <w:color w:val="000000"/>
                <w:u w:color="000000"/>
                <w:bdr w:val="nil"/>
                <w:lang w:val="en-US"/>
              </w:rPr>
              <w:t>4</w:t>
            </w:r>
          </w:p>
        </w:tc>
        <w:tc>
          <w:tcPr>
            <w:tcW w:w="3402" w:type="dxa"/>
          </w:tcPr>
          <w:p w14:paraId="37924E9C" w14:textId="2047C27C" w:rsidR="00DD029E" w:rsidRDefault="00DD029E" w:rsidP="00DD029E">
            <w:pPr>
              <w:jc w:val="both"/>
              <w:rPr>
                <w:rFonts w:eastAsia="Arial" w:cstheme="minorHAnsi"/>
                <w:color w:val="000000"/>
                <w:u w:color="000000"/>
                <w:bdr w:val="nil"/>
                <w:lang w:val="en-US"/>
              </w:rPr>
            </w:pPr>
            <w:r>
              <w:rPr>
                <w:rFonts w:eastAsia="Arial" w:cstheme="minorHAnsi"/>
                <w:color w:val="000000"/>
                <w:u w:color="000000"/>
                <w:bdr w:val="nil"/>
                <w:lang w:val="en-US"/>
              </w:rPr>
              <w:t>Time</w:t>
            </w:r>
          </w:p>
        </w:tc>
        <w:tc>
          <w:tcPr>
            <w:tcW w:w="1559" w:type="dxa"/>
          </w:tcPr>
          <w:p w14:paraId="4B2880A8" w14:textId="2C65ED58" w:rsidR="00DD029E" w:rsidRDefault="00DD029E" w:rsidP="00DD029E">
            <w:pPr>
              <w:jc w:val="both"/>
              <w:rPr>
                <w:rFonts w:eastAsia="Arial" w:cstheme="minorHAnsi"/>
                <w:color w:val="000000"/>
                <w:u w:color="000000"/>
                <w:bdr w:val="nil"/>
                <w:lang w:val="en-US"/>
              </w:rPr>
            </w:pPr>
            <w:r>
              <w:rPr>
                <w:rFonts w:eastAsia="Arial" w:cstheme="minorHAnsi"/>
                <w:color w:val="000000"/>
                <w:u w:color="000000"/>
                <w:bdr w:val="nil"/>
                <w:lang w:val="en-US"/>
              </w:rPr>
              <w:t>3</w:t>
            </w:r>
          </w:p>
        </w:tc>
      </w:tr>
      <w:tr w:rsidR="00DD029E" w14:paraId="1FAFE7B9" w14:textId="6BDC8D76" w:rsidTr="00DD029E">
        <w:tc>
          <w:tcPr>
            <w:tcW w:w="2830" w:type="dxa"/>
          </w:tcPr>
          <w:p w14:paraId="64A2C053" w14:textId="77777777" w:rsidR="00DD029E" w:rsidRDefault="00DD029E" w:rsidP="00DD029E">
            <w:pPr>
              <w:jc w:val="both"/>
              <w:rPr>
                <w:rFonts w:eastAsia="Arial" w:cstheme="minorHAnsi"/>
                <w:color w:val="000000"/>
                <w:u w:color="000000"/>
                <w:bdr w:val="nil"/>
                <w:lang w:val="en-US"/>
              </w:rPr>
            </w:pPr>
            <w:r>
              <w:rPr>
                <w:rFonts w:eastAsia="Arial" w:cstheme="minorHAnsi"/>
                <w:color w:val="000000"/>
                <w:u w:color="000000"/>
                <w:bdr w:val="nil"/>
                <w:lang w:val="en-US"/>
              </w:rPr>
              <w:t>Provision of expertise/specific understandings of curriculum design</w:t>
            </w:r>
          </w:p>
        </w:tc>
        <w:tc>
          <w:tcPr>
            <w:tcW w:w="1418" w:type="dxa"/>
          </w:tcPr>
          <w:p w14:paraId="52B9098A" w14:textId="77777777" w:rsidR="00DD029E" w:rsidRDefault="00DD029E" w:rsidP="00DD029E">
            <w:pPr>
              <w:jc w:val="both"/>
              <w:rPr>
                <w:rFonts w:eastAsia="Arial" w:cstheme="minorHAnsi"/>
                <w:color w:val="000000"/>
                <w:u w:color="000000"/>
                <w:bdr w:val="nil"/>
                <w:lang w:val="en-US"/>
              </w:rPr>
            </w:pPr>
            <w:r>
              <w:rPr>
                <w:rFonts w:eastAsia="Arial" w:cstheme="minorHAnsi"/>
                <w:color w:val="000000"/>
                <w:u w:color="000000"/>
                <w:bdr w:val="nil"/>
                <w:lang w:val="en-US"/>
              </w:rPr>
              <w:t>4</w:t>
            </w:r>
          </w:p>
        </w:tc>
        <w:tc>
          <w:tcPr>
            <w:tcW w:w="3402" w:type="dxa"/>
          </w:tcPr>
          <w:p w14:paraId="2C0DA949" w14:textId="2A4B27EF" w:rsidR="00DD029E" w:rsidRDefault="00DD029E" w:rsidP="00DD029E">
            <w:pPr>
              <w:jc w:val="both"/>
              <w:rPr>
                <w:rFonts w:eastAsia="Arial" w:cstheme="minorHAnsi"/>
                <w:color w:val="000000"/>
                <w:u w:color="000000"/>
                <w:bdr w:val="nil"/>
                <w:lang w:val="en-US"/>
              </w:rPr>
            </w:pPr>
            <w:r>
              <w:rPr>
                <w:rFonts w:eastAsia="Arial" w:cstheme="minorHAnsi"/>
                <w:color w:val="000000"/>
                <w:u w:color="000000"/>
                <w:bdr w:val="nil"/>
                <w:lang w:val="en-US"/>
              </w:rPr>
              <w:t>Lack of examples/irrelevance of examples</w:t>
            </w:r>
          </w:p>
        </w:tc>
        <w:tc>
          <w:tcPr>
            <w:tcW w:w="1559" w:type="dxa"/>
          </w:tcPr>
          <w:p w14:paraId="072BDF4F" w14:textId="3B5CA5E5" w:rsidR="00DD029E" w:rsidRDefault="00DD029E" w:rsidP="00DD029E">
            <w:pPr>
              <w:jc w:val="both"/>
              <w:rPr>
                <w:rFonts w:eastAsia="Arial" w:cstheme="minorHAnsi"/>
                <w:color w:val="000000"/>
                <w:u w:color="000000"/>
                <w:bdr w:val="nil"/>
                <w:lang w:val="en-US"/>
              </w:rPr>
            </w:pPr>
            <w:r>
              <w:rPr>
                <w:rFonts w:eastAsia="Arial" w:cstheme="minorHAnsi"/>
                <w:color w:val="000000"/>
                <w:u w:color="000000"/>
                <w:bdr w:val="nil"/>
                <w:lang w:val="en-US"/>
              </w:rPr>
              <w:t>2</w:t>
            </w:r>
          </w:p>
        </w:tc>
      </w:tr>
      <w:tr w:rsidR="00DD029E" w14:paraId="03659CDB" w14:textId="39227B7E" w:rsidTr="00DD029E">
        <w:tc>
          <w:tcPr>
            <w:tcW w:w="2830" w:type="dxa"/>
          </w:tcPr>
          <w:p w14:paraId="3A596FF6" w14:textId="77777777" w:rsidR="00DD029E" w:rsidRDefault="00DD029E" w:rsidP="00DD029E">
            <w:pPr>
              <w:jc w:val="both"/>
              <w:rPr>
                <w:rFonts w:eastAsia="Arial" w:cstheme="minorHAnsi"/>
                <w:color w:val="000000"/>
                <w:u w:color="000000"/>
                <w:bdr w:val="nil"/>
                <w:lang w:val="en-US"/>
              </w:rPr>
            </w:pPr>
            <w:r>
              <w:rPr>
                <w:rFonts w:eastAsia="Arial" w:cstheme="minorHAnsi"/>
                <w:color w:val="000000"/>
                <w:u w:color="000000"/>
                <w:bdr w:val="nil"/>
                <w:lang w:val="en-US"/>
              </w:rPr>
              <w:t>Specific tasks/approaches in PL</w:t>
            </w:r>
          </w:p>
        </w:tc>
        <w:tc>
          <w:tcPr>
            <w:tcW w:w="1418" w:type="dxa"/>
          </w:tcPr>
          <w:p w14:paraId="1428FC59" w14:textId="77777777" w:rsidR="00DD029E" w:rsidRDefault="00DD029E" w:rsidP="00DD029E">
            <w:pPr>
              <w:jc w:val="both"/>
              <w:rPr>
                <w:rFonts w:eastAsia="Arial" w:cstheme="minorHAnsi"/>
                <w:color w:val="000000"/>
                <w:u w:color="000000"/>
                <w:bdr w:val="nil"/>
                <w:lang w:val="en-US"/>
              </w:rPr>
            </w:pPr>
            <w:r>
              <w:rPr>
                <w:rFonts w:eastAsia="Arial" w:cstheme="minorHAnsi"/>
                <w:color w:val="000000"/>
                <w:u w:color="000000"/>
                <w:bdr w:val="nil"/>
                <w:lang w:val="en-US"/>
              </w:rPr>
              <w:t>3</w:t>
            </w:r>
          </w:p>
        </w:tc>
        <w:tc>
          <w:tcPr>
            <w:tcW w:w="3402" w:type="dxa"/>
          </w:tcPr>
          <w:p w14:paraId="3BC1618D" w14:textId="726B6992" w:rsidR="00DD029E" w:rsidRDefault="00DD029E" w:rsidP="00DD029E">
            <w:pPr>
              <w:jc w:val="both"/>
              <w:rPr>
                <w:rFonts w:eastAsia="Arial" w:cstheme="minorHAnsi"/>
                <w:color w:val="000000"/>
                <w:u w:color="000000"/>
                <w:bdr w:val="nil"/>
                <w:lang w:val="en-US"/>
              </w:rPr>
            </w:pPr>
            <w:r>
              <w:rPr>
                <w:rFonts w:eastAsia="Arial" w:cstheme="minorHAnsi"/>
                <w:color w:val="000000"/>
                <w:u w:color="000000"/>
                <w:bdr w:val="nil"/>
                <w:lang w:val="en-US"/>
              </w:rPr>
              <w:t>Not supported with evidence</w:t>
            </w:r>
          </w:p>
        </w:tc>
        <w:tc>
          <w:tcPr>
            <w:tcW w:w="1559" w:type="dxa"/>
          </w:tcPr>
          <w:p w14:paraId="7AE8678A" w14:textId="1DBDFA68" w:rsidR="00DD029E" w:rsidRDefault="00DD029E" w:rsidP="00DD029E">
            <w:pPr>
              <w:jc w:val="both"/>
              <w:rPr>
                <w:rFonts w:eastAsia="Arial" w:cstheme="minorHAnsi"/>
                <w:color w:val="000000"/>
                <w:u w:color="000000"/>
                <w:bdr w:val="nil"/>
                <w:lang w:val="en-US"/>
              </w:rPr>
            </w:pPr>
            <w:r>
              <w:rPr>
                <w:rFonts w:eastAsia="Arial" w:cstheme="minorHAnsi"/>
                <w:color w:val="000000"/>
                <w:u w:color="000000"/>
                <w:bdr w:val="nil"/>
                <w:lang w:val="en-US"/>
              </w:rPr>
              <w:t>1</w:t>
            </w:r>
          </w:p>
        </w:tc>
      </w:tr>
      <w:tr w:rsidR="00DD029E" w14:paraId="27D553C8" w14:textId="40D90002" w:rsidTr="00DD029E">
        <w:tc>
          <w:tcPr>
            <w:tcW w:w="2830" w:type="dxa"/>
          </w:tcPr>
          <w:p w14:paraId="6C3F2BB6" w14:textId="77777777" w:rsidR="00DD029E" w:rsidRDefault="00DD029E" w:rsidP="00DD029E">
            <w:pPr>
              <w:jc w:val="both"/>
              <w:rPr>
                <w:rFonts w:eastAsia="Arial" w:cstheme="minorHAnsi"/>
                <w:color w:val="000000"/>
                <w:u w:color="000000"/>
                <w:bdr w:val="nil"/>
                <w:lang w:val="en-US"/>
              </w:rPr>
            </w:pPr>
            <w:r>
              <w:rPr>
                <w:rFonts w:eastAsia="Arial" w:cstheme="minorHAnsi"/>
                <w:color w:val="000000"/>
                <w:u w:color="000000"/>
                <w:bdr w:val="nil"/>
                <w:lang w:val="en-US"/>
              </w:rPr>
              <w:t>Time</w:t>
            </w:r>
          </w:p>
        </w:tc>
        <w:tc>
          <w:tcPr>
            <w:tcW w:w="1418" w:type="dxa"/>
          </w:tcPr>
          <w:p w14:paraId="4E7CE11F" w14:textId="77777777" w:rsidR="00DD029E" w:rsidRDefault="00DD029E" w:rsidP="00DD029E">
            <w:pPr>
              <w:jc w:val="both"/>
              <w:rPr>
                <w:rFonts w:eastAsia="Arial" w:cstheme="minorHAnsi"/>
                <w:color w:val="000000"/>
                <w:u w:color="000000"/>
                <w:bdr w:val="nil"/>
                <w:lang w:val="en-US"/>
              </w:rPr>
            </w:pPr>
            <w:r>
              <w:rPr>
                <w:rFonts w:eastAsia="Arial" w:cstheme="minorHAnsi"/>
                <w:color w:val="000000"/>
                <w:u w:color="000000"/>
                <w:bdr w:val="nil"/>
                <w:lang w:val="en-US"/>
              </w:rPr>
              <w:t>2</w:t>
            </w:r>
          </w:p>
        </w:tc>
        <w:tc>
          <w:tcPr>
            <w:tcW w:w="3402" w:type="dxa"/>
          </w:tcPr>
          <w:p w14:paraId="0C92183A" w14:textId="36031B9B" w:rsidR="00DD029E" w:rsidRDefault="00DD029E" w:rsidP="00DD029E">
            <w:pPr>
              <w:jc w:val="both"/>
              <w:rPr>
                <w:rFonts w:eastAsia="Arial" w:cstheme="minorHAnsi"/>
                <w:color w:val="000000"/>
                <w:u w:color="000000"/>
                <w:bdr w:val="nil"/>
                <w:lang w:val="en-US"/>
              </w:rPr>
            </w:pPr>
            <w:r>
              <w:rPr>
                <w:rFonts w:eastAsia="Arial" w:cstheme="minorHAnsi"/>
                <w:color w:val="000000"/>
                <w:u w:color="000000"/>
                <w:bdr w:val="nil"/>
                <w:lang w:val="en-US"/>
              </w:rPr>
              <w:t>Senior leaders taking a different decision</w:t>
            </w:r>
          </w:p>
        </w:tc>
        <w:tc>
          <w:tcPr>
            <w:tcW w:w="1559" w:type="dxa"/>
          </w:tcPr>
          <w:p w14:paraId="5FE235B3" w14:textId="3046CA0C" w:rsidR="00DD029E" w:rsidRDefault="00DD029E" w:rsidP="00DD029E">
            <w:pPr>
              <w:jc w:val="both"/>
              <w:rPr>
                <w:rFonts w:eastAsia="Arial" w:cstheme="minorHAnsi"/>
                <w:color w:val="000000"/>
                <w:u w:color="000000"/>
                <w:bdr w:val="nil"/>
                <w:lang w:val="en-US"/>
              </w:rPr>
            </w:pPr>
            <w:r>
              <w:rPr>
                <w:rFonts w:eastAsia="Arial" w:cstheme="minorHAnsi"/>
                <w:color w:val="000000"/>
                <w:u w:color="000000"/>
                <w:bdr w:val="nil"/>
                <w:lang w:val="en-US"/>
              </w:rPr>
              <w:t>1</w:t>
            </w:r>
          </w:p>
        </w:tc>
      </w:tr>
    </w:tbl>
    <w:p w14:paraId="0D4337DA" w14:textId="77777777" w:rsidR="00DD029E" w:rsidRDefault="00DD029E" w:rsidP="00DD029E">
      <w:pPr>
        <w:jc w:val="both"/>
        <w:rPr>
          <w:rFonts w:eastAsia="Arial" w:cstheme="minorHAnsi"/>
          <w:color w:val="000000"/>
          <w:u w:color="000000"/>
          <w:bdr w:val="nil"/>
          <w:lang w:val="en-US"/>
        </w:rPr>
      </w:pPr>
    </w:p>
    <w:p w14:paraId="66EB57D0" w14:textId="27C9C087" w:rsidR="00B04AB1" w:rsidRDefault="00E06AFE" w:rsidP="008A5CC5">
      <w:pPr>
        <w:jc w:val="both"/>
        <w:rPr>
          <w:rFonts w:eastAsia="Arial" w:cstheme="minorHAnsi"/>
          <w:color w:val="000000"/>
          <w:u w:color="000000"/>
          <w:bdr w:val="nil"/>
          <w:lang w:val="en-US"/>
        </w:rPr>
      </w:pPr>
      <w:r>
        <w:rPr>
          <w:rFonts w:eastAsia="Arial" w:cstheme="minorHAnsi"/>
          <w:color w:val="000000"/>
          <w:u w:color="000000"/>
          <w:bdr w:val="nil"/>
          <w:lang w:val="en-US"/>
        </w:rPr>
        <w:t>The factors that made PL more o</w:t>
      </w:r>
      <w:r w:rsidR="00D34BE3">
        <w:rPr>
          <w:rFonts w:eastAsia="Arial" w:cstheme="minorHAnsi"/>
          <w:color w:val="000000"/>
          <w:u w:color="000000"/>
          <w:bdr w:val="nil"/>
          <w:lang w:val="en-US"/>
        </w:rPr>
        <w:t xml:space="preserve">r </w:t>
      </w:r>
      <w:r>
        <w:rPr>
          <w:rFonts w:eastAsia="Arial" w:cstheme="minorHAnsi"/>
          <w:color w:val="000000"/>
          <w:u w:color="000000"/>
          <w:bdr w:val="nil"/>
          <w:lang w:val="en-US"/>
        </w:rPr>
        <w:t xml:space="preserve">less impactful on participants knowledge and confidence were investigated during the interviews. </w:t>
      </w:r>
      <w:r w:rsidR="00C47107">
        <w:rPr>
          <w:rFonts w:eastAsia="Arial" w:cstheme="minorHAnsi"/>
          <w:color w:val="000000"/>
          <w:u w:color="000000"/>
          <w:bdr w:val="nil"/>
          <w:lang w:val="en-US"/>
        </w:rPr>
        <w:t xml:space="preserve"> </w:t>
      </w:r>
      <w:r w:rsidR="00B04AB1">
        <w:rPr>
          <w:rFonts w:eastAsia="Arial" w:cstheme="minorHAnsi"/>
          <w:color w:val="000000"/>
          <w:u w:color="000000"/>
          <w:bdr w:val="nil"/>
          <w:lang w:val="en-US"/>
        </w:rPr>
        <w:t xml:space="preserve"> Teacher T and M had both undertaken extensive personal reading and research both felt that this was </w:t>
      </w:r>
      <w:r w:rsidR="006C3D1C">
        <w:rPr>
          <w:rFonts w:eastAsia="Arial" w:cstheme="minorHAnsi"/>
          <w:color w:val="000000"/>
          <w:u w:color="000000"/>
          <w:bdr w:val="nil"/>
          <w:lang w:val="en-US"/>
        </w:rPr>
        <w:t xml:space="preserve">the most </w:t>
      </w:r>
      <w:r w:rsidR="00B04AB1">
        <w:rPr>
          <w:rFonts w:eastAsia="Arial" w:cstheme="minorHAnsi"/>
          <w:color w:val="000000"/>
          <w:u w:color="000000"/>
          <w:bdr w:val="nil"/>
          <w:lang w:val="en-US"/>
        </w:rPr>
        <w:t xml:space="preserve">impactful on their knowledge and understanding, particularly research that was specifically focused on an area such as reading or learner voice that the school was prioritizing. </w:t>
      </w:r>
      <w:r w:rsidR="006C3D1C">
        <w:rPr>
          <w:rFonts w:eastAsia="Arial" w:cstheme="minorHAnsi"/>
          <w:color w:val="000000"/>
          <w:u w:color="000000"/>
          <w:bdr w:val="nil"/>
          <w:lang w:val="en-US"/>
        </w:rPr>
        <w:t xml:space="preserve"> Teachers P and L had engaged far less </w:t>
      </w:r>
      <w:r w:rsidR="000E1540">
        <w:rPr>
          <w:rFonts w:eastAsia="Arial" w:cstheme="minorHAnsi"/>
          <w:color w:val="000000"/>
          <w:u w:color="000000"/>
          <w:bdr w:val="nil"/>
          <w:lang w:val="en-US"/>
        </w:rPr>
        <w:t>as</w:t>
      </w:r>
      <w:r w:rsidR="006C3D1C">
        <w:rPr>
          <w:rFonts w:eastAsia="Arial" w:cstheme="minorHAnsi"/>
          <w:color w:val="000000"/>
          <w:u w:color="000000"/>
          <w:bdr w:val="nil"/>
          <w:lang w:val="en-US"/>
        </w:rPr>
        <w:t xml:space="preserve"> individual</w:t>
      </w:r>
      <w:r w:rsidR="000E1540">
        <w:rPr>
          <w:rFonts w:eastAsia="Arial" w:cstheme="minorHAnsi"/>
          <w:color w:val="000000"/>
          <w:u w:color="000000"/>
          <w:bdr w:val="nil"/>
          <w:lang w:val="en-US"/>
        </w:rPr>
        <w:t>s with</w:t>
      </w:r>
      <w:r w:rsidR="006C3D1C">
        <w:rPr>
          <w:rFonts w:eastAsia="Arial" w:cstheme="minorHAnsi"/>
          <w:color w:val="000000"/>
          <w:u w:color="000000"/>
          <w:bdr w:val="nil"/>
          <w:lang w:val="en-US"/>
        </w:rPr>
        <w:t xml:space="preserve"> PL, and had not found their </w:t>
      </w:r>
      <w:r w:rsidR="003402C0">
        <w:rPr>
          <w:rFonts w:eastAsia="Arial" w:cstheme="minorHAnsi"/>
          <w:color w:val="000000"/>
          <w:u w:color="000000"/>
          <w:bdr w:val="nil"/>
          <w:lang w:val="en-US"/>
        </w:rPr>
        <w:t>individual</w:t>
      </w:r>
      <w:r w:rsidR="006C3D1C">
        <w:rPr>
          <w:rFonts w:eastAsia="Arial" w:cstheme="minorHAnsi"/>
          <w:color w:val="000000"/>
          <w:u w:color="000000"/>
          <w:bdr w:val="nil"/>
          <w:lang w:val="en-US"/>
        </w:rPr>
        <w:t xml:space="preserve"> engagement </w:t>
      </w:r>
      <w:r w:rsidR="003402C0">
        <w:rPr>
          <w:rFonts w:eastAsia="Arial" w:cstheme="minorHAnsi"/>
          <w:color w:val="000000"/>
          <w:u w:color="000000"/>
          <w:bdr w:val="nil"/>
          <w:lang w:val="en-US"/>
        </w:rPr>
        <w:t>to have</w:t>
      </w:r>
      <w:r w:rsidR="006C3D1C">
        <w:rPr>
          <w:rFonts w:eastAsia="Arial" w:cstheme="minorHAnsi"/>
          <w:color w:val="000000"/>
          <w:u w:color="000000"/>
          <w:bdr w:val="nil"/>
          <w:lang w:val="en-US"/>
        </w:rPr>
        <w:t xml:space="preserve"> had a significant impact on their knowledge or understanding.  Indeed, Teacher T noted that often </w:t>
      </w:r>
      <w:r w:rsidR="000E1540">
        <w:rPr>
          <w:rFonts w:eastAsia="Arial" w:cstheme="minorHAnsi"/>
          <w:color w:val="000000"/>
          <w:u w:color="000000"/>
          <w:bdr w:val="nil"/>
          <w:lang w:val="en-US"/>
        </w:rPr>
        <w:t xml:space="preserve">their own </w:t>
      </w:r>
      <w:r w:rsidR="006C3D1C">
        <w:rPr>
          <w:rFonts w:eastAsia="Arial" w:cstheme="minorHAnsi"/>
          <w:color w:val="000000"/>
          <w:u w:color="000000"/>
          <w:bdr w:val="nil"/>
          <w:lang w:val="en-US"/>
        </w:rPr>
        <w:t xml:space="preserve">social media engagement </w:t>
      </w:r>
      <w:r w:rsidR="003402C0">
        <w:rPr>
          <w:rFonts w:eastAsia="Arial" w:cstheme="minorHAnsi"/>
          <w:color w:val="000000"/>
          <w:u w:color="000000"/>
          <w:bdr w:val="nil"/>
          <w:lang w:val="en-US"/>
        </w:rPr>
        <w:t xml:space="preserve">was </w:t>
      </w:r>
      <w:r w:rsidR="006C3D1C">
        <w:rPr>
          <w:rFonts w:eastAsia="Arial" w:cstheme="minorHAnsi"/>
          <w:color w:val="000000"/>
          <w:u w:color="000000"/>
          <w:bdr w:val="nil"/>
          <w:lang w:val="en-US"/>
        </w:rPr>
        <w:t>confusing</w:t>
      </w:r>
      <w:r w:rsidR="003402C0">
        <w:rPr>
          <w:rFonts w:eastAsia="Arial" w:cstheme="minorHAnsi"/>
          <w:color w:val="000000"/>
          <w:u w:color="000000"/>
          <w:bdr w:val="nil"/>
          <w:lang w:val="en-US"/>
        </w:rPr>
        <w:t xml:space="preserve"> due to </w:t>
      </w:r>
      <w:r w:rsidR="006C3D1C">
        <w:rPr>
          <w:rFonts w:eastAsia="Arial" w:cstheme="minorHAnsi"/>
          <w:color w:val="000000"/>
          <w:u w:color="000000"/>
          <w:bdr w:val="nil"/>
          <w:lang w:val="en-US"/>
        </w:rPr>
        <w:t xml:space="preserve">misunderstandings and misconceptions </w:t>
      </w:r>
      <w:r w:rsidR="003402C0">
        <w:rPr>
          <w:rFonts w:eastAsia="Arial" w:cstheme="minorHAnsi"/>
          <w:color w:val="000000"/>
          <w:u w:color="000000"/>
          <w:bdr w:val="nil"/>
          <w:lang w:val="en-US"/>
        </w:rPr>
        <w:t xml:space="preserve">that </w:t>
      </w:r>
      <w:r w:rsidR="006C3D1C">
        <w:rPr>
          <w:rFonts w:eastAsia="Arial" w:cstheme="minorHAnsi"/>
          <w:color w:val="000000"/>
          <w:u w:color="000000"/>
          <w:bdr w:val="nil"/>
          <w:lang w:val="en-US"/>
        </w:rPr>
        <w:t xml:space="preserve">spread on social media. </w:t>
      </w:r>
    </w:p>
    <w:p w14:paraId="680A8909" w14:textId="33F2E42A" w:rsidR="00A572D5" w:rsidRDefault="00F31620" w:rsidP="00A572D5">
      <w:pPr>
        <w:jc w:val="both"/>
        <w:rPr>
          <w:rFonts w:eastAsia="Arial" w:cstheme="minorHAnsi"/>
          <w:color w:val="000000"/>
          <w:u w:color="000000"/>
          <w:bdr w:val="nil"/>
          <w:lang w:val="en-US"/>
        </w:rPr>
      </w:pPr>
      <w:r>
        <w:rPr>
          <w:rFonts w:eastAsia="Arial" w:cstheme="minorHAnsi"/>
          <w:color w:val="000000"/>
          <w:u w:color="000000"/>
          <w:bdr w:val="nil"/>
          <w:lang w:val="en-US"/>
        </w:rPr>
        <w:t xml:space="preserve">All interviewees </w:t>
      </w:r>
      <w:r w:rsidR="006C3D1C">
        <w:rPr>
          <w:rFonts w:eastAsia="Arial" w:cstheme="minorHAnsi"/>
          <w:color w:val="000000"/>
          <w:u w:color="000000"/>
          <w:bdr w:val="nil"/>
          <w:lang w:val="en-US"/>
        </w:rPr>
        <w:t xml:space="preserve">highlighted </w:t>
      </w:r>
      <w:r w:rsidR="00B04AB1">
        <w:rPr>
          <w:rFonts w:eastAsia="Arial" w:cstheme="minorHAnsi"/>
          <w:color w:val="000000"/>
          <w:u w:color="000000"/>
          <w:bdr w:val="nil"/>
          <w:lang w:val="en-US"/>
        </w:rPr>
        <w:t xml:space="preserve">the value of </w:t>
      </w:r>
      <w:r>
        <w:rPr>
          <w:rFonts w:eastAsia="Arial" w:cstheme="minorHAnsi"/>
          <w:color w:val="000000"/>
          <w:u w:color="000000"/>
          <w:bdr w:val="nil"/>
          <w:lang w:val="en-US"/>
        </w:rPr>
        <w:t xml:space="preserve">their </w:t>
      </w:r>
      <w:r w:rsidR="00581D92">
        <w:rPr>
          <w:rFonts w:eastAsia="Arial" w:cstheme="minorHAnsi"/>
          <w:color w:val="000000"/>
          <w:u w:color="000000"/>
          <w:bdr w:val="nil"/>
          <w:lang w:val="en-US"/>
        </w:rPr>
        <w:t>in-school</w:t>
      </w:r>
      <w:r>
        <w:rPr>
          <w:rFonts w:eastAsia="Arial" w:cstheme="minorHAnsi"/>
          <w:color w:val="000000"/>
          <w:u w:color="000000"/>
          <w:bdr w:val="nil"/>
          <w:lang w:val="en-US"/>
        </w:rPr>
        <w:t xml:space="preserve"> collaborations</w:t>
      </w:r>
      <w:r w:rsidR="006C1A0B">
        <w:rPr>
          <w:rFonts w:eastAsia="Arial" w:cstheme="minorHAnsi"/>
          <w:color w:val="000000"/>
          <w:u w:color="000000"/>
          <w:bdr w:val="nil"/>
          <w:lang w:val="en-US"/>
        </w:rPr>
        <w:t xml:space="preserve">, supporting the results above that show that </w:t>
      </w:r>
      <w:r w:rsidR="006C3D1C">
        <w:rPr>
          <w:rFonts w:eastAsia="Arial" w:cstheme="minorHAnsi"/>
          <w:color w:val="000000"/>
          <w:u w:color="000000"/>
          <w:bdr w:val="nil"/>
          <w:lang w:val="en-US"/>
        </w:rPr>
        <w:t>collaboration</w:t>
      </w:r>
      <w:r w:rsidR="006C1A0B">
        <w:rPr>
          <w:rFonts w:eastAsia="Arial" w:cstheme="minorHAnsi"/>
          <w:color w:val="000000"/>
          <w:u w:color="000000"/>
          <w:bdr w:val="nil"/>
          <w:lang w:val="en-US"/>
        </w:rPr>
        <w:t xml:space="preserve"> was a common positive feature of PL. </w:t>
      </w:r>
      <w:r w:rsidR="00B04AB1">
        <w:rPr>
          <w:rFonts w:eastAsia="Arial" w:cstheme="minorHAnsi"/>
          <w:color w:val="000000"/>
          <w:u w:color="000000"/>
          <w:bdr w:val="nil"/>
          <w:lang w:val="en-US"/>
        </w:rPr>
        <w:t xml:space="preserve"> </w:t>
      </w:r>
      <w:r w:rsidR="006C3D1C">
        <w:rPr>
          <w:rFonts w:eastAsia="Arial" w:cstheme="minorHAnsi"/>
          <w:color w:val="000000"/>
          <w:u w:color="000000"/>
          <w:bdr w:val="nil"/>
          <w:lang w:val="en-US"/>
        </w:rPr>
        <w:t xml:space="preserve">2 interviewees felt that the school led PL had been most impactful on their knowledge and confidence.  </w:t>
      </w:r>
      <w:r w:rsidR="00B04AB1">
        <w:rPr>
          <w:rFonts w:eastAsia="Arial" w:cstheme="minorHAnsi"/>
          <w:color w:val="000000"/>
          <w:u w:color="000000"/>
          <w:bdr w:val="nil"/>
          <w:lang w:val="en-US"/>
        </w:rPr>
        <w:t>However, it was noted that the school collaborations that were described were largely based</w:t>
      </w:r>
      <w:r w:rsidR="006C3D1C">
        <w:rPr>
          <w:rFonts w:eastAsia="Arial" w:cstheme="minorHAnsi"/>
          <w:color w:val="000000"/>
          <w:u w:color="000000"/>
          <w:bdr w:val="nil"/>
          <w:lang w:val="en-US"/>
        </w:rPr>
        <w:t xml:space="preserve"> </w:t>
      </w:r>
      <w:r w:rsidR="00B04AB1">
        <w:rPr>
          <w:rFonts w:eastAsia="Arial" w:cstheme="minorHAnsi"/>
          <w:color w:val="000000"/>
          <w:u w:color="000000"/>
          <w:bdr w:val="nil"/>
          <w:lang w:val="en-US"/>
        </w:rPr>
        <w:t xml:space="preserve">on existing meeting and departmental structures. None of the </w:t>
      </w:r>
      <w:r w:rsidR="00A572D5">
        <w:rPr>
          <w:rFonts w:eastAsia="Arial" w:cstheme="minorHAnsi"/>
          <w:color w:val="000000"/>
          <w:u w:color="000000"/>
          <w:bdr w:val="nil"/>
          <w:lang w:val="en-US"/>
        </w:rPr>
        <w:t>interviewees</w:t>
      </w:r>
      <w:r w:rsidR="00B04AB1">
        <w:rPr>
          <w:rFonts w:eastAsia="Arial" w:cstheme="minorHAnsi"/>
          <w:color w:val="000000"/>
          <w:u w:color="000000"/>
          <w:bdr w:val="nil"/>
          <w:lang w:val="en-US"/>
        </w:rPr>
        <w:t xml:space="preserve"> had adopted a PLC or CoP model to collaboration, and all the collaborations described used existing leadership and management structures</w:t>
      </w:r>
      <w:r w:rsidR="006C3D1C">
        <w:rPr>
          <w:rFonts w:eastAsia="Arial" w:cstheme="minorHAnsi"/>
          <w:color w:val="000000"/>
          <w:u w:color="000000"/>
          <w:bdr w:val="nil"/>
          <w:lang w:val="en-US"/>
        </w:rPr>
        <w:t xml:space="preserve">, meeting protocols and practices.  None of the interviewees felt that evidence about effective collaboration had impacted the design of in school PL. </w:t>
      </w:r>
      <w:r w:rsidR="00B04AB1">
        <w:rPr>
          <w:rFonts w:eastAsia="Arial" w:cstheme="minorHAnsi"/>
          <w:color w:val="000000"/>
          <w:u w:color="000000"/>
          <w:bdr w:val="nil"/>
          <w:lang w:val="en-US"/>
        </w:rPr>
        <w:t xml:space="preserve"> Indeed, teachers P and L noted that the embedding of CfW PL into the regular working of the department was actually a successful feature of the PL as it made it part of their usual work programme rather than having an additional </w:t>
      </w:r>
      <w:r w:rsidR="006C3D1C">
        <w:rPr>
          <w:rFonts w:eastAsia="Arial" w:cstheme="minorHAnsi"/>
          <w:color w:val="000000"/>
          <w:u w:color="000000"/>
          <w:bdr w:val="nil"/>
          <w:lang w:val="en-US"/>
        </w:rPr>
        <w:t xml:space="preserve">or different </w:t>
      </w:r>
      <w:r w:rsidR="00B04AB1">
        <w:rPr>
          <w:rFonts w:eastAsia="Arial" w:cstheme="minorHAnsi"/>
          <w:color w:val="000000"/>
          <w:u w:color="000000"/>
          <w:bdr w:val="nil"/>
          <w:lang w:val="en-US"/>
        </w:rPr>
        <w:t xml:space="preserve">collaborative group such as a PLC or working party.  </w:t>
      </w:r>
    </w:p>
    <w:p w14:paraId="21AB84C0" w14:textId="439DA08D" w:rsidR="00B04AB1" w:rsidRDefault="00B04AB1" w:rsidP="008A5CC5">
      <w:pPr>
        <w:jc w:val="both"/>
        <w:rPr>
          <w:rFonts w:eastAsia="Arial" w:cstheme="minorHAnsi"/>
          <w:color w:val="000000"/>
          <w:u w:color="000000"/>
          <w:bdr w:val="nil"/>
          <w:lang w:val="en-US"/>
        </w:rPr>
      </w:pPr>
      <w:r>
        <w:rPr>
          <w:rFonts w:eastAsia="Arial" w:cstheme="minorHAnsi"/>
          <w:color w:val="000000"/>
          <w:u w:color="000000"/>
          <w:bdr w:val="nil"/>
          <w:lang w:val="en-US"/>
        </w:rPr>
        <w:t>Teacher T was the only interviewee where coaching featured as an aspect of their PL, with teacher T acting as the coach for other staff within the school. Here too, no formal coaching model was used, and they did not receive any training or support to develop their coaching practice.  The coaching largely resembled dissemination of the pilot departments work to other staff within the school.</w:t>
      </w:r>
      <w:r w:rsidR="00A572D5">
        <w:rPr>
          <w:rFonts w:eastAsia="Arial" w:cstheme="minorHAnsi"/>
          <w:color w:val="000000"/>
          <w:u w:color="000000"/>
          <w:bdr w:val="nil"/>
          <w:lang w:val="en-US"/>
        </w:rPr>
        <w:t xml:space="preserve">  Indeed, teacher T noted the </w:t>
      </w:r>
      <w:r w:rsidR="00A572D5" w:rsidRPr="00A572D5">
        <w:rPr>
          <w:rFonts w:eastAsia="Arial" w:cstheme="minorHAnsi"/>
          <w:color w:val="000000"/>
          <w:u w:color="000000"/>
          <w:bdr w:val="nil"/>
          <w:lang w:val="en-US"/>
        </w:rPr>
        <w:t>lack of a whole school PL process, and no school wide PL collaborations as a factor that hindered their curriculum implementation</w:t>
      </w:r>
      <w:r w:rsidR="00A572D5">
        <w:rPr>
          <w:rFonts w:eastAsia="Arial" w:cstheme="minorHAnsi"/>
          <w:color w:val="000000"/>
          <w:u w:color="000000"/>
          <w:bdr w:val="nil"/>
          <w:lang w:val="en-US"/>
        </w:rPr>
        <w:t xml:space="preserve"> beyond the faculty</w:t>
      </w:r>
      <w:r w:rsidR="00A572D5" w:rsidRPr="00A572D5">
        <w:rPr>
          <w:rFonts w:eastAsia="Arial" w:cstheme="minorHAnsi"/>
          <w:color w:val="000000"/>
          <w:u w:color="000000"/>
          <w:bdr w:val="nil"/>
          <w:lang w:val="en-US"/>
        </w:rPr>
        <w:t xml:space="preserve">.  </w:t>
      </w:r>
    </w:p>
    <w:p w14:paraId="1D99546C" w14:textId="5C7962A2" w:rsidR="00CC7BD3" w:rsidRPr="00A572D5" w:rsidRDefault="002C5CBB" w:rsidP="008A5CC5">
      <w:pPr>
        <w:jc w:val="both"/>
        <w:rPr>
          <w:rFonts w:cstheme="minorHAnsi"/>
        </w:rPr>
      </w:pPr>
      <w:r>
        <w:rPr>
          <w:rFonts w:eastAsia="Arial" w:cstheme="minorHAnsi"/>
          <w:color w:val="000000"/>
          <w:u w:color="000000"/>
          <w:bdr w:val="nil"/>
          <w:lang w:val="en-US"/>
        </w:rPr>
        <w:lastRenderedPageBreak/>
        <w:t xml:space="preserve">Teachers P and L both felt that the school led PL provision on CfW was most impactful on their knowledge and understanding. They cited the fact that specific staff in the school had greater expertise, had accessed more PL themselves and engaged with regional and national PL.  These colleagues then led the in-school PL, disseminating key ideas to the staff.  </w:t>
      </w:r>
      <w:r w:rsidR="00A572D5">
        <w:rPr>
          <w:rFonts w:eastAsia="Arial" w:cstheme="minorHAnsi"/>
          <w:color w:val="000000"/>
          <w:u w:color="000000"/>
          <w:bdr w:val="nil"/>
          <w:lang w:val="en-US"/>
        </w:rPr>
        <w:t xml:space="preserve"> </w:t>
      </w:r>
    </w:p>
    <w:p w14:paraId="14C4BA11" w14:textId="7DDFCB2C" w:rsidR="00BB1A16" w:rsidRPr="002C5CBB" w:rsidRDefault="00BB1A16" w:rsidP="008A5CC5">
      <w:pPr>
        <w:jc w:val="both"/>
        <w:rPr>
          <w:rFonts w:eastAsia="Arial" w:cstheme="minorHAnsi"/>
          <w:color w:val="000000"/>
          <w:u w:color="000000"/>
          <w:bdr w:val="nil"/>
          <w:lang w:val="en-US"/>
        </w:rPr>
      </w:pPr>
      <w:r>
        <w:t xml:space="preserve">This </w:t>
      </w:r>
      <w:r w:rsidR="002C5CBB">
        <w:t xml:space="preserve">positivity regarding school led PL </w:t>
      </w:r>
      <w:r>
        <w:t>may well be because these experiences represented the bulk of the</w:t>
      </w:r>
      <w:r w:rsidR="002C5CBB">
        <w:t xml:space="preserve"> practitioners</w:t>
      </w:r>
      <w:r>
        <w:t xml:space="preserve"> engagement. However, Teacher M noted that for them, individual research and reading, and then applying that to the school context through peer to peer working was most impactful, as it was contextualised and relevant to their setting, and was led by people that were respected and trusted.  In contrast, they noted that externally led PL was often generic and poorly delivered, echoing several if the criticisms of the regional PL offer (</w:t>
      </w:r>
      <w:r w:rsidR="003402C0">
        <w:t xml:space="preserve">Edwards, 2021, </w:t>
      </w:r>
      <w:r>
        <w:t xml:space="preserve">Estyn 2022). </w:t>
      </w:r>
    </w:p>
    <w:p w14:paraId="501250FB" w14:textId="431CEC0C" w:rsidR="00B04AB1" w:rsidRDefault="006C3D1C" w:rsidP="008A5CC5">
      <w:pPr>
        <w:jc w:val="both"/>
        <w:rPr>
          <w:rFonts w:eastAsia="Arial" w:cstheme="minorHAnsi"/>
          <w:color w:val="000000"/>
          <w:u w:color="000000"/>
          <w:bdr w:val="nil"/>
          <w:lang w:val="en-US"/>
        </w:rPr>
      </w:pPr>
      <w:r>
        <w:rPr>
          <w:rFonts w:eastAsia="Arial" w:cstheme="minorHAnsi"/>
          <w:color w:val="000000"/>
          <w:u w:color="000000"/>
          <w:bdr w:val="nil"/>
          <w:lang w:val="en-US"/>
        </w:rPr>
        <w:t>Teachers P and T had accessed some PL from regional consortia</w:t>
      </w:r>
      <w:r w:rsidR="00A572D5">
        <w:rPr>
          <w:rFonts w:eastAsia="Arial" w:cstheme="minorHAnsi"/>
          <w:color w:val="000000"/>
          <w:u w:color="000000"/>
          <w:bdr w:val="nil"/>
          <w:lang w:val="en-US"/>
        </w:rPr>
        <w:t xml:space="preserve">, with Teacher T </w:t>
      </w:r>
      <w:r w:rsidR="00A572D5" w:rsidRPr="00A572D5">
        <w:rPr>
          <w:rFonts w:eastAsia="Arial" w:cstheme="minorHAnsi"/>
          <w:color w:val="000000"/>
          <w:u w:color="000000"/>
          <w:bdr w:val="nil"/>
          <w:lang w:val="en-US"/>
        </w:rPr>
        <w:t>s</w:t>
      </w:r>
      <w:r w:rsidR="00A572D5">
        <w:rPr>
          <w:rFonts w:eastAsia="Arial" w:cstheme="minorHAnsi"/>
          <w:color w:val="000000"/>
          <w:u w:color="000000"/>
          <w:bdr w:val="nil"/>
          <w:lang w:val="en-US"/>
        </w:rPr>
        <w:t>eeking out</w:t>
      </w:r>
      <w:r w:rsidR="00A572D5" w:rsidRPr="00A572D5">
        <w:rPr>
          <w:rFonts w:eastAsia="Arial" w:cstheme="minorHAnsi"/>
          <w:color w:val="000000"/>
          <w:u w:color="000000"/>
          <w:bdr w:val="nil"/>
          <w:lang w:val="en-US"/>
        </w:rPr>
        <w:t xml:space="preserve"> advice from regional advisers and pioneer teachers. </w:t>
      </w:r>
      <w:r>
        <w:rPr>
          <w:rFonts w:eastAsia="Arial" w:cstheme="minorHAnsi"/>
          <w:color w:val="000000"/>
          <w:u w:color="000000"/>
          <w:bdr w:val="nil"/>
          <w:lang w:val="en-US"/>
        </w:rPr>
        <w:t xml:space="preserve">  </w:t>
      </w:r>
      <w:r w:rsidR="00B04AB1">
        <w:rPr>
          <w:rFonts w:eastAsia="Arial" w:cstheme="minorHAnsi"/>
          <w:color w:val="000000"/>
          <w:u w:color="000000"/>
          <w:bdr w:val="nil"/>
          <w:lang w:val="en-US"/>
        </w:rPr>
        <w:t>Teacher T noted the value of engagement with regional advisers where this was bespoke to the school and specific to their needs</w:t>
      </w:r>
      <w:r>
        <w:rPr>
          <w:rFonts w:eastAsia="Arial" w:cstheme="minorHAnsi"/>
          <w:color w:val="000000"/>
          <w:u w:color="000000"/>
          <w:bdr w:val="nil"/>
          <w:lang w:val="en-US"/>
        </w:rPr>
        <w:t xml:space="preserve">, or where </w:t>
      </w:r>
      <w:r w:rsidR="00A5515E">
        <w:rPr>
          <w:rFonts w:eastAsia="Arial" w:cstheme="minorHAnsi"/>
          <w:color w:val="000000"/>
          <w:u w:color="000000"/>
          <w:bdr w:val="nil"/>
          <w:lang w:val="en-US"/>
        </w:rPr>
        <w:t>it</w:t>
      </w:r>
      <w:r>
        <w:rPr>
          <w:rFonts w:eastAsia="Arial" w:cstheme="minorHAnsi"/>
          <w:color w:val="000000"/>
          <w:u w:color="000000"/>
          <w:bdr w:val="nil"/>
          <w:lang w:val="en-US"/>
        </w:rPr>
        <w:t xml:space="preserve"> was of a subject specific nature.  </w:t>
      </w:r>
      <w:r w:rsidR="00B04AB1">
        <w:rPr>
          <w:rFonts w:eastAsia="Arial" w:cstheme="minorHAnsi"/>
          <w:color w:val="000000"/>
          <w:u w:color="000000"/>
          <w:bdr w:val="nil"/>
          <w:lang w:val="en-US"/>
        </w:rPr>
        <w:t>Thi</w:t>
      </w:r>
      <w:r>
        <w:rPr>
          <w:rFonts w:eastAsia="Arial" w:cstheme="minorHAnsi"/>
          <w:color w:val="000000"/>
          <w:u w:color="000000"/>
          <w:bdr w:val="nil"/>
          <w:lang w:val="en-US"/>
        </w:rPr>
        <w:t xml:space="preserve">s theme of relevance and specificity </w:t>
      </w:r>
      <w:r w:rsidR="00B04AB1">
        <w:rPr>
          <w:rFonts w:eastAsia="Arial" w:cstheme="minorHAnsi"/>
          <w:color w:val="000000"/>
          <w:u w:color="000000"/>
          <w:bdr w:val="nil"/>
          <w:lang w:val="en-US"/>
        </w:rPr>
        <w:t xml:space="preserve">was supported by teacher M, who noted that most impactful PL was when </w:t>
      </w:r>
      <w:r>
        <w:rPr>
          <w:rFonts w:eastAsia="Arial" w:cstheme="minorHAnsi"/>
          <w:color w:val="000000"/>
          <w:u w:color="000000"/>
          <w:bdr w:val="nil"/>
          <w:lang w:val="en-US"/>
        </w:rPr>
        <w:t xml:space="preserve">their personal </w:t>
      </w:r>
      <w:r w:rsidR="00B04AB1">
        <w:rPr>
          <w:rFonts w:eastAsia="Arial" w:cstheme="minorHAnsi"/>
          <w:color w:val="000000"/>
          <w:u w:color="000000"/>
          <w:bdr w:val="nil"/>
          <w:lang w:val="en-US"/>
        </w:rPr>
        <w:t>research was applied to their specific school setting, and staff had time to collaborate, trial and reflect on their approaches.</w:t>
      </w:r>
      <w:r>
        <w:rPr>
          <w:rFonts w:eastAsia="Arial" w:cstheme="minorHAnsi"/>
          <w:color w:val="000000"/>
          <w:u w:color="000000"/>
          <w:bdr w:val="nil"/>
          <w:lang w:val="en-US"/>
        </w:rPr>
        <w:t xml:space="preserve"> Within their own setting. </w:t>
      </w:r>
      <w:r w:rsidR="00B04AB1">
        <w:rPr>
          <w:rFonts w:eastAsia="Arial" w:cstheme="minorHAnsi"/>
          <w:color w:val="000000"/>
          <w:u w:color="000000"/>
          <w:bdr w:val="nil"/>
          <w:lang w:val="en-US"/>
        </w:rPr>
        <w:t xml:space="preserve"> </w:t>
      </w:r>
      <w:r w:rsidR="00F4065C">
        <w:rPr>
          <w:rFonts w:eastAsia="Arial" w:cstheme="minorHAnsi"/>
          <w:color w:val="000000"/>
          <w:u w:color="000000"/>
          <w:bdr w:val="nil"/>
          <w:lang w:val="en-US"/>
        </w:rPr>
        <w:t xml:space="preserve"> </w:t>
      </w:r>
    </w:p>
    <w:p w14:paraId="72D52268" w14:textId="3BD6B1E2" w:rsidR="0013121B" w:rsidRPr="003402C0" w:rsidRDefault="004651A1" w:rsidP="000E1540">
      <w:pPr>
        <w:jc w:val="both"/>
        <w:rPr>
          <w:rFonts w:eastAsia="Arial" w:cstheme="minorHAnsi"/>
          <w:color w:val="000000"/>
          <w:u w:color="000000"/>
          <w:bdr w:val="nil"/>
          <w:lang w:val="en-US"/>
        </w:rPr>
      </w:pPr>
      <w:r>
        <w:rPr>
          <w:rFonts w:eastAsia="Arial" w:cstheme="minorHAnsi"/>
          <w:color w:val="000000"/>
          <w:u w:color="000000"/>
          <w:bdr w:val="nil"/>
          <w:lang w:val="en-US"/>
        </w:rPr>
        <w:t>Interviewees also noted the reasons for less impactful PL. These supported the questionnaire responses noting poor delivery of PL that was not contextualized or relevant to the school, and insufficient ti</w:t>
      </w:r>
      <w:r w:rsidR="00B04AB1">
        <w:rPr>
          <w:rFonts w:eastAsia="Arial" w:cstheme="minorHAnsi"/>
          <w:color w:val="000000"/>
          <w:u w:color="000000"/>
          <w:bdr w:val="nil"/>
          <w:lang w:val="en-US"/>
        </w:rPr>
        <w:t>m</w:t>
      </w:r>
      <w:r>
        <w:rPr>
          <w:rFonts w:eastAsia="Arial" w:cstheme="minorHAnsi"/>
          <w:color w:val="000000"/>
          <w:u w:color="000000"/>
          <w:bdr w:val="nil"/>
          <w:lang w:val="en-US"/>
        </w:rPr>
        <w:t xml:space="preserve">e to embed the ideas. </w:t>
      </w:r>
      <w:r w:rsidR="003402C0">
        <w:rPr>
          <w:rFonts w:eastAsia="Arial" w:cstheme="minorHAnsi"/>
          <w:color w:val="000000"/>
          <w:u w:color="000000"/>
          <w:bdr w:val="nil"/>
          <w:lang w:val="en-US"/>
        </w:rPr>
        <w:t xml:space="preserve"> </w:t>
      </w:r>
      <w:r w:rsidR="00D352A1">
        <w:rPr>
          <w:rFonts w:eastAsia="Arial" w:cstheme="minorHAnsi"/>
          <w:color w:val="000000"/>
          <w:u w:color="000000"/>
          <w:bdr w:val="nil"/>
          <w:lang w:val="en-US"/>
        </w:rPr>
        <w:t xml:space="preserve">Indeed, both </w:t>
      </w:r>
      <w:r w:rsidR="00D352A1">
        <w:t xml:space="preserve">teacher </w:t>
      </w:r>
      <w:r w:rsidR="00A5515E">
        <w:t>M and</w:t>
      </w:r>
      <w:r w:rsidR="00D352A1">
        <w:t xml:space="preserve"> teacher T noted that external PL providers can be generic in their PL provision, and often “tokenistic delivery”, or in school PL delivered to the whole staff was often too generic and irrelevant to specific teams.   </w:t>
      </w:r>
      <w:r w:rsidR="00D352A1">
        <w:rPr>
          <w:rFonts w:eastAsia="Arial" w:cstheme="minorHAnsi"/>
          <w:color w:val="000000"/>
          <w:u w:color="000000"/>
          <w:bdr w:val="nil"/>
          <w:lang w:val="en-US"/>
        </w:rPr>
        <w:t xml:space="preserve">Insufficient time </w:t>
      </w:r>
      <w:r w:rsidR="0013121B">
        <w:t>to reflect on the ideas from PL courses, or to embed the ideas into practice following a PL programme or engagement</w:t>
      </w:r>
      <w:r w:rsidR="003402C0">
        <w:t xml:space="preserve"> was </w:t>
      </w:r>
      <w:r w:rsidR="00D352A1">
        <w:t>cited in interviews as leading to less impactful PL</w:t>
      </w:r>
      <w:r w:rsidR="0013121B">
        <w:t xml:space="preserve">.   </w:t>
      </w:r>
      <w:r w:rsidR="00A572D5">
        <w:t>In interview, t</w:t>
      </w:r>
      <w:r w:rsidR="0013121B">
        <w:t>eacher M described their ideal PL on CfW as starting with sufficient time for all staff to understand the curriculum and comprehend what was required, before engaging in staff collaborative work.</w:t>
      </w:r>
    </w:p>
    <w:p w14:paraId="536807BC" w14:textId="77777777" w:rsidR="00D352A1" w:rsidRDefault="0013121B" w:rsidP="008A5CC5">
      <w:pPr>
        <w:jc w:val="both"/>
      </w:pPr>
      <w:r>
        <w:t xml:space="preserve">Teacher M commented that often, despite teachers like them engaging in significant PL and research, “senior leaders sometimes don’t want to be seen as less knowledgeable….I’ve had Headteachers who want me to sit down and do my classroom role and nothing else”. They noted that although some of the PL they had engaged with had impacted at whole school level, such as pupil voice, and that this had also been the case for their staff who had engaged in PL, at times, senior staff made decisions and imposed them. For example, they stated that their SLT had decided on themes and topics that teachers would teach, and then INSET time is used for teachers to plan these units of work. Teacher M felt </w:t>
      </w:r>
      <w:r w:rsidR="00D352A1">
        <w:t xml:space="preserve">at times </w:t>
      </w:r>
      <w:r>
        <w:t>excluded from the decision making which they felt had created a  curriculum akin to a tick list of topics. They noted that they often had no idea where ideas behind the decisions taken by SLT on CfW had come from.</w:t>
      </w:r>
    </w:p>
    <w:p w14:paraId="56155695" w14:textId="58FDA72A" w:rsidR="004651A1" w:rsidRPr="00D352A1" w:rsidRDefault="004651A1" w:rsidP="008A5CC5">
      <w:pPr>
        <w:jc w:val="both"/>
      </w:pPr>
      <w:r w:rsidRPr="00470F19">
        <w:rPr>
          <w:rFonts w:eastAsia="Arial" w:cstheme="minorHAnsi"/>
          <w:b/>
          <w:bCs/>
          <w:color w:val="000000"/>
          <w:u w:color="000000"/>
          <w:bdr w:val="nil"/>
          <w:lang w:val="en-US"/>
        </w:rPr>
        <w:t>The impact of PL on curriculum design</w:t>
      </w:r>
      <w:r w:rsidR="00391728">
        <w:rPr>
          <w:rFonts w:eastAsia="Arial" w:cstheme="minorHAnsi"/>
          <w:b/>
          <w:bCs/>
          <w:color w:val="000000"/>
          <w:u w:color="000000"/>
          <w:bdr w:val="nil"/>
          <w:lang w:val="en-US"/>
        </w:rPr>
        <w:t xml:space="preserve">, </w:t>
      </w:r>
      <w:proofErr w:type="gramStart"/>
      <w:r w:rsidRPr="00470F19">
        <w:rPr>
          <w:rFonts w:eastAsia="Arial" w:cstheme="minorHAnsi"/>
          <w:b/>
          <w:bCs/>
          <w:color w:val="000000"/>
          <w:u w:color="000000"/>
          <w:bdr w:val="nil"/>
          <w:lang w:val="en-US"/>
        </w:rPr>
        <w:t>content</w:t>
      </w:r>
      <w:proofErr w:type="gramEnd"/>
      <w:r w:rsidR="00391728">
        <w:rPr>
          <w:rFonts w:eastAsia="Arial" w:cstheme="minorHAnsi"/>
          <w:b/>
          <w:bCs/>
          <w:color w:val="000000"/>
          <w:u w:color="000000"/>
          <w:bdr w:val="nil"/>
          <w:lang w:val="en-US"/>
        </w:rPr>
        <w:t xml:space="preserve"> and practice</w:t>
      </w:r>
    </w:p>
    <w:p w14:paraId="6C99DC92" w14:textId="27F945DF" w:rsidR="00997AEE" w:rsidRDefault="003D1D76" w:rsidP="008A5CC5">
      <w:pPr>
        <w:jc w:val="both"/>
        <w:rPr>
          <w:rFonts w:eastAsia="Arial" w:cstheme="minorHAnsi"/>
          <w:color w:val="000000"/>
          <w:u w:color="000000"/>
          <w:bdr w:val="nil"/>
          <w:lang w:val="en-US"/>
        </w:rPr>
      </w:pPr>
      <w:r>
        <w:rPr>
          <w:rFonts w:eastAsia="Arial" w:cstheme="minorHAnsi"/>
          <w:color w:val="000000"/>
          <w:u w:color="000000"/>
          <w:bdr w:val="nil"/>
          <w:lang w:val="en-US"/>
        </w:rPr>
        <w:t>P</w:t>
      </w:r>
      <w:r w:rsidR="00997AEE">
        <w:rPr>
          <w:rFonts w:eastAsia="Arial" w:cstheme="minorHAnsi"/>
          <w:color w:val="000000"/>
          <w:u w:color="000000"/>
          <w:bdr w:val="nil"/>
          <w:lang w:val="en-US"/>
        </w:rPr>
        <w:t xml:space="preserve">articipants were asked in what ways PL had led to changes in classroom practice. 14 out of the 23 participants responded. 2 of these responses said there had been no change in classroom practice.  One participant noted that changes to classroom practice were expected, but that there was no budget or tome to deliver that change. The 11 responses that noted changes were diverse, with quite individual and discrete responses.  These included the following: </w:t>
      </w:r>
    </w:p>
    <w:p w14:paraId="65AFC2E6" w14:textId="77777777" w:rsidR="00997AEE" w:rsidRPr="00DA634F" w:rsidRDefault="00997AEE" w:rsidP="008A5CC5">
      <w:pPr>
        <w:pStyle w:val="ListParagraph"/>
        <w:numPr>
          <w:ilvl w:val="0"/>
          <w:numId w:val="17"/>
        </w:numPr>
        <w:jc w:val="both"/>
        <w:rPr>
          <w:rFonts w:eastAsia="Arial" w:cstheme="minorHAnsi"/>
          <w:color w:val="000000"/>
          <w:u w:color="000000"/>
          <w:bdr w:val="nil"/>
          <w:lang w:val="en-US"/>
        </w:rPr>
      </w:pPr>
      <w:r w:rsidRPr="00DA634F">
        <w:rPr>
          <w:rFonts w:eastAsia="Arial" w:cstheme="minorHAnsi"/>
          <w:color w:val="000000"/>
          <w:u w:color="000000"/>
          <w:bdr w:val="nil"/>
          <w:lang w:val="en-US"/>
        </w:rPr>
        <w:t>Greater focus on individual learners</w:t>
      </w:r>
    </w:p>
    <w:p w14:paraId="22D4E71F" w14:textId="77777777" w:rsidR="00997AEE" w:rsidRPr="00DA634F" w:rsidRDefault="00997AEE" w:rsidP="008A5CC5">
      <w:pPr>
        <w:pStyle w:val="ListParagraph"/>
        <w:numPr>
          <w:ilvl w:val="0"/>
          <w:numId w:val="17"/>
        </w:numPr>
        <w:jc w:val="both"/>
        <w:rPr>
          <w:rFonts w:eastAsia="Arial" w:cstheme="minorHAnsi"/>
          <w:color w:val="000000"/>
          <w:u w:color="000000"/>
          <w:bdr w:val="nil"/>
          <w:lang w:val="en-US"/>
        </w:rPr>
      </w:pPr>
      <w:r w:rsidRPr="00DA634F">
        <w:rPr>
          <w:rFonts w:eastAsia="Arial" w:cstheme="minorHAnsi"/>
          <w:color w:val="000000"/>
          <w:u w:color="000000"/>
          <w:bdr w:val="nil"/>
          <w:lang w:val="en-US"/>
        </w:rPr>
        <w:t>Learner led classroom practice</w:t>
      </w:r>
    </w:p>
    <w:p w14:paraId="5CB34383" w14:textId="77777777" w:rsidR="00997AEE" w:rsidRPr="00DA634F" w:rsidRDefault="00997AEE" w:rsidP="008A5CC5">
      <w:pPr>
        <w:pStyle w:val="ListParagraph"/>
        <w:numPr>
          <w:ilvl w:val="0"/>
          <w:numId w:val="17"/>
        </w:numPr>
        <w:jc w:val="both"/>
        <w:rPr>
          <w:rFonts w:eastAsia="Arial" w:cstheme="minorHAnsi"/>
          <w:color w:val="000000"/>
          <w:u w:color="000000"/>
          <w:bdr w:val="nil"/>
          <w:lang w:val="en-US"/>
        </w:rPr>
      </w:pPr>
      <w:r w:rsidRPr="00DA634F">
        <w:rPr>
          <w:rFonts w:eastAsia="Arial" w:cstheme="minorHAnsi"/>
          <w:color w:val="000000"/>
          <w:u w:color="000000"/>
          <w:bdr w:val="nil"/>
          <w:lang w:val="en-US"/>
        </w:rPr>
        <w:t>More relevant and engaging learning</w:t>
      </w:r>
    </w:p>
    <w:p w14:paraId="6431DBB8" w14:textId="77777777" w:rsidR="00997AEE" w:rsidRPr="00DA634F" w:rsidRDefault="00997AEE" w:rsidP="008A5CC5">
      <w:pPr>
        <w:pStyle w:val="ListParagraph"/>
        <w:numPr>
          <w:ilvl w:val="0"/>
          <w:numId w:val="17"/>
        </w:numPr>
        <w:jc w:val="both"/>
        <w:rPr>
          <w:rFonts w:eastAsia="Arial" w:cstheme="minorHAnsi"/>
          <w:color w:val="000000"/>
          <w:u w:color="000000"/>
          <w:bdr w:val="nil"/>
          <w:lang w:val="en-US"/>
        </w:rPr>
      </w:pPr>
      <w:r w:rsidRPr="00DA634F">
        <w:rPr>
          <w:rFonts w:eastAsia="Arial" w:cstheme="minorHAnsi"/>
          <w:color w:val="000000"/>
          <w:u w:color="000000"/>
          <w:bdr w:val="nil"/>
          <w:lang w:val="en-US"/>
        </w:rPr>
        <w:lastRenderedPageBreak/>
        <w:t>Eng</w:t>
      </w:r>
      <w:r>
        <w:rPr>
          <w:rFonts w:eastAsia="Arial" w:cstheme="minorHAnsi"/>
          <w:color w:val="000000"/>
          <w:u w:color="000000"/>
          <w:bdr w:val="nil"/>
          <w:lang w:val="en-US"/>
        </w:rPr>
        <w:t>age</w:t>
      </w:r>
      <w:r w:rsidRPr="00DA634F">
        <w:rPr>
          <w:rFonts w:eastAsia="Arial" w:cstheme="minorHAnsi"/>
          <w:color w:val="000000"/>
          <w:u w:color="000000"/>
          <w:bdr w:val="nil"/>
          <w:lang w:val="en-US"/>
        </w:rPr>
        <w:t>ment with local community</w:t>
      </w:r>
    </w:p>
    <w:p w14:paraId="67C70798" w14:textId="77777777" w:rsidR="00997AEE" w:rsidRPr="00DA634F" w:rsidRDefault="00997AEE" w:rsidP="008A5CC5">
      <w:pPr>
        <w:pStyle w:val="ListParagraph"/>
        <w:numPr>
          <w:ilvl w:val="0"/>
          <w:numId w:val="17"/>
        </w:numPr>
        <w:jc w:val="both"/>
        <w:rPr>
          <w:rFonts w:eastAsia="Arial" w:cstheme="minorHAnsi"/>
          <w:color w:val="000000"/>
          <w:u w:color="000000"/>
          <w:bdr w:val="nil"/>
          <w:lang w:val="en-US"/>
        </w:rPr>
      </w:pPr>
      <w:r w:rsidRPr="00DA634F">
        <w:rPr>
          <w:rFonts w:eastAsia="Arial" w:cstheme="minorHAnsi"/>
          <w:color w:val="000000"/>
          <w:u w:color="000000"/>
          <w:bdr w:val="nil"/>
          <w:lang w:val="en-US"/>
        </w:rPr>
        <w:t>More assessment for lear</w:t>
      </w:r>
      <w:r>
        <w:rPr>
          <w:rFonts w:eastAsia="Arial" w:cstheme="minorHAnsi"/>
          <w:color w:val="000000"/>
          <w:u w:color="000000"/>
          <w:bdr w:val="nil"/>
          <w:lang w:val="en-US"/>
        </w:rPr>
        <w:t>n</w:t>
      </w:r>
      <w:r w:rsidRPr="00DA634F">
        <w:rPr>
          <w:rFonts w:eastAsia="Arial" w:cstheme="minorHAnsi"/>
          <w:color w:val="000000"/>
          <w:u w:color="000000"/>
          <w:bdr w:val="nil"/>
          <w:lang w:val="en-US"/>
        </w:rPr>
        <w:t>ing and focus on progress</w:t>
      </w:r>
    </w:p>
    <w:p w14:paraId="597B45AF" w14:textId="14B8C6D5" w:rsidR="00997AEE" w:rsidRPr="00DA634F" w:rsidRDefault="00997AEE" w:rsidP="008A5CC5">
      <w:pPr>
        <w:pStyle w:val="ListParagraph"/>
        <w:numPr>
          <w:ilvl w:val="0"/>
          <w:numId w:val="17"/>
        </w:numPr>
        <w:jc w:val="both"/>
        <w:rPr>
          <w:rFonts w:eastAsia="Arial" w:cstheme="minorHAnsi"/>
          <w:color w:val="000000"/>
          <w:u w:color="000000"/>
          <w:bdr w:val="nil"/>
          <w:lang w:val="en-US"/>
        </w:rPr>
      </w:pPr>
      <w:r w:rsidRPr="00DA634F">
        <w:rPr>
          <w:rFonts w:eastAsia="Arial" w:cstheme="minorHAnsi"/>
          <w:color w:val="000000"/>
          <w:u w:color="000000"/>
          <w:bdr w:val="nil"/>
          <w:lang w:val="en-US"/>
        </w:rPr>
        <w:t xml:space="preserve">More </w:t>
      </w:r>
      <w:r w:rsidR="00F4065C" w:rsidRPr="00DA634F">
        <w:rPr>
          <w:rFonts w:eastAsia="Arial" w:cstheme="minorHAnsi"/>
          <w:color w:val="000000"/>
          <w:u w:color="000000"/>
          <w:bdr w:val="nil"/>
          <w:lang w:val="en-US"/>
        </w:rPr>
        <w:t>inquiry-based</w:t>
      </w:r>
      <w:r w:rsidRPr="00DA634F">
        <w:rPr>
          <w:rFonts w:eastAsia="Arial" w:cstheme="minorHAnsi"/>
          <w:color w:val="000000"/>
          <w:u w:color="000000"/>
          <w:bdr w:val="nil"/>
          <w:lang w:val="en-US"/>
        </w:rPr>
        <w:t xml:space="preserve"> learning</w:t>
      </w:r>
      <w:r>
        <w:rPr>
          <w:rFonts w:eastAsia="Arial" w:cstheme="minorHAnsi"/>
          <w:color w:val="000000"/>
          <w:u w:color="000000"/>
          <w:bdr w:val="nil"/>
          <w:lang w:val="en-US"/>
        </w:rPr>
        <w:t xml:space="preserve"> (2 responses focused on this)</w:t>
      </w:r>
    </w:p>
    <w:p w14:paraId="692D20E4" w14:textId="77777777" w:rsidR="00997AEE" w:rsidRPr="00DA634F" w:rsidRDefault="00997AEE" w:rsidP="008A5CC5">
      <w:pPr>
        <w:pStyle w:val="ListParagraph"/>
        <w:numPr>
          <w:ilvl w:val="0"/>
          <w:numId w:val="17"/>
        </w:numPr>
        <w:jc w:val="both"/>
        <w:rPr>
          <w:rFonts w:eastAsia="Arial" w:cstheme="minorHAnsi"/>
          <w:color w:val="000000"/>
          <w:u w:color="000000"/>
          <w:bdr w:val="nil"/>
          <w:lang w:val="en-US"/>
        </w:rPr>
      </w:pPr>
      <w:r w:rsidRPr="00DA634F">
        <w:rPr>
          <w:rFonts w:eastAsia="Arial" w:cstheme="minorHAnsi"/>
          <w:color w:val="000000"/>
          <w:u w:color="000000"/>
          <w:bdr w:val="nil"/>
          <w:lang w:val="en-US"/>
        </w:rPr>
        <w:t>Physical design of classroom</w:t>
      </w:r>
    </w:p>
    <w:p w14:paraId="0353AE43" w14:textId="77777777" w:rsidR="00997AEE" w:rsidRPr="00DA634F" w:rsidRDefault="00997AEE" w:rsidP="008A5CC5">
      <w:pPr>
        <w:pStyle w:val="ListParagraph"/>
        <w:numPr>
          <w:ilvl w:val="0"/>
          <w:numId w:val="17"/>
        </w:numPr>
        <w:jc w:val="both"/>
        <w:rPr>
          <w:rFonts w:eastAsia="Arial" w:cstheme="minorHAnsi"/>
          <w:color w:val="000000"/>
          <w:u w:color="000000"/>
          <w:bdr w:val="nil"/>
          <w:lang w:val="en-US"/>
        </w:rPr>
      </w:pPr>
      <w:r w:rsidRPr="00DA634F">
        <w:rPr>
          <w:rFonts w:eastAsia="Arial" w:cstheme="minorHAnsi"/>
          <w:color w:val="000000"/>
          <w:u w:color="000000"/>
          <w:bdr w:val="nil"/>
          <w:lang w:val="en-US"/>
        </w:rPr>
        <w:t>Universal design</w:t>
      </w:r>
    </w:p>
    <w:p w14:paraId="04861476" w14:textId="133B21A4" w:rsidR="00997AEE" w:rsidRPr="00A572D5" w:rsidRDefault="00997AEE" w:rsidP="008A5CC5">
      <w:pPr>
        <w:pStyle w:val="ListParagraph"/>
        <w:numPr>
          <w:ilvl w:val="0"/>
          <w:numId w:val="17"/>
        </w:numPr>
        <w:jc w:val="both"/>
        <w:rPr>
          <w:rFonts w:eastAsia="Arial" w:cstheme="minorHAnsi"/>
          <w:color w:val="000000"/>
          <w:u w:color="000000"/>
          <w:bdr w:val="nil"/>
          <w:lang w:val="en-US"/>
        </w:rPr>
      </w:pPr>
      <w:r w:rsidRPr="00DA634F">
        <w:rPr>
          <w:rFonts w:eastAsia="Arial" w:cstheme="minorHAnsi"/>
          <w:color w:val="000000"/>
          <w:u w:color="000000"/>
          <w:bdr w:val="nil"/>
          <w:lang w:val="en-US"/>
        </w:rPr>
        <w:t>Literacy as a ‘hook’</w:t>
      </w:r>
    </w:p>
    <w:p w14:paraId="304773D3" w14:textId="5E86422E" w:rsidR="002904BC" w:rsidRDefault="006C1A0B" w:rsidP="008A5CC5">
      <w:pPr>
        <w:jc w:val="both"/>
        <w:rPr>
          <w:rFonts w:eastAsia="Arial" w:cstheme="minorHAnsi"/>
          <w:color w:val="000000"/>
          <w:u w:color="000000"/>
          <w:bdr w:val="nil"/>
          <w:lang w:val="en-US"/>
        </w:rPr>
      </w:pPr>
      <w:r w:rsidRPr="006C1A0B">
        <w:rPr>
          <w:rFonts w:eastAsia="Arial" w:cstheme="minorHAnsi"/>
          <w:color w:val="000000"/>
          <w:u w:color="000000"/>
          <w:bdr w:val="nil"/>
          <w:lang w:val="en-US"/>
        </w:rPr>
        <w:t xml:space="preserve">Participants were asked in what ways PL had changed their curriculum content and design.  17 </w:t>
      </w:r>
      <w:r>
        <w:rPr>
          <w:rFonts w:eastAsia="Arial" w:cstheme="minorHAnsi"/>
          <w:color w:val="000000"/>
          <w:u w:color="000000"/>
          <w:bdr w:val="nil"/>
          <w:lang w:val="en-US"/>
        </w:rPr>
        <w:t>out of 23 participants</w:t>
      </w:r>
      <w:r w:rsidR="0013121B">
        <w:rPr>
          <w:rFonts w:eastAsia="Arial" w:cstheme="minorHAnsi"/>
          <w:color w:val="000000"/>
          <w:u w:color="000000"/>
          <w:bdr w:val="nil"/>
          <w:lang w:val="en-US"/>
        </w:rPr>
        <w:t xml:space="preserve"> </w:t>
      </w:r>
      <w:r w:rsidRPr="006C1A0B">
        <w:rPr>
          <w:rFonts w:eastAsia="Arial" w:cstheme="minorHAnsi"/>
          <w:color w:val="000000"/>
          <w:u w:color="000000"/>
          <w:bdr w:val="nil"/>
          <w:lang w:val="en-US"/>
        </w:rPr>
        <w:t>respon</w:t>
      </w:r>
      <w:r w:rsidR="003D1D76">
        <w:rPr>
          <w:rFonts w:eastAsia="Arial" w:cstheme="minorHAnsi"/>
          <w:color w:val="000000"/>
          <w:u w:color="000000"/>
          <w:bdr w:val="nil"/>
          <w:lang w:val="en-US"/>
        </w:rPr>
        <w:t>ded</w:t>
      </w:r>
      <w:r w:rsidRPr="006C1A0B">
        <w:rPr>
          <w:rFonts w:eastAsia="Arial" w:cstheme="minorHAnsi"/>
          <w:color w:val="000000"/>
          <w:u w:color="000000"/>
          <w:bdr w:val="nil"/>
          <w:lang w:val="en-US"/>
        </w:rPr>
        <w:t xml:space="preserve"> to this</w:t>
      </w:r>
      <w:r>
        <w:rPr>
          <w:rFonts w:eastAsia="Arial" w:cstheme="minorHAnsi"/>
          <w:color w:val="000000"/>
          <w:u w:color="000000"/>
          <w:bdr w:val="nil"/>
          <w:lang w:val="en-US"/>
        </w:rPr>
        <w:t xml:space="preserve"> question. </w:t>
      </w:r>
      <w:r w:rsidR="003D1D76">
        <w:rPr>
          <w:rFonts w:eastAsia="Arial" w:cstheme="minorHAnsi"/>
          <w:color w:val="000000"/>
          <w:u w:color="000000"/>
          <w:bdr w:val="nil"/>
          <w:lang w:val="en-US"/>
        </w:rPr>
        <w:t>A</w:t>
      </w:r>
      <w:r>
        <w:rPr>
          <w:rFonts w:eastAsia="Arial" w:cstheme="minorHAnsi"/>
          <w:color w:val="000000"/>
          <w:u w:color="000000"/>
          <w:bdr w:val="nil"/>
          <w:lang w:val="en-US"/>
        </w:rPr>
        <w:t xml:space="preserve"> range of changes were identified</w:t>
      </w:r>
      <w:r w:rsidR="003D1D76">
        <w:rPr>
          <w:rFonts w:eastAsia="Arial" w:cstheme="minorHAnsi"/>
          <w:color w:val="000000"/>
          <w:u w:color="000000"/>
          <w:bdr w:val="nil"/>
          <w:lang w:val="en-US"/>
        </w:rPr>
        <w:t>, including</w:t>
      </w:r>
      <w:r>
        <w:rPr>
          <w:rFonts w:eastAsia="Arial" w:cstheme="minorHAnsi"/>
          <w:color w:val="000000"/>
          <w:u w:color="000000"/>
          <w:bdr w:val="nil"/>
          <w:lang w:val="en-US"/>
        </w:rPr>
        <w:t xml:space="preserve"> one participant who stated that PL had led to “a whole new approach to teaching and learning within our school”</w:t>
      </w:r>
      <w:r w:rsidR="003D1D76">
        <w:rPr>
          <w:rFonts w:eastAsia="Arial" w:cstheme="minorHAnsi"/>
          <w:color w:val="000000"/>
          <w:u w:color="000000"/>
          <w:bdr w:val="nil"/>
          <w:lang w:val="en-US"/>
        </w:rPr>
        <w:t>.</w:t>
      </w:r>
      <w:r>
        <w:rPr>
          <w:rFonts w:eastAsia="Arial" w:cstheme="minorHAnsi"/>
          <w:color w:val="000000"/>
          <w:u w:color="000000"/>
          <w:bdr w:val="nil"/>
          <w:lang w:val="en-US"/>
        </w:rPr>
        <w:t xml:space="preserve"> Other responses showed that PL had led to reduced curriculum content, provided broader knowledge about potential curriculum content, led to a greater focus on concepts and skills within curriculum design. 2 participants noted that their curriculum had changed, but that they did not feel that the PL had led to the change. </w:t>
      </w:r>
    </w:p>
    <w:p w14:paraId="6CC3AD4C" w14:textId="37AC3560" w:rsidR="00997AEE" w:rsidRDefault="00997AEE" w:rsidP="008A5CC5">
      <w:pPr>
        <w:jc w:val="both"/>
        <w:rPr>
          <w:rFonts w:eastAsia="Arial" w:cstheme="minorHAnsi"/>
          <w:color w:val="000000"/>
          <w:u w:color="000000"/>
          <w:bdr w:val="nil"/>
          <w:lang w:val="en-US"/>
        </w:rPr>
      </w:pPr>
      <w:r>
        <w:rPr>
          <w:rFonts w:eastAsia="Arial" w:cstheme="minorHAnsi"/>
          <w:color w:val="000000"/>
          <w:u w:color="000000"/>
          <w:bdr w:val="nil"/>
          <w:lang w:val="en-US"/>
        </w:rPr>
        <w:t xml:space="preserve">The interviews provided more significant evidence of </w:t>
      </w:r>
      <w:r w:rsidR="006C3D1C">
        <w:rPr>
          <w:rFonts w:eastAsia="Arial" w:cstheme="minorHAnsi"/>
          <w:color w:val="000000"/>
          <w:u w:color="000000"/>
          <w:bdr w:val="nil"/>
          <w:lang w:val="en-US"/>
        </w:rPr>
        <w:t>specific ways that</w:t>
      </w:r>
      <w:r>
        <w:rPr>
          <w:rFonts w:eastAsia="Arial" w:cstheme="minorHAnsi"/>
          <w:color w:val="000000"/>
          <w:u w:color="000000"/>
          <w:bdr w:val="nil"/>
          <w:lang w:val="en-US"/>
        </w:rPr>
        <w:t xml:space="preserve"> PL had impacted curriculum design and content. </w:t>
      </w:r>
      <w:r w:rsidR="006C3D1C">
        <w:rPr>
          <w:rFonts w:eastAsia="Arial" w:cstheme="minorHAnsi"/>
          <w:color w:val="000000"/>
          <w:u w:color="000000"/>
          <w:bdr w:val="nil"/>
          <w:lang w:val="en-US"/>
        </w:rPr>
        <w:t xml:space="preserve"> </w:t>
      </w:r>
      <w:r>
        <w:rPr>
          <w:rFonts w:eastAsia="Arial" w:cstheme="minorHAnsi"/>
          <w:color w:val="000000"/>
          <w:u w:color="000000"/>
          <w:bdr w:val="nil"/>
          <w:lang w:val="en-US"/>
        </w:rPr>
        <w:t>For example</w:t>
      </w:r>
      <w:r w:rsidR="006C3D1C">
        <w:rPr>
          <w:rFonts w:eastAsia="Arial" w:cstheme="minorHAnsi"/>
          <w:color w:val="000000"/>
          <w:u w:color="000000"/>
          <w:bdr w:val="nil"/>
          <w:lang w:val="en-US"/>
        </w:rPr>
        <w:t>,</w:t>
      </w:r>
      <w:r>
        <w:rPr>
          <w:rFonts w:eastAsia="Arial" w:cstheme="minorHAnsi"/>
          <w:color w:val="000000"/>
          <w:u w:color="000000"/>
          <w:bdr w:val="nil"/>
          <w:lang w:val="en-US"/>
        </w:rPr>
        <w:t xml:space="preserve"> Teacher T commented that attending regional networking events had increased their focus on </w:t>
      </w:r>
      <w:r w:rsidR="0013121B">
        <w:rPr>
          <w:rFonts w:eastAsia="Arial" w:cstheme="minorHAnsi"/>
          <w:color w:val="000000"/>
          <w:u w:color="000000"/>
          <w:bdr w:val="nil"/>
          <w:lang w:val="en-US"/>
        </w:rPr>
        <w:t>concepts and</w:t>
      </w:r>
      <w:r>
        <w:rPr>
          <w:rFonts w:eastAsia="Arial" w:cstheme="minorHAnsi"/>
          <w:color w:val="000000"/>
          <w:u w:color="000000"/>
          <w:bdr w:val="nil"/>
          <w:lang w:val="en-US"/>
        </w:rPr>
        <w:t xml:space="preserve"> had led to a greater focus on planning for conceptual understanding in their planning. </w:t>
      </w:r>
      <w:r w:rsidR="006C3D1C">
        <w:rPr>
          <w:rFonts w:eastAsia="Arial" w:cstheme="minorHAnsi"/>
          <w:color w:val="000000"/>
          <w:u w:color="000000"/>
          <w:bdr w:val="nil"/>
          <w:lang w:val="en-US"/>
        </w:rPr>
        <w:t xml:space="preserve"> Teacher M noted </w:t>
      </w:r>
      <w:r w:rsidR="006E7FF2">
        <w:rPr>
          <w:rFonts w:eastAsia="Arial" w:cstheme="minorHAnsi"/>
          <w:color w:val="000000"/>
          <w:u w:color="000000"/>
          <w:bdr w:val="nil"/>
          <w:lang w:val="en-US"/>
        </w:rPr>
        <w:t xml:space="preserve">how specific texts and research had impacted their school development plan and approaches, including approaches to how their curriculum delivers progression in reading.  </w:t>
      </w:r>
      <w:r w:rsidR="003D1D76">
        <w:rPr>
          <w:rFonts w:eastAsia="Arial" w:cstheme="minorHAnsi"/>
          <w:color w:val="000000"/>
          <w:u w:color="000000"/>
          <w:bdr w:val="nil"/>
          <w:lang w:val="en-US"/>
        </w:rPr>
        <w:t xml:space="preserve"> Teacher P and L noted that PL had led to their schools trialing thematic approaches to curriculum design. </w:t>
      </w:r>
    </w:p>
    <w:p w14:paraId="1A88676F" w14:textId="77777777" w:rsidR="006C1A0B" w:rsidRPr="006C1A0B" w:rsidRDefault="006C1A0B" w:rsidP="002904BC">
      <w:pPr>
        <w:rPr>
          <w:rFonts w:eastAsia="Arial" w:cstheme="minorHAnsi"/>
          <w:color w:val="000000"/>
          <w:u w:color="000000"/>
          <w:bdr w:val="nil"/>
          <w:lang w:val="en-US"/>
        </w:rPr>
      </w:pPr>
    </w:p>
    <w:p w14:paraId="77290858" w14:textId="77777777" w:rsidR="00E06AFE" w:rsidRPr="002904BC" w:rsidRDefault="00E06AFE" w:rsidP="002904BC">
      <w:pPr>
        <w:rPr>
          <w:rFonts w:eastAsia="Arial" w:cstheme="minorHAnsi"/>
          <w:color w:val="000000"/>
          <w:u w:color="000000"/>
          <w:bdr w:val="nil"/>
          <w:lang w:val="en-US"/>
        </w:rPr>
      </w:pPr>
    </w:p>
    <w:p w14:paraId="6ACA1202" w14:textId="5AF932CF" w:rsidR="00565F37" w:rsidRPr="000E1540" w:rsidRDefault="00093EC1" w:rsidP="000E1540">
      <w:pPr>
        <w:pStyle w:val="ListParagraph"/>
        <w:numPr>
          <w:ilvl w:val="0"/>
          <w:numId w:val="13"/>
        </w:numPr>
        <w:rPr>
          <w:rFonts w:cstheme="minorHAnsi"/>
          <w:b/>
          <w:bCs/>
        </w:rPr>
      </w:pPr>
      <w:r w:rsidRPr="00AB4A31">
        <w:rPr>
          <w:rFonts w:cstheme="minorHAnsi"/>
          <w:b/>
          <w:bCs/>
        </w:rPr>
        <w:br w:type="page"/>
      </w:r>
    </w:p>
    <w:p w14:paraId="0CCE1097" w14:textId="282BD70A" w:rsidR="009D500B" w:rsidRPr="000E1540" w:rsidRDefault="00C8147C" w:rsidP="00190EF0">
      <w:pPr>
        <w:pStyle w:val="BodyTextIndent"/>
        <w:ind w:left="0" w:firstLine="0"/>
        <w:rPr>
          <w:b/>
          <w:bCs/>
          <w:sz w:val="28"/>
          <w:szCs w:val="28"/>
        </w:rPr>
      </w:pPr>
      <w:r w:rsidRPr="000E1540">
        <w:rPr>
          <w:b/>
          <w:bCs/>
          <w:sz w:val="28"/>
          <w:szCs w:val="28"/>
        </w:rPr>
        <w:lastRenderedPageBreak/>
        <w:t xml:space="preserve">Chapter </w:t>
      </w:r>
      <w:r w:rsidR="004651A1" w:rsidRPr="000E1540">
        <w:rPr>
          <w:b/>
          <w:bCs/>
          <w:sz w:val="28"/>
          <w:szCs w:val="28"/>
        </w:rPr>
        <w:t>5</w:t>
      </w:r>
      <w:r w:rsidRPr="000E1540">
        <w:rPr>
          <w:b/>
          <w:bCs/>
          <w:sz w:val="28"/>
          <w:szCs w:val="28"/>
        </w:rPr>
        <w:t xml:space="preserve">: </w:t>
      </w:r>
      <w:r w:rsidR="009D500B" w:rsidRPr="000E1540">
        <w:rPr>
          <w:b/>
          <w:bCs/>
          <w:sz w:val="28"/>
          <w:szCs w:val="28"/>
        </w:rPr>
        <w:t>Discussio</w:t>
      </w:r>
      <w:r w:rsidR="000E1540" w:rsidRPr="000E1540">
        <w:rPr>
          <w:b/>
          <w:bCs/>
          <w:sz w:val="28"/>
          <w:szCs w:val="28"/>
        </w:rPr>
        <w:t>n</w:t>
      </w:r>
    </w:p>
    <w:p w14:paraId="6C93818D" w14:textId="389B2A8E" w:rsidR="006E7FF2" w:rsidRDefault="006E7FF2" w:rsidP="00E63F84">
      <w:pPr>
        <w:jc w:val="both"/>
      </w:pPr>
      <w:r>
        <w:t>This chapter will discuss the research findings in relation to the literature on</w:t>
      </w:r>
      <w:r w:rsidRPr="00496CA8">
        <w:t xml:space="preserve"> </w:t>
      </w:r>
      <w:r>
        <w:t xml:space="preserve">PL to </w:t>
      </w:r>
      <w:r w:rsidRPr="00496CA8">
        <w:t>support the implementation of the</w:t>
      </w:r>
      <w:r>
        <w:t xml:space="preserve"> CfW</w:t>
      </w:r>
      <w:r w:rsidR="00685A5A">
        <w:t>.</w:t>
      </w:r>
      <w:r w:rsidR="000E1540">
        <w:t xml:space="preserve"> </w:t>
      </w:r>
      <w:r>
        <w:t xml:space="preserve">It will first discuss key findings related to engagement with PL. This chapter will then focus on the factors that have made PL more or less impactful on </w:t>
      </w:r>
      <w:r w:rsidR="000E1540">
        <w:t>practitioners’</w:t>
      </w:r>
      <w:r>
        <w:t xml:space="preserve"> knowledge and confidence in implementing CfW, and the</w:t>
      </w:r>
      <w:r w:rsidR="000E1540">
        <w:t>n consider the</w:t>
      </w:r>
      <w:r>
        <w:t xml:space="preserve"> extent to which PL has supported the implementation of the CfW.   </w:t>
      </w:r>
    </w:p>
    <w:p w14:paraId="56D20E69" w14:textId="60A2C70F" w:rsidR="005F02E1" w:rsidRDefault="005F02E1" w:rsidP="005F02E1">
      <w:pPr>
        <w:pStyle w:val="NoSpacing"/>
        <w:rPr>
          <w:rFonts w:cstheme="minorHAnsi"/>
          <w:b/>
          <w:bCs/>
        </w:rPr>
      </w:pPr>
      <w:r w:rsidRPr="005F02E1">
        <w:rPr>
          <w:rFonts w:cstheme="minorHAnsi"/>
          <w:b/>
          <w:bCs/>
        </w:rPr>
        <w:t>Types of PL teachers have engaged with</w:t>
      </w:r>
    </w:p>
    <w:p w14:paraId="3564A123" w14:textId="77777777" w:rsidR="005F02E1" w:rsidRPr="005F02E1" w:rsidRDefault="005F02E1" w:rsidP="005F02E1">
      <w:pPr>
        <w:pStyle w:val="NoSpacing"/>
        <w:rPr>
          <w:rFonts w:cstheme="minorHAnsi"/>
          <w:b/>
          <w:bCs/>
        </w:rPr>
      </w:pPr>
    </w:p>
    <w:p w14:paraId="47917C21" w14:textId="117A29FE" w:rsidR="00C037D2" w:rsidRDefault="0018676B" w:rsidP="00E63F84">
      <w:pPr>
        <w:jc w:val="both"/>
      </w:pPr>
      <w:r>
        <w:t xml:space="preserve">All participants had engaged with some PL </w:t>
      </w:r>
      <w:r w:rsidR="00D95D1C">
        <w:t xml:space="preserve">specifically </w:t>
      </w:r>
      <w:r>
        <w:t>on CfW</w:t>
      </w:r>
      <w:r w:rsidR="003D1D76">
        <w:t xml:space="preserve">, but there </w:t>
      </w:r>
      <w:r>
        <w:t xml:space="preserve">was a </w:t>
      </w:r>
      <w:r w:rsidR="00DE7D17">
        <w:t>surprisingl</w:t>
      </w:r>
      <w:r w:rsidR="00AD348A">
        <w:t>y broad</w:t>
      </w:r>
      <w:r w:rsidR="00DE7D17">
        <w:t xml:space="preserve"> </w:t>
      </w:r>
      <w:r>
        <w:t>range of engagement</w:t>
      </w:r>
      <w:r w:rsidR="006E7FF2">
        <w:t xml:space="preserve"> both between and within settings.</w:t>
      </w:r>
      <w:r>
        <w:t xml:space="preserve"> </w:t>
      </w:r>
      <w:r w:rsidR="00685A5A">
        <w:t xml:space="preserve"> Practitioners have engaged with PL to </w:t>
      </w:r>
      <w:r w:rsidR="00AD348A">
        <w:t xml:space="preserve">significantly </w:t>
      </w:r>
      <w:r w:rsidR="00685A5A">
        <w:t>differ</w:t>
      </w:r>
      <w:r w:rsidR="00AD348A">
        <w:t>ent</w:t>
      </w:r>
      <w:r w:rsidR="00685A5A">
        <w:t xml:space="preserve"> degrees.  </w:t>
      </w:r>
      <w:r w:rsidR="00DE7D17">
        <w:t>This range of engagement supports some of the criticisms of PL provision</w:t>
      </w:r>
      <w:r w:rsidR="001D31E2">
        <w:t xml:space="preserve"> (Edwards, 2021)</w:t>
      </w:r>
      <w:r w:rsidR="00DE7D17">
        <w:t xml:space="preserve">, and supports the Ministers decision to establish a PL entitlement to ensure equity of access to PL (Miles, 2023).   </w:t>
      </w:r>
      <w:r w:rsidR="00C511B7">
        <w:t xml:space="preserve">This </w:t>
      </w:r>
      <w:r w:rsidR="001D31E2">
        <w:t xml:space="preserve">range </w:t>
      </w:r>
      <w:r w:rsidR="00C511B7">
        <w:t>may relate to the way that each school</w:t>
      </w:r>
      <w:r w:rsidR="00204DF2">
        <w:t xml:space="preserve">, and region </w:t>
      </w:r>
      <w:r w:rsidR="00C511B7">
        <w:t xml:space="preserve">has organised </w:t>
      </w:r>
      <w:r w:rsidR="00204DF2">
        <w:t xml:space="preserve">PL, </w:t>
      </w:r>
      <w:r w:rsidR="00C511B7">
        <w:t xml:space="preserve">as well as to the ability of different teachers in schools to access </w:t>
      </w:r>
      <w:r w:rsidR="006E7FF2">
        <w:t xml:space="preserve">regional and national </w:t>
      </w:r>
      <w:r w:rsidR="00C511B7">
        <w:t>PL</w:t>
      </w:r>
      <w:r w:rsidR="00204DF2">
        <w:t xml:space="preserve">.  </w:t>
      </w:r>
      <w:r w:rsidR="00DE7D17">
        <w:t>The research also suggested different practitioner views on their own level of responsibility for PL</w:t>
      </w:r>
      <w:r w:rsidR="00685A5A">
        <w:t xml:space="preserve">, and this may be impacting the extent of engagement with PL. </w:t>
      </w:r>
    </w:p>
    <w:p w14:paraId="2E85D8B4" w14:textId="1C8D431A" w:rsidR="00407E21" w:rsidRDefault="00C037D2" w:rsidP="00E63F84">
      <w:pPr>
        <w:jc w:val="both"/>
      </w:pPr>
      <w:r>
        <w:t>The research show</w:t>
      </w:r>
      <w:r w:rsidR="003D1D76">
        <w:t>s</w:t>
      </w:r>
      <w:r>
        <w:t xml:space="preserve"> </w:t>
      </w:r>
      <w:r w:rsidR="00A73807">
        <w:t xml:space="preserve">far </w:t>
      </w:r>
      <w:r>
        <w:t xml:space="preserve">greater engagement with PL led and organised by schools and by teachers themselves, and lower </w:t>
      </w:r>
      <w:r w:rsidR="00735B00">
        <w:t>engagement with national PL opportunities</w:t>
      </w:r>
      <w:r w:rsidR="003D1D76">
        <w:t xml:space="preserve">.  </w:t>
      </w:r>
      <w:r w:rsidR="00D15FA4">
        <w:t xml:space="preserve">This </w:t>
      </w:r>
      <w:r w:rsidR="003D1D76">
        <w:t xml:space="preserve">may </w:t>
      </w:r>
      <w:r w:rsidR="00D15FA4">
        <w:t xml:space="preserve">show that these types of PL are largely accessed by Headteachers or senior leaders, and are not being accessed by practitioners.  </w:t>
      </w:r>
      <w:r w:rsidR="003D1D76">
        <w:t>Therefore</w:t>
      </w:r>
      <w:r w:rsidR="00D15FA4">
        <w:t xml:space="preserve"> </w:t>
      </w:r>
      <w:r w:rsidR="003D1D76">
        <w:t xml:space="preserve">the feedback and information </w:t>
      </w:r>
      <w:r w:rsidR="00D15FA4">
        <w:t xml:space="preserve">Welsh Government receive from schools through these PL opportunities </w:t>
      </w:r>
      <w:r w:rsidR="003D1D76">
        <w:t>reflects only senior staff perspectives</w:t>
      </w:r>
      <w:r w:rsidR="00FE0048">
        <w:t xml:space="preserve">.  </w:t>
      </w:r>
      <w:r w:rsidR="00A73807">
        <w:t>As t</w:t>
      </w:r>
      <w:r w:rsidR="00FE0048">
        <w:t>here have been clear differences of opinion and attitude</w:t>
      </w:r>
      <w:r w:rsidR="00D15FA4">
        <w:t xml:space="preserve"> </w:t>
      </w:r>
      <w:r w:rsidR="00FE0048">
        <w:t xml:space="preserve">between practitioners and leaders, as </w:t>
      </w:r>
      <w:r w:rsidR="00D15FA4">
        <w:t>shown in recent Welsh Government survey (</w:t>
      </w:r>
      <w:r w:rsidR="00FE0048">
        <w:t>Duggan et al., 2022a)</w:t>
      </w:r>
      <w:r w:rsidR="00A73807">
        <w:t xml:space="preserve">, government officials may only see limited perspectives of the profession through their PL. </w:t>
      </w:r>
    </w:p>
    <w:p w14:paraId="38389F2D" w14:textId="6956F94E" w:rsidR="001D31E2" w:rsidRDefault="00BB1A16" w:rsidP="00C037D2">
      <w:pPr>
        <w:jc w:val="both"/>
      </w:pPr>
      <w:r w:rsidRPr="00BB1A16">
        <w:t xml:space="preserve">School led PL </w:t>
      </w:r>
      <w:r>
        <w:t xml:space="preserve">has </w:t>
      </w:r>
      <w:r w:rsidR="00DE7D17">
        <w:t xml:space="preserve">therefore </w:t>
      </w:r>
      <w:r>
        <w:t>made up the bulk of p</w:t>
      </w:r>
      <w:r w:rsidR="003D1D76">
        <w:t xml:space="preserve">ractitioner </w:t>
      </w:r>
      <w:r>
        <w:t>engagement</w:t>
      </w:r>
      <w:r w:rsidR="00DE7D17">
        <w:t xml:space="preserve">, suggesting that the quality of this provision will be </w:t>
      </w:r>
      <w:r w:rsidR="001D31E2">
        <w:t xml:space="preserve">more </w:t>
      </w:r>
      <w:r w:rsidR="00DE7D17">
        <w:t>crucial in curriculum implementation</w:t>
      </w:r>
      <w:r w:rsidR="001D31E2">
        <w:t xml:space="preserve"> than regional or national PL</w:t>
      </w:r>
      <w:r w:rsidR="00DE7D17">
        <w:t>.</w:t>
      </w:r>
      <w:r>
        <w:t xml:space="preserve">  </w:t>
      </w:r>
      <w:r w:rsidR="007D1F6D">
        <w:t xml:space="preserve">In most </w:t>
      </w:r>
      <w:r w:rsidR="001D31E2">
        <w:t xml:space="preserve">school </w:t>
      </w:r>
      <w:r w:rsidR="007D1F6D">
        <w:t xml:space="preserve">settings, </w:t>
      </w:r>
      <w:r w:rsidR="00685A5A">
        <w:t xml:space="preserve">this engagement has been in </w:t>
      </w:r>
      <w:r w:rsidR="007D1F6D">
        <w:t xml:space="preserve">school </w:t>
      </w:r>
      <w:r>
        <w:t xml:space="preserve">led </w:t>
      </w:r>
      <w:r w:rsidR="00DE7D17">
        <w:t xml:space="preserve">collaborative </w:t>
      </w:r>
      <w:r w:rsidR="007D1F6D">
        <w:t>P</w:t>
      </w:r>
      <w:r w:rsidR="00C51D9A">
        <w:t>L</w:t>
      </w:r>
      <w:r w:rsidR="007D1F6D">
        <w:t xml:space="preserve"> </w:t>
      </w:r>
      <w:r w:rsidR="002A5348">
        <w:t xml:space="preserve">on </w:t>
      </w:r>
      <w:r w:rsidR="007D1F6D">
        <w:t>CfW</w:t>
      </w:r>
      <w:r w:rsidR="00685A5A">
        <w:t>, which has usually</w:t>
      </w:r>
      <w:r w:rsidR="007D1F6D">
        <w:t xml:space="preserve"> been embedded into the</w:t>
      </w:r>
      <w:r w:rsidR="00685A5A">
        <w:t xml:space="preserve"> regular</w:t>
      </w:r>
      <w:r w:rsidR="007D1F6D">
        <w:t xml:space="preserve"> meeting and INSET cycle</w:t>
      </w:r>
      <w:r w:rsidR="002A5348">
        <w:t xml:space="preserve">, </w:t>
      </w:r>
      <w:r w:rsidR="00C51D9A">
        <w:t xml:space="preserve">often </w:t>
      </w:r>
      <w:r w:rsidR="002A5348">
        <w:t>with additional time being provided</w:t>
      </w:r>
      <w:r w:rsidR="00C51D9A">
        <w:t xml:space="preserve"> for these meetings</w:t>
      </w:r>
      <w:r w:rsidR="002A5348">
        <w:t xml:space="preserve">. </w:t>
      </w:r>
      <w:r>
        <w:t xml:space="preserve"> </w:t>
      </w:r>
      <w:r w:rsidR="00DE7D17">
        <w:t xml:space="preserve">Most schools have </w:t>
      </w:r>
      <w:r w:rsidR="00685A5A">
        <w:t xml:space="preserve">increased </w:t>
      </w:r>
      <w:r w:rsidR="00DE7D17">
        <w:t xml:space="preserve">collaborative time for groups of staff to work together, and also run school level PL events.  </w:t>
      </w:r>
      <w:r w:rsidR="001D31E2">
        <w:t xml:space="preserve">The </w:t>
      </w:r>
      <w:r w:rsidR="00685A5A">
        <w:t>common</w:t>
      </w:r>
      <w:r w:rsidR="001D31E2">
        <w:t xml:space="preserve"> approach appears to be schools appointing</w:t>
      </w:r>
      <w:r w:rsidR="00DE7D17">
        <w:t xml:space="preserve"> curriculum leads, or ‘champions’, usually senior staff</w:t>
      </w:r>
      <w:r w:rsidR="001D31E2">
        <w:t>, or</w:t>
      </w:r>
      <w:r w:rsidR="00DE7D17">
        <w:t xml:space="preserve"> middle leaders, who attended regional and national PL and then ‘cascaded’ learning down to all other staff within the</w:t>
      </w:r>
      <w:r w:rsidR="00685A5A">
        <w:t>se</w:t>
      </w:r>
      <w:r w:rsidR="00DE7D17">
        <w:t xml:space="preserve"> school through INSET days and staff meetings.  A pilot group,  and subsequent coaching approach was evident from one of the interview participants, but this approach does not seem to be </w:t>
      </w:r>
      <w:r w:rsidR="00685A5A">
        <w:t>most common</w:t>
      </w:r>
      <w:r w:rsidR="00DE7D17">
        <w:t xml:space="preserve">.  </w:t>
      </w:r>
    </w:p>
    <w:p w14:paraId="3EAD3E68" w14:textId="58151C06" w:rsidR="005F02E1" w:rsidRDefault="001D31E2" w:rsidP="00C51D9A">
      <w:pPr>
        <w:jc w:val="both"/>
      </w:pPr>
      <w:r>
        <w:t xml:space="preserve">In addition, </w:t>
      </w:r>
      <w:r w:rsidR="00C51D9A">
        <w:t>t</w:t>
      </w:r>
      <w:r w:rsidR="00B74AC1">
        <w:t xml:space="preserve">he level of direction and management of the PL process within a school from SLT appeared to differ between settings. </w:t>
      </w:r>
      <w:r w:rsidR="00C51D9A">
        <w:t xml:space="preserve"> In teacher T’s school, their initial PL work as a pilot faculty</w:t>
      </w:r>
      <w:r>
        <w:t>, and subsequent coaching</w:t>
      </w:r>
      <w:r w:rsidR="00C51D9A">
        <w:t xml:space="preserve"> was entirely self-led, with little direction or management from senior staff. In  </w:t>
      </w:r>
      <w:r w:rsidR="00685A5A">
        <w:t xml:space="preserve">most </w:t>
      </w:r>
      <w:r w:rsidR="00C51D9A">
        <w:t>other schools, all staff in the school received the same school led PL, led by the school champions or leads</w:t>
      </w:r>
      <w:r>
        <w:t xml:space="preserve">, with clear decisions (such as following a thematic curriculum design approach) being </w:t>
      </w:r>
      <w:r w:rsidR="000E2E19">
        <w:t xml:space="preserve">imposed </w:t>
      </w:r>
      <w:r>
        <w:t>by school leaders</w:t>
      </w:r>
      <w:r w:rsidR="0013232F">
        <w:t>, or curriculum leads</w:t>
      </w:r>
      <w:r>
        <w:t xml:space="preserve">.  </w:t>
      </w:r>
    </w:p>
    <w:p w14:paraId="47AD546D" w14:textId="77777777" w:rsidR="004E7D82" w:rsidRDefault="004E7D82" w:rsidP="004E7D82">
      <w:pPr>
        <w:pStyle w:val="NoSpacing"/>
        <w:rPr>
          <w:rFonts w:cstheme="minorHAnsi"/>
          <w:b/>
          <w:bCs/>
        </w:rPr>
      </w:pPr>
      <w:r w:rsidRPr="00A06394">
        <w:rPr>
          <w:rFonts w:cstheme="minorHAnsi"/>
          <w:b/>
          <w:bCs/>
        </w:rPr>
        <w:t xml:space="preserve">What factors do practitioners feel have made PL activities have a greater or lesser impact on their knowledge and understanding of the CfW? </w:t>
      </w:r>
    </w:p>
    <w:p w14:paraId="5F8CBE13" w14:textId="77777777" w:rsidR="004E7D82" w:rsidRDefault="004E7D82" w:rsidP="004E7D82">
      <w:pPr>
        <w:pStyle w:val="NoSpacing"/>
        <w:rPr>
          <w:rFonts w:cstheme="minorHAnsi"/>
          <w:b/>
          <w:bCs/>
        </w:rPr>
      </w:pPr>
    </w:p>
    <w:p w14:paraId="18834AB9" w14:textId="3FCF8B21" w:rsidR="00C50323" w:rsidRDefault="004E7D82" w:rsidP="004E7D82">
      <w:pPr>
        <w:jc w:val="both"/>
      </w:pPr>
      <w:r>
        <w:t xml:space="preserve">The research shows strongly that practitioners believe in-school collaborations have been a significant  impactful aspect of their PL.   However, it does appear that school led collaborations through meetings, </w:t>
      </w:r>
      <w:r>
        <w:lastRenderedPageBreak/>
        <w:t>INSET days does also represent a large proportion of the PL that many practitioners have engaged with</w:t>
      </w:r>
      <w:r w:rsidR="00A73807">
        <w:t>, so many participants may have had limited amount of non-school level PL to compare</w:t>
      </w:r>
      <w:r w:rsidR="0013232F">
        <w:t xml:space="preserve"> school provision to</w:t>
      </w:r>
      <w:r w:rsidR="00A73807">
        <w:t xml:space="preserve">. </w:t>
      </w:r>
    </w:p>
    <w:p w14:paraId="3564CEFF" w14:textId="3AE1264B" w:rsidR="004E7D82" w:rsidRPr="00074E33" w:rsidRDefault="00C50323" w:rsidP="004E7D82">
      <w:pPr>
        <w:jc w:val="both"/>
      </w:pPr>
      <w:r>
        <w:t xml:space="preserve">School led PL does seem to have embedded the pedagogies for PL from the NAPL to an extent. For example, collaboration is a NAPL pedagogy, and was also strongly evident in </w:t>
      </w:r>
      <w:r w:rsidR="00A5515E">
        <w:t>practitioners’</w:t>
      </w:r>
      <w:r>
        <w:t xml:space="preserve"> experiences.  Research informed practice, refection, and to a smaller extent coaching, were also evident in practitioner experiences. However, research on how these types of PL can be effective does not seem to have been drawn upon in designing school PL.  For example, in school collaborations do not appear to have drawn on PLC, peer coaching or CoP models, but have instead followed usual management led approaches, through department meetings for example. In the one example of coaching seen in the research, no coaching model was used, and the coaching described resembled more of a ‘cascading’ of the experiences and decisions of one faculty to the other faculties.  Indeed, in most settings it does seem that collaborative PL resembles professional collaboration, rather than collaborative professionalism (Hargreaves, 2018).   Most collaborative groups within school level PL are transactional, considering the practicalities of implementing a curriculum decision or policy that has been ‘cascaded’ down to them.  </w:t>
      </w:r>
      <w:r w:rsidRPr="00C50323">
        <w:t xml:space="preserve">The benefits of collaborative </w:t>
      </w:r>
      <w:r>
        <w:t xml:space="preserve">learning in terms of problem </w:t>
      </w:r>
      <w:proofErr w:type="gramStart"/>
      <w:r>
        <w:t>solving,</w:t>
      </w:r>
      <w:proofErr w:type="gramEnd"/>
      <w:r>
        <w:t xml:space="preserve"> creativity and critical thinking have not been shown </w:t>
      </w:r>
      <w:r w:rsidR="0013232F">
        <w:t>to a large extent in the school based PL in</w:t>
      </w:r>
      <w:r>
        <w:t xml:space="preserve"> this research.  School </w:t>
      </w:r>
      <w:r w:rsidR="004E7D82">
        <w:t>collaborati</w:t>
      </w:r>
      <w:r>
        <w:t>ve PL is</w:t>
      </w:r>
      <w:r w:rsidR="004E7D82">
        <w:t xml:space="preserve"> not usually based on any research informed model, but </w:t>
      </w:r>
      <w:r>
        <w:t>is</w:t>
      </w:r>
      <w:r w:rsidR="004E7D82">
        <w:t xml:space="preserve"> instead embedded into the normal collaborative meeting approaches of the school, with existing structures and teams working in usual ways to collaborate and work on the CfW.  The collaboration appears to be largely practical, with collaborative time being used to plan unites of work and materials.  Therefore </w:t>
      </w:r>
      <w:r w:rsidR="0013232F">
        <w:t xml:space="preserve">whilst </w:t>
      </w:r>
      <w:r w:rsidR="004E7D82">
        <w:t xml:space="preserve">practitioners have clearly valued the additional time that they have been given to work together, that work has often been in ‘more of the same’ in terms of collaborative approach and </w:t>
      </w:r>
      <w:r w:rsidR="0013232F">
        <w:t>ways of working</w:t>
      </w:r>
      <w:r w:rsidR="004E7D82">
        <w:t xml:space="preserve">. </w:t>
      </w:r>
    </w:p>
    <w:p w14:paraId="1E6DDB9E" w14:textId="685562B8" w:rsidR="00685A5A" w:rsidRPr="00441576" w:rsidRDefault="004E7D82" w:rsidP="004E7D82">
      <w:pPr>
        <w:jc w:val="both"/>
        <w:rPr>
          <w:rFonts w:cstheme="minorHAnsi"/>
        </w:rPr>
      </w:pPr>
      <w:r w:rsidRPr="00441576">
        <w:rPr>
          <w:rFonts w:cstheme="minorHAnsi"/>
        </w:rPr>
        <w:t xml:space="preserve">Collaborations outside the school, with external advisers, or peer to peer discussions with other practitioners has also been seen to be impactful on knowledge and understanding of CfW.  Collaborations with other practitioners are seen as ‘low threat’ and information from other practitioners can more easily be applied to a specific setting.   In the few examples in this research of practitioners collaborating with external PL providers or regional/national PL, there seems to be more mixed views.  Some of this type of PL engagement has challenged practitioner thinking, and provided specific guidance to the school in their own context.  However, more generic PL </w:t>
      </w:r>
      <w:r w:rsidR="00024EE9">
        <w:rPr>
          <w:rFonts w:cstheme="minorHAnsi"/>
        </w:rPr>
        <w:t>provision</w:t>
      </w:r>
      <w:r w:rsidRPr="00441576">
        <w:rPr>
          <w:rFonts w:cstheme="minorHAnsi"/>
        </w:rPr>
        <w:t>, has been seen as a negative as practitioners are unable to</w:t>
      </w:r>
      <w:r w:rsidR="00024EE9">
        <w:rPr>
          <w:rFonts w:cstheme="minorHAnsi"/>
        </w:rPr>
        <w:t>, or have insufficient time to</w:t>
      </w:r>
      <w:r w:rsidRPr="00441576">
        <w:rPr>
          <w:rFonts w:cstheme="minorHAnsi"/>
        </w:rPr>
        <w:t xml:space="preserve"> apply to their context.  This raises the question of the often dual role of regional consortia as providers of PL, and as challenge advisers.  Advisers are not seen as ‘low – threat’, and do not have capacity to provide PL to every school in a bespoke way.  Hence, some PL may be seen as ‘generic’ or not related to specific school contexts.  The nature of the provision of PL at this level may well explain some of the criticisms received (Estyn, 2022). </w:t>
      </w:r>
    </w:p>
    <w:p w14:paraId="19C0B995" w14:textId="3C4CABC5" w:rsidR="004E7D82" w:rsidRDefault="004E7D82" w:rsidP="004E7D82">
      <w:pPr>
        <w:jc w:val="both"/>
        <w:rPr>
          <w:rFonts w:eastAsia="Arial" w:cstheme="minorHAnsi"/>
          <w:color w:val="000000"/>
          <w:u w:color="000000"/>
          <w:bdr w:val="nil"/>
          <w:lang w:val="en-US"/>
        </w:rPr>
      </w:pPr>
      <w:r w:rsidRPr="00441576">
        <w:rPr>
          <w:rFonts w:cstheme="minorHAnsi"/>
        </w:rPr>
        <w:t xml:space="preserve">Reflection and reflective practice has </w:t>
      </w:r>
      <w:r>
        <w:rPr>
          <w:rFonts w:cstheme="minorHAnsi"/>
        </w:rPr>
        <w:t xml:space="preserve">also </w:t>
      </w:r>
      <w:r w:rsidRPr="00441576">
        <w:rPr>
          <w:rFonts w:cstheme="minorHAnsi"/>
        </w:rPr>
        <w:t>been impactful aspect of PL according to this research</w:t>
      </w:r>
      <w:r>
        <w:rPr>
          <w:rFonts w:cstheme="minorHAnsi"/>
        </w:rPr>
        <w:t>, supporting the research on the role of refection as a key characteristic of effective PL. (</w:t>
      </w:r>
      <w:r w:rsidR="00024EE9">
        <w:t>Darling-Hammond,</w:t>
      </w:r>
      <w:r w:rsidR="00024EE9" w:rsidRPr="003825DE">
        <w:t xml:space="preserve"> </w:t>
      </w:r>
      <w:r w:rsidR="00024EE9">
        <w:t>Hyler and Gardner</w:t>
      </w:r>
      <w:r w:rsidR="00A73807">
        <w:t xml:space="preserve">, </w:t>
      </w:r>
      <w:r w:rsidR="00024EE9">
        <w:t>2017)</w:t>
      </w:r>
      <w:r w:rsidRPr="00441576">
        <w:rPr>
          <w:rFonts w:cstheme="minorHAnsi"/>
        </w:rPr>
        <w:t>. Although only 2 participants highlighted this on the questionnaire, it was a more prominent factor discussed by teachers in interview</w:t>
      </w:r>
      <w:r>
        <w:rPr>
          <w:rFonts w:cstheme="minorHAnsi"/>
        </w:rPr>
        <w:t xml:space="preserve"> when describing their in school collaborations. The way that practitioners reflect does seem to differ however, with some practitioners noting time to reflect on research and apply to their context, while others focused on the value of reflecting on the results of curriculum trails and pilots.  For example, </w:t>
      </w:r>
      <w:r w:rsidRPr="00441576">
        <w:rPr>
          <w:rFonts w:eastAsia="Arial" w:cstheme="minorHAnsi"/>
          <w:color w:val="000000"/>
          <w:u w:color="000000"/>
          <w:bdr w:val="nil"/>
          <w:lang w:val="en-US"/>
        </w:rPr>
        <w:t xml:space="preserve">Teacher L </w:t>
      </w:r>
      <w:r>
        <w:rPr>
          <w:rFonts w:eastAsia="Arial" w:cstheme="minorHAnsi"/>
          <w:color w:val="000000"/>
          <w:u w:color="000000"/>
          <w:bdr w:val="nil"/>
          <w:lang w:val="en-US"/>
        </w:rPr>
        <w:t>believed that actually</w:t>
      </w:r>
      <w:r w:rsidRPr="00441576">
        <w:rPr>
          <w:rFonts w:eastAsia="Arial" w:cstheme="minorHAnsi"/>
          <w:color w:val="000000"/>
          <w:u w:color="000000"/>
          <w:bdr w:val="nil"/>
          <w:lang w:val="en-US"/>
        </w:rPr>
        <w:t xml:space="preserve"> teaching </w:t>
      </w:r>
      <w:r>
        <w:rPr>
          <w:rFonts w:eastAsia="Arial" w:cstheme="minorHAnsi"/>
          <w:color w:val="000000"/>
          <w:u w:color="000000"/>
          <w:bdr w:val="nil"/>
          <w:lang w:val="en-US"/>
        </w:rPr>
        <w:t xml:space="preserve">and then critically reflecting upon </w:t>
      </w:r>
      <w:r w:rsidRPr="00441576">
        <w:rPr>
          <w:rFonts w:eastAsia="Arial" w:cstheme="minorHAnsi"/>
          <w:color w:val="000000"/>
          <w:u w:color="000000"/>
          <w:bdr w:val="nil"/>
          <w:lang w:val="en-US"/>
        </w:rPr>
        <w:t xml:space="preserve">the newly designed curriculum units enabled </w:t>
      </w:r>
      <w:r>
        <w:rPr>
          <w:rFonts w:eastAsia="Arial" w:cstheme="minorHAnsi"/>
          <w:color w:val="000000"/>
          <w:u w:color="000000"/>
          <w:bdr w:val="nil"/>
          <w:lang w:val="en-US"/>
        </w:rPr>
        <w:t xml:space="preserve">them to see the impact of their curriculum on different learners and to develop it further. </w:t>
      </w:r>
    </w:p>
    <w:p w14:paraId="3AC121C1" w14:textId="77777777" w:rsidR="00024EE9" w:rsidRDefault="004E7D82" w:rsidP="00C51D9A">
      <w:pPr>
        <w:jc w:val="both"/>
      </w:pPr>
      <w:r>
        <w:lastRenderedPageBreak/>
        <w:t>There were a range of other factors identified that practitioners felt had made PL less impactful</w:t>
      </w:r>
      <w:r w:rsidR="00024EE9">
        <w:t xml:space="preserve">. A key issue appears to be generic, poorly delivered PL that is not contextualised. This shows that PL design has not considered key characteristics of effective PL noted by, for example, Cordingley et al (2015), who suggests effective PL is practice based and subject specific.  This issue of poorly designed PL was raised by 2 interviewees, but was more often raised in the questionnaire responses as a key factor that reduced the impact of PL.  However, this research has not identified specific PL providers, and whether this poorly designed and facilitated PL is run by Government, regions, schools or external consultants. </w:t>
      </w:r>
      <w:r>
        <w:t xml:space="preserve"> </w:t>
      </w:r>
    </w:p>
    <w:p w14:paraId="195E09DE" w14:textId="7F7DD4F4" w:rsidR="004E7D82" w:rsidRDefault="00024EE9" w:rsidP="00C51D9A">
      <w:pPr>
        <w:jc w:val="both"/>
      </w:pPr>
      <w:r>
        <w:t xml:space="preserve">Other issues leading to low impact PL </w:t>
      </w:r>
      <w:r w:rsidR="004E7D82">
        <w:t>includ</w:t>
      </w:r>
      <w:r>
        <w:t xml:space="preserve">e little </w:t>
      </w:r>
      <w:r w:rsidR="004E7D82">
        <w:t xml:space="preserve">clarity of issues of assessment, progression, and lack of clarity about examinations and the role of inspections.  Indeed, lack of PL provision on assessment and progression has been noted by the Minister (Miles, 2022), and is starting to form an increasingly significant aspect of the nationally agreed PL programme. The issues of examinations and the views of Estyn are both factors external to the curriculum. PL programmes led by Welsh Government, regions or schools will not be able to provide clarity on these issues as they are not people in position as decision makers in these areas.  Estyn and Qualifications Wales are both non-governmental agencies operating separately from Government and the middle tier PL providers.  This lack of clarity in these areas relates to issues with implementation found in Scotland and other nations, with lack of change in external qualifications seen as a barrier to implementation in Scotland (Priestley &amp; Minty, 2013 p18). </w:t>
      </w:r>
      <w:r w:rsidR="004E7D82">
        <w:rPr>
          <w:noProof/>
        </w:rPr>
        <w:t xml:space="preserve"> </w:t>
      </w:r>
      <w:r w:rsidR="004E7D82">
        <w:t xml:space="preserve">This research, whilst not aiming to focus on these broader questions of the role of Estyn and qualifications, does highlight that the role of these organisations has acted as a barrier to limit implementation of CfW, regardless of PL engagement.  In this study, the lack of clarity in these areas has impacted teacher perceptions of the PL they have engaged with. </w:t>
      </w:r>
    </w:p>
    <w:p w14:paraId="3DEDB833" w14:textId="76A47FDA" w:rsidR="00A90E0C" w:rsidRDefault="005F02E1" w:rsidP="00FC1D84">
      <w:pPr>
        <w:pStyle w:val="NoSpacing"/>
        <w:rPr>
          <w:rFonts w:cstheme="minorHAnsi"/>
          <w:b/>
          <w:bCs/>
        </w:rPr>
      </w:pPr>
      <w:r w:rsidRPr="00A06394">
        <w:rPr>
          <w:rFonts w:cstheme="minorHAnsi"/>
          <w:b/>
          <w:bCs/>
        </w:rPr>
        <w:t>How has engagement with PL activities impacted teachers’ knowledge of, and confidence in implementing the CfW?</w:t>
      </w:r>
    </w:p>
    <w:p w14:paraId="1C1CAF83" w14:textId="77777777" w:rsidR="00FC1D84" w:rsidRPr="00FC1D84" w:rsidRDefault="00FC1D84" w:rsidP="00FC1D84">
      <w:pPr>
        <w:pStyle w:val="NoSpacing"/>
        <w:rPr>
          <w:rFonts w:cstheme="minorHAnsi"/>
          <w:b/>
          <w:bCs/>
        </w:rPr>
      </w:pPr>
    </w:p>
    <w:p w14:paraId="4CA35105" w14:textId="6A86EDB3" w:rsidR="005C160E" w:rsidRDefault="004E7D82" w:rsidP="005C160E">
      <w:pPr>
        <w:jc w:val="both"/>
      </w:pPr>
      <w:r>
        <w:t xml:space="preserve">This research question has proved more challenging to investigate in depth through this small study, and is perhaps the key question requiring larger scale evaluation of PL. </w:t>
      </w:r>
      <w:r w:rsidR="005C160E">
        <w:t xml:space="preserve"> </w:t>
      </w:r>
      <w:r>
        <w:t xml:space="preserve">What is clear from this research is that there is a clear link between PL engagement and confidence in implementing CfW. </w:t>
      </w:r>
      <w:r w:rsidR="005C160E">
        <w:t xml:space="preserve"> </w:t>
      </w:r>
      <w:r>
        <w:t xml:space="preserve">In the questionnaire, those who stated they were quite or very confident, frequently stated types of PL engagement as a key the reason. </w:t>
      </w:r>
      <w:r w:rsidR="0013232F">
        <w:t xml:space="preserve"> </w:t>
      </w:r>
      <w:r>
        <w:t xml:space="preserve">Interviewees all provided examples of how their PL engagement had </w:t>
      </w:r>
      <w:r w:rsidR="005C160E">
        <w:t xml:space="preserve">positively </w:t>
      </w:r>
      <w:r>
        <w:t xml:space="preserve">impacted their knowledge and confidence in CfW.  </w:t>
      </w:r>
    </w:p>
    <w:p w14:paraId="0704E44E" w14:textId="1BD56908" w:rsidR="004E7D82" w:rsidRDefault="005C160E" w:rsidP="0013121B">
      <w:pPr>
        <w:jc w:val="both"/>
      </w:pPr>
      <w:r>
        <w:t xml:space="preserve">Participants stated a wide range of ways that their PL had positively impacted their knowledge, confidence and practice in relation to CfW.   In particular the interviews showed that PL activities had led to significant changes in practitioners’ knowledge and confidence, which had in turn led to direct changes to curriculum structure and content.  For example, PL directly led to 2 schools exploring more thematic and interdisciplinary approaches to their curriculum design. PL led in another school to a greater focus on concepts within their curriculum. In the primary setting, specific pieces of research were used to inform school PL and trials in areas such as reading.  This research shows that PL engagement has positively impacted practitioners’ knowledge and confidence, and led to a range of trials and curriculum developments. </w:t>
      </w:r>
    </w:p>
    <w:p w14:paraId="642C1DAD" w14:textId="1738B849" w:rsidR="005F02E1" w:rsidRPr="00FC1D84" w:rsidRDefault="00FC1D84" w:rsidP="00FC1D84">
      <w:pPr>
        <w:jc w:val="both"/>
      </w:pPr>
      <w:r>
        <w:t>However, i</w:t>
      </w:r>
      <w:r w:rsidR="00314004">
        <w:t>t is also</w:t>
      </w:r>
      <w:r w:rsidR="0013121B">
        <w:t xml:space="preserve"> clear from </w:t>
      </w:r>
      <w:r w:rsidR="00314004">
        <w:t xml:space="preserve">this study that </w:t>
      </w:r>
      <w:r w:rsidR="0013121B">
        <w:t xml:space="preserve">the changes that are happening in schools to their curriculum content and classroom practice are not </w:t>
      </w:r>
      <w:r>
        <w:t>consistent</w:t>
      </w:r>
      <w:r w:rsidR="0013121B">
        <w:t xml:space="preserve">.  A range of </w:t>
      </w:r>
      <w:r w:rsidR="00314004">
        <w:t>c</w:t>
      </w:r>
      <w:r w:rsidR="0013121B">
        <w:t>hange</w:t>
      </w:r>
      <w:r w:rsidR="00314004">
        <w:t>s</w:t>
      </w:r>
      <w:r w:rsidR="0013121B">
        <w:t xml:space="preserve"> in curriculum content and classroom practice</w:t>
      </w:r>
      <w:r w:rsidR="00314004">
        <w:t xml:space="preserve"> can be seen from this study</w:t>
      </w:r>
      <w:r w:rsidR="0013121B">
        <w:t xml:space="preserve">. There was little uniformity to the responses in terms of how the curriculum and classroom practice was changing, but there was a general impression that things were changing.  </w:t>
      </w:r>
      <w:r w:rsidR="00314004">
        <w:t xml:space="preserve"> This is therefore an area requiring further research, to ascertain how wide ranging and different curriculum implementation is across different settings. This </w:t>
      </w:r>
      <w:r w:rsidR="00314004">
        <w:lastRenderedPageBreak/>
        <w:t xml:space="preserve">relates directly to questions of equity of provision for learners across the country. </w:t>
      </w:r>
      <w:r w:rsidR="005C160E">
        <w:t xml:space="preserve"> It also raises the question of consistency in PL, and </w:t>
      </w:r>
      <w:r w:rsidR="0013232F">
        <w:t>whether</w:t>
      </w:r>
      <w:r w:rsidR="005C160E">
        <w:t xml:space="preserve"> PL</w:t>
      </w:r>
      <w:r w:rsidR="0013232F">
        <w:t xml:space="preserve"> is</w:t>
      </w:r>
      <w:r w:rsidR="005C160E">
        <w:t xml:space="preserve"> provid</w:t>
      </w:r>
      <w:r w:rsidR="0013232F">
        <w:t>ing</w:t>
      </w:r>
      <w:r w:rsidR="005C160E">
        <w:t xml:space="preserve"> consistent messages to practitioner</w:t>
      </w:r>
      <w:r w:rsidR="0013232F">
        <w:t>s and school leaders</w:t>
      </w:r>
      <w:r w:rsidR="005C160E">
        <w:t xml:space="preserve">.  </w:t>
      </w:r>
    </w:p>
    <w:p w14:paraId="725F37BB" w14:textId="5A0DC3C7" w:rsidR="005C160E" w:rsidRDefault="00685A5A" w:rsidP="005C160E">
      <w:pPr>
        <w:jc w:val="both"/>
      </w:pPr>
      <w:r>
        <w:t>E</w:t>
      </w:r>
      <w:r w:rsidR="005C160E">
        <w:t xml:space="preserve">stablishing the impact of specific PL on knowledge, confidence and on curriculum content and classroom practice is </w:t>
      </w:r>
      <w:r w:rsidR="00C50323">
        <w:t xml:space="preserve">even </w:t>
      </w:r>
      <w:r w:rsidR="005C160E">
        <w:t xml:space="preserve">more challenging. One participant noted that their curriculum had changed in school, but they did not know if PL was the reason.   A wide range of PL, as well as more informal, day to day in school working will contribute to a practitioners  knowledge and confidence in CfW. Separating the role the PL has </w:t>
      </w:r>
      <w:r w:rsidR="0013232F">
        <w:t>h</w:t>
      </w:r>
      <w:r w:rsidR="005C160E">
        <w:t xml:space="preserve">ad in leading to confidence and change requires further research. </w:t>
      </w:r>
    </w:p>
    <w:p w14:paraId="4474D4D0" w14:textId="2FB4EF84" w:rsidR="00A36D41" w:rsidRDefault="00A36D41" w:rsidP="005F02E1">
      <w:pPr>
        <w:pStyle w:val="NoSpacing"/>
        <w:rPr>
          <w:rFonts w:cstheme="minorHAnsi"/>
        </w:rPr>
      </w:pPr>
    </w:p>
    <w:p w14:paraId="7371D1E2" w14:textId="77777777" w:rsidR="00735B00" w:rsidRDefault="00735B00" w:rsidP="00190EF0">
      <w:pPr>
        <w:pStyle w:val="BodyTextIndent"/>
        <w:ind w:left="0" w:firstLine="0"/>
        <w:rPr>
          <w:b/>
          <w:bCs/>
          <w:sz w:val="22"/>
          <w:szCs w:val="22"/>
        </w:rPr>
      </w:pPr>
    </w:p>
    <w:p w14:paraId="1FF57C1C" w14:textId="77777777" w:rsidR="00093EC1" w:rsidRDefault="00093EC1" w:rsidP="00093EC1">
      <w:pPr>
        <w:rPr>
          <w:rFonts w:cstheme="minorHAnsi"/>
        </w:rPr>
      </w:pPr>
    </w:p>
    <w:p w14:paraId="48CD4751" w14:textId="77777777" w:rsidR="00A73807" w:rsidRDefault="00A73807">
      <w:pPr>
        <w:rPr>
          <w:rFonts w:eastAsia="Arial" w:cstheme="minorHAnsi"/>
          <w:b/>
          <w:bCs/>
          <w:color w:val="000000"/>
          <w:sz w:val="32"/>
          <w:szCs w:val="32"/>
          <w:u w:color="000000"/>
          <w:bdr w:val="nil"/>
          <w:lang w:val="en-US"/>
        </w:rPr>
      </w:pPr>
      <w:r>
        <w:rPr>
          <w:rFonts w:cstheme="minorHAnsi"/>
          <w:b/>
          <w:bCs/>
          <w:sz w:val="32"/>
          <w:szCs w:val="32"/>
        </w:rPr>
        <w:br w:type="page"/>
      </w:r>
    </w:p>
    <w:p w14:paraId="6C33A46B" w14:textId="64666F6B" w:rsidR="009D500B" w:rsidRPr="00AF556D" w:rsidRDefault="00C8147C" w:rsidP="00190EF0">
      <w:pPr>
        <w:pStyle w:val="BodyTextIndent"/>
        <w:ind w:left="0" w:firstLine="0"/>
        <w:rPr>
          <w:rFonts w:asciiTheme="minorHAnsi" w:hAnsiTheme="minorHAnsi" w:cstheme="minorHAnsi"/>
          <w:b/>
          <w:bCs/>
          <w:sz w:val="32"/>
          <w:szCs w:val="32"/>
        </w:rPr>
      </w:pPr>
      <w:r w:rsidRPr="00AF556D">
        <w:rPr>
          <w:rFonts w:asciiTheme="minorHAnsi" w:hAnsiTheme="minorHAnsi" w:cstheme="minorHAnsi"/>
          <w:b/>
          <w:bCs/>
          <w:sz w:val="32"/>
          <w:szCs w:val="32"/>
        </w:rPr>
        <w:lastRenderedPageBreak/>
        <w:t xml:space="preserve">Chapter </w:t>
      </w:r>
      <w:r w:rsidR="00204DF2" w:rsidRPr="00AF556D">
        <w:rPr>
          <w:rFonts w:asciiTheme="minorHAnsi" w:hAnsiTheme="minorHAnsi" w:cstheme="minorHAnsi"/>
          <w:b/>
          <w:bCs/>
          <w:sz w:val="32"/>
          <w:szCs w:val="32"/>
        </w:rPr>
        <w:t>6</w:t>
      </w:r>
      <w:r w:rsidRPr="00AF556D">
        <w:rPr>
          <w:rFonts w:asciiTheme="minorHAnsi" w:hAnsiTheme="minorHAnsi" w:cstheme="minorHAnsi"/>
          <w:b/>
          <w:bCs/>
          <w:sz w:val="32"/>
          <w:szCs w:val="32"/>
        </w:rPr>
        <w:t xml:space="preserve">: </w:t>
      </w:r>
      <w:r w:rsidR="009D500B" w:rsidRPr="00AF556D">
        <w:rPr>
          <w:rFonts w:asciiTheme="minorHAnsi" w:hAnsiTheme="minorHAnsi" w:cstheme="minorHAnsi"/>
          <w:b/>
          <w:bCs/>
          <w:sz w:val="32"/>
          <w:szCs w:val="32"/>
        </w:rPr>
        <w:t xml:space="preserve">Conclusions and Recommendations </w:t>
      </w:r>
    </w:p>
    <w:p w14:paraId="4D0DB826" w14:textId="565457B7" w:rsidR="00735B00" w:rsidRPr="008A5CC5" w:rsidRDefault="008A5CC5" w:rsidP="00190EF0">
      <w:pPr>
        <w:pStyle w:val="BodyTextIndent"/>
        <w:ind w:left="0" w:firstLine="0"/>
        <w:rPr>
          <w:rFonts w:asciiTheme="minorHAnsi" w:hAnsiTheme="minorHAnsi" w:cstheme="minorHAnsi"/>
          <w:b/>
          <w:bCs/>
          <w:sz w:val="22"/>
          <w:szCs w:val="22"/>
        </w:rPr>
      </w:pPr>
      <w:r w:rsidRPr="008A5CC5">
        <w:rPr>
          <w:rFonts w:asciiTheme="minorHAnsi" w:hAnsiTheme="minorHAnsi" w:cstheme="minorHAnsi"/>
          <w:b/>
          <w:bCs/>
          <w:sz w:val="22"/>
          <w:szCs w:val="22"/>
        </w:rPr>
        <w:t>Conclusions</w:t>
      </w:r>
    </w:p>
    <w:p w14:paraId="2C6EBB01" w14:textId="10DD0A4A" w:rsidR="00314004" w:rsidRDefault="00314004" w:rsidP="004B1577">
      <w:pPr>
        <w:jc w:val="both"/>
      </w:pPr>
      <w:r>
        <w:t>This study has concluded that t</w:t>
      </w:r>
      <w:r w:rsidR="004B1577">
        <w:t xml:space="preserve">here </w:t>
      </w:r>
      <w:r w:rsidR="00ED526C">
        <w:t>are significant differences in the</w:t>
      </w:r>
      <w:r w:rsidR="004B1577">
        <w:t xml:space="preserve"> levels of engagement with </w:t>
      </w:r>
      <w:r w:rsidR="00ED526C">
        <w:t>a range of available</w:t>
      </w:r>
      <w:r>
        <w:t xml:space="preserve"> </w:t>
      </w:r>
      <w:r w:rsidR="004B1577">
        <w:t>PL</w:t>
      </w:r>
      <w:r w:rsidR="00ED526C">
        <w:t xml:space="preserve">, both within and across settings.  There does not seem to be consistency in levels of engagement.  However, there is consistency in practitioners largely engaging with school based/led PL, as well as with their own personally led PL, where they feel they have this responsibility and </w:t>
      </w:r>
      <w:r w:rsidR="00BF3074">
        <w:t xml:space="preserve">interest. </w:t>
      </w:r>
    </w:p>
    <w:p w14:paraId="59D5859B" w14:textId="4AEC023C" w:rsidR="004B1577" w:rsidRDefault="004B1577" w:rsidP="004B1577">
      <w:pPr>
        <w:jc w:val="both"/>
      </w:pPr>
      <w:r>
        <w:t>The</w:t>
      </w:r>
      <w:r w:rsidR="00314004">
        <w:t>re is some degree of</w:t>
      </w:r>
      <w:r>
        <w:t xml:space="preserve"> consistency </w:t>
      </w:r>
      <w:r w:rsidR="00314004">
        <w:t>in how schools have provided PL</w:t>
      </w:r>
      <w:r w:rsidR="00A73807">
        <w:t xml:space="preserve">, </w:t>
      </w:r>
      <w:r w:rsidR="00204DF2">
        <w:t xml:space="preserve"> </w:t>
      </w:r>
      <w:r>
        <w:t>select</w:t>
      </w:r>
      <w:r w:rsidR="00A73807">
        <w:t>ing</w:t>
      </w:r>
      <w:r>
        <w:t xml:space="preserve"> </w:t>
      </w:r>
      <w:r w:rsidR="00D14CAB">
        <w:t xml:space="preserve">a small number of </w:t>
      </w:r>
      <w:r>
        <w:t>staff, expos</w:t>
      </w:r>
      <w:r w:rsidR="00A73807">
        <w:t>ing</w:t>
      </w:r>
      <w:r>
        <w:t xml:space="preserve"> </w:t>
      </w:r>
      <w:r w:rsidR="00D378AE">
        <w:t>them</w:t>
      </w:r>
      <w:r>
        <w:t xml:space="preserve"> to </w:t>
      </w:r>
      <w:r w:rsidR="00D378AE">
        <w:t>regional and national</w:t>
      </w:r>
      <w:r>
        <w:t xml:space="preserve"> PL opportunities, or to provide time for them to pilot approaches, and then cascad</w:t>
      </w:r>
      <w:r w:rsidR="00A73807">
        <w:t>ing</w:t>
      </w:r>
      <w:r>
        <w:t xml:space="preserve"> these ideas to the rest of the school. </w:t>
      </w:r>
      <w:r w:rsidR="00D378AE">
        <w:t xml:space="preserve"> </w:t>
      </w:r>
      <w:r>
        <w:t xml:space="preserve"> At school level, the pedagogies of </w:t>
      </w:r>
      <w:r w:rsidR="00D14CAB">
        <w:t>the NAPL</w:t>
      </w:r>
      <w:r>
        <w:t xml:space="preserve"> </w:t>
      </w:r>
      <w:r w:rsidR="00BF3074">
        <w:t>have influenced PL design to a degree, with collaboration, use of research and refection embedded in most approaches. However, research evidence on the best use of these pedagogies has been less evident.  There is</w:t>
      </w:r>
      <w:r>
        <w:t xml:space="preserve"> little evidence of formal action research, coaching</w:t>
      </w:r>
      <w:r w:rsidR="00BF3074">
        <w:t xml:space="preserve">, collaboration or refection models and approaches </w:t>
      </w:r>
      <w:r>
        <w:t>in use</w:t>
      </w:r>
      <w:r w:rsidR="00BF3074">
        <w:t xml:space="preserve"> at school level</w:t>
      </w:r>
      <w:r>
        <w:t xml:space="preserve">.  CfW PL at school level has become part of usual approaches to staff </w:t>
      </w:r>
      <w:r w:rsidR="00D14CAB">
        <w:t xml:space="preserve">departmental and phase </w:t>
      </w:r>
      <w:r>
        <w:t>wor</w:t>
      </w:r>
      <w:r w:rsidR="00D14CAB">
        <w:t>k</w:t>
      </w:r>
      <w:r>
        <w:t>, using existing departmental, faculty or staff meeting</w:t>
      </w:r>
      <w:r w:rsidR="00D14CAB">
        <w:t xml:space="preserve"> </w:t>
      </w:r>
      <w:r>
        <w:t xml:space="preserve">time. </w:t>
      </w:r>
    </w:p>
    <w:p w14:paraId="55928D4F" w14:textId="1B66D583" w:rsidR="00A245AF" w:rsidRDefault="004B1577" w:rsidP="00D14CAB">
      <w:pPr>
        <w:jc w:val="both"/>
      </w:pPr>
      <w:r>
        <w:t>This research has also shown that PL has had a</w:t>
      </w:r>
      <w:r w:rsidR="00A245AF">
        <w:t xml:space="preserve"> positive</w:t>
      </w:r>
      <w:r>
        <w:t xml:space="preserve"> impact on practitioners in terms of their knowledge and confidence, as well as leading to changes in curriculum content and classroom practice. </w:t>
      </w:r>
      <w:r w:rsidR="00D14CAB">
        <w:t xml:space="preserve"> Whilst a clear causal relationship between PL and specific results is difficult to prove conclusively, most participants in the research felt that the PL they had engaged with had been </w:t>
      </w:r>
      <w:r w:rsidR="00A245AF">
        <w:t xml:space="preserve">positively </w:t>
      </w:r>
      <w:r w:rsidR="00D14CAB">
        <w:t xml:space="preserve">impactful on their knowledge, confidence, curriculum or practice.  </w:t>
      </w:r>
      <w:r w:rsidR="00A245AF">
        <w:t xml:space="preserve">Therefore it is possible to conclude that </w:t>
      </w:r>
      <w:r w:rsidR="00D14CAB">
        <w:t xml:space="preserve">PL is making a </w:t>
      </w:r>
      <w:r w:rsidR="00A245AF">
        <w:t xml:space="preserve">positive </w:t>
      </w:r>
      <w:r w:rsidR="00D14CAB">
        <w:t>difference</w:t>
      </w:r>
      <w:r w:rsidR="00A245AF">
        <w:t xml:space="preserve"> to curriculum implementation.  B</w:t>
      </w:r>
      <w:r w:rsidR="00D14CAB">
        <w:t>ut it is not possible to conclude how much, how quickly, or how far this is the case. But</w:t>
      </w:r>
      <w:r w:rsidR="00A245AF">
        <w:t>,</w:t>
      </w:r>
      <w:r w:rsidR="00D14CAB">
        <w:t xml:space="preserve"> the fact that PL, when practitioners have time to engage, they are able to engage in a way that is contextualised to their own setting and needs, </w:t>
      </w:r>
      <w:r w:rsidR="00A245AF">
        <w:t xml:space="preserve">and they are able to collaborate with colleagues and seek external support and advice, </w:t>
      </w:r>
      <w:r w:rsidR="00D14CAB">
        <w:t>it is making an impact</w:t>
      </w:r>
      <w:r w:rsidR="00B048E8">
        <w:t xml:space="preserve"> on their knowledge, confidence and practice. PL is </w:t>
      </w:r>
      <w:r w:rsidR="00A245AF">
        <w:t>therefore i</w:t>
      </w:r>
      <w:r w:rsidR="00B048E8">
        <w:t>mpacting the content and design of school level curriculums</w:t>
      </w:r>
      <w:r w:rsidR="00314004">
        <w:t xml:space="preserve"> in a wide range of different ways. </w:t>
      </w:r>
    </w:p>
    <w:p w14:paraId="12CDB48D" w14:textId="77777777" w:rsidR="006E7FF2" w:rsidRPr="0018676B" w:rsidRDefault="006E7FF2" w:rsidP="006E7FF2">
      <w:pPr>
        <w:jc w:val="both"/>
        <w:rPr>
          <w:b/>
          <w:bCs/>
        </w:rPr>
      </w:pPr>
      <w:r w:rsidRPr="0018676B">
        <w:rPr>
          <w:b/>
          <w:bCs/>
        </w:rPr>
        <w:t>Limitations of the research</w:t>
      </w:r>
    </w:p>
    <w:p w14:paraId="6613D9A1" w14:textId="0BC46DA6" w:rsidR="006E7FF2" w:rsidRPr="00A245AF" w:rsidRDefault="00A245AF" w:rsidP="00314004">
      <w:pPr>
        <w:jc w:val="both"/>
        <w:rPr>
          <w:rFonts w:eastAsia="Arial" w:cstheme="minorHAnsi"/>
          <w:color w:val="000000"/>
          <w:u w:color="000000"/>
          <w:bdr w:val="nil"/>
          <w:lang w:val="en-US"/>
        </w:rPr>
      </w:pPr>
      <w:r>
        <w:t xml:space="preserve">However, the conclusions </w:t>
      </w:r>
      <w:r w:rsidR="006E7FF2">
        <w:t xml:space="preserve">from this research will be tentative due to the size of the sample, and emerging findings will need to be investigated further. </w:t>
      </w:r>
      <w:r>
        <w:t xml:space="preserve"> The low level of engagement with this research may be due to the timing, lack of practitioner interest in participation, the research recruitment process, or data collection methods. The</w:t>
      </w:r>
      <w:r w:rsidR="006E7FF2" w:rsidRPr="00777695">
        <w:rPr>
          <w:rFonts w:cstheme="minorHAnsi"/>
        </w:rPr>
        <w:t xml:space="preserve"> impersonal nature of the communication of the online link reducing the personal </w:t>
      </w:r>
      <w:r>
        <w:rPr>
          <w:rFonts w:cstheme="minorHAnsi"/>
        </w:rPr>
        <w:t xml:space="preserve">rapport with the researcher may also have been a factor In addition, </w:t>
      </w:r>
      <w:r w:rsidR="006E7FF2" w:rsidRPr="00777695">
        <w:rPr>
          <w:rFonts w:cstheme="minorHAnsi"/>
        </w:rPr>
        <w:t xml:space="preserve"> </w:t>
      </w:r>
      <w:r>
        <w:rPr>
          <w:rFonts w:cstheme="minorHAnsi"/>
        </w:rPr>
        <w:t xml:space="preserve">there </w:t>
      </w:r>
      <w:r w:rsidR="006E7FF2">
        <w:rPr>
          <w:rFonts w:eastAsia="Arial" w:cstheme="minorHAnsi"/>
          <w:color w:val="000000"/>
          <w:u w:color="000000"/>
          <w:bdr w:val="nil"/>
          <w:lang w:val="en-US"/>
        </w:rPr>
        <w:t>are also many education professionals in Wales engaging with study,</w:t>
      </w:r>
      <w:r>
        <w:rPr>
          <w:rFonts w:eastAsia="Arial" w:cstheme="minorHAnsi"/>
          <w:color w:val="000000"/>
          <w:u w:color="000000"/>
          <w:bdr w:val="nil"/>
          <w:lang w:val="en-US"/>
        </w:rPr>
        <w:t xml:space="preserve"> at present, as a result of </w:t>
      </w:r>
      <w:r w:rsidR="006E7FF2" w:rsidRPr="00777695">
        <w:rPr>
          <w:rFonts w:cstheme="minorHAnsi"/>
        </w:rPr>
        <w:t>the Welsh Government focus on a highly educated workforce in the National Education Mission</w:t>
      </w:r>
      <w:r>
        <w:rPr>
          <w:rFonts w:cstheme="minorHAnsi"/>
        </w:rPr>
        <w:t xml:space="preserve">. </w:t>
      </w:r>
      <w:r w:rsidR="006E7FF2">
        <w:rPr>
          <w:rFonts w:cstheme="minorHAnsi"/>
        </w:rPr>
        <w:t xml:space="preserve">However, it also means that </w:t>
      </w:r>
      <w:r w:rsidR="006E7FF2">
        <w:rPr>
          <w:rFonts w:eastAsia="Arial" w:cstheme="minorHAnsi"/>
          <w:color w:val="000000"/>
          <w:u w:color="000000"/>
          <w:bdr w:val="nil"/>
          <w:lang w:val="en-US"/>
        </w:rPr>
        <w:t xml:space="preserve">survey and questionnaire links are commonly seen on social media, and so teachers may well have felt questionnaire fatigue.  </w:t>
      </w:r>
      <w:r>
        <w:rPr>
          <w:rFonts w:cstheme="minorHAnsi"/>
        </w:rPr>
        <w:t xml:space="preserve">In addition, </w:t>
      </w:r>
      <w:r>
        <w:rPr>
          <w:rFonts w:eastAsia="Arial" w:cstheme="minorHAnsi"/>
          <w:color w:val="000000"/>
          <w:u w:color="000000"/>
          <w:bdr w:val="nil"/>
          <w:lang w:val="en-US"/>
        </w:rPr>
        <w:t>the participants were heavily weighted towards Humanities</w:t>
      </w:r>
      <w:r>
        <w:rPr>
          <w:rFonts w:cstheme="minorHAnsi"/>
        </w:rPr>
        <w:t xml:space="preserve">. </w:t>
      </w:r>
    </w:p>
    <w:p w14:paraId="2CAA4A6F" w14:textId="6280493F" w:rsidR="006E7FF2" w:rsidRPr="00314004" w:rsidRDefault="006E7FF2" w:rsidP="00314004">
      <w:pPr>
        <w:jc w:val="both"/>
        <w:rPr>
          <w:rFonts w:eastAsia="Arial" w:cstheme="minorHAnsi"/>
          <w:color w:val="000000"/>
          <w:u w:color="000000"/>
          <w:bdr w:val="nil"/>
          <w:lang w:val="en-US"/>
        </w:rPr>
      </w:pPr>
      <w:r>
        <w:rPr>
          <w:rFonts w:eastAsia="Arial" w:cstheme="minorHAnsi"/>
          <w:color w:val="000000"/>
          <w:u w:color="000000"/>
          <w:bdr w:val="nil"/>
          <w:lang w:val="en-US"/>
        </w:rPr>
        <w:t>For these reasons, findings in this study may not be representative of the broader experience of the teaching profession as a whole</w:t>
      </w:r>
      <w:r w:rsidR="00A245AF">
        <w:rPr>
          <w:rFonts w:eastAsia="Arial" w:cstheme="minorHAnsi"/>
          <w:color w:val="000000"/>
          <w:u w:color="000000"/>
          <w:bdr w:val="nil"/>
          <w:lang w:val="en-US"/>
        </w:rPr>
        <w:t xml:space="preserve">, and may </w:t>
      </w:r>
      <w:r w:rsidR="00A245AF">
        <w:rPr>
          <w:rFonts w:cstheme="minorHAnsi"/>
        </w:rPr>
        <w:t>reflect</w:t>
      </w:r>
      <w:r w:rsidR="00A245AF" w:rsidRPr="00777695">
        <w:rPr>
          <w:rFonts w:cstheme="minorHAnsi"/>
        </w:rPr>
        <w:t xml:space="preserve"> extremes of the more positive or negative views</w:t>
      </w:r>
      <w:r w:rsidR="00A245AF">
        <w:rPr>
          <w:rFonts w:cstheme="minorHAnsi"/>
        </w:rPr>
        <w:t xml:space="preserve"> of PL. </w:t>
      </w:r>
      <w:r w:rsidR="00314004">
        <w:rPr>
          <w:rFonts w:cstheme="minorHAnsi"/>
        </w:rPr>
        <w:t xml:space="preserve">  </w:t>
      </w:r>
      <w:r w:rsidR="00A245AF">
        <w:rPr>
          <w:rFonts w:cstheme="minorHAnsi"/>
        </w:rPr>
        <w:t xml:space="preserve">Another limitation of this research is that the </w:t>
      </w:r>
      <w:r w:rsidR="00BB1A16">
        <w:rPr>
          <w:rFonts w:cstheme="minorHAnsi"/>
        </w:rPr>
        <w:t>geographic</w:t>
      </w:r>
      <w:r w:rsidR="00A245AF">
        <w:rPr>
          <w:rFonts w:cstheme="minorHAnsi"/>
        </w:rPr>
        <w:t xml:space="preserve"> </w:t>
      </w:r>
      <w:r w:rsidR="00BB1A16">
        <w:rPr>
          <w:rFonts w:cstheme="minorHAnsi"/>
        </w:rPr>
        <w:t xml:space="preserve">location </w:t>
      </w:r>
      <w:r w:rsidR="00314004">
        <w:rPr>
          <w:rFonts w:cstheme="minorHAnsi"/>
        </w:rPr>
        <w:t>o</w:t>
      </w:r>
      <w:r w:rsidR="00BB1A16">
        <w:rPr>
          <w:rFonts w:cstheme="minorHAnsi"/>
        </w:rPr>
        <w:t xml:space="preserve">f participants is not known.  The PL entitlement has highlighted the </w:t>
      </w:r>
      <w:r w:rsidRPr="00854820">
        <w:rPr>
          <w:rFonts w:cstheme="minorHAnsi"/>
        </w:rPr>
        <w:t xml:space="preserve">differences in the type and quality of </w:t>
      </w:r>
      <w:r>
        <w:rPr>
          <w:rFonts w:cstheme="minorHAnsi"/>
        </w:rPr>
        <w:t xml:space="preserve">PL </w:t>
      </w:r>
      <w:r w:rsidRPr="00854820">
        <w:rPr>
          <w:rFonts w:cstheme="minorHAnsi"/>
        </w:rPr>
        <w:t xml:space="preserve">available within each </w:t>
      </w:r>
      <w:r w:rsidRPr="00854820">
        <w:rPr>
          <w:rFonts w:cstheme="minorHAnsi"/>
        </w:rPr>
        <w:lastRenderedPageBreak/>
        <w:t xml:space="preserve">region of Wales. </w:t>
      </w:r>
      <w:r w:rsidR="00BB1A16">
        <w:rPr>
          <w:rFonts w:cstheme="minorHAnsi"/>
        </w:rPr>
        <w:t xml:space="preserve"> This study has not been able to provide evidence relating to geographical differences regarding PL. </w:t>
      </w:r>
    </w:p>
    <w:p w14:paraId="20E881F1" w14:textId="77777777" w:rsidR="006E7FF2" w:rsidRPr="008A5CC5" w:rsidRDefault="006E7FF2" w:rsidP="00D14CAB">
      <w:pPr>
        <w:jc w:val="both"/>
      </w:pPr>
    </w:p>
    <w:p w14:paraId="7842BAF2" w14:textId="330ACACE" w:rsidR="00AF556D" w:rsidRPr="00AF556D" w:rsidRDefault="000B31F1" w:rsidP="000B31F1">
      <w:pPr>
        <w:jc w:val="both"/>
        <w:rPr>
          <w:rFonts w:cstheme="minorHAnsi"/>
          <w:b/>
          <w:bCs/>
        </w:rPr>
      </w:pPr>
      <w:r w:rsidRPr="008A5CC5">
        <w:rPr>
          <w:rFonts w:cstheme="minorHAnsi"/>
          <w:b/>
          <w:bCs/>
        </w:rPr>
        <w:t xml:space="preserve">Recommendations </w:t>
      </w:r>
      <w:r w:rsidR="008A5CC5" w:rsidRPr="008A5CC5">
        <w:rPr>
          <w:rFonts w:cstheme="minorHAnsi"/>
          <w:b/>
          <w:bCs/>
        </w:rPr>
        <w:t xml:space="preserve">regarding </w:t>
      </w:r>
      <w:r w:rsidRPr="008A5CC5">
        <w:rPr>
          <w:rFonts w:cstheme="minorHAnsi"/>
          <w:b/>
          <w:bCs/>
        </w:rPr>
        <w:t>PL</w:t>
      </w:r>
    </w:p>
    <w:p w14:paraId="34445AF0" w14:textId="7C88FA76" w:rsidR="00AF556D" w:rsidRDefault="00AF556D" w:rsidP="000B31F1">
      <w:pPr>
        <w:jc w:val="both"/>
        <w:rPr>
          <w:rFonts w:cstheme="minorHAnsi"/>
        </w:rPr>
      </w:pPr>
      <w:r>
        <w:rPr>
          <w:rFonts w:cstheme="minorHAnsi"/>
        </w:rPr>
        <w:t xml:space="preserve">Practitioners and school leaders should be supported to ensure greater equity of access to PL opportunities on CfW. </w:t>
      </w:r>
    </w:p>
    <w:p w14:paraId="3E61A651" w14:textId="5D1CA0A7" w:rsidR="00314004" w:rsidRPr="00B048E8" w:rsidRDefault="00314004" w:rsidP="00314004">
      <w:pPr>
        <w:jc w:val="both"/>
        <w:rPr>
          <w:rFonts w:cstheme="minorHAnsi"/>
        </w:rPr>
      </w:pPr>
      <w:r w:rsidRPr="008A5CC5">
        <w:rPr>
          <w:rFonts w:cstheme="minorHAnsi"/>
        </w:rPr>
        <w:t xml:space="preserve">Steps should be taken to ensure that all practitioners and school leaders are informed of what PL is available to them, through </w:t>
      </w:r>
      <w:r w:rsidR="00A5515E" w:rsidRPr="008A5CC5">
        <w:rPr>
          <w:rFonts w:cstheme="minorHAnsi"/>
        </w:rPr>
        <w:t>roadmaps</w:t>
      </w:r>
      <w:r w:rsidRPr="008A5CC5">
        <w:rPr>
          <w:rFonts w:cstheme="minorHAnsi"/>
        </w:rPr>
        <w:t xml:space="preserve"> or a compendium. </w:t>
      </w:r>
    </w:p>
    <w:p w14:paraId="3D7034AF" w14:textId="26C77D7D" w:rsidR="000B31F1" w:rsidRDefault="000B31F1" w:rsidP="000B31F1">
      <w:pPr>
        <w:jc w:val="both"/>
        <w:rPr>
          <w:rFonts w:cstheme="minorHAnsi"/>
        </w:rPr>
      </w:pPr>
      <w:r w:rsidRPr="008A5CC5">
        <w:rPr>
          <w:rFonts w:cstheme="minorHAnsi"/>
        </w:rPr>
        <w:t xml:space="preserve">Models of </w:t>
      </w:r>
      <w:r w:rsidR="00BB1A16">
        <w:rPr>
          <w:rFonts w:cstheme="minorHAnsi"/>
        </w:rPr>
        <w:t xml:space="preserve">effective </w:t>
      </w:r>
      <w:r w:rsidRPr="008A5CC5">
        <w:rPr>
          <w:rFonts w:cstheme="minorHAnsi"/>
        </w:rPr>
        <w:t xml:space="preserve">PL </w:t>
      </w:r>
      <w:r w:rsidR="00D378AE">
        <w:rPr>
          <w:rFonts w:cstheme="minorHAnsi"/>
        </w:rPr>
        <w:t>pedagogy and design should</w:t>
      </w:r>
      <w:r w:rsidRPr="008A5CC5">
        <w:rPr>
          <w:rFonts w:cstheme="minorHAnsi"/>
        </w:rPr>
        <w:t xml:space="preserve"> be shared </w:t>
      </w:r>
      <w:r w:rsidR="00314004">
        <w:rPr>
          <w:rFonts w:cstheme="minorHAnsi"/>
        </w:rPr>
        <w:t>more effectively</w:t>
      </w:r>
      <w:r w:rsidRPr="008A5CC5">
        <w:rPr>
          <w:rFonts w:cstheme="minorHAnsi"/>
        </w:rPr>
        <w:t xml:space="preserve"> so that schools can apply these to the</w:t>
      </w:r>
      <w:r w:rsidR="00314004">
        <w:rPr>
          <w:rFonts w:cstheme="minorHAnsi"/>
        </w:rPr>
        <w:t xml:space="preserve"> P</w:t>
      </w:r>
      <w:r w:rsidR="00D378AE">
        <w:rPr>
          <w:rFonts w:cstheme="minorHAnsi"/>
        </w:rPr>
        <w:t>L</w:t>
      </w:r>
      <w:r w:rsidR="00314004">
        <w:rPr>
          <w:rFonts w:cstheme="minorHAnsi"/>
        </w:rPr>
        <w:t xml:space="preserve"> within their</w:t>
      </w:r>
      <w:r w:rsidRPr="008A5CC5">
        <w:rPr>
          <w:rFonts w:cstheme="minorHAnsi"/>
        </w:rPr>
        <w:t xml:space="preserve"> setting. </w:t>
      </w:r>
    </w:p>
    <w:p w14:paraId="169BAE3D" w14:textId="77777777" w:rsidR="00314004" w:rsidRPr="008A5CC5" w:rsidRDefault="00314004" w:rsidP="000B31F1">
      <w:pPr>
        <w:jc w:val="both"/>
        <w:rPr>
          <w:rFonts w:cstheme="minorHAnsi"/>
        </w:rPr>
      </w:pPr>
    </w:p>
    <w:p w14:paraId="14A1F5D8" w14:textId="02061B04" w:rsidR="000B31F1" w:rsidRPr="008A5CC5" w:rsidRDefault="000B31F1" w:rsidP="000B31F1">
      <w:pPr>
        <w:jc w:val="both"/>
        <w:rPr>
          <w:b/>
          <w:bCs/>
        </w:rPr>
      </w:pPr>
      <w:r w:rsidRPr="008A5CC5">
        <w:rPr>
          <w:b/>
          <w:bCs/>
        </w:rPr>
        <w:t>Recommendations for further research</w:t>
      </w:r>
    </w:p>
    <w:p w14:paraId="0DCA52A3" w14:textId="4C8B839F" w:rsidR="00204DF2" w:rsidRDefault="00204DF2" w:rsidP="000B31F1">
      <w:pPr>
        <w:jc w:val="both"/>
      </w:pPr>
      <w:r>
        <w:t xml:space="preserve">Further research should be commissioned to explore the experiences of practitioners </w:t>
      </w:r>
      <w:r w:rsidR="00D378AE">
        <w:t>and</w:t>
      </w:r>
      <w:r>
        <w:t xml:space="preserve"> school leaders. </w:t>
      </w:r>
    </w:p>
    <w:p w14:paraId="2066518D" w14:textId="6D781115" w:rsidR="008A5CC5" w:rsidRDefault="008A5CC5" w:rsidP="008A5CC5">
      <w:pPr>
        <w:jc w:val="both"/>
      </w:pPr>
      <w:r>
        <w:t>Further research on the causal relationship between features of PL and impact on teacher knowledge and confidence</w:t>
      </w:r>
      <w:r w:rsidR="00B048E8">
        <w:t>, and on practice</w:t>
      </w:r>
      <w:r w:rsidR="004B1577">
        <w:t xml:space="preserve">. </w:t>
      </w:r>
    </w:p>
    <w:p w14:paraId="6CF95A46" w14:textId="432193BC" w:rsidR="00735B00" w:rsidRDefault="004B1577" w:rsidP="00B048E8">
      <w:pPr>
        <w:jc w:val="both"/>
      </w:pPr>
      <w:r>
        <w:t xml:space="preserve">Further research should explore more effective methods of evaluation of the impact of PL at individual, school, regional and national level. </w:t>
      </w:r>
    </w:p>
    <w:p w14:paraId="242A72F9" w14:textId="0B8991E7" w:rsidR="0013121B" w:rsidRDefault="0013121B" w:rsidP="00B048E8">
      <w:pPr>
        <w:jc w:val="both"/>
      </w:pPr>
      <w:r>
        <w:t xml:space="preserve">It is recommended that further research should explore the role of Estyn and QW in supporting effective implementation of CfW.   </w:t>
      </w:r>
    </w:p>
    <w:p w14:paraId="176C9FD4" w14:textId="3DADC3F0" w:rsidR="00314004" w:rsidRPr="00B048E8" w:rsidRDefault="00314004" w:rsidP="00B048E8">
      <w:pPr>
        <w:jc w:val="both"/>
      </w:pPr>
      <w:r>
        <w:t xml:space="preserve">Research should explore the range of different ways that schools are designing their curricular, to ascertain the range of approaches and evaluate potential impact on equity of provision for learners. </w:t>
      </w:r>
    </w:p>
    <w:p w14:paraId="3922E785" w14:textId="77777777" w:rsidR="00B048E8" w:rsidRDefault="00B048E8">
      <w:pPr>
        <w:rPr>
          <w:rFonts w:ascii="Arial" w:eastAsia="Arial" w:hAnsi="Arial" w:cs="Arial"/>
          <w:b/>
          <w:bCs/>
          <w:color w:val="000000"/>
          <w:u w:color="000000"/>
          <w:bdr w:val="nil"/>
          <w:lang w:val="en-US"/>
        </w:rPr>
      </w:pPr>
      <w:r>
        <w:rPr>
          <w:b/>
          <w:bCs/>
        </w:rPr>
        <w:br w:type="page"/>
      </w:r>
    </w:p>
    <w:p w14:paraId="40D4FD07" w14:textId="7A2D5BAD" w:rsidR="00C24994" w:rsidRDefault="00C24994" w:rsidP="00190EF0">
      <w:pPr>
        <w:pStyle w:val="BodyTextIndent"/>
        <w:ind w:left="0" w:firstLine="0"/>
        <w:rPr>
          <w:b/>
          <w:bCs/>
          <w:sz w:val="22"/>
          <w:szCs w:val="22"/>
        </w:rPr>
      </w:pPr>
      <w:r w:rsidRPr="009D500B">
        <w:rPr>
          <w:b/>
          <w:bCs/>
          <w:sz w:val="22"/>
          <w:szCs w:val="22"/>
        </w:rPr>
        <w:lastRenderedPageBreak/>
        <w:t xml:space="preserve">References: </w:t>
      </w:r>
      <w:r w:rsidRPr="009D500B">
        <w:rPr>
          <w:b/>
          <w:bCs/>
          <w:sz w:val="22"/>
          <w:szCs w:val="22"/>
        </w:rPr>
        <w:tab/>
      </w:r>
    </w:p>
    <w:sdt>
      <w:sdtPr>
        <w:rPr>
          <w:b/>
          <w:bCs/>
        </w:rPr>
        <w:id w:val="1808822173"/>
        <w:docPartObj>
          <w:docPartGallery w:val="Bibliographies"/>
          <w:docPartUnique/>
        </w:docPartObj>
      </w:sdtPr>
      <w:sdtEndPr>
        <w:rPr>
          <w:b w:val="0"/>
          <w:bCs w:val="0"/>
        </w:rPr>
      </w:sdtEndPr>
      <w:sdtContent>
        <w:p w14:paraId="6A833A8D" w14:textId="1BAE66F7" w:rsidR="00AF556D" w:rsidRPr="000C58E7" w:rsidRDefault="00AF556D" w:rsidP="000C58E7">
          <w:pPr>
            <w:rPr>
              <w:lang w:val="en-US"/>
            </w:rPr>
          </w:pPr>
        </w:p>
        <w:p w14:paraId="3E4B1AB9" w14:textId="14B5276F" w:rsidR="000C58E7" w:rsidRPr="000C58E7" w:rsidRDefault="000C58E7" w:rsidP="00AF556D">
          <w:pPr>
            <w:pStyle w:val="Bibliography"/>
            <w:ind w:left="720" w:hanging="720"/>
            <w:rPr>
              <w:noProof/>
              <w:lang w:val="en-US"/>
            </w:rPr>
          </w:pPr>
          <w:r>
            <w:rPr>
              <w:noProof/>
              <w:lang w:val="en-US"/>
            </w:rPr>
            <w:t xml:space="preserve">British Educational Research Association (BERA) (2018) </w:t>
          </w:r>
          <w:r>
            <w:rPr>
              <w:i/>
              <w:iCs/>
              <w:noProof/>
              <w:lang w:val="en-US"/>
            </w:rPr>
            <w:t>Ethical guidelines for educational research. 4</w:t>
          </w:r>
          <w:r w:rsidRPr="000C58E7">
            <w:rPr>
              <w:i/>
              <w:iCs/>
              <w:noProof/>
              <w:vertAlign w:val="superscript"/>
              <w:lang w:val="en-US"/>
            </w:rPr>
            <w:t>th</w:t>
          </w:r>
          <w:r>
            <w:rPr>
              <w:i/>
              <w:iCs/>
              <w:noProof/>
              <w:lang w:val="en-US"/>
            </w:rPr>
            <w:t xml:space="preserve"> Edn. </w:t>
          </w:r>
          <w:r w:rsidRPr="000C58E7">
            <w:rPr>
              <w:noProof/>
            </w:rPr>
            <w:t>Available at: </w:t>
          </w:r>
          <w:hyperlink r:id="rId8" w:history="1">
            <w:r w:rsidRPr="000C58E7">
              <w:rPr>
                <w:rStyle w:val="Hyperlink"/>
                <w:noProof/>
              </w:rPr>
              <w:t>https://www.bera.ac.uk/researchers-resources/publications/ethical-guidelines-for-educational-research-2018</w:t>
            </w:r>
          </w:hyperlink>
          <w:r w:rsidRPr="000C58E7">
            <w:rPr>
              <w:noProof/>
            </w:rPr>
            <w:t> (</w:t>
          </w:r>
          <w:r w:rsidR="007D591C">
            <w:rPr>
              <w:noProof/>
            </w:rPr>
            <w:t>A</w:t>
          </w:r>
          <w:r w:rsidRPr="000C58E7">
            <w:rPr>
              <w:noProof/>
            </w:rPr>
            <w:t>ccessed</w:t>
          </w:r>
          <w:r w:rsidR="007D591C">
            <w:rPr>
              <w:noProof/>
            </w:rPr>
            <w:t xml:space="preserve">: </w:t>
          </w:r>
          <w:r w:rsidRPr="000C58E7">
            <w:rPr>
              <w:noProof/>
            </w:rPr>
            <w:t xml:space="preserve"> 03/09/2021)</w:t>
          </w:r>
        </w:p>
        <w:p w14:paraId="64F5B393" w14:textId="0CB0C50F" w:rsidR="000C58E7" w:rsidRPr="000C58E7" w:rsidRDefault="00AF556D" w:rsidP="000C58E7">
          <w:pPr>
            <w:pStyle w:val="Bibliography"/>
            <w:ind w:left="720" w:hanging="720"/>
            <w:rPr>
              <w:noProof/>
              <w:lang w:val="en-US"/>
            </w:rPr>
          </w:pPr>
          <w:r>
            <w:rPr>
              <w:noProof/>
              <w:lang w:val="en-US"/>
            </w:rPr>
            <w:t xml:space="preserve">Arad Research (2018) </w:t>
          </w:r>
          <w:r>
            <w:rPr>
              <w:i/>
              <w:iCs/>
              <w:noProof/>
              <w:lang w:val="en-US"/>
            </w:rPr>
            <w:t xml:space="preserve">Formative evaluation of the Pioneer School model: Final report. </w:t>
          </w:r>
          <w:r>
            <w:rPr>
              <w:noProof/>
              <w:lang w:val="en-US"/>
            </w:rPr>
            <w:t xml:space="preserve">Cardiff: </w:t>
          </w:r>
          <w:r w:rsidR="00457EDB">
            <w:rPr>
              <w:noProof/>
              <w:lang w:val="en-US"/>
            </w:rPr>
            <w:t>W</w:t>
          </w:r>
          <w:r>
            <w:rPr>
              <w:noProof/>
              <w:lang w:val="en-US"/>
            </w:rPr>
            <w:t>elsh</w:t>
          </w:r>
          <w:r w:rsidR="000C58E7">
            <w:rPr>
              <w:noProof/>
              <w:lang w:val="en-US"/>
            </w:rPr>
            <w:t xml:space="preserve"> </w:t>
          </w:r>
          <w:r>
            <w:rPr>
              <w:noProof/>
              <w:lang w:val="en-US"/>
            </w:rPr>
            <w:t>Government</w:t>
          </w:r>
          <w:r w:rsidR="000C58E7">
            <w:rPr>
              <w:noProof/>
              <w:lang w:val="en-US"/>
            </w:rPr>
            <w:t>.</w:t>
          </w:r>
        </w:p>
        <w:p w14:paraId="20B9DEFF" w14:textId="7F841BF1" w:rsidR="00AF556D" w:rsidRDefault="00AF556D" w:rsidP="00AF556D">
          <w:pPr>
            <w:pStyle w:val="Bibliography"/>
            <w:ind w:left="720" w:hanging="720"/>
            <w:rPr>
              <w:noProof/>
              <w:lang w:val="en-US"/>
            </w:rPr>
          </w:pPr>
          <w:r>
            <w:rPr>
              <w:noProof/>
              <w:lang w:val="en-US"/>
            </w:rPr>
            <w:t>Bergmark, U. (202</w:t>
          </w:r>
          <w:r w:rsidR="000C58E7">
            <w:rPr>
              <w:noProof/>
              <w:lang w:val="en-US"/>
            </w:rPr>
            <w:t>3</w:t>
          </w:r>
          <w:r>
            <w:rPr>
              <w:noProof/>
              <w:lang w:val="en-US"/>
            </w:rPr>
            <w:t>)</w:t>
          </w:r>
          <w:r w:rsidR="000C58E7">
            <w:rPr>
              <w:noProof/>
              <w:lang w:val="en-US"/>
            </w:rPr>
            <w:t xml:space="preserve"> </w:t>
          </w:r>
          <w:r>
            <w:rPr>
              <w:noProof/>
              <w:lang w:val="en-US"/>
            </w:rPr>
            <w:t xml:space="preserve">Teachers’ professional learning when building a research-based education: context-specific, collaborative and teacher-driven professional development. </w:t>
          </w:r>
          <w:r>
            <w:rPr>
              <w:i/>
              <w:iCs/>
              <w:noProof/>
              <w:lang w:val="en-US"/>
            </w:rPr>
            <w:t>Professional Development in Education</w:t>
          </w:r>
          <w:r>
            <w:rPr>
              <w:noProof/>
              <w:lang w:val="en-US"/>
            </w:rPr>
            <w:t>.</w:t>
          </w:r>
          <w:r w:rsidR="000C58E7">
            <w:rPr>
              <w:noProof/>
              <w:lang w:val="en-US"/>
            </w:rPr>
            <w:t xml:space="preserve"> </w:t>
          </w:r>
          <w:r w:rsidR="000C58E7" w:rsidRPr="000C58E7">
            <w:rPr>
              <w:noProof/>
            </w:rPr>
            <w:t>49</w:t>
          </w:r>
          <w:r w:rsidR="000C58E7">
            <w:rPr>
              <w:noProof/>
            </w:rPr>
            <w:t>(</w:t>
          </w:r>
          <w:r w:rsidR="000C58E7" w:rsidRPr="000C58E7">
            <w:rPr>
              <w:noProof/>
            </w:rPr>
            <w:t>2</w:t>
          </w:r>
          <w:r w:rsidR="000C58E7">
            <w:rPr>
              <w:noProof/>
            </w:rPr>
            <w:t>)</w:t>
          </w:r>
          <w:r w:rsidR="000C58E7" w:rsidRPr="000C58E7">
            <w:rPr>
              <w:noProof/>
            </w:rPr>
            <w:t>, </w:t>
          </w:r>
          <w:r w:rsidR="000C58E7">
            <w:rPr>
              <w:noProof/>
            </w:rPr>
            <w:t xml:space="preserve">pp </w:t>
          </w:r>
          <w:r w:rsidR="000C58E7" w:rsidRPr="000C58E7">
            <w:rPr>
              <w:noProof/>
            </w:rPr>
            <w:t>210-224</w:t>
          </w:r>
          <w:r w:rsidR="000C58E7">
            <w:rPr>
              <w:noProof/>
            </w:rPr>
            <w:t xml:space="preserve">. </w:t>
          </w:r>
          <w:r w:rsidR="000C58E7" w:rsidRPr="000C58E7">
            <w:rPr>
              <w:noProof/>
            </w:rPr>
            <w:t> </w:t>
          </w:r>
          <w:r w:rsidR="000C58E7">
            <w:rPr>
              <w:noProof/>
              <w:lang w:val="en-US"/>
            </w:rPr>
            <w:t xml:space="preserve"> </w:t>
          </w:r>
        </w:p>
        <w:p w14:paraId="15ACAC23" w14:textId="51FCE321" w:rsidR="00AF556D" w:rsidRDefault="00AF556D" w:rsidP="00AF556D">
          <w:pPr>
            <w:pStyle w:val="Bibliography"/>
            <w:ind w:left="720" w:hanging="720"/>
            <w:rPr>
              <w:noProof/>
              <w:lang w:val="en-US"/>
            </w:rPr>
          </w:pPr>
          <w:r>
            <w:rPr>
              <w:noProof/>
              <w:lang w:val="en-US"/>
            </w:rPr>
            <w:t xml:space="preserve">Brookfield, S. (1987) </w:t>
          </w:r>
          <w:r>
            <w:rPr>
              <w:i/>
              <w:iCs/>
              <w:noProof/>
              <w:lang w:val="en-US"/>
            </w:rPr>
            <w:t>Developing Critical Thinkers: Challenging Adults to Explore Alternative ways of Thinking and Acting.</w:t>
          </w:r>
          <w:r>
            <w:rPr>
              <w:noProof/>
              <w:lang w:val="en-US"/>
            </w:rPr>
            <w:t xml:space="preserve"> Buckingham: Open University Press.</w:t>
          </w:r>
        </w:p>
        <w:p w14:paraId="1C5489D7" w14:textId="6FC69F3D" w:rsidR="00AF556D" w:rsidRDefault="00AF556D" w:rsidP="00AF556D">
          <w:pPr>
            <w:pStyle w:val="Bibliography"/>
            <w:ind w:left="720" w:hanging="720"/>
            <w:rPr>
              <w:noProof/>
              <w:lang w:val="en-US"/>
            </w:rPr>
          </w:pPr>
          <w:r>
            <w:rPr>
              <w:noProof/>
              <w:lang w:val="en-US"/>
            </w:rPr>
            <w:t>Brooks, R., Riele, K.</w:t>
          </w:r>
          <w:r w:rsidR="00566BD5">
            <w:rPr>
              <w:noProof/>
              <w:lang w:val="en-US"/>
            </w:rPr>
            <w:t xml:space="preserve"> </w:t>
          </w:r>
          <w:r w:rsidR="000C58E7">
            <w:rPr>
              <w:noProof/>
              <w:lang w:val="en-US"/>
            </w:rPr>
            <w:t>and</w:t>
          </w:r>
          <w:r>
            <w:rPr>
              <w:noProof/>
              <w:lang w:val="en-US"/>
            </w:rPr>
            <w:t xml:space="preserve"> Maguire, M. (2016) </w:t>
          </w:r>
          <w:r>
            <w:rPr>
              <w:i/>
              <w:iCs/>
              <w:noProof/>
              <w:lang w:val="en-US"/>
            </w:rPr>
            <w:t>Ethics and Education Research.</w:t>
          </w:r>
          <w:r>
            <w:rPr>
              <w:noProof/>
              <w:lang w:val="en-US"/>
            </w:rPr>
            <w:t xml:space="preserve"> London: S</w:t>
          </w:r>
          <w:r w:rsidR="000A3BA4">
            <w:rPr>
              <w:noProof/>
              <w:lang w:val="en-US"/>
            </w:rPr>
            <w:t>age</w:t>
          </w:r>
          <w:r>
            <w:rPr>
              <w:noProof/>
              <w:lang w:val="en-US"/>
            </w:rPr>
            <w:t>.</w:t>
          </w:r>
        </w:p>
        <w:p w14:paraId="7238CFC0" w14:textId="64E292AF" w:rsidR="00AF556D" w:rsidRDefault="00AF556D" w:rsidP="00AF556D">
          <w:pPr>
            <w:pStyle w:val="Bibliography"/>
            <w:ind w:left="720" w:hanging="720"/>
            <w:rPr>
              <w:noProof/>
              <w:lang w:val="en-US"/>
            </w:rPr>
          </w:pPr>
          <w:r>
            <w:rPr>
              <w:noProof/>
              <w:lang w:val="en-US"/>
            </w:rPr>
            <w:t>Buckler, S.</w:t>
          </w:r>
          <w:r w:rsidR="00566BD5">
            <w:rPr>
              <w:noProof/>
              <w:lang w:val="en-US"/>
            </w:rPr>
            <w:t xml:space="preserve"> </w:t>
          </w:r>
          <w:r w:rsidR="000C58E7">
            <w:rPr>
              <w:noProof/>
              <w:lang w:val="en-US"/>
            </w:rPr>
            <w:t>and</w:t>
          </w:r>
          <w:r>
            <w:rPr>
              <w:noProof/>
              <w:lang w:val="en-US"/>
            </w:rPr>
            <w:t xml:space="preserve"> Moore, H. (2023) </w:t>
          </w:r>
          <w:r>
            <w:rPr>
              <w:i/>
              <w:iCs/>
              <w:noProof/>
              <w:lang w:val="en-US"/>
            </w:rPr>
            <w:t>Essentials of research methods in education.</w:t>
          </w:r>
          <w:r>
            <w:rPr>
              <w:noProof/>
              <w:lang w:val="en-US"/>
            </w:rPr>
            <w:t xml:space="preserve"> London: S</w:t>
          </w:r>
          <w:r w:rsidR="000A3BA4">
            <w:rPr>
              <w:noProof/>
              <w:lang w:val="en-US"/>
            </w:rPr>
            <w:t>age</w:t>
          </w:r>
          <w:r>
            <w:rPr>
              <w:noProof/>
              <w:lang w:val="en-US"/>
            </w:rPr>
            <w:t>.</w:t>
          </w:r>
        </w:p>
        <w:p w14:paraId="0886E001" w14:textId="25181D5D" w:rsidR="00AF556D" w:rsidRDefault="00AF556D" w:rsidP="00AF556D">
          <w:pPr>
            <w:pStyle w:val="Bibliography"/>
            <w:ind w:left="720" w:hanging="720"/>
            <w:rPr>
              <w:noProof/>
              <w:lang w:val="en-US"/>
            </w:rPr>
          </w:pPr>
          <w:r>
            <w:rPr>
              <w:noProof/>
              <w:lang w:val="en-US"/>
            </w:rPr>
            <w:t>Carrier, N. (201</w:t>
          </w:r>
          <w:r w:rsidR="00566BD5">
            <w:rPr>
              <w:noProof/>
              <w:lang w:val="en-US"/>
            </w:rPr>
            <w:t>7</w:t>
          </w:r>
          <w:r>
            <w:rPr>
              <w:noProof/>
              <w:lang w:val="en-US"/>
            </w:rPr>
            <w:t>) How educational ideas catch on: the promotion of popular education innovations and the role of evidence</w:t>
          </w:r>
          <w:r w:rsidR="00566BD5">
            <w:rPr>
              <w:noProof/>
              <w:lang w:val="en-US"/>
            </w:rPr>
            <w:t xml:space="preserve">. </w:t>
          </w:r>
          <w:r w:rsidR="00566BD5">
            <w:rPr>
              <w:i/>
              <w:iCs/>
              <w:noProof/>
              <w:lang w:val="en-US"/>
            </w:rPr>
            <w:t>Educational Research</w:t>
          </w:r>
          <w:r w:rsidR="00566BD5">
            <w:rPr>
              <w:noProof/>
              <w:lang w:val="en-US"/>
            </w:rPr>
            <w:t xml:space="preserve"> </w:t>
          </w:r>
          <w:r w:rsidRPr="00566BD5">
            <w:rPr>
              <w:noProof/>
              <w:lang w:val="en-US"/>
            </w:rPr>
            <w:t>59</w:t>
          </w:r>
          <w:r w:rsidR="00566BD5" w:rsidRPr="00566BD5">
            <w:rPr>
              <w:noProof/>
              <w:lang w:val="en-US"/>
            </w:rPr>
            <w:t>(2)</w:t>
          </w:r>
          <w:r w:rsidRPr="00566BD5">
            <w:rPr>
              <w:noProof/>
              <w:lang w:val="en-US"/>
            </w:rPr>
            <w:t>,</w:t>
          </w:r>
          <w:r>
            <w:rPr>
              <w:noProof/>
              <w:lang w:val="en-US"/>
            </w:rPr>
            <w:t xml:space="preserve"> </w:t>
          </w:r>
          <w:r w:rsidR="00457EDB">
            <w:rPr>
              <w:noProof/>
              <w:lang w:val="en-US"/>
            </w:rPr>
            <w:t>pp</w:t>
          </w:r>
          <w:r>
            <w:rPr>
              <w:noProof/>
              <w:lang w:val="en-US"/>
            </w:rPr>
            <w:t>228</w:t>
          </w:r>
          <w:r w:rsidR="00457EDB">
            <w:rPr>
              <w:noProof/>
              <w:lang w:val="en-US"/>
            </w:rPr>
            <w:t>-</w:t>
          </w:r>
          <w:r>
            <w:rPr>
              <w:noProof/>
              <w:lang w:val="en-US"/>
            </w:rPr>
            <w:t xml:space="preserve">240. </w:t>
          </w:r>
          <w:r w:rsidR="00566BD5" w:rsidRPr="00566BD5">
            <w:rPr>
              <w:noProof/>
            </w:rPr>
            <w:t>DOI: </w:t>
          </w:r>
          <w:hyperlink r:id="rId9" w:history="1">
            <w:r w:rsidR="00566BD5" w:rsidRPr="00566BD5">
              <w:rPr>
                <w:rStyle w:val="Hyperlink"/>
                <w:noProof/>
              </w:rPr>
              <w:t>10.1080/00131881.2017.1310418</w:t>
            </w:r>
          </w:hyperlink>
        </w:p>
        <w:p w14:paraId="394C4587" w14:textId="4EB6C379" w:rsidR="00AF556D" w:rsidRDefault="00AF556D" w:rsidP="00AF556D">
          <w:pPr>
            <w:pStyle w:val="Bibliography"/>
            <w:ind w:left="720" w:hanging="720"/>
            <w:rPr>
              <w:noProof/>
              <w:lang w:val="en-US"/>
            </w:rPr>
          </w:pPr>
          <w:r>
            <w:rPr>
              <w:noProof/>
              <w:lang w:val="en-US"/>
            </w:rPr>
            <w:t>Central South Consortia (2023)</w:t>
          </w:r>
          <w:r w:rsidR="00566BD5">
            <w:rPr>
              <w:noProof/>
              <w:lang w:val="en-US"/>
            </w:rPr>
            <w:t xml:space="preserve"> </w:t>
          </w:r>
          <w:r>
            <w:rPr>
              <w:i/>
              <w:iCs/>
              <w:noProof/>
              <w:lang w:val="en-US"/>
            </w:rPr>
            <w:t>Professional Learning Funding 2022-23 : Guidance for schools on how to use the funding.</w:t>
          </w:r>
          <w:r>
            <w:rPr>
              <w:noProof/>
              <w:lang w:val="en-US"/>
            </w:rPr>
            <w:t xml:space="preserve"> Cardiff: Central South Consortia.</w:t>
          </w:r>
        </w:p>
        <w:p w14:paraId="3E142A9A" w14:textId="582794A4" w:rsidR="00AF556D" w:rsidRDefault="00AF556D" w:rsidP="00AF556D">
          <w:pPr>
            <w:pStyle w:val="Bibliography"/>
            <w:ind w:left="720" w:hanging="720"/>
            <w:rPr>
              <w:noProof/>
              <w:lang w:val="en-US"/>
            </w:rPr>
          </w:pPr>
          <w:r>
            <w:rPr>
              <w:noProof/>
              <w:lang w:val="en-US"/>
            </w:rPr>
            <w:t>Clarke, D.</w:t>
          </w:r>
          <w:r w:rsidR="00566BD5">
            <w:rPr>
              <w:noProof/>
              <w:lang w:val="en-US"/>
            </w:rPr>
            <w:t xml:space="preserve"> and</w:t>
          </w:r>
          <w:r>
            <w:rPr>
              <w:noProof/>
              <w:lang w:val="en-US"/>
            </w:rPr>
            <w:t xml:space="preserve"> Hollingsworth, H. (2002) Elaborating a model of teacher professional growth. </w:t>
          </w:r>
          <w:r>
            <w:rPr>
              <w:i/>
              <w:iCs/>
              <w:noProof/>
              <w:lang w:val="en-US"/>
            </w:rPr>
            <w:t>Teaching and Teacher Education</w:t>
          </w:r>
          <w:r>
            <w:rPr>
              <w:noProof/>
              <w:lang w:val="en-US"/>
            </w:rPr>
            <w:t>, 947-967.</w:t>
          </w:r>
          <w:r w:rsidR="00386597">
            <w:rPr>
              <w:noProof/>
              <w:lang w:val="en-US"/>
            </w:rPr>
            <w:t xml:space="preserve"> Available at: </w:t>
          </w:r>
          <w:r>
            <w:rPr>
              <w:noProof/>
              <w:lang w:val="en-US"/>
            </w:rPr>
            <w:t xml:space="preserve"> </w:t>
          </w:r>
          <w:hyperlink r:id="rId10" w:history="1">
            <w:r w:rsidR="00566BD5" w:rsidRPr="00721626">
              <w:rPr>
                <w:rStyle w:val="Hyperlink"/>
                <w:noProof/>
                <w:lang w:val="en-US"/>
              </w:rPr>
              <w:t>file:///C:/Users/nhage/Downloads/Elaborating_a_model_of_teacher_professional_growth.pdf</w:t>
            </w:r>
          </w:hyperlink>
          <w:r w:rsidR="00566BD5">
            <w:rPr>
              <w:noProof/>
              <w:lang w:val="en-US"/>
            </w:rPr>
            <w:t xml:space="preserve"> </w:t>
          </w:r>
          <w:r>
            <w:rPr>
              <w:noProof/>
              <w:lang w:val="en-US"/>
            </w:rPr>
            <w:t xml:space="preserve"> </w:t>
          </w:r>
          <w:r w:rsidR="00386597">
            <w:rPr>
              <w:noProof/>
              <w:lang w:val="en-US"/>
            </w:rPr>
            <w:t>(</w:t>
          </w:r>
          <w:r w:rsidR="00386597">
            <w:rPr>
              <w:noProof/>
            </w:rPr>
            <w:t>A</w:t>
          </w:r>
          <w:r w:rsidR="00386597" w:rsidRPr="000C58E7">
            <w:rPr>
              <w:noProof/>
            </w:rPr>
            <w:t>ccessed</w:t>
          </w:r>
          <w:r w:rsidR="00386597">
            <w:rPr>
              <w:noProof/>
            </w:rPr>
            <w:t>:</w:t>
          </w:r>
          <w:r w:rsidR="00386597" w:rsidRPr="000C58E7">
            <w:rPr>
              <w:noProof/>
            </w:rPr>
            <w:t xml:space="preserve"> </w:t>
          </w:r>
          <w:r w:rsidR="00386597">
            <w:rPr>
              <w:noProof/>
            </w:rPr>
            <w:t>3/4/2022</w:t>
          </w:r>
          <w:r w:rsidR="00386597" w:rsidRPr="000C58E7">
            <w:rPr>
              <w:noProof/>
            </w:rPr>
            <w:t>)</w:t>
          </w:r>
        </w:p>
        <w:p w14:paraId="4490346E" w14:textId="2C65FD5E" w:rsidR="00AF556D" w:rsidRDefault="00AF556D" w:rsidP="00AF556D">
          <w:pPr>
            <w:pStyle w:val="Bibliography"/>
            <w:ind w:left="720" w:hanging="720"/>
            <w:rPr>
              <w:noProof/>
              <w:lang w:val="en-US"/>
            </w:rPr>
          </w:pPr>
          <w:r>
            <w:rPr>
              <w:noProof/>
              <w:lang w:val="en-US"/>
            </w:rPr>
            <w:t>Coe, R. (2018)</w:t>
          </w:r>
          <w:r w:rsidR="00566BD5">
            <w:rPr>
              <w:noProof/>
              <w:lang w:val="en-US"/>
            </w:rPr>
            <w:t xml:space="preserve"> </w:t>
          </w:r>
          <w:r>
            <w:rPr>
              <w:noProof/>
              <w:lang w:val="en-US"/>
            </w:rPr>
            <w:t xml:space="preserve"> </w:t>
          </w:r>
          <w:r>
            <w:rPr>
              <w:i/>
              <w:iCs/>
              <w:noProof/>
              <w:lang w:val="en-US"/>
            </w:rPr>
            <w:t>Serious critiques of meta-analysis and effect size: researchED</w:t>
          </w:r>
          <w:r w:rsidR="00566BD5">
            <w:rPr>
              <w:i/>
              <w:iCs/>
              <w:noProof/>
              <w:lang w:val="en-US"/>
            </w:rPr>
            <w:t xml:space="preserve"> 2018</w:t>
          </w:r>
          <w:r>
            <w:rPr>
              <w:i/>
              <w:iCs/>
              <w:noProof/>
              <w:lang w:val="en-US"/>
            </w:rPr>
            <w:t>.</w:t>
          </w:r>
          <w:r>
            <w:rPr>
              <w:noProof/>
              <w:lang w:val="en-US"/>
            </w:rPr>
            <w:t xml:space="preserve"> Cambridge University Press &amp; Assessment</w:t>
          </w:r>
          <w:r w:rsidR="00566BD5">
            <w:rPr>
              <w:noProof/>
              <w:lang w:val="en-US"/>
            </w:rPr>
            <w:t xml:space="preserve">.  </w:t>
          </w:r>
          <w:r w:rsidR="00386597">
            <w:rPr>
              <w:noProof/>
              <w:lang w:val="en-US"/>
            </w:rPr>
            <w:t>Available from:</w:t>
          </w:r>
          <w:r w:rsidR="00566BD5">
            <w:rPr>
              <w:noProof/>
              <w:lang w:val="en-US"/>
            </w:rPr>
            <w:t xml:space="preserve"> </w:t>
          </w:r>
          <w:hyperlink r:id="rId11" w:history="1">
            <w:r w:rsidR="00566BD5" w:rsidRPr="00721626">
              <w:rPr>
                <w:rStyle w:val="Hyperlink"/>
                <w:noProof/>
                <w:lang w:val="en-US"/>
              </w:rPr>
              <w:t>https://www.cem.org/blog/serious-critiques-of-meta-analysis-and-effect-size-researched-2018</w:t>
            </w:r>
          </w:hyperlink>
          <w:r w:rsidR="00566BD5">
            <w:rPr>
              <w:noProof/>
              <w:lang w:val="en-US"/>
            </w:rPr>
            <w:t xml:space="preserve"> </w:t>
          </w:r>
          <w:r w:rsidR="00386597">
            <w:rPr>
              <w:noProof/>
              <w:lang w:val="en-US"/>
            </w:rPr>
            <w:t>(</w:t>
          </w:r>
          <w:r w:rsidR="00386597">
            <w:rPr>
              <w:noProof/>
            </w:rPr>
            <w:t>A</w:t>
          </w:r>
          <w:r w:rsidR="00386597" w:rsidRPr="000C58E7">
            <w:rPr>
              <w:noProof/>
            </w:rPr>
            <w:t>ccessed</w:t>
          </w:r>
          <w:r w:rsidR="00386597">
            <w:rPr>
              <w:noProof/>
            </w:rPr>
            <w:t>:</w:t>
          </w:r>
          <w:r w:rsidR="00386597" w:rsidRPr="000C58E7">
            <w:rPr>
              <w:noProof/>
            </w:rPr>
            <w:t xml:space="preserve"> </w:t>
          </w:r>
          <w:r w:rsidR="007D591C">
            <w:rPr>
              <w:noProof/>
            </w:rPr>
            <w:t>10/8/</w:t>
          </w:r>
          <w:r w:rsidR="00386597">
            <w:rPr>
              <w:noProof/>
            </w:rPr>
            <w:t>2022</w:t>
          </w:r>
          <w:r w:rsidR="00386597" w:rsidRPr="000C58E7">
            <w:rPr>
              <w:noProof/>
            </w:rPr>
            <w:t>)</w:t>
          </w:r>
        </w:p>
        <w:p w14:paraId="6B3845C9" w14:textId="7E6F6DBB" w:rsidR="00AF556D" w:rsidRDefault="00AF556D" w:rsidP="00AF556D">
          <w:pPr>
            <w:pStyle w:val="Bibliography"/>
            <w:ind w:left="720" w:hanging="720"/>
            <w:rPr>
              <w:noProof/>
              <w:lang w:val="en-US"/>
            </w:rPr>
          </w:pPr>
          <w:r>
            <w:rPr>
              <w:noProof/>
              <w:lang w:val="en-US"/>
            </w:rPr>
            <w:t>Coe, R., Rauch, C. J., Kime, S.</w:t>
          </w:r>
          <w:r w:rsidR="00566BD5">
            <w:rPr>
              <w:noProof/>
              <w:lang w:val="en-US"/>
            </w:rPr>
            <w:t xml:space="preserve"> and</w:t>
          </w:r>
          <w:r>
            <w:rPr>
              <w:noProof/>
              <w:lang w:val="en-US"/>
            </w:rPr>
            <w:t xml:space="preserve"> Singleton, D. (2020)</w:t>
          </w:r>
          <w:r w:rsidR="00566BD5">
            <w:rPr>
              <w:noProof/>
              <w:lang w:val="en-US"/>
            </w:rPr>
            <w:t xml:space="preserve"> </w:t>
          </w:r>
          <w:r>
            <w:rPr>
              <w:noProof/>
              <w:lang w:val="en-US"/>
            </w:rPr>
            <w:t xml:space="preserve"> </w:t>
          </w:r>
          <w:r>
            <w:rPr>
              <w:i/>
              <w:iCs/>
              <w:noProof/>
              <w:lang w:val="en-US"/>
            </w:rPr>
            <w:t>Great Teaching Toolkit: Evidence Review..</w:t>
          </w:r>
          <w:r>
            <w:rPr>
              <w:noProof/>
              <w:lang w:val="en-US"/>
            </w:rPr>
            <w:t xml:space="preserve"> Evidence Based Education.</w:t>
          </w:r>
        </w:p>
        <w:p w14:paraId="68DA2A73" w14:textId="13D18FC7" w:rsidR="00AF556D" w:rsidRDefault="00AF556D" w:rsidP="00AF556D">
          <w:pPr>
            <w:pStyle w:val="Bibliography"/>
            <w:ind w:left="720" w:hanging="720"/>
            <w:rPr>
              <w:noProof/>
              <w:lang w:val="en-US"/>
            </w:rPr>
          </w:pPr>
          <w:r>
            <w:rPr>
              <w:noProof/>
              <w:lang w:val="en-US"/>
            </w:rPr>
            <w:t xml:space="preserve">Cohen, L. M. (2018) </w:t>
          </w:r>
          <w:r>
            <w:rPr>
              <w:i/>
              <w:iCs/>
              <w:noProof/>
              <w:lang w:val="en-US"/>
            </w:rPr>
            <w:t>Research Methods in Education.</w:t>
          </w:r>
          <w:r>
            <w:rPr>
              <w:noProof/>
              <w:lang w:val="en-US"/>
            </w:rPr>
            <w:t xml:space="preserve"> Abingdon: Routledge.</w:t>
          </w:r>
        </w:p>
        <w:p w14:paraId="149B767D" w14:textId="7CB8F69C" w:rsidR="00AF556D" w:rsidRDefault="00AF556D" w:rsidP="00AF556D">
          <w:pPr>
            <w:pStyle w:val="Bibliography"/>
            <w:ind w:left="720" w:hanging="720"/>
            <w:rPr>
              <w:noProof/>
              <w:lang w:val="en-US"/>
            </w:rPr>
          </w:pPr>
          <w:r>
            <w:rPr>
              <w:noProof/>
              <w:lang w:val="en-US"/>
            </w:rPr>
            <w:t>Colwell, J.</w:t>
          </w:r>
          <w:r w:rsidR="00566BD5">
            <w:rPr>
              <w:noProof/>
              <w:lang w:val="en-US"/>
            </w:rPr>
            <w:t xml:space="preserve"> and </w:t>
          </w:r>
          <w:r>
            <w:rPr>
              <w:noProof/>
              <w:lang w:val="en-US"/>
            </w:rPr>
            <w:t>Hutchinson, A. (2017)</w:t>
          </w:r>
          <w:r w:rsidR="00566BD5">
            <w:rPr>
              <w:noProof/>
              <w:lang w:val="en-US"/>
            </w:rPr>
            <w:t xml:space="preserve"> </w:t>
          </w:r>
          <w:r>
            <w:rPr>
              <w:noProof/>
              <w:lang w:val="en-US"/>
            </w:rPr>
            <w:t xml:space="preserve">Considering a Twitter-Based Professional Learning Network in Literacy Education. </w:t>
          </w:r>
          <w:r>
            <w:rPr>
              <w:i/>
              <w:iCs/>
              <w:noProof/>
              <w:lang w:val="en-US"/>
            </w:rPr>
            <w:t>Literacy Research and Instruction</w:t>
          </w:r>
          <w:r>
            <w:rPr>
              <w:noProof/>
              <w:lang w:val="en-US"/>
            </w:rPr>
            <w:t xml:space="preserve">, </w:t>
          </w:r>
          <w:r w:rsidR="00566BD5">
            <w:rPr>
              <w:noProof/>
              <w:lang w:val="en-US"/>
            </w:rPr>
            <w:t>pp</w:t>
          </w:r>
          <w:r>
            <w:rPr>
              <w:noProof/>
              <w:lang w:val="en-US"/>
            </w:rPr>
            <w:t>5-25.</w:t>
          </w:r>
        </w:p>
        <w:p w14:paraId="2B1D64CA" w14:textId="6F9F511A" w:rsidR="00AF556D" w:rsidRDefault="00AF556D" w:rsidP="00AF556D">
          <w:pPr>
            <w:pStyle w:val="Bibliography"/>
            <w:ind w:left="720" w:hanging="720"/>
            <w:rPr>
              <w:noProof/>
              <w:lang w:val="en-US"/>
            </w:rPr>
          </w:pPr>
          <w:r>
            <w:rPr>
              <w:noProof/>
              <w:lang w:val="en-US"/>
            </w:rPr>
            <w:t xml:space="preserve">Corcoran, T. (1995) </w:t>
          </w:r>
          <w:r>
            <w:rPr>
              <w:i/>
              <w:iCs/>
              <w:noProof/>
              <w:lang w:val="en-US"/>
            </w:rPr>
            <w:t>Transforming professional development for teachers: A guide for state policy makers.</w:t>
          </w:r>
          <w:r>
            <w:rPr>
              <w:noProof/>
              <w:lang w:val="en-US"/>
            </w:rPr>
            <w:t xml:space="preserve"> </w:t>
          </w:r>
          <w:r w:rsidR="00566BD5">
            <w:rPr>
              <w:noProof/>
              <w:lang w:val="en-US"/>
            </w:rPr>
            <w:t xml:space="preserve">Washington: </w:t>
          </w:r>
          <w:r>
            <w:rPr>
              <w:noProof/>
              <w:lang w:val="en-US"/>
            </w:rPr>
            <w:t>National Governors Association</w:t>
          </w:r>
          <w:r w:rsidR="00566BD5">
            <w:rPr>
              <w:noProof/>
              <w:lang w:val="en-US"/>
            </w:rPr>
            <w:t>.</w:t>
          </w:r>
        </w:p>
        <w:p w14:paraId="21B068E2" w14:textId="66AEB096" w:rsidR="00AF556D" w:rsidRDefault="00AF556D" w:rsidP="00AF556D">
          <w:pPr>
            <w:pStyle w:val="Bibliography"/>
            <w:ind w:left="720" w:hanging="720"/>
            <w:rPr>
              <w:noProof/>
              <w:lang w:val="en-US"/>
            </w:rPr>
          </w:pPr>
          <w:r>
            <w:rPr>
              <w:noProof/>
              <w:lang w:val="en-US"/>
            </w:rPr>
            <w:t>Cordingley, P.</w:t>
          </w:r>
          <w:r w:rsidR="00566BD5">
            <w:rPr>
              <w:noProof/>
              <w:lang w:val="en-US"/>
            </w:rPr>
            <w:t>,</w:t>
          </w:r>
          <w:r>
            <w:rPr>
              <w:noProof/>
              <w:lang w:val="en-US"/>
            </w:rPr>
            <w:t xml:space="preserve"> Higgins, S.</w:t>
          </w:r>
          <w:r w:rsidR="00566BD5">
            <w:rPr>
              <w:noProof/>
              <w:lang w:val="en-US"/>
            </w:rPr>
            <w:t>,</w:t>
          </w:r>
          <w:r>
            <w:rPr>
              <w:noProof/>
              <w:lang w:val="en-US"/>
            </w:rPr>
            <w:t xml:space="preserve"> Greany, T.</w:t>
          </w:r>
          <w:r w:rsidR="00566BD5">
            <w:rPr>
              <w:noProof/>
              <w:lang w:val="en-US"/>
            </w:rPr>
            <w:t>,</w:t>
          </w:r>
          <w:r>
            <w:rPr>
              <w:noProof/>
              <w:lang w:val="en-US"/>
            </w:rPr>
            <w:t xml:space="preserve"> Buckler, N. Coles-Jordan, D.</w:t>
          </w:r>
          <w:r w:rsidR="00566BD5">
            <w:rPr>
              <w:noProof/>
              <w:lang w:val="en-US"/>
            </w:rPr>
            <w:t>,</w:t>
          </w:r>
          <w:r>
            <w:rPr>
              <w:noProof/>
              <w:lang w:val="en-US"/>
            </w:rPr>
            <w:t xml:space="preserve"> Crisp, B.</w:t>
          </w:r>
          <w:r w:rsidR="00566BD5">
            <w:rPr>
              <w:noProof/>
              <w:lang w:val="en-US"/>
            </w:rPr>
            <w:t>,</w:t>
          </w:r>
          <w:r>
            <w:rPr>
              <w:noProof/>
              <w:lang w:val="en-US"/>
            </w:rPr>
            <w:t xml:space="preserve"> Saunders, L.</w:t>
          </w:r>
          <w:r w:rsidR="00566BD5">
            <w:rPr>
              <w:noProof/>
              <w:lang w:val="en-US"/>
            </w:rPr>
            <w:t xml:space="preserve"> and</w:t>
          </w:r>
          <w:r>
            <w:rPr>
              <w:noProof/>
              <w:lang w:val="en-US"/>
            </w:rPr>
            <w:t xml:space="preserve"> Coe, R. (2015)</w:t>
          </w:r>
          <w:r w:rsidR="00566BD5">
            <w:rPr>
              <w:noProof/>
              <w:lang w:val="en-US"/>
            </w:rPr>
            <w:t xml:space="preserve"> </w:t>
          </w:r>
          <w:r>
            <w:rPr>
              <w:i/>
              <w:iCs/>
              <w:noProof/>
              <w:lang w:val="en-US"/>
            </w:rPr>
            <w:t xml:space="preserve">Developing great teaching: Lessons from the international reviews into effective professional development. </w:t>
          </w:r>
          <w:r>
            <w:rPr>
              <w:noProof/>
              <w:lang w:val="en-US"/>
            </w:rPr>
            <w:t xml:space="preserve"> Teacher development trust.</w:t>
          </w:r>
        </w:p>
        <w:p w14:paraId="07B4753B" w14:textId="266288B4" w:rsidR="00AF556D" w:rsidRDefault="00AF556D" w:rsidP="00AF556D">
          <w:pPr>
            <w:pStyle w:val="Bibliography"/>
            <w:ind w:left="720" w:hanging="720"/>
            <w:rPr>
              <w:noProof/>
              <w:lang w:val="en-US"/>
            </w:rPr>
          </w:pPr>
          <w:r>
            <w:rPr>
              <w:noProof/>
              <w:lang w:val="en-US"/>
            </w:rPr>
            <w:t>Creswell, J. (2014)</w:t>
          </w:r>
          <w:r w:rsidR="000A3BA4">
            <w:rPr>
              <w:noProof/>
              <w:lang w:val="en-US"/>
            </w:rPr>
            <w:t xml:space="preserve"> </w:t>
          </w:r>
          <w:r w:rsidRPr="000A3BA4">
            <w:rPr>
              <w:i/>
              <w:iCs/>
              <w:noProof/>
              <w:lang w:val="en-US"/>
            </w:rPr>
            <w:t>Research design: qualitative, quantitative, and mixed methods approaches.</w:t>
          </w:r>
          <w:r>
            <w:rPr>
              <w:noProof/>
              <w:lang w:val="en-US"/>
            </w:rPr>
            <w:t xml:space="preserve"> Thousand Oaks, California: Sage.</w:t>
          </w:r>
        </w:p>
        <w:p w14:paraId="310204B8" w14:textId="07CA1638" w:rsidR="00AF556D" w:rsidRDefault="00AF556D" w:rsidP="00AF556D">
          <w:pPr>
            <w:pStyle w:val="Bibliography"/>
            <w:ind w:left="720" w:hanging="720"/>
            <w:rPr>
              <w:noProof/>
              <w:lang w:val="en-US"/>
            </w:rPr>
          </w:pPr>
          <w:r>
            <w:rPr>
              <w:noProof/>
              <w:lang w:val="en-US"/>
            </w:rPr>
            <w:lastRenderedPageBreak/>
            <w:t>Creswell, J. W. (2011)</w:t>
          </w:r>
          <w:r w:rsidR="000A3BA4">
            <w:rPr>
              <w:noProof/>
              <w:lang w:val="en-US"/>
            </w:rPr>
            <w:t xml:space="preserve"> </w:t>
          </w:r>
          <w:r>
            <w:rPr>
              <w:i/>
              <w:iCs/>
              <w:noProof/>
              <w:lang w:val="en-US"/>
            </w:rPr>
            <w:t>Designing and conducting Mixed Methods Research. 2nd edn.</w:t>
          </w:r>
          <w:r>
            <w:rPr>
              <w:noProof/>
              <w:lang w:val="en-US"/>
            </w:rPr>
            <w:t xml:space="preserve"> Thousand Oaks, California</w:t>
          </w:r>
          <w:r w:rsidR="000A3BA4">
            <w:rPr>
              <w:noProof/>
              <w:lang w:val="en-US"/>
            </w:rPr>
            <w:t>:</w:t>
          </w:r>
          <w:r>
            <w:rPr>
              <w:noProof/>
              <w:lang w:val="en-US"/>
            </w:rPr>
            <w:t xml:space="preserve"> Sage.</w:t>
          </w:r>
        </w:p>
        <w:p w14:paraId="357BC7BC" w14:textId="4E25B452" w:rsidR="00AF556D" w:rsidRDefault="00AF556D" w:rsidP="00AF556D">
          <w:pPr>
            <w:pStyle w:val="Bibliography"/>
            <w:ind w:left="720" w:hanging="720"/>
            <w:rPr>
              <w:noProof/>
              <w:lang w:val="en-US"/>
            </w:rPr>
          </w:pPr>
          <w:r>
            <w:rPr>
              <w:noProof/>
              <w:lang w:val="en-US"/>
            </w:rPr>
            <w:t>Crow, J.</w:t>
          </w:r>
          <w:r w:rsidR="000A3BA4">
            <w:rPr>
              <w:noProof/>
              <w:lang w:val="en-US"/>
            </w:rPr>
            <w:t xml:space="preserve"> and</w:t>
          </w:r>
          <w:r>
            <w:rPr>
              <w:noProof/>
              <w:lang w:val="en-US"/>
            </w:rPr>
            <w:t xml:space="preserve"> Smith, L. (2005)</w:t>
          </w:r>
          <w:r w:rsidR="000A3BA4">
            <w:rPr>
              <w:noProof/>
              <w:lang w:val="en-US"/>
            </w:rPr>
            <w:t xml:space="preserve"> </w:t>
          </w:r>
          <w:r>
            <w:rPr>
              <w:noProof/>
              <w:lang w:val="en-US"/>
            </w:rPr>
            <w:t xml:space="preserve">Co-teaching in higher education. </w:t>
          </w:r>
          <w:r>
            <w:rPr>
              <w:i/>
              <w:iCs/>
              <w:noProof/>
              <w:lang w:val="en-US"/>
            </w:rPr>
            <w:t>Reflective Practice, 6</w:t>
          </w:r>
          <w:r>
            <w:rPr>
              <w:noProof/>
              <w:lang w:val="en-US"/>
            </w:rPr>
            <w:t xml:space="preserve">(4), </w:t>
          </w:r>
          <w:r w:rsidR="000A3BA4">
            <w:rPr>
              <w:noProof/>
              <w:lang w:val="en-US"/>
            </w:rPr>
            <w:t>pp</w:t>
          </w:r>
          <w:r>
            <w:rPr>
              <w:noProof/>
              <w:lang w:val="en-US"/>
            </w:rPr>
            <w:t>491-506.</w:t>
          </w:r>
        </w:p>
        <w:p w14:paraId="68AA364F" w14:textId="2BB4A2D5" w:rsidR="00AF556D" w:rsidRDefault="00AF556D" w:rsidP="00AF556D">
          <w:pPr>
            <w:pStyle w:val="Bibliography"/>
            <w:ind w:left="720" w:hanging="720"/>
            <w:rPr>
              <w:noProof/>
              <w:lang w:val="en-US"/>
            </w:rPr>
          </w:pPr>
          <w:r>
            <w:rPr>
              <w:noProof/>
              <w:lang w:val="en-US"/>
            </w:rPr>
            <w:t xml:space="preserve">CSC: Central South Consortia (2023) </w:t>
          </w:r>
          <w:r>
            <w:rPr>
              <w:i/>
              <w:iCs/>
              <w:noProof/>
              <w:lang w:val="en-US"/>
            </w:rPr>
            <w:t>Central South Wales Challenge</w:t>
          </w:r>
          <w:r>
            <w:rPr>
              <w:noProof/>
              <w:lang w:val="en-US"/>
            </w:rPr>
            <w:t>. Retrieved from Central South Consorti</w:t>
          </w:r>
          <w:r w:rsidR="007D591C">
            <w:rPr>
              <w:noProof/>
              <w:lang w:val="en-US"/>
            </w:rPr>
            <w:t>a. Available at:</w:t>
          </w:r>
          <w:r>
            <w:rPr>
              <w:noProof/>
              <w:lang w:val="en-US"/>
            </w:rPr>
            <w:t xml:space="preserve"> </w:t>
          </w:r>
          <w:hyperlink r:id="rId12" w:history="1">
            <w:r w:rsidR="000A3BA4" w:rsidRPr="00721626">
              <w:rPr>
                <w:rStyle w:val="Hyperlink"/>
                <w:noProof/>
                <w:lang w:val="en-US"/>
              </w:rPr>
              <w:t>https://www.cscjes.org.uk/self-improving-system</w:t>
            </w:r>
          </w:hyperlink>
          <w:r w:rsidR="000A3BA4">
            <w:rPr>
              <w:noProof/>
              <w:lang w:val="en-US"/>
            </w:rPr>
            <w:t xml:space="preserve"> </w:t>
          </w:r>
          <w:r w:rsidR="007D591C">
            <w:rPr>
              <w:noProof/>
              <w:lang w:val="en-US"/>
            </w:rPr>
            <w:t>(Accessed 10/10/2023)</w:t>
          </w:r>
        </w:p>
        <w:p w14:paraId="64F26BAF" w14:textId="6D9717EC" w:rsidR="00AF556D" w:rsidRDefault="00AF556D" w:rsidP="00AF556D">
          <w:pPr>
            <w:pStyle w:val="Bibliography"/>
            <w:ind w:left="720" w:hanging="720"/>
            <w:rPr>
              <w:noProof/>
              <w:lang w:val="en-US"/>
            </w:rPr>
          </w:pPr>
          <w:r>
            <w:rPr>
              <w:noProof/>
              <w:lang w:val="en-US"/>
            </w:rPr>
            <w:t xml:space="preserve">CUREE: Centre for the use of research and evidence in education (2005) </w:t>
          </w:r>
          <w:r>
            <w:rPr>
              <w:i/>
              <w:iCs/>
              <w:noProof/>
              <w:lang w:val="en-US"/>
            </w:rPr>
            <w:t>National Framework for Mentoring and Coaching.</w:t>
          </w:r>
          <w:r w:rsidR="000A3BA4">
            <w:rPr>
              <w:noProof/>
              <w:lang w:val="en-US"/>
            </w:rPr>
            <w:t xml:space="preserve"> </w:t>
          </w:r>
        </w:p>
        <w:p w14:paraId="431A037F" w14:textId="6105A0EE" w:rsidR="00AF556D" w:rsidRDefault="000A3BA4" w:rsidP="00AF556D">
          <w:pPr>
            <w:pStyle w:val="Bibliography"/>
            <w:ind w:left="720" w:hanging="720"/>
            <w:rPr>
              <w:noProof/>
              <w:lang w:val="en-US"/>
            </w:rPr>
          </w:pPr>
          <w:r>
            <w:t>Darling-Hammond, L., Hyler, M. E., Gardner, M. (2017) Effective Teacher Professional Development. Palo Alto, CA: Learning Policy Institute.</w:t>
          </w:r>
        </w:p>
        <w:p w14:paraId="580500B1" w14:textId="31EE8A69" w:rsidR="00AF556D" w:rsidRDefault="00AF556D" w:rsidP="00AF556D">
          <w:pPr>
            <w:pStyle w:val="Bibliography"/>
            <w:ind w:left="720" w:hanging="720"/>
            <w:rPr>
              <w:noProof/>
              <w:lang w:val="en-US"/>
            </w:rPr>
          </w:pPr>
          <w:r>
            <w:rPr>
              <w:noProof/>
              <w:lang w:val="en-US"/>
            </w:rPr>
            <w:t xml:space="preserve">Daugherty, R. (2007) National Curriculum Assessment in Wales: Evidence-informed Policy? </w:t>
          </w:r>
          <w:r>
            <w:rPr>
              <w:i/>
              <w:iCs/>
              <w:noProof/>
              <w:lang w:val="en-US"/>
            </w:rPr>
            <w:t>The Welsh Journal of Education, 14</w:t>
          </w:r>
          <w:r>
            <w:rPr>
              <w:noProof/>
              <w:lang w:val="en-US"/>
            </w:rPr>
            <w:t xml:space="preserve">, </w:t>
          </w:r>
          <w:r w:rsidR="000A3BA4">
            <w:rPr>
              <w:noProof/>
              <w:lang w:val="en-US"/>
            </w:rPr>
            <w:t>pp</w:t>
          </w:r>
          <w:r>
            <w:rPr>
              <w:noProof/>
              <w:lang w:val="en-US"/>
            </w:rPr>
            <w:t>69-84.</w:t>
          </w:r>
        </w:p>
        <w:p w14:paraId="52F8732C" w14:textId="7610708C" w:rsidR="00AF556D" w:rsidRDefault="00AF556D" w:rsidP="00AF556D">
          <w:pPr>
            <w:pStyle w:val="Bibliography"/>
            <w:ind w:left="720" w:hanging="720"/>
            <w:rPr>
              <w:noProof/>
              <w:lang w:val="en-US"/>
            </w:rPr>
          </w:pPr>
          <w:r>
            <w:rPr>
              <w:noProof/>
              <w:lang w:val="en-US"/>
            </w:rPr>
            <w:t xml:space="preserve">Department for Education (2016) </w:t>
          </w:r>
          <w:r>
            <w:rPr>
              <w:i/>
              <w:iCs/>
              <w:noProof/>
              <w:lang w:val="en-US"/>
            </w:rPr>
            <w:t>Standards for teachers' professional development.</w:t>
          </w:r>
          <w:r>
            <w:rPr>
              <w:noProof/>
              <w:lang w:val="en-US"/>
            </w:rPr>
            <w:t xml:space="preserve"> London: Department of Education.</w:t>
          </w:r>
        </w:p>
        <w:p w14:paraId="206735E7" w14:textId="0415284A" w:rsidR="00AF556D" w:rsidRDefault="00AF556D" w:rsidP="00AF556D">
          <w:pPr>
            <w:pStyle w:val="Bibliography"/>
            <w:ind w:left="720" w:hanging="720"/>
            <w:rPr>
              <w:noProof/>
              <w:lang w:val="en-US"/>
            </w:rPr>
          </w:pPr>
          <w:r>
            <w:rPr>
              <w:noProof/>
              <w:lang w:val="en-US"/>
            </w:rPr>
            <w:t xml:space="preserve">Donaldson, G. (2015) </w:t>
          </w:r>
          <w:r>
            <w:rPr>
              <w:i/>
              <w:iCs/>
              <w:noProof/>
              <w:lang w:val="en-US"/>
            </w:rPr>
            <w:t>Successful futures: Independent review of curriculum and assessment arrangements in Wales.</w:t>
          </w:r>
          <w:r>
            <w:rPr>
              <w:noProof/>
              <w:lang w:val="en-US"/>
            </w:rPr>
            <w:t xml:space="preserve"> Cardiff, Wales: Crown</w:t>
          </w:r>
          <w:r w:rsidR="000A3BA4">
            <w:rPr>
              <w:noProof/>
              <w:lang w:val="en-US"/>
            </w:rPr>
            <w:t xml:space="preserve"> publishing. </w:t>
          </w:r>
        </w:p>
        <w:p w14:paraId="55DEF7D0" w14:textId="71A4B864" w:rsidR="00AF556D" w:rsidRDefault="00AF556D" w:rsidP="00AF556D">
          <w:pPr>
            <w:pStyle w:val="Bibliography"/>
            <w:ind w:left="720" w:hanging="720"/>
            <w:rPr>
              <w:noProof/>
              <w:lang w:val="en-US"/>
            </w:rPr>
          </w:pPr>
          <w:r>
            <w:rPr>
              <w:noProof/>
              <w:lang w:val="en-US"/>
            </w:rPr>
            <w:t xml:space="preserve">Donohoo, J., Hatie, J. and Eells, R. (2018) The power of collective efficacy. </w:t>
          </w:r>
          <w:r>
            <w:rPr>
              <w:i/>
              <w:iCs/>
              <w:noProof/>
              <w:lang w:val="en-US"/>
            </w:rPr>
            <w:t>Educational Leadership, 75</w:t>
          </w:r>
          <w:r>
            <w:rPr>
              <w:noProof/>
              <w:lang w:val="en-US"/>
            </w:rPr>
            <w:t xml:space="preserve">(6), </w:t>
          </w:r>
          <w:r w:rsidR="000A3BA4">
            <w:rPr>
              <w:noProof/>
              <w:lang w:val="en-US"/>
            </w:rPr>
            <w:t>pp</w:t>
          </w:r>
          <w:r>
            <w:rPr>
              <w:noProof/>
              <w:lang w:val="en-US"/>
            </w:rPr>
            <w:t>40-44.</w:t>
          </w:r>
        </w:p>
        <w:p w14:paraId="53A2B804" w14:textId="4C610C8B" w:rsidR="0041711C" w:rsidRPr="0041711C" w:rsidRDefault="0041711C" w:rsidP="0041711C">
          <w:pPr>
            <w:pStyle w:val="Bibliography"/>
            <w:ind w:left="720" w:hanging="720"/>
            <w:rPr>
              <w:noProof/>
              <w:lang w:val="en-US"/>
            </w:rPr>
          </w:pPr>
          <w:r w:rsidRPr="0041711C">
            <w:t xml:space="preserve">Duggan, B; Thomas, H; Davies-Walker, M; Sinnema, C; Cole-Jones, N; Glover, A (2022) </w:t>
          </w:r>
          <w:r w:rsidRPr="0041711C">
            <w:rPr>
              <w:i/>
              <w:iCs/>
            </w:rPr>
            <w:t>Qualitative Research with Practitioners on Preparations for Curriculum and Assessment Reforms 2022: Final Report.</w:t>
          </w:r>
          <w:r w:rsidRPr="0041711C">
            <w:t xml:space="preserve"> Cardiff: Welsh Government</w:t>
          </w:r>
          <w:r>
            <w:t xml:space="preserve">. </w:t>
          </w:r>
        </w:p>
        <w:p w14:paraId="463D0FCD" w14:textId="77777777" w:rsidR="008E6FB3" w:rsidRDefault="008E6FB3" w:rsidP="008E6FB3">
          <w:pPr>
            <w:pStyle w:val="Bibliography"/>
            <w:ind w:left="720" w:hanging="720"/>
            <w:rPr>
              <w:noProof/>
              <w:lang w:val="en-US"/>
            </w:rPr>
          </w:pPr>
          <w:r>
            <w:rPr>
              <w:noProof/>
              <w:lang w:val="en-US"/>
            </w:rPr>
            <w:t xml:space="preserve">Duggan, B., Thomas, H., Davies-Walker, M., Sinnema, C., Cole-Jones, N. and Glover, A. (2022a) </w:t>
          </w:r>
          <w:r>
            <w:rPr>
              <w:i/>
              <w:iCs/>
              <w:noProof/>
              <w:lang w:val="en-US"/>
            </w:rPr>
            <w:t>Practitioner survey on preparations for Curriculum and Assessment Reforms 2022: final report.</w:t>
          </w:r>
          <w:r>
            <w:rPr>
              <w:noProof/>
              <w:lang w:val="en-US"/>
            </w:rPr>
            <w:t xml:space="preserve"> Cardiff: Welsh Government.</w:t>
          </w:r>
        </w:p>
        <w:p w14:paraId="01EE373B" w14:textId="332A081E" w:rsidR="00477741" w:rsidRDefault="00477741" w:rsidP="000A3BA4">
          <w:pPr>
            <w:pStyle w:val="Bibliography"/>
            <w:ind w:left="720" w:hanging="720"/>
            <w:rPr>
              <w:noProof/>
              <w:lang w:val="en-US"/>
            </w:rPr>
          </w:pPr>
          <w:r>
            <w:rPr>
              <w:noProof/>
              <w:lang w:val="en-US"/>
            </w:rPr>
            <w:t xml:space="preserve">Dunst, Bruder and Hanby (2015) </w:t>
          </w:r>
          <w:r w:rsidRPr="00477741">
            <w:rPr>
              <w:noProof/>
              <w:lang w:val="en-US"/>
            </w:rPr>
            <w:t>Metasynthesis of in-service professional development research: Features associated with positive educator and student outcomes</w:t>
          </w:r>
          <w:r>
            <w:rPr>
              <w:noProof/>
              <w:lang w:val="en-US"/>
            </w:rPr>
            <w:t xml:space="preserve">. </w:t>
          </w:r>
          <w:r w:rsidR="0067236F" w:rsidRPr="0067236F">
            <w:rPr>
              <w:i/>
              <w:iCs/>
              <w:noProof/>
              <w:lang w:val="en-US"/>
            </w:rPr>
            <w:t>Educational Research and Reviews</w:t>
          </w:r>
          <w:r w:rsidR="0067236F" w:rsidRPr="0067236F">
            <w:rPr>
              <w:noProof/>
              <w:lang w:val="en-US"/>
            </w:rPr>
            <w:t xml:space="preserve"> 10(12)</w:t>
          </w:r>
          <w:r w:rsidR="0067236F">
            <w:rPr>
              <w:noProof/>
              <w:lang w:val="en-US"/>
            </w:rPr>
            <w:t xml:space="preserve">. pp </w:t>
          </w:r>
          <w:r w:rsidR="0067236F" w:rsidRPr="0067236F">
            <w:rPr>
              <w:noProof/>
              <w:lang w:val="en-US"/>
            </w:rPr>
            <w:t>1731-1744</w:t>
          </w:r>
        </w:p>
        <w:p w14:paraId="758617C5" w14:textId="54D4C74A" w:rsidR="000A3BA4" w:rsidRDefault="000A3BA4" w:rsidP="000A3BA4">
          <w:pPr>
            <w:pStyle w:val="Bibliography"/>
            <w:ind w:left="720" w:hanging="720"/>
            <w:rPr>
              <w:noProof/>
              <w:lang w:val="en-US"/>
            </w:rPr>
          </w:pPr>
          <w:r w:rsidRPr="000A3BA4">
            <w:rPr>
              <w:noProof/>
              <w:lang w:val="en-US"/>
            </w:rPr>
            <w:t xml:space="preserve">Durrant, J. (2016) </w:t>
          </w:r>
          <w:r>
            <w:rPr>
              <w:noProof/>
              <w:lang w:val="en-US"/>
            </w:rPr>
            <w:t>‘</w:t>
          </w:r>
          <w:r w:rsidRPr="000A3BA4">
            <w:rPr>
              <w:noProof/>
            </w:rPr>
            <w:t>What is evidence-based practice and why does it matter?</w:t>
          </w:r>
          <w:r>
            <w:rPr>
              <w:noProof/>
            </w:rPr>
            <w:t>’,</w:t>
          </w:r>
          <w:r w:rsidRPr="000A3BA4">
            <w:rPr>
              <w:noProof/>
            </w:rPr>
            <w:t xml:space="preserve"> </w:t>
          </w:r>
          <w:r>
            <w:rPr>
              <w:noProof/>
            </w:rPr>
            <w:t>i</w:t>
          </w:r>
          <w:r w:rsidRPr="000A3BA4">
            <w:rPr>
              <w:noProof/>
            </w:rPr>
            <w:t>n Austin, R.(</w:t>
          </w:r>
          <w:r w:rsidR="004E0F93">
            <w:rPr>
              <w:noProof/>
            </w:rPr>
            <w:t>e</w:t>
          </w:r>
          <w:r w:rsidRPr="000A3BA4">
            <w:rPr>
              <w:noProof/>
            </w:rPr>
            <w:t>d)</w:t>
          </w:r>
          <w:r>
            <w:rPr>
              <w:noProof/>
            </w:rPr>
            <w:t xml:space="preserve"> </w:t>
          </w:r>
          <w:r w:rsidRPr="000A3BA4">
            <w:rPr>
              <w:i/>
              <w:iCs/>
              <w:noProof/>
            </w:rPr>
            <w:t>Researching Primary Education</w:t>
          </w:r>
          <w:r>
            <w:rPr>
              <w:i/>
              <w:iCs/>
              <w:noProof/>
            </w:rPr>
            <w:t xml:space="preserve">. </w:t>
          </w:r>
          <w:r w:rsidRPr="000A3BA4">
            <w:rPr>
              <w:noProof/>
            </w:rPr>
            <w:t>London</w:t>
          </w:r>
          <w:r>
            <w:rPr>
              <w:noProof/>
            </w:rPr>
            <w:t>: Sage</w:t>
          </w:r>
          <w:r w:rsidR="00257136">
            <w:rPr>
              <w:noProof/>
            </w:rPr>
            <w:t>, pp9-24</w:t>
          </w:r>
          <w:r>
            <w:rPr>
              <w:noProof/>
            </w:rPr>
            <w:t>.</w:t>
          </w:r>
        </w:p>
        <w:p w14:paraId="1D88BED4" w14:textId="1B08B0E2" w:rsidR="00AF556D" w:rsidRDefault="00AF556D" w:rsidP="00AF556D">
          <w:pPr>
            <w:pStyle w:val="Bibliography"/>
            <w:ind w:left="720" w:hanging="720"/>
            <w:rPr>
              <w:noProof/>
              <w:lang w:val="en-US"/>
            </w:rPr>
          </w:pPr>
          <w:r>
            <w:rPr>
              <w:noProof/>
              <w:lang w:val="en-US"/>
            </w:rPr>
            <w:t>Education Achievement Service</w:t>
          </w:r>
          <w:r w:rsidR="00257136">
            <w:rPr>
              <w:noProof/>
              <w:lang w:val="en-US"/>
            </w:rPr>
            <w:t xml:space="preserve"> </w:t>
          </w:r>
          <w:r>
            <w:rPr>
              <w:noProof/>
              <w:lang w:val="en-US"/>
            </w:rPr>
            <w:t xml:space="preserve">(2022) </w:t>
          </w:r>
          <w:r>
            <w:rPr>
              <w:i/>
              <w:iCs/>
              <w:noProof/>
              <w:lang w:val="en-US"/>
            </w:rPr>
            <w:t>Professional Learning: Leadership and Teaching</w:t>
          </w:r>
          <w:r>
            <w:rPr>
              <w:noProof/>
              <w:lang w:val="en-US"/>
            </w:rPr>
            <w:t xml:space="preserve">. </w:t>
          </w:r>
          <w:r w:rsidR="007D591C">
            <w:rPr>
              <w:noProof/>
              <w:lang w:val="en-US"/>
            </w:rPr>
            <w:t xml:space="preserve">Available at: </w:t>
          </w:r>
          <w:r>
            <w:rPr>
              <w:noProof/>
              <w:lang w:val="en-US"/>
            </w:rPr>
            <w:t xml:space="preserve"> </w:t>
          </w:r>
          <w:hyperlink r:id="rId13" w:history="1">
            <w:r w:rsidR="00257136" w:rsidRPr="00721626">
              <w:rPr>
                <w:rStyle w:val="Hyperlink"/>
                <w:noProof/>
                <w:lang w:val="en-US"/>
              </w:rPr>
              <w:t>https://sewaleseas.org.uk/our-services/professional-learning/</w:t>
            </w:r>
          </w:hyperlink>
          <w:r w:rsidR="00257136">
            <w:rPr>
              <w:noProof/>
              <w:lang w:val="en-US"/>
            </w:rPr>
            <w:t xml:space="preserve"> </w:t>
          </w:r>
          <w:r w:rsidR="007D591C">
            <w:rPr>
              <w:noProof/>
              <w:lang w:val="en-US"/>
            </w:rPr>
            <w:t xml:space="preserve"> (</w:t>
          </w:r>
          <w:r w:rsidR="007D591C">
            <w:rPr>
              <w:noProof/>
            </w:rPr>
            <w:t>A</w:t>
          </w:r>
          <w:r w:rsidR="007D591C" w:rsidRPr="000C58E7">
            <w:rPr>
              <w:noProof/>
            </w:rPr>
            <w:t xml:space="preserve">ccessed </w:t>
          </w:r>
          <w:r w:rsidR="007D591C">
            <w:rPr>
              <w:noProof/>
            </w:rPr>
            <w:t>12/08/2022</w:t>
          </w:r>
          <w:r w:rsidR="007D591C" w:rsidRPr="000C58E7">
            <w:rPr>
              <w:noProof/>
            </w:rPr>
            <w:t>)</w:t>
          </w:r>
        </w:p>
        <w:p w14:paraId="220D9BB7" w14:textId="0529F64A" w:rsidR="00AF556D" w:rsidRDefault="00AF556D" w:rsidP="00AF556D">
          <w:pPr>
            <w:pStyle w:val="Bibliography"/>
            <w:ind w:left="720" w:hanging="720"/>
            <w:rPr>
              <w:noProof/>
              <w:lang w:val="en-US"/>
            </w:rPr>
          </w:pPr>
          <w:r>
            <w:rPr>
              <w:noProof/>
              <w:lang w:val="en-US"/>
            </w:rPr>
            <w:t xml:space="preserve">Education Endowment Foundation (2021) </w:t>
          </w:r>
          <w:r>
            <w:rPr>
              <w:i/>
              <w:iCs/>
              <w:noProof/>
              <w:lang w:val="en-US"/>
            </w:rPr>
            <w:t>Effective Professional Development.</w:t>
          </w:r>
          <w:r>
            <w:rPr>
              <w:noProof/>
              <w:lang w:val="en-US"/>
            </w:rPr>
            <w:t xml:space="preserve"> London: Education Endowment Foundation.</w:t>
          </w:r>
        </w:p>
        <w:p w14:paraId="7F1B8701" w14:textId="2843EE5E" w:rsidR="00AF556D" w:rsidRDefault="00AF556D" w:rsidP="00AF556D">
          <w:pPr>
            <w:pStyle w:val="Bibliography"/>
            <w:ind w:left="720" w:hanging="720"/>
            <w:rPr>
              <w:noProof/>
              <w:lang w:val="en-US"/>
            </w:rPr>
          </w:pPr>
          <w:r w:rsidRPr="00257136">
            <w:rPr>
              <w:noProof/>
              <w:lang w:val="en-US"/>
            </w:rPr>
            <w:t>Education Endowment Foundation</w:t>
          </w:r>
          <w:r>
            <w:rPr>
              <w:noProof/>
              <w:lang w:val="en-US"/>
            </w:rPr>
            <w:t xml:space="preserve"> (2023) </w:t>
          </w:r>
          <w:r w:rsidRPr="00257136">
            <w:rPr>
              <w:i/>
              <w:iCs/>
              <w:noProof/>
              <w:lang w:val="en-US"/>
            </w:rPr>
            <w:t>Teaching and Learning Toolkit</w:t>
          </w:r>
          <w:r w:rsidR="00257136" w:rsidRPr="00257136">
            <w:rPr>
              <w:i/>
              <w:iCs/>
              <w:noProof/>
              <w:lang w:val="en-US"/>
            </w:rPr>
            <w:t>.</w:t>
          </w:r>
          <w:r>
            <w:rPr>
              <w:noProof/>
              <w:lang w:val="en-US"/>
            </w:rPr>
            <w:t xml:space="preserve"> </w:t>
          </w:r>
          <w:r w:rsidR="007D591C">
            <w:rPr>
              <w:noProof/>
              <w:lang w:val="en-US"/>
            </w:rPr>
            <w:t>Available at:</w:t>
          </w:r>
          <w:r w:rsidR="00257136">
            <w:rPr>
              <w:noProof/>
              <w:lang w:val="en-US"/>
            </w:rPr>
            <w:t xml:space="preserve"> </w:t>
          </w:r>
          <w:hyperlink r:id="rId14" w:history="1">
            <w:r w:rsidR="00257136" w:rsidRPr="00721626">
              <w:rPr>
                <w:rStyle w:val="Hyperlink"/>
                <w:noProof/>
                <w:lang w:val="en-US"/>
              </w:rPr>
              <w:t>https://educationendowmentfoundation.org.uk/</w:t>
            </w:r>
          </w:hyperlink>
          <w:r w:rsidR="00257136">
            <w:rPr>
              <w:noProof/>
              <w:lang w:val="en-US"/>
            </w:rPr>
            <w:t xml:space="preserve"> </w:t>
          </w:r>
          <w:r w:rsidR="007D591C">
            <w:rPr>
              <w:noProof/>
              <w:lang w:val="en-US"/>
            </w:rPr>
            <w:t xml:space="preserve"> (</w:t>
          </w:r>
          <w:r w:rsidR="007D591C">
            <w:rPr>
              <w:noProof/>
            </w:rPr>
            <w:t>A</w:t>
          </w:r>
          <w:r w:rsidR="007D591C" w:rsidRPr="000C58E7">
            <w:rPr>
              <w:noProof/>
            </w:rPr>
            <w:t xml:space="preserve">ccessed </w:t>
          </w:r>
          <w:r w:rsidR="007D591C">
            <w:rPr>
              <w:noProof/>
            </w:rPr>
            <w:t>12/08/2022</w:t>
          </w:r>
          <w:r w:rsidR="007D591C" w:rsidRPr="000C58E7">
            <w:rPr>
              <w:noProof/>
            </w:rPr>
            <w:t>)</w:t>
          </w:r>
        </w:p>
        <w:p w14:paraId="5E173529" w14:textId="0B40B5C6" w:rsidR="00AF556D" w:rsidRDefault="00AF556D" w:rsidP="00AF556D">
          <w:pPr>
            <w:pStyle w:val="Bibliography"/>
            <w:ind w:left="720" w:hanging="720"/>
            <w:rPr>
              <w:noProof/>
              <w:lang w:val="en-US"/>
            </w:rPr>
          </w:pPr>
          <w:r>
            <w:rPr>
              <w:noProof/>
              <w:lang w:val="en-US"/>
            </w:rPr>
            <w:t xml:space="preserve">Edwards, A. (2021). </w:t>
          </w:r>
          <w:r w:rsidRPr="00257136">
            <w:rPr>
              <w:i/>
              <w:iCs/>
              <w:noProof/>
              <w:lang w:val="en-US"/>
            </w:rPr>
            <w:t>Building on strengths and removing barriers – preparing for the Curriculum for Wales</w:t>
          </w:r>
          <w:r>
            <w:rPr>
              <w:noProof/>
              <w:lang w:val="en-US"/>
            </w:rPr>
            <w:t xml:space="preserve">. </w:t>
          </w:r>
          <w:r w:rsidR="00257136">
            <w:rPr>
              <w:noProof/>
              <w:lang w:val="en-US"/>
            </w:rPr>
            <w:t xml:space="preserve">Cardiff: </w:t>
          </w:r>
          <w:r>
            <w:rPr>
              <w:noProof/>
              <w:lang w:val="en-US"/>
            </w:rPr>
            <w:t>Estyn.</w:t>
          </w:r>
        </w:p>
        <w:p w14:paraId="53083F58" w14:textId="6848B020" w:rsidR="00AF556D" w:rsidRDefault="00AF556D" w:rsidP="00AF556D">
          <w:pPr>
            <w:pStyle w:val="Bibliography"/>
            <w:ind w:left="720" w:hanging="720"/>
            <w:rPr>
              <w:noProof/>
              <w:lang w:val="en-US"/>
            </w:rPr>
          </w:pPr>
          <w:r>
            <w:rPr>
              <w:noProof/>
              <w:lang w:val="en-US"/>
            </w:rPr>
            <w:t>E</w:t>
          </w:r>
          <w:r w:rsidR="00257136">
            <w:rPr>
              <w:noProof/>
              <w:lang w:val="en-US"/>
            </w:rPr>
            <w:t>styn</w:t>
          </w:r>
          <w:r>
            <w:rPr>
              <w:noProof/>
              <w:lang w:val="en-US"/>
            </w:rPr>
            <w:t xml:space="preserve"> (2022) </w:t>
          </w:r>
          <w:r>
            <w:rPr>
              <w:i/>
              <w:iCs/>
              <w:noProof/>
              <w:lang w:val="en-US"/>
            </w:rPr>
            <w:t>HMCI Annual Report 2021-2022.</w:t>
          </w:r>
          <w:r>
            <w:rPr>
              <w:noProof/>
              <w:lang w:val="en-US"/>
            </w:rPr>
            <w:t xml:space="preserve"> Cardiff: Estyn.</w:t>
          </w:r>
        </w:p>
        <w:p w14:paraId="1A49CEFE" w14:textId="6E1782C0" w:rsidR="00AF556D" w:rsidRDefault="00AF556D" w:rsidP="00AF556D">
          <w:pPr>
            <w:pStyle w:val="Bibliography"/>
            <w:ind w:left="720" w:hanging="720"/>
            <w:rPr>
              <w:noProof/>
              <w:lang w:val="en-US"/>
            </w:rPr>
          </w:pPr>
          <w:r>
            <w:rPr>
              <w:noProof/>
              <w:lang w:val="en-US"/>
            </w:rPr>
            <w:lastRenderedPageBreak/>
            <w:t>Estyn (2022</w:t>
          </w:r>
          <w:r w:rsidR="00257136">
            <w:rPr>
              <w:noProof/>
              <w:lang w:val="en-US"/>
            </w:rPr>
            <w:t>a</w:t>
          </w:r>
          <w:r>
            <w:rPr>
              <w:noProof/>
              <w:lang w:val="en-US"/>
            </w:rPr>
            <w:t xml:space="preserve">) </w:t>
          </w:r>
          <w:r>
            <w:rPr>
              <w:i/>
              <w:iCs/>
              <w:noProof/>
              <w:lang w:val="en-US"/>
            </w:rPr>
            <w:t>The Curriculum for Wales</w:t>
          </w:r>
          <w:r w:rsidR="00257136">
            <w:rPr>
              <w:i/>
              <w:iCs/>
              <w:noProof/>
              <w:lang w:val="en-US"/>
            </w:rPr>
            <w:t>:</w:t>
          </w:r>
          <w:r>
            <w:rPr>
              <w:i/>
              <w:iCs/>
              <w:noProof/>
              <w:lang w:val="en-US"/>
            </w:rPr>
            <w:t xml:space="preserve"> How are regional consortia and local authorities supporting schools?</w:t>
          </w:r>
          <w:r>
            <w:rPr>
              <w:noProof/>
              <w:lang w:val="en-US"/>
            </w:rPr>
            <w:t xml:space="preserve"> Cardiff: Estyn.</w:t>
          </w:r>
        </w:p>
        <w:p w14:paraId="1C96B720" w14:textId="3BB98050" w:rsidR="00AF556D" w:rsidRDefault="00AF556D" w:rsidP="00AF556D">
          <w:pPr>
            <w:pStyle w:val="Bibliography"/>
            <w:ind w:left="720" w:hanging="720"/>
            <w:rPr>
              <w:noProof/>
              <w:lang w:val="en-US"/>
            </w:rPr>
          </w:pPr>
          <w:r>
            <w:rPr>
              <w:noProof/>
              <w:lang w:val="en-US"/>
            </w:rPr>
            <w:t xml:space="preserve">Evans, G. (2022) Back to the future? Refections on three phases of education policy reform in Wales and their implications for teachers. </w:t>
          </w:r>
          <w:r>
            <w:rPr>
              <w:i/>
              <w:iCs/>
              <w:noProof/>
              <w:lang w:val="en-US"/>
            </w:rPr>
            <w:t>Journal of Educational Change</w:t>
          </w:r>
          <w:r>
            <w:rPr>
              <w:noProof/>
              <w:lang w:val="en-US"/>
            </w:rPr>
            <w:t>, 371-396.</w:t>
          </w:r>
        </w:p>
        <w:p w14:paraId="5CFBF9BA" w14:textId="6EF4E1C2" w:rsidR="00AF556D" w:rsidRDefault="00AF556D" w:rsidP="00AF556D">
          <w:pPr>
            <w:pStyle w:val="Bibliography"/>
            <w:ind w:left="720" w:hanging="720"/>
            <w:rPr>
              <w:noProof/>
              <w:lang w:val="en-US"/>
            </w:rPr>
          </w:pPr>
          <w:r>
            <w:rPr>
              <w:noProof/>
              <w:lang w:val="en-US"/>
            </w:rPr>
            <w:t xml:space="preserve">Evans, G. (2023) </w:t>
          </w:r>
          <w:r>
            <w:rPr>
              <w:i/>
              <w:iCs/>
              <w:noProof/>
              <w:lang w:val="en-US"/>
            </w:rPr>
            <w:t>Bringing law and order to the Wild West! Why validation is key to curriculum coherence</w:t>
          </w:r>
          <w:r>
            <w:rPr>
              <w:noProof/>
              <w:lang w:val="en-US"/>
            </w:rPr>
            <w:t>. Education Matters</w:t>
          </w:r>
          <w:r w:rsidR="007D591C">
            <w:rPr>
              <w:noProof/>
              <w:lang w:val="en-US"/>
            </w:rPr>
            <w:t xml:space="preserve"> Blog. Available at: </w:t>
          </w:r>
          <w:r>
            <w:rPr>
              <w:noProof/>
              <w:lang w:val="en-US"/>
            </w:rPr>
            <w:t xml:space="preserve"> </w:t>
          </w:r>
          <w:hyperlink r:id="rId15" w:history="1">
            <w:r w:rsidR="00257136" w:rsidRPr="00721626">
              <w:rPr>
                <w:rStyle w:val="Hyperlink"/>
                <w:noProof/>
                <w:lang w:val="en-US"/>
              </w:rPr>
              <w:t>https://welsheducationmatters.wordpress.com/2023/03/20/bringing-law-and-order-to-the-wild-west-why-validation-is-key-to-curriculum-coherence/</w:t>
            </w:r>
          </w:hyperlink>
          <w:r w:rsidR="00257136">
            <w:rPr>
              <w:noProof/>
              <w:lang w:val="en-US"/>
            </w:rPr>
            <w:t xml:space="preserve"> </w:t>
          </w:r>
          <w:r w:rsidR="007D591C">
            <w:rPr>
              <w:noProof/>
              <w:lang w:val="en-US"/>
            </w:rPr>
            <w:t xml:space="preserve"> (Accessed 15/8/2023)</w:t>
          </w:r>
        </w:p>
        <w:p w14:paraId="49A829C3" w14:textId="16FFEBB9" w:rsidR="00AF556D" w:rsidRDefault="00AF556D" w:rsidP="00AF556D">
          <w:pPr>
            <w:pStyle w:val="Bibliography"/>
            <w:ind w:left="720" w:hanging="720"/>
            <w:rPr>
              <w:noProof/>
              <w:lang w:val="en-US"/>
            </w:rPr>
          </w:pPr>
          <w:r>
            <w:rPr>
              <w:noProof/>
              <w:lang w:val="en-US"/>
            </w:rPr>
            <w:t xml:space="preserve">Evans, H. (2012) </w:t>
          </w:r>
          <w:r>
            <w:rPr>
              <w:i/>
              <w:iCs/>
              <w:noProof/>
              <w:lang w:val="en-US"/>
            </w:rPr>
            <w:t>Review of Qualifications for 14 to 19-year-olds in Wales: Final report and recommendations.</w:t>
          </w:r>
          <w:r>
            <w:rPr>
              <w:noProof/>
              <w:lang w:val="en-US"/>
            </w:rPr>
            <w:t xml:space="preserve"> Cardiff: Crown.</w:t>
          </w:r>
        </w:p>
        <w:p w14:paraId="53570BD5" w14:textId="37A6C2F6" w:rsidR="00AF556D" w:rsidRDefault="00AF556D" w:rsidP="00AF556D">
          <w:pPr>
            <w:pStyle w:val="Bibliography"/>
            <w:ind w:left="720" w:hanging="720"/>
            <w:rPr>
              <w:noProof/>
              <w:lang w:val="en-US"/>
            </w:rPr>
          </w:pPr>
          <w:r>
            <w:rPr>
              <w:noProof/>
              <w:lang w:val="en-US"/>
            </w:rPr>
            <w:t>Fletcher-Wood, H.</w:t>
          </w:r>
          <w:r w:rsidR="00257136">
            <w:rPr>
              <w:noProof/>
              <w:lang w:val="en-US"/>
            </w:rPr>
            <w:t xml:space="preserve"> and </w:t>
          </w:r>
          <w:r>
            <w:rPr>
              <w:noProof/>
              <w:lang w:val="en-US"/>
            </w:rPr>
            <w:t xml:space="preserve"> Zuccollo, J. (2020)</w:t>
          </w:r>
          <w:r>
            <w:rPr>
              <w:i/>
              <w:iCs/>
              <w:noProof/>
              <w:lang w:val="en-US"/>
            </w:rPr>
            <w:t xml:space="preserve"> The effects of high-quality professional development on teachers and students: a rapid review and meta-analysis.</w:t>
          </w:r>
          <w:r>
            <w:rPr>
              <w:noProof/>
              <w:lang w:val="en-US"/>
            </w:rPr>
            <w:t xml:space="preserve"> Education Policy Institute.</w:t>
          </w:r>
        </w:p>
        <w:p w14:paraId="4D6DDD18" w14:textId="494FEF03" w:rsidR="00AF556D" w:rsidRDefault="00AF556D" w:rsidP="00AF556D">
          <w:pPr>
            <w:pStyle w:val="Bibliography"/>
            <w:ind w:left="720" w:hanging="720"/>
            <w:rPr>
              <w:noProof/>
              <w:lang w:val="en-US"/>
            </w:rPr>
          </w:pPr>
          <w:r>
            <w:rPr>
              <w:noProof/>
              <w:lang w:val="en-US"/>
            </w:rPr>
            <w:t>Furlong, J. (2005)</w:t>
          </w:r>
          <w:r w:rsidR="00250BE9">
            <w:rPr>
              <w:noProof/>
              <w:lang w:val="en-US"/>
            </w:rPr>
            <w:t xml:space="preserve"> </w:t>
          </w:r>
          <w:r>
            <w:rPr>
              <w:noProof/>
              <w:lang w:val="en-US"/>
            </w:rPr>
            <w:t xml:space="preserve">New Labour and teacher education: The end of an era. </w:t>
          </w:r>
          <w:r>
            <w:rPr>
              <w:i/>
              <w:iCs/>
              <w:noProof/>
              <w:lang w:val="en-US"/>
            </w:rPr>
            <w:t>Oxford Review of Education, 31</w:t>
          </w:r>
          <w:r>
            <w:rPr>
              <w:noProof/>
              <w:lang w:val="en-US"/>
            </w:rPr>
            <w:t xml:space="preserve">(1), </w:t>
          </w:r>
          <w:r w:rsidR="00250BE9">
            <w:rPr>
              <w:noProof/>
              <w:lang w:val="en-US"/>
            </w:rPr>
            <w:t>pp</w:t>
          </w:r>
          <w:r>
            <w:rPr>
              <w:noProof/>
              <w:lang w:val="en-US"/>
            </w:rPr>
            <w:t>119-134.</w:t>
          </w:r>
        </w:p>
        <w:p w14:paraId="0AC7BF15" w14:textId="6FB27C36" w:rsidR="00AF556D" w:rsidRDefault="00AF556D" w:rsidP="00AF556D">
          <w:pPr>
            <w:pStyle w:val="Bibliography"/>
            <w:ind w:left="720" w:hanging="720"/>
            <w:rPr>
              <w:noProof/>
              <w:lang w:val="en-US"/>
            </w:rPr>
          </w:pPr>
          <w:r>
            <w:rPr>
              <w:noProof/>
              <w:lang w:val="en-US"/>
            </w:rPr>
            <w:t xml:space="preserve">Furlong, J. (2001) </w:t>
          </w:r>
          <w:r>
            <w:rPr>
              <w:i/>
              <w:iCs/>
              <w:noProof/>
              <w:lang w:val="en-US"/>
            </w:rPr>
            <w:t>Educational Research Capacity in Wales: A Review'.</w:t>
          </w:r>
          <w:r>
            <w:rPr>
              <w:noProof/>
              <w:lang w:val="en-US"/>
            </w:rPr>
            <w:t xml:space="preserve"> Cardiff: UCET Cymru.</w:t>
          </w:r>
        </w:p>
        <w:p w14:paraId="22C281CA" w14:textId="3E0FE9F6" w:rsidR="00AF556D" w:rsidRDefault="00AF556D" w:rsidP="00AF556D">
          <w:pPr>
            <w:pStyle w:val="Bibliography"/>
            <w:ind w:left="720" w:hanging="720"/>
            <w:rPr>
              <w:noProof/>
              <w:lang w:val="en-US"/>
            </w:rPr>
          </w:pPr>
          <w:r>
            <w:rPr>
              <w:noProof/>
              <w:lang w:val="en-US"/>
            </w:rPr>
            <w:t>Guoyan, S. (2020)</w:t>
          </w:r>
          <w:r w:rsidR="00250BE9">
            <w:rPr>
              <w:noProof/>
              <w:lang w:val="en-US"/>
            </w:rPr>
            <w:t xml:space="preserve"> </w:t>
          </w:r>
          <w:r>
            <w:rPr>
              <w:noProof/>
              <w:lang w:val="en-US"/>
            </w:rPr>
            <w:t xml:space="preserve">Teacher Agency. In </w:t>
          </w:r>
          <w:r>
            <w:rPr>
              <w:i/>
              <w:iCs/>
              <w:noProof/>
              <w:lang w:val="en-US"/>
            </w:rPr>
            <w:t>Encyclopedia of Teacher Education.</w:t>
          </w:r>
          <w:r>
            <w:rPr>
              <w:noProof/>
              <w:lang w:val="en-US"/>
            </w:rPr>
            <w:t xml:space="preserve"> Springer Natire Singapore.</w:t>
          </w:r>
        </w:p>
        <w:p w14:paraId="1AF9E526" w14:textId="53418A9F" w:rsidR="00AF556D" w:rsidRDefault="00AF556D" w:rsidP="00AF556D">
          <w:pPr>
            <w:pStyle w:val="Bibliography"/>
            <w:ind w:left="720" w:hanging="720"/>
            <w:rPr>
              <w:noProof/>
              <w:lang w:val="en-US"/>
            </w:rPr>
          </w:pPr>
          <w:r>
            <w:rPr>
              <w:noProof/>
              <w:lang w:val="en-US"/>
            </w:rPr>
            <w:t xml:space="preserve">Hamilton, L. (2011) </w:t>
          </w:r>
          <w:r>
            <w:rPr>
              <w:i/>
              <w:iCs/>
              <w:noProof/>
              <w:lang w:val="en-US"/>
            </w:rPr>
            <w:t>Case studies in educational research. British Educational Research Association on-line resource.</w:t>
          </w:r>
          <w:r>
            <w:rPr>
              <w:noProof/>
              <w:lang w:val="en-US"/>
            </w:rPr>
            <w:t xml:space="preserve"> </w:t>
          </w:r>
          <w:r w:rsidR="007D591C">
            <w:rPr>
              <w:noProof/>
              <w:lang w:val="en-US"/>
            </w:rPr>
            <w:t xml:space="preserve">Available at: </w:t>
          </w:r>
          <w:r>
            <w:rPr>
              <w:noProof/>
              <w:lang w:val="en-US"/>
            </w:rPr>
            <w:t xml:space="preserve"> </w:t>
          </w:r>
          <w:hyperlink r:id="rId16" w:history="1">
            <w:r w:rsidR="00250BE9" w:rsidRPr="00721626">
              <w:rPr>
                <w:rStyle w:val="Hyperlink"/>
                <w:noProof/>
                <w:lang w:val="en-US"/>
              </w:rPr>
              <w:t>https://www.bera.ac.uk/publication/case-studies-in-educational-research</w:t>
            </w:r>
          </w:hyperlink>
          <w:r w:rsidR="00250BE9">
            <w:rPr>
              <w:noProof/>
              <w:lang w:val="en-US"/>
            </w:rPr>
            <w:t xml:space="preserve"> </w:t>
          </w:r>
          <w:r w:rsidR="007D591C">
            <w:rPr>
              <w:noProof/>
              <w:lang w:val="en-US"/>
            </w:rPr>
            <w:t>(Accessed 3/9/2022)</w:t>
          </w:r>
        </w:p>
        <w:p w14:paraId="7FD89035" w14:textId="43BDA10F" w:rsidR="00AF556D" w:rsidRDefault="00AF556D" w:rsidP="00AF556D">
          <w:pPr>
            <w:pStyle w:val="Bibliography"/>
            <w:ind w:left="720" w:hanging="720"/>
            <w:rPr>
              <w:noProof/>
              <w:lang w:val="en-US"/>
            </w:rPr>
          </w:pPr>
          <w:r>
            <w:rPr>
              <w:noProof/>
              <w:lang w:val="en-US"/>
            </w:rPr>
            <w:t xml:space="preserve">Handscombe, G. B. (2022) </w:t>
          </w:r>
          <w:r>
            <w:rPr>
              <w:i/>
              <w:iCs/>
              <w:noProof/>
              <w:lang w:val="en-US"/>
            </w:rPr>
            <w:t>The power of professional learning networks: Traversing the present; transforming the future.</w:t>
          </w:r>
          <w:r>
            <w:rPr>
              <w:noProof/>
              <w:lang w:val="en-US"/>
            </w:rPr>
            <w:t xml:space="preserve"> Woodbridge: John Catt Educational Limited.</w:t>
          </w:r>
        </w:p>
        <w:p w14:paraId="3221444E" w14:textId="197D3409" w:rsidR="00AF556D" w:rsidRDefault="00AF556D" w:rsidP="00AF556D">
          <w:pPr>
            <w:pStyle w:val="Bibliography"/>
            <w:ind w:left="720" w:hanging="720"/>
            <w:rPr>
              <w:noProof/>
              <w:lang w:val="en-US"/>
            </w:rPr>
          </w:pPr>
          <w:r>
            <w:rPr>
              <w:noProof/>
              <w:lang w:val="en-US"/>
            </w:rPr>
            <w:t xml:space="preserve">Hannan, A. E. (2000) </w:t>
          </w:r>
          <w:r>
            <w:rPr>
              <w:i/>
              <w:iCs/>
              <w:noProof/>
              <w:lang w:val="en-US"/>
            </w:rPr>
            <w:t xml:space="preserve">Using research: the results of a pilot study comparing teachers, general practitioners and surgeons. </w:t>
          </w:r>
          <w:r>
            <w:rPr>
              <w:noProof/>
              <w:lang w:val="en-US"/>
            </w:rPr>
            <w:t xml:space="preserve"> Leeds: Education-Line Internet Collection.</w:t>
          </w:r>
        </w:p>
        <w:p w14:paraId="41463256" w14:textId="0F407D1C" w:rsidR="00AF556D" w:rsidRDefault="00AF556D" w:rsidP="00AF556D">
          <w:pPr>
            <w:pStyle w:val="Bibliography"/>
            <w:ind w:left="720" w:hanging="720"/>
            <w:rPr>
              <w:noProof/>
              <w:lang w:val="en-US"/>
            </w:rPr>
          </w:pPr>
          <w:r>
            <w:rPr>
              <w:noProof/>
              <w:lang w:val="en-US"/>
            </w:rPr>
            <w:t>Hargreaves, A. (1992) Cultures of teaching: a focus for change</w:t>
          </w:r>
          <w:r w:rsidR="00250BE9">
            <w:rPr>
              <w:noProof/>
              <w:lang w:val="en-US"/>
            </w:rPr>
            <w:t>, i</w:t>
          </w:r>
          <w:r>
            <w:rPr>
              <w:noProof/>
              <w:lang w:val="en-US"/>
            </w:rPr>
            <w:t xml:space="preserve">n Hargreaves, </w:t>
          </w:r>
          <w:r w:rsidR="00250BE9">
            <w:rPr>
              <w:noProof/>
              <w:lang w:val="en-US"/>
            </w:rPr>
            <w:t xml:space="preserve">A. and </w:t>
          </w:r>
          <w:r>
            <w:rPr>
              <w:noProof/>
              <w:lang w:val="en-US"/>
            </w:rPr>
            <w:t xml:space="preserve">Fullan, </w:t>
          </w:r>
          <w:r w:rsidR="00250BE9">
            <w:rPr>
              <w:noProof/>
              <w:lang w:val="en-US"/>
            </w:rPr>
            <w:t xml:space="preserve">M. </w:t>
          </w:r>
          <w:r>
            <w:rPr>
              <w:i/>
              <w:iCs/>
              <w:noProof/>
              <w:lang w:val="en-US"/>
            </w:rPr>
            <w:t>Understanding Teacher Development</w:t>
          </w:r>
          <w:r>
            <w:rPr>
              <w:noProof/>
              <w:lang w:val="en-US"/>
            </w:rPr>
            <w:t xml:space="preserve"> pp216-240</w:t>
          </w:r>
          <w:r w:rsidR="00250BE9">
            <w:rPr>
              <w:noProof/>
              <w:lang w:val="en-US"/>
            </w:rPr>
            <w:t>.</w:t>
          </w:r>
          <w:r>
            <w:rPr>
              <w:noProof/>
              <w:lang w:val="en-US"/>
            </w:rPr>
            <w:t xml:space="preserve"> London: Cassell.</w:t>
          </w:r>
        </w:p>
        <w:p w14:paraId="3D05EA74" w14:textId="52D566B9" w:rsidR="00AF556D" w:rsidRDefault="00AF556D" w:rsidP="00AF556D">
          <w:pPr>
            <w:pStyle w:val="Bibliography"/>
            <w:ind w:left="720" w:hanging="720"/>
            <w:rPr>
              <w:noProof/>
              <w:lang w:val="en-US"/>
            </w:rPr>
          </w:pPr>
          <w:r>
            <w:rPr>
              <w:noProof/>
              <w:lang w:val="en-US"/>
            </w:rPr>
            <w:t>Hargreaves, A. O. (2018)</w:t>
          </w:r>
          <w:r w:rsidR="00250BE9">
            <w:rPr>
              <w:noProof/>
              <w:lang w:val="en-US"/>
            </w:rPr>
            <w:t xml:space="preserve"> </w:t>
          </w:r>
          <w:r>
            <w:rPr>
              <w:i/>
              <w:iCs/>
              <w:noProof/>
              <w:lang w:val="en-US"/>
            </w:rPr>
            <w:t>Leading collaborative professionalism.</w:t>
          </w:r>
          <w:r>
            <w:rPr>
              <w:noProof/>
              <w:lang w:val="en-US"/>
            </w:rPr>
            <w:t xml:space="preserve"> California: California Corwin Press.</w:t>
          </w:r>
        </w:p>
        <w:p w14:paraId="27003C7C" w14:textId="08733679" w:rsidR="00AF556D" w:rsidRDefault="00AF556D" w:rsidP="00AF556D">
          <w:pPr>
            <w:pStyle w:val="Bibliography"/>
            <w:ind w:left="720" w:hanging="720"/>
            <w:rPr>
              <w:noProof/>
              <w:lang w:val="en-US"/>
            </w:rPr>
          </w:pPr>
          <w:r>
            <w:rPr>
              <w:noProof/>
              <w:lang w:val="en-US"/>
            </w:rPr>
            <w:t xml:space="preserve">Hargreaves, A., &amp; O’Connor, M. T. (2018) Leading collaborative professionalism. </w:t>
          </w:r>
          <w:r>
            <w:rPr>
              <w:i/>
              <w:iCs/>
              <w:noProof/>
              <w:lang w:val="en-US"/>
            </w:rPr>
            <w:t>Centre for Strategic Education Seminar Series,274</w:t>
          </w:r>
          <w:r>
            <w:rPr>
              <w:noProof/>
              <w:lang w:val="en-US"/>
            </w:rPr>
            <w:t>.</w:t>
          </w:r>
        </w:p>
        <w:p w14:paraId="4F1D1A71" w14:textId="6151278F" w:rsidR="00AF556D" w:rsidRDefault="00AF556D" w:rsidP="00AF556D">
          <w:pPr>
            <w:pStyle w:val="Bibliography"/>
            <w:ind w:left="720" w:hanging="720"/>
            <w:rPr>
              <w:noProof/>
              <w:lang w:val="en-US"/>
            </w:rPr>
          </w:pPr>
          <w:r>
            <w:rPr>
              <w:noProof/>
              <w:lang w:val="en-US"/>
            </w:rPr>
            <w:t xml:space="preserve">Harris, A. J. (2017). </w:t>
          </w:r>
          <w:r>
            <w:rPr>
              <w:i/>
              <w:iCs/>
              <w:noProof/>
              <w:lang w:val="en-US"/>
            </w:rPr>
            <w:t>Teachers leading educational reform: The power and potential of professional learning communities.</w:t>
          </w:r>
          <w:r>
            <w:rPr>
              <w:noProof/>
              <w:lang w:val="en-US"/>
            </w:rPr>
            <w:t xml:space="preserve"> London: Routledge.</w:t>
          </w:r>
        </w:p>
        <w:p w14:paraId="2A8C4023" w14:textId="070837CB" w:rsidR="00AF556D" w:rsidRDefault="00AF556D" w:rsidP="00AF556D">
          <w:pPr>
            <w:pStyle w:val="Bibliography"/>
            <w:ind w:left="720" w:hanging="720"/>
            <w:rPr>
              <w:noProof/>
              <w:lang w:val="en-US"/>
            </w:rPr>
          </w:pPr>
          <w:r>
            <w:rPr>
              <w:noProof/>
              <w:lang w:val="en-US"/>
            </w:rPr>
            <w:t xml:space="preserve">Harris, A., &amp; Jones, M. (2017). Disciplined collaboration and enquiry: Evaluating the impact of Professional Learning. </w:t>
          </w:r>
          <w:r>
            <w:rPr>
              <w:i/>
              <w:iCs/>
              <w:noProof/>
              <w:lang w:val="en-US"/>
            </w:rPr>
            <w:t>Journal of Professional Capital and Community, 2</w:t>
          </w:r>
          <w:r>
            <w:rPr>
              <w:noProof/>
              <w:lang w:val="en-US"/>
            </w:rPr>
            <w:t xml:space="preserve">(4), </w:t>
          </w:r>
          <w:r w:rsidR="00250BE9">
            <w:rPr>
              <w:noProof/>
              <w:lang w:val="en-US"/>
            </w:rPr>
            <w:t>pp</w:t>
          </w:r>
          <w:r>
            <w:rPr>
              <w:noProof/>
              <w:lang w:val="en-US"/>
            </w:rPr>
            <w:t>200-214.</w:t>
          </w:r>
        </w:p>
        <w:p w14:paraId="61854572" w14:textId="5E3E8366" w:rsidR="00AF556D" w:rsidRDefault="00AF556D" w:rsidP="00AF556D">
          <w:pPr>
            <w:pStyle w:val="Bibliography"/>
            <w:ind w:left="720" w:hanging="720"/>
            <w:rPr>
              <w:noProof/>
              <w:lang w:val="en-US"/>
            </w:rPr>
          </w:pPr>
          <w:r>
            <w:rPr>
              <w:noProof/>
              <w:lang w:val="en-US"/>
            </w:rPr>
            <w:t xml:space="preserve">Harris, A., &amp; Jones, M. (2019) Leading professional learning with impact. </w:t>
          </w:r>
          <w:r>
            <w:rPr>
              <w:i/>
              <w:iCs/>
              <w:noProof/>
              <w:lang w:val="en-US"/>
            </w:rPr>
            <w:t xml:space="preserve">School Leadership </w:t>
          </w:r>
          <w:r w:rsidR="00250BE9">
            <w:rPr>
              <w:i/>
              <w:iCs/>
              <w:noProof/>
              <w:lang w:val="en-US"/>
            </w:rPr>
            <w:t xml:space="preserve">and </w:t>
          </w:r>
          <w:r>
            <w:rPr>
              <w:i/>
              <w:iCs/>
              <w:noProof/>
              <w:lang w:val="en-US"/>
            </w:rPr>
            <w:t>Management, 39</w:t>
          </w:r>
          <w:r>
            <w:rPr>
              <w:noProof/>
              <w:lang w:val="en-US"/>
            </w:rPr>
            <w:t xml:space="preserve">(1), </w:t>
          </w:r>
          <w:r w:rsidR="00250BE9">
            <w:rPr>
              <w:noProof/>
              <w:lang w:val="en-US"/>
            </w:rPr>
            <w:t>pp</w:t>
          </w:r>
          <w:r>
            <w:rPr>
              <w:noProof/>
              <w:lang w:val="en-US"/>
            </w:rPr>
            <w:t>1-4.</w:t>
          </w:r>
        </w:p>
        <w:p w14:paraId="50C6123C" w14:textId="06354BAE" w:rsidR="00AF556D" w:rsidRDefault="00AF556D" w:rsidP="00AF556D">
          <w:pPr>
            <w:pStyle w:val="Bibliography"/>
            <w:ind w:left="720" w:hanging="720"/>
            <w:rPr>
              <w:noProof/>
              <w:lang w:val="en-US"/>
            </w:rPr>
          </w:pPr>
          <w:r>
            <w:rPr>
              <w:noProof/>
              <w:lang w:val="en-US"/>
            </w:rPr>
            <w:t>Harris, A., Hutt, M., Jones, M.</w:t>
          </w:r>
          <w:r w:rsidR="00250BE9">
            <w:rPr>
              <w:noProof/>
              <w:lang w:val="en-US"/>
            </w:rPr>
            <w:t xml:space="preserve"> and</w:t>
          </w:r>
          <w:r>
            <w:rPr>
              <w:noProof/>
              <w:lang w:val="en-US"/>
            </w:rPr>
            <w:t xml:space="preserve"> Longville, J. (2021)</w:t>
          </w:r>
          <w:r w:rsidR="00250BE9">
            <w:rPr>
              <w:noProof/>
              <w:lang w:val="en-US"/>
            </w:rPr>
            <w:t xml:space="preserve"> </w:t>
          </w:r>
          <w:r>
            <w:rPr>
              <w:i/>
              <w:iCs/>
              <w:noProof/>
              <w:lang w:val="en-US"/>
            </w:rPr>
            <w:t>Independent Review of Leadership Final Report: Research findings and recommendations to support the implementation of our National Professional Learning Entitlement and ensure support for headteachers and leaders in schools.</w:t>
          </w:r>
          <w:r>
            <w:rPr>
              <w:noProof/>
              <w:lang w:val="en-US"/>
            </w:rPr>
            <w:t xml:space="preserve"> </w:t>
          </w:r>
          <w:r w:rsidR="00250BE9">
            <w:rPr>
              <w:noProof/>
              <w:lang w:val="en-US"/>
            </w:rPr>
            <w:t xml:space="preserve">Cardiff: </w:t>
          </w:r>
          <w:r>
            <w:rPr>
              <w:noProof/>
              <w:lang w:val="en-US"/>
            </w:rPr>
            <w:t>W</w:t>
          </w:r>
          <w:r w:rsidR="00250BE9">
            <w:rPr>
              <w:noProof/>
              <w:lang w:val="en-US"/>
            </w:rPr>
            <w:t>el</w:t>
          </w:r>
          <w:r>
            <w:rPr>
              <w:noProof/>
              <w:lang w:val="en-US"/>
            </w:rPr>
            <w:t>sh Government.</w:t>
          </w:r>
        </w:p>
        <w:p w14:paraId="59B6703F" w14:textId="5EB1DEDE" w:rsidR="00AF556D" w:rsidRDefault="00AF556D" w:rsidP="00AF556D">
          <w:pPr>
            <w:pStyle w:val="Bibliography"/>
            <w:ind w:left="720" w:hanging="720"/>
            <w:rPr>
              <w:noProof/>
              <w:lang w:val="en-US"/>
            </w:rPr>
          </w:pPr>
          <w:r>
            <w:rPr>
              <w:noProof/>
              <w:lang w:val="en-US"/>
            </w:rPr>
            <w:lastRenderedPageBreak/>
            <w:t>Hattie, J. (2017)</w:t>
          </w:r>
          <w:r w:rsidR="00250BE9">
            <w:rPr>
              <w:noProof/>
              <w:lang w:val="en-US"/>
            </w:rPr>
            <w:t xml:space="preserve"> </w:t>
          </w:r>
          <w:r>
            <w:rPr>
              <w:i/>
              <w:iCs/>
              <w:noProof/>
              <w:lang w:val="en-US"/>
            </w:rPr>
            <w:t>Hattie Ranking: 252 Influences And Effect Sizes Related To Student Achievement</w:t>
          </w:r>
          <w:r>
            <w:rPr>
              <w:noProof/>
              <w:lang w:val="en-US"/>
            </w:rPr>
            <w:t xml:space="preserve">. </w:t>
          </w:r>
          <w:r w:rsidR="007D591C">
            <w:rPr>
              <w:noProof/>
              <w:lang w:val="en-US"/>
            </w:rPr>
            <w:t>Visible Learning. Available at:</w:t>
          </w:r>
          <w:r>
            <w:rPr>
              <w:noProof/>
              <w:lang w:val="en-US"/>
            </w:rPr>
            <w:t xml:space="preserve"> </w:t>
          </w:r>
          <w:hyperlink r:id="rId17" w:history="1">
            <w:r w:rsidR="00250BE9" w:rsidRPr="00721626">
              <w:rPr>
                <w:rStyle w:val="Hyperlink"/>
                <w:noProof/>
                <w:lang w:val="en-US"/>
              </w:rPr>
              <w:t>https://visible-learning.org/hattie-ranking-influences-effect-sizes-learning-achievement/</w:t>
            </w:r>
          </w:hyperlink>
          <w:r w:rsidR="00250BE9">
            <w:rPr>
              <w:noProof/>
              <w:lang w:val="en-US"/>
            </w:rPr>
            <w:t xml:space="preserve"> </w:t>
          </w:r>
          <w:r w:rsidR="007D591C">
            <w:rPr>
              <w:noProof/>
              <w:lang w:val="en-US"/>
            </w:rPr>
            <w:t xml:space="preserve"> (</w:t>
          </w:r>
          <w:r w:rsidR="007D591C">
            <w:rPr>
              <w:noProof/>
            </w:rPr>
            <w:t>A</w:t>
          </w:r>
          <w:r w:rsidR="007D591C" w:rsidRPr="000C58E7">
            <w:rPr>
              <w:noProof/>
            </w:rPr>
            <w:t xml:space="preserve">ccessed </w:t>
          </w:r>
          <w:r w:rsidR="007D591C">
            <w:rPr>
              <w:noProof/>
            </w:rPr>
            <w:t>12/08/2022</w:t>
          </w:r>
          <w:r w:rsidR="007D591C" w:rsidRPr="000C58E7">
            <w:rPr>
              <w:noProof/>
            </w:rPr>
            <w:t>)</w:t>
          </w:r>
        </w:p>
        <w:p w14:paraId="46FD02AB" w14:textId="20459152" w:rsidR="00AF556D" w:rsidRDefault="00AF556D" w:rsidP="00AF556D">
          <w:pPr>
            <w:pStyle w:val="Bibliography"/>
            <w:ind w:left="720" w:hanging="720"/>
            <w:rPr>
              <w:noProof/>
              <w:lang w:val="en-US"/>
            </w:rPr>
          </w:pPr>
          <w:r>
            <w:rPr>
              <w:noProof/>
              <w:lang w:val="en-US"/>
            </w:rPr>
            <w:t>Hattie, J. (2023).</w:t>
          </w:r>
          <w:r>
            <w:rPr>
              <w:i/>
              <w:iCs/>
              <w:noProof/>
              <w:lang w:val="en-US"/>
            </w:rPr>
            <w:t>Visible Learning – The Sequel 2023.</w:t>
          </w:r>
          <w:r>
            <w:rPr>
              <w:noProof/>
              <w:lang w:val="en-US"/>
            </w:rPr>
            <w:t xml:space="preserve"> Oxford: Routledge.</w:t>
          </w:r>
        </w:p>
        <w:p w14:paraId="735C3588" w14:textId="47224A45" w:rsidR="00AF556D" w:rsidRDefault="00AF556D" w:rsidP="00AF556D">
          <w:pPr>
            <w:pStyle w:val="Bibliography"/>
            <w:ind w:left="720" w:hanging="720"/>
            <w:rPr>
              <w:noProof/>
              <w:lang w:val="en-US"/>
            </w:rPr>
          </w:pPr>
          <w:r>
            <w:rPr>
              <w:noProof/>
              <w:lang w:val="en-US"/>
            </w:rPr>
            <w:t xml:space="preserve">Headteachers, N. A. (2021) </w:t>
          </w:r>
          <w:r>
            <w:rPr>
              <w:i/>
              <w:iCs/>
              <w:noProof/>
              <w:lang w:val="en-US"/>
            </w:rPr>
            <w:t>NAHT Cymru survey: Pupils and staff would benefit from more time before new curriculum rollout.</w:t>
          </w:r>
          <w:r>
            <w:rPr>
              <w:noProof/>
              <w:lang w:val="en-US"/>
            </w:rPr>
            <w:t xml:space="preserve"> NAHT The School Leader's Union</w:t>
          </w:r>
          <w:r w:rsidR="007D591C">
            <w:rPr>
              <w:noProof/>
              <w:lang w:val="en-US"/>
            </w:rPr>
            <w:t xml:space="preserve">. Available at: </w:t>
          </w:r>
          <w:r>
            <w:rPr>
              <w:noProof/>
              <w:lang w:val="en-US"/>
            </w:rPr>
            <w:t xml:space="preserve"> </w:t>
          </w:r>
          <w:hyperlink r:id="rId18" w:history="1">
            <w:r w:rsidR="00250BE9" w:rsidRPr="00721626">
              <w:rPr>
                <w:rStyle w:val="Hyperlink"/>
                <w:noProof/>
                <w:lang w:val="en-US"/>
              </w:rPr>
              <w:t>https://www.naht.org.uk/News/Latest-comments/News/ArtMID/556/ArticleID/1180/NAHT-Cymru-survey-Pupils-and-staff-would-benefit-from-more-time-before-new-curriculum-rollout</w:t>
            </w:r>
          </w:hyperlink>
          <w:r w:rsidR="00250BE9">
            <w:rPr>
              <w:noProof/>
              <w:lang w:val="en-US"/>
            </w:rPr>
            <w:t xml:space="preserve"> </w:t>
          </w:r>
          <w:r w:rsidR="007D591C">
            <w:rPr>
              <w:noProof/>
              <w:lang w:val="en-US"/>
            </w:rPr>
            <w:t xml:space="preserve"> (</w:t>
          </w:r>
          <w:r w:rsidR="007D591C">
            <w:rPr>
              <w:noProof/>
            </w:rPr>
            <w:t>A</w:t>
          </w:r>
          <w:r w:rsidR="007D591C" w:rsidRPr="000C58E7">
            <w:rPr>
              <w:noProof/>
            </w:rPr>
            <w:t xml:space="preserve">ccessed </w:t>
          </w:r>
          <w:r w:rsidR="007D591C">
            <w:rPr>
              <w:noProof/>
            </w:rPr>
            <w:t>15/07/2023</w:t>
          </w:r>
          <w:r w:rsidR="007D591C" w:rsidRPr="000C58E7">
            <w:rPr>
              <w:noProof/>
            </w:rPr>
            <w:t>)</w:t>
          </w:r>
        </w:p>
        <w:p w14:paraId="337E9353" w14:textId="1D72BDDD" w:rsidR="00AF556D" w:rsidRDefault="00AF556D" w:rsidP="00AF556D">
          <w:pPr>
            <w:pStyle w:val="Bibliography"/>
            <w:ind w:left="720" w:hanging="720"/>
            <w:rPr>
              <w:noProof/>
              <w:lang w:val="en-US"/>
            </w:rPr>
          </w:pPr>
          <w:r>
            <w:rPr>
              <w:noProof/>
              <w:lang w:val="en-US"/>
            </w:rPr>
            <w:t>Holland, B. T. (2022)</w:t>
          </w:r>
          <w:r w:rsidR="00250BE9">
            <w:rPr>
              <w:noProof/>
              <w:lang w:val="en-US"/>
            </w:rPr>
            <w:t xml:space="preserve"> </w:t>
          </w:r>
          <w:r>
            <w:rPr>
              <w:noProof/>
              <w:lang w:val="en-US"/>
            </w:rPr>
            <w:t xml:space="preserve"> </w:t>
          </w:r>
          <w:r>
            <w:rPr>
              <w:i/>
              <w:iCs/>
              <w:noProof/>
              <w:lang w:val="en-US"/>
            </w:rPr>
            <w:t>Keys to Successful Professional Learning</w:t>
          </w:r>
          <w:r>
            <w:rPr>
              <w:noProof/>
              <w:lang w:val="en-US"/>
            </w:rPr>
            <w:t>. Edutopia</w:t>
          </w:r>
          <w:r w:rsidR="007D591C">
            <w:rPr>
              <w:noProof/>
              <w:lang w:val="en-US"/>
            </w:rPr>
            <w:t xml:space="preserve">. Available at: </w:t>
          </w:r>
          <w:hyperlink r:id="rId19" w:history="1">
            <w:r w:rsidR="007D591C" w:rsidRPr="004C51FF">
              <w:rPr>
                <w:rStyle w:val="Hyperlink"/>
                <w:noProof/>
                <w:lang w:val="en-US"/>
              </w:rPr>
              <w:t>https://www.edutopia.org/article/keys-successful-professional-learning/</w:t>
            </w:r>
          </w:hyperlink>
          <w:r w:rsidR="00BC6CA3">
            <w:rPr>
              <w:noProof/>
              <w:lang w:val="en-US"/>
            </w:rPr>
            <w:t xml:space="preserve"> </w:t>
          </w:r>
          <w:r w:rsidR="007D591C">
            <w:rPr>
              <w:noProof/>
              <w:lang w:val="en-US"/>
            </w:rPr>
            <w:t xml:space="preserve">  (</w:t>
          </w:r>
          <w:r w:rsidR="007D591C">
            <w:rPr>
              <w:noProof/>
            </w:rPr>
            <w:t>A</w:t>
          </w:r>
          <w:r w:rsidR="007D591C" w:rsidRPr="000C58E7">
            <w:rPr>
              <w:noProof/>
            </w:rPr>
            <w:t xml:space="preserve">ccessed </w:t>
          </w:r>
          <w:r w:rsidR="007D591C">
            <w:rPr>
              <w:noProof/>
            </w:rPr>
            <w:t>12/08/2022</w:t>
          </w:r>
          <w:r w:rsidR="007D591C" w:rsidRPr="000C58E7">
            <w:rPr>
              <w:noProof/>
            </w:rPr>
            <w:t>)</w:t>
          </w:r>
        </w:p>
        <w:p w14:paraId="19E6A6CE" w14:textId="522B473B" w:rsidR="00AF556D" w:rsidRDefault="00AF556D" w:rsidP="00AF556D">
          <w:pPr>
            <w:pStyle w:val="Bibliography"/>
            <w:ind w:left="720" w:hanging="720"/>
            <w:rPr>
              <w:noProof/>
              <w:lang w:val="en-US"/>
            </w:rPr>
          </w:pPr>
          <w:r>
            <w:rPr>
              <w:noProof/>
              <w:lang w:val="en-US"/>
            </w:rPr>
            <w:t>Hughes, S. (2016) Reforming the curriculum and teacher training</w:t>
          </w:r>
          <w:r w:rsidR="00250BE9">
            <w:rPr>
              <w:noProof/>
              <w:lang w:val="en-US"/>
            </w:rPr>
            <w:t>, in</w:t>
          </w:r>
          <w:r w:rsidR="00250BE9">
            <w:t xml:space="preserve"> Henderson, E. and Iorwerth, R. </w:t>
          </w:r>
          <w:r>
            <w:rPr>
              <w:i/>
              <w:iCs/>
              <w:noProof/>
              <w:lang w:val="en-US"/>
            </w:rPr>
            <w:t>Key Issues for the Fifth Assembly</w:t>
          </w:r>
          <w:r w:rsidR="00250BE9">
            <w:rPr>
              <w:noProof/>
              <w:lang w:val="en-US"/>
            </w:rPr>
            <w:t>, pp 62-54. Cardiff: National Assembly for Wales.</w:t>
          </w:r>
        </w:p>
        <w:p w14:paraId="4099E389" w14:textId="77DE43FD" w:rsidR="00AF556D" w:rsidRDefault="00AF556D" w:rsidP="00AF556D">
          <w:pPr>
            <w:pStyle w:val="Bibliography"/>
            <w:ind w:left="720" w:hanging="720"/>
            <w:rPr>
              <w:noProof/>
              <w:lang w:val="en-US"/>
            </w:rPr>
          </w:pPr>
          <w:r>
            <w:rPr>
              <w:noProof/>
              <w:lang w:val="en-US"/>
            </w:rPr>
            <w:t>Hughson, T. (2022)</w:t>
          </w:r>
          <w:r w:rsidR="00BC6CA3">
            <w:rPr>
              <w:noProof/>
              <w:lang w:val="en-US"/>
            </w:rPr>
            <w:t xml:space="preserve"> </w:t>
          </w:r>
          <w:r>
            <w:rPr>
              <w:noProof/>
              <w:lang w:val="en-US"/>
            </w:rPr>
            <w:t xml:space="preserve">Disrupting Aotearoa New Zealand’s Curricular Consensus: From ‘World-Leading’ Curriculum to Curriculum Refresh 2007–2021. </w:t>
          </w:r>
          <w:r>
            <w:rPr>
              <w:i/>
              <w:iCs/>
              <w:noProof/>
              <w:lang w:val="en-US"/>
            </w:rPr>
            <w:t>NZ Journal of Education Studies , 57</w:t>
          </w:r>
          <w:r>
            <w:rPr>
              <w:noProof/>
              <w:lang w:val="en-US"/>
            </w:rPr>
            <w:t xml:space="preserve">, </w:t>
          </w:r>
          <w:r w:rsidR="00BC6CA3">
            <w:rPr>
              <w:noProof/>
              <w:lang w:val="en-US"/>
            </w:rPr>
            <w:t>pp</w:t>
          </w:r>
          <w:r>
            <w:rPr>
              <w:noProof/>
              <w:lang w:val="en-US"/>
            </w:rPr>
            <w:t>53-67.</w:t>
          </w:r>
        </w:p>
        <w:p w14:paraId="6ABAC92C" w14:textId="63195ED4" w:rsidR="00AF556D" w:rsidRDefault="00AF556D" w:rsidP="00AF556D">
          <w:pPr>
            <w:pStyle w:val="Bibliography"/>
            <w:ind w:left="720" w:hanging="720"/>
            <w:rPr>
              <w:noProof/>
              <w:lang w:val="en-US"/>
            </w:rPr>
          </w:pPr>
          <w:r>
            <w:rPr>
              <w:noProof/>
              <w:lang w:val="en-US"/>
            </w:rPr>
            <w:t>Jacob, R., Hill, H.</w:t>
          </w:r>
          <w:r w:rsidR="00BC6CA3">
            <w:rPr>
              <w:noProof/>
              <w:lang w:val="en-US"/>
            </w:rPr>
            <w:t xml:space="preserve"> and</w:t>
          </w:r>
          <w:r>
            <w:rPr>
              <w:noProof/>
              <w:lang w:val="en-US"/>
            </w:rPr>
            <w:t xml:space="preserve"> Corey, D. (2017) The impact of a professional development programme on teachers mathematical knowedge for teaching, instruction and student achievement. </w:t>
          </w:r>
          <w:r>
            <w:rPr>
              <w:i/>
              <w:iCs/>
              <w:noProof/>
              <w:lang w:val="en-US"/>
            </w:rPr>
            <w:t>Journal of Research on Educationsl Effectoveness, 10</w:t>
          </w:r>
          <w:r>
            <w:rPr>
              <w:noProof/>
              <w:lang w:val="en-US"/>
            </w:rPr>
            <w:t xml:space="preserve">(2), </w:t>
          </w:r>
          <w:r w:rsidR="00BC6CA3">
            <w:rPr>
              <w:noProof/>
              <w:lang w:val="en-US"/>
            </w:rPr>
            <w:t>pp</w:t>
          </w:r>
          <w:r>
            <w:rPr>
              <w:noProof/>
              <w:lang w:val="en-US"/>
            </w:rPr>
            <w:t>379-407.</w:t>
          </w:r>
        </w:p>
        <w:p w14:paraId="1AC484FD" w14:textId="3BB8B11B" w:rsidR="00AF556D" w:rsidRDefault="00AF556D" w:rsidP="00AF556D">
          <w:pPr>
            <w:pStyle w:val="Bibliography"/>
            <w:ind w:left="720" w:hanging="720"/>
            <w:rPr>
              <w:noProof/>
              <w:lang w:val="en-US"/>
            </w:rPr>
          </w:pPr>
          <w:r>
            <w:rPr>
              <w:noProof/>
              <w:lang w:val="en-US"/>
            </w:rPr>
            <w:t>Kilminster, S., Zukas, M., Bradbury, H.</w:t>
          </w:r>
          <w:r w:rsidR="00BC6CA3">
            <w:rPr>
              <w:noProof/>
              <w:lang w:val="en-US"/>
            </w:rPr>
            <w:t xml:space="preserve"> and </w:t>
          </w:r>
          <w:r>
            <w:rPr>
              <w:noProof/>
              <w:lang w:val="en-US"/>
            </w:rPr>
            <w:t xml:space="preserve"> Frost, N. (2010) Introduction and Overview. In H. Bradbury, N. Frost, S. Kilminster, </w:t>
          </w:r>
          <w:r w:rsidR="00BC6CA3">
            <w:rPr>
              <w:noProof/>
              <w:lang w:val="en-US"/>
            </w:rPr>
            <w:t xml:space="preserve">and </w:t>
          </w:r>
          <w:r>
            <w:rPr>
              <w:noProof/>
              <w:lang w:val="en-US"/>
            </w:rPr>
            <w:t xml:space="preserve"> M. Zukas, </w:t>
          </w:r>
          <w:r>
            <w:rPr>
              <w:i/>
              <w:iCs/>
              <w:noProof/>
              <w:lang w:val="en-US"/>
            </w:rPr>
            <w:t>Beyond Reflective Practice. New approaches to Professional Lifelong Learning</w:t>
          </w:r>
          <w:r w:rsidR="00BC6CA3">
            <w:rPr>
              <w:noProof/>
              <w:lang w:val="en-US"/>
            </w:rPr>
            <w:t xml:space="preserve">, </w:t>
          </w:r>
          <w:r>
            <w:rPr>
              <w:noProof/>
              <w:lang w:val="en-US"/>
            </w:rPr>
            <w:t>pp. 2-3. London: Routledge.</w:t>
          </w:r>
        </w:p>
        <w:p w14:paraId="1638CCE1" w14:textId="1BD9CC5C" w:rsidR="00AF556D" w:rsidRDefault="00AF556D" w:rsidP="00AF556D">
          <w:pPr>
            <w:pStyle w:val="Bibliography"/>
            <w:ind w:left="720" w:hanging="720"/>
            <w:rPr>
              <w:noProof/>
              <w:lang w:val="en-US"/>
            </w:rPr>
          </w:pPr>
          <w:r>
            <w:rPr>
              <w:noProof/>
              <w:lang w:val="en-US"/>
            </w:rPr>
            <w:t>Kraft, M. B. (2018)</w:t>
          </w:r>
          <w:r w:rsidR="00BC6CA3">
            <w:rPr>
              <w:noProof/>
              <w:lang w:val="en-US"/>
            </w:rPr>
            <w:t xml:space="preserve"> </w:t>
          </w:r>
          <w:r>
            <w:rPr>
              <w:noProof/>
              <w:lang w:val="en-US"/>
            </w:rPr>
            <w:t xml:space="preserve">The effect of teacher coaching on Instruction and Achievement:A meta-analysis of the causal evidence. </w:t>
          </w:r>
          <w:r>
            <w:rPr>
              <w:i/>
              <w:iCs/>
              <w:noProof/>
              <w:lang w:val="en-US"/>
            </w:rPr>
            <w:t>American Educational Research association, 88</w:t>
          </w:r>
          <w:r>
            <w:rPr>
              <w:noProof/>
              <w:lang w:val="en-US"/>
            </w:rPr>
            <w:t xml:space="preserve">(4), </w:t>
          </w:r>
          <w:r w:rsidR="00BC6CA3">
            <w:rPr>
              <w:noProof/>
              <w:lang w:val="en-US"/>
            </w:rPr>
            <w:t>pp</w:t>
          </w:r>
          <w:r>
            <w:rPr>
              <w:noProof/>
              <w:lang w:val="en-US"/>
            </w:rPr>
            <w:t>547-588.</w:t>
          </w:r>
        </w:p>
        <w:p w14:paraId="1C189C0C" w14:textId="0E0E35FB" w:rsidR="00AF556D" w:rsidRDefault="00AF556D" w:rsidP="00AF556D">
          <w:pPr>
            <w:pStyle w:val="Bibliography"/>
            <w:ind w:left="720" w:hanging="720"/>
            <w:rPr>
              <w:noProof/>
              <w:lang w:val="en-US"/>
            </w:rPr>
          </w:pPr>
          <w:r>
            <w:rPr>
              <w:noProof/>
              <w:lang w:val="en-US"/>
            </w:rPr>
            <w:t>Krosnick, J. A. (2010) Question and questionnaire design</w:t>
          </w:r>
          <w:r w:rsidR="00BC6CA3">
            <w:rPr>
              <w:noProof/>
              <w:lang w:val="en-US"/>
            </w:rPr>
            <w:t>, in</w:t>
          </w:r>
          <w:r>
            <w:rPr>
              <w:noProof/>
              <w:lang w:val="en-US"/>
            </w:rPr>
            <w:t xml:space="preserve"> P. M. (eds), </w:t>
          </w:r>
          <w:r>
            <w:rPr>
              <w:i/>
              <w:iCs/>
              <w:noProof/>
              <w:lang w:val="en-US"/>
            </w:rPr>
            <w:t>Handbook of Survey Research.</w:t>
          </w:r>
          <w:r>
            <w:rPr>
              <w:noProof/>
              <w:lang w:val="en-US"/>
            </w:rPr>
            <w:t xml:space="preserve"> (pp263-313). Bingley, UK: Emerald Group Publishing Ltd.</w:t>
          </w:r>
        </w:p>
        <w:p w14:paraId="38917EE2" w14:textId="1FB69185" w:rsidR="00AF556D" w:rsidRDefault="00AF556D" w:rsidP="00AF556D">
          <w:pPr>
            <w:pStyle w:val="Bibliography"/>
            <w:ind w:left="720" w:hanging="720"/>
            <w:rPr>
              <w:noProof/>
              <w:lang w:val="en-US"/>
            </w:rPr>
          </w:pPr>
          <w:r>
            <w:rPr>
              <w:noProof/>
              <w:lang w:val="en-US"/>
            </w:rPr>
            <w:t>Lofthouse, R., Leat, D.</w:t>
          </w:r>
          <w:r w:rsidR="00BC6CA3">
            <w:rPr>
              <w:noProof/>
              <w:lang w:val="en-US"/>
            </w:rPr>
            <w:t xml:space="preserve"> and </w:t>
          </w:r>
          <w:r>
            <w:rPr>
              <w:noProof/>
              <w:lang w:val="en-US"/>
            </w:rPr>
            <w:t xml:space="preserve">Towler, C. (2010) </w:t>
          </w:r>
          <w:r>
            <w:rPr>
              <w:i/>
              <w:iCs/>
              <w:noProof/>
              <w:lang w:val="en-US"/>
            </w:rPr>
            <w:t>Coaching for teaching and learning: a practical guide for schools.</w:t>
          </w:r>
          <w:r>
            <w:rPr>
              <w:noProof/>
              <w:lang w:val="en-US"/>
            </w:rPr>
            <w:t xml:space="preserve"> Reading: CfBT Education Trust.</w:t>
          </w:r>
        </w:p>
        <w:p w14:paraId="1F315878" w14:textId="55EA7C1C" w:rsidR="00BC6CA3" w:rsidRDefault="00BC6CA3" w:rsidP="00BC6CA3">
          <w:pPr>
            <w:pStyle w:val="Bibliography"/>
            <w:ind w:left="720" w:hanging="720"/>
            <w:rPr>
              <w:noProof/>
              <w:lang w:val="en-US"/>
            </w:rPr>
          </w:pPr>
          <w:r>
            <w:rPr>
              <w:noProof/>
              <w:lang w:val="en-US"/>
            </w:rPr>
            <w:t xml:space="preserve">MacLellan, P. (2016) </w:t>
          </w:r>
          <w:r>
            <w:rPr>
              <w:i/>
              <w:iCs/>
              <w:noProof/>
              <w:lang w:val="en-US"/>
            </w:rPr>
            <w:t>Why don't teachers use education research in teaching?</w:t>
          </w:r>
          <w:r>
            <w:rPr>
              <w:noProof/>
              <w:lang w:val="en-US"/>
            </w:rPr>
            <w:t xml:space="preserve"> Royal Society of Chemistry: Education in Chemistry</w:t>
          </w:r>
          <w:r w:rsidR="00386597">
            <w:rPr>
              <w:noProof/>
              <w:lang w:val="en-US"/>
            </w:rPr>
            <w:t xml:space="preserve">.   </w:t>
          </w:r>
        </w:p>
        <w:p w14:paraId="40BD788C" w14:textId="4273F115" w:rsidR="00AF556D" w:rsidRDefault="00AF556D" w:rsidP="00AF556D">
          <w:pPr>
            <w:pStyle w:val="Bibliography"/>
            <w:ind w:left="720" w:hanging="720"/>
            <w:rPr>
              <w:noProof/>
              <w:lang w:val="en-US"/>
            </w:rPr>
          </w:pPr>
          <w:r>
            <w:rPr>
              <w:noProof/>
              <w:lang w:val="en-US"/>
            </w:rPr>
            <w:t>Megginson, D.</w:t>
          </w:r>
          <w:r w:rsidR="00BC6CA3">
            <w:rPr>
              <w:noProof/>
              <w:lang w:val="en-US"/>
            </w:rPr>
            <w:t xml:space="preserve"> and </w:t>
          </w:r>
          <w:r>
            <w:rPr>
              <w:noProof/>
              <w:lang w:val="en-US"/>
            </w:rPr>
            <w:t xml:space="preserve">Whitaker, V. (2007) </w:t>
          </w:r>
          <w:r>
            <w:rPr>
              <w:i/>
              <w:iCs/>
              <w:noProof/>
              <w:lang w:val="en-US"/>
            </w:rPr>
            <w:t>Continuing Professional Development</w:t>
          </w:r>
          <w:r>
            <w:rPr>
              <w:noProof/>
              <w:lang w:val="en-US"/>
            </w:rPr>
            <w:t xml:space="preserve"> (2 ed.). London: Chartered Institute of Personnel and Development.</w:t>
          </w:r>
        </w:p>
        <w:p w14:paraId="3FC66189" w14:textId="22EA4A60" w:rsidR="00AF556D" w:rsidRDefault="00AF556D" w:rsidP="00AF556D">
          <w:pPr>
            <w:pStyle w:val="Bibliography"/>
            <w:ind w:left="720" w:hanging="720"/>
            <w:rPr>
              <w:noProof/>
              <w:lang w:val="en-US"/>
            </w:rPr>
          </w:pPr>
          <w:r>
            <w:rPr>
              <w:noProof/>
              <w:lang w:val="en-US"/>
            </w:rPr>
            <w:t>Miles, J. (2021</w:t>
          </w:r>
          <w:r w:rsidR="00BC6CA3">
            <w:rPr>
              <w:noProof/>
              <w:lang w:val="en-US"/>
            </w:rPr>
            <w:t>)</w:t>
          </w:r>
          <w:r>
            <w:rPr>
              <w:noProof/>
              <w:lang w:val="en-US"/>
            </w:rPr>
            <w:t xml:space="preserve"> More support to press on with curriculum reform. Cardiff: Welsh Government</w:t>
          </w:r>
          <w:r w:rsidR="00BC6CA3">
            <w:rPr>
              <w:noProof/>
              <w:lang w:val="en-US"/>
            </w:rPr>
            <w:t>.</w:t>
          </w:r>
        </w:p>
        <w:p w14:paraId="389893F8" w14:textId="3225366B" w:rsidR="00AF556D" w:rsidRDefault="00AF556D" w:rsidP="00AF556D">
          <w:pPr>
            <w:pStyle w:val="Bibliography"/>
            <w:ind w:left="720" w:hanging="720"/>
            <w:rPr>
              <w:noProof/>
              <w:lang w:val="en-US"/>
            </w:rPr>
          </w:pPr>
          <w:r>
            <w:rPr>
              <w:noProof/>
              <w:lang w:val="en-US"/>
            </w:rPr>
            <w:t xml:space="preserve">Miles, J. (2022) </w:t>
          </w:r>
          <w:r w:rsidRPr="00BC6CA3">
            <w:rPr>
              <w:i/>
              <w:iCs/>
              <w:noProof/>
              <w:lang w:val="en-US"/>
            </w:rPr>
            <w:t>Curriculum for Wales: towards September 2022: what you need to know and do</w:t>
          </w:r>
          <w:r w:rsidR="00BC6CA3">
            <w:rPr>
              <w:i/>
              <w:iCs/>
              <w:noProof/>
              <w:lang w:val="en-US"/>
            </w:rPr>
            <w:t xml:space="preserve"> </w:t>
          </w:r>
          <w:r>
            <w:rPr>
              <w:noProof/>
              <w:lang w:val="en-US"/>
            </w:rPr>
            <w:t xml:space="preserve"> Speech by Jeremy Miles, Minister for Education and Welsh Language.</w:t>
          </w:r>
        </w:p>
        <w:p w14:paraId="50716AB5" w14:textId="0104ECBB" w:rsidR="00AF556D" w:rsidRDefault="00AF556D" w:rsidP="00AF556D">
          <w:pPr>
            <w:pStyle w:val="Bibliography"/>
            <w:ind w:left="720" w:hanging="720"/>
            <w:rPr>
              <w:noProof/>
              <w:lang w:val="en-US"/>
            </w:rPr>
          </w:pPr>
          <w:r>
            <w:rPr>
              <w:noProof/>
              <w:lang w:val="en-US"/>
            </w:rPr>
            <w:t xml:space="preserve">Miller, B., &amp; Pasley, J. (2012) What do we know and how well do we know it? Identifying practice-based insights in education. </w:t>
          </w:r>
          <w:r>
            <w:rPr>
              <w:i/>
              <w:iCs/>
              <w:noProof/>
              <w:lang w:val="en-US"/>
            </w:rPr>
            <w:t>Evidence &amp; Policy, 8</w:t>
          </w:r>
          <w:r>
            <w:rPr>
              <w:noProof/>
              <w:lang w:val="en-US"/>
            </w:rPr>
            <w:t xml:space="preserve">(2), </w:t>
          </w:r>
          <w:r w:rsidR="00BC6CA3">
            <w:rPr>
              <w:noProof/>
              <w:lang w:val="en-US"/>
            </w:rPr>
            <w:t>pp</w:t>
          </w:r>
          <w:r>
            <w:rPr>
              <w:noProof/>
              <w:lang w:val="en-US"/>
            </w:rPr>
            <w:t>193-212.</w:t>
          </w:r>
        </w:p>
        <w:p w14:paraId="2A1784E3" w14:textId="54B0C05A" w:rsidR="00AF556D" w:rsidRDefault="00AF556D" w:rsidP="00AF556D">
          <w:pPr>
            <w:pStyle w:val="Bibliography"/>
            <w:ind w:left="720" w:hanging="720"/>
            <w:rPr>
              <w:noProof/>
              <w:lang w:val="en-US"/>
            </w:rPr>
          </w:pPr>
          <w:r>
            <w:rPr>
              <w:noProof/>
              <w:lang w:val="en-US"/>
            </w:rPr>
            <w:t xml:space="preserve">Morgan, R. (2002) </w:t>
          </w:r>
          <w:r w:rsidRPr="00BC6CA3">
            <w:rPr>
              <w:i/>
              <w:iCs/>
              <w:noProof/>
              <w:lang w:val="en-US"/>
            </w:rPr>
            <w:t>Speech to the National Centre for Public Policy Swansea.</w:t>
          </w:r>
          <w:r>
            <w:rPr>
              <w:noProof/>
              <w:lang w:val="en-US"/>
            </w:rPr>
            <w:t xml:space="preserve"> Swansea.</w:t>
          </w:r>
        </w:p>
        <w:p w14:paraId="6351B7DA" w14:textId="1596B18F" w:rsidR="00AF556D" w:rsidRDefault="00AF556D" w:rsidP="00AF556D">
          <w:pPr>
            <w:pStyle w:val="Bibliography"/>
            <w:ind w:left="720" w:hanging="720"/>
            <w:rPr>
              <w:noProof/>
              <w:lang w:val="en-US"/>
            </w:rPr>
          </w:pPr>
          <w:r>
            <w:rPr>
              <w:noProof/>
              <w:lang w:val="en-US"/>
            </w:rPr>
            <w:lastRenderedPageBreak/>
            <w:t>National Assembly for Wales Children, Young People and Educaion Committee</w:t>
          </w:r>
          <w:r w:rsidR="00BC6CA3">
            <w:rPr>
              <w:noProof/>
              <w:lang w:val="en-US"/>
            </w:rPr>
            <w:t xml:space="preserve"> </w:t>
          </w:r>
          <w:r>
            <w:rPr>
              <w:noProof/>
              <w:lang w:val="en-US"/>
            </w:rPr>
            <w:t xml:space="preserve">(2017) </w:t>
          </w:r>
          <w:r>
            <w:rPr>
              <w:i/>
              <w:iCs/>
              <w:noProof/>
              <w:lang w:val="en-US"/>
            </w:rPr>
            <w:t>Report on the Teachers’ Professional Learning and Education inquiry.</w:t>
          </w:r>
          <w:r>
            <w:rPr>
              <w:noProof/>
              <w:lang w:val="en-US"/>
            </w:rPr>
            <w:t xml:space="preserve"> Cardiff: National Assembly for Wales.</w:t>
          </w:r>
        </w:p>
        <w:p w14:paraId="510719A9" w14:textId="54385C3E" w:rsidR="00AF556D" w:rsidRDefault="00AF556D" w:rsidP="00AF556D">
          <w:pPr>
            <w:pStyle w:val="Bibliography"/>
            <w:ind w:left="720" w:hanging="720"/>
            <w:rPr>
              <w:noProof/>
              <w:lang w:val="en-US"/>
            </w:rPr>
          </w:pPr>
          <w:r>
            <w:rPr>
              <w:noProof/>
              <w:lang w:val="en-US"/>
            </w:rPr>
            <w:t>Negrin, K. A., Slaughter, S. E., Dahlke, S.</w:t>
          </w:r>
          <w:r w:rsidR="00BC6CA3">
            <w:rPr>
              <w:noProof/>
              <w:lang w:val="en-US"/>
            </w:rPr>
            <w:t xml:space="preserve"> and</w:t>
          </w:r>
          <w:r>
            <w:rPr>
              <w:noProof/>
              <w:lang w:val="en-US"/>
            </w:rPr>
            <w:t xml:space="preserve"> Olson, J. (2022) Successful Recruitment to Qualitative Research: A Critical Reflection.  </w:t>
          </w:r>
          <w:r>
            <w:rPr>
              <w:i/>
              <w:iCs/>
              <w:noProof/>
              <w:lang w:val="en-US"/>
            </w:rPr>
            <w:t>International Journal of Qualitative Methods, 21</w:t>
          </w:r>
          <w:r>
            <w:rPr>
              <w:noProof/>
              <w:lang w:val="en-US"/>
            </w:rPr>
            <w:t>.</w:t>
          </w:r>
        </w:p>
        <w:p w14:paraId="18703EB7" w14:textId="0C002EE7" w:rsidR="00AF556D" w:rsidRDefault="00AF556D" w:rsidP="00AF556D">
          <w:pPr>
            <w:pStyle w:val="Bibliography"/>
            <w:ind w:left="720" w:hanging="720"/>
            <w:rPr>
              <w:noProof/>
              <w:lang w:val="en-US"/>
            </w:rPr>
          </w:pPr>
          <w:r>
            <w:rPr>
              <w:noProof/>
              <w:lang w:val="en-US"/>
            </w:rPr>
            <w:t>N</w:t>
          </w:r>
          <w:r w:rsidR="00BC6CA3">
            <w:rPr>
              <w:noProof/>
              <w:lang w:val="en-US"/>
            </w:rPr>
            <w:t xml:space="preserve">ew </w:t>
          </w:r>
          <w:r>
            <w:rPr>
              <w:noProof/>
              <w:lang w:val="en-US"/>
            </w:rPr>
            <w:t>S</w:t>
          </w:r>
          <w:r w:rsidR="00BC6CA3">
            <w:rPr>
              <w:noProof/>
              <w:lang w:val="en-US"/>
            </w:rPr>
            <w:t xml:space="preserve">outh </w:t>
          </w:r>
          <w:r>
            <w:rPr>
              <w:noProof/>
              <w:lang w:val="en-US"/>
            </w:rPr>
            <w:t>W</w:t>
          </w:r>
          <w:r w:rsidR="00BC6CA3">
            <w:rPr>
              <w:noProof/>
              <w:lang w:val="en-US"/>
            </w:rPr>
            <w:t>ales Government</w:t>
          </w:r>
          <w:r>
            <w:rPr>
              <w:noProof/>
              <w:lang w:val="en-US"/>
            </w:rPr>
            <w:t xml:space="preserve"> (2022)</w:t>
          </w:r>
          <w:r w:rsidR="00BC6CA3">
            <w:rPr>
              <w:noProof/>
              <w:lang w:val="en-US"/>
            </w:rPr>
            <w:t xml:space="preserve">  </w:t>
          </w:r>
          <w:r>
            <w:rPr>
              <w:i/>
              <w:iCs/>
              <w:noProof/>
              <w:lang w:val="en-US"/>
            </w:rPr>
            <w:t>What is high impact professional learning?</w:t>
          </w:r>
          <w:r>
            <w:rPr>
              <w:noProof/>
              <w:lang w:val="en-US"/>
            </w:rPr>
            <w:t xml:space="preserve"> </w:t>
          </w:r>
          <w:r w:rsidR="007D591C">
            <w:rPr>
              <w:noProof/>
              <w:lang w:val="en-US"/>
            </w:rPr>
            <w:t xml:space="preserve"> Available at:</w:t>
          </w:r>
          <w:r>
            <w:rPr>
              <w:noProof/>
              <w:lang w:val="en-US"/>
            </w:rPr>
            <w:t xml:space="preserve">: </w:t>
          </w:r>
          <w:hyperlink r:id="rId20" w:anchor=":~:text=The%20High%20Impact%20Professional%20Learning%20%28HIPL%29%20model%20is,elements%20of%20the%20High%20Impact%20Professional%20Le" w:history="1">
            <w:r w:rsidR="00BC6CA3" w:rsidRPr="00721626">
              <w:rPr>
                <w:rStyle w:val="Hyperlink"/>
                <w:noProof/>
                <w:lang w:val="en-US"/>
              </w:rPr>
              <w:t>https://education.nsw.gov.au/teaching-and-learning/professional-learning/high-impact-professional-learning/what-is-hipl#:~:text=The%20High%20Impact%20Professional%20Learning%20%28HIPL%29%20model%20is,elements%20of%20the%20High%20Impact%20Professional%20Le</w:t>
            </w:r>
          </w:hyperlink>
          <w:r w:rsidR="00BC6CA3">
            <w:rPr>
              <w:noProof/>
              <w:lang w:val="en-US"/>
            </w:rPr>
            <w:t xml:space="preserve"> </w:t>
          </w:r>
          <w:r w:rsidR="007D591C">
            <w:rPr>
              <w:noProof/>
              <w:lang w:val="en-US"/>
            </w:rPr>
            <w:t xml:space="preserve"> (</w:t>
          </w:r>
          <w:r w:rsidR="007D591C">
            <w:rPr>
              <w:noProof/>
            </w:rPr>
            <w:t>A</w:t>
          </w:r>
          <w:r w:rsidR="007D591C" w:rsidRPr="000C58E7">
            <w:rPr>
              <w:noProof/>
            </w:rPr>
            <w:t xml:space="preserve">ccessed </w:t>
          </w:r>
          <w:r w:rsidR="007D591C">
            <w:rPr>
              <w:noProof/>
            </w:rPr>
            <w:t>15/07/2023</w:t>
          </w:r>
          <w:r w:rsidR="007D591C" w:rsidRPr="000C58E7">
            <w:rPr>
              <w:noProof/>
            </w:rPr>
            <w:t>)</w:t>
          </w:r>
        </w:p>
        <w:p w14:paraId="2522AF8D" w14:textId="38476605" w:rsidR="00AF556D" w:rsidRDefault="00AF556D" w:rsidP="00AF556D">
          <w:pPr>
            <w:pStyle w:val="Bibliography"/>
            <w:ind w:left="720" w:hanging="720"/>
            <w:rPr>
              <w:noProof/>
              <w:lang w:val="en-US"/>
            </w:rPr>
          </w:pPr>
          <w:r>
            <w:rPr>
              <w:noProof/>
              <w:lang w:val="en-US"/>
            </w:rPr>
            <w:t xml:space="preserve">OECD (2014) </w:t>
          </w:r>
          <w:r>
            <w:rPr>
              <w:i/>
              <w:iCs/>
              <w:noProof/>
              <w:lang w:val="en-US"/>
            </w:rPr>
            <w:t>Improving Schools in Wales: An OECD Perspective.</w:t>
          </w:r>
          <w:r>
            <w:rPr>
              <w:noProof/>
              <w:lang w:val="en-US"/>
            </w:rPr>
            <w:t xml:space="preserve"> Paris: OECD.</w:t>
          </w:r>
        </w:p>
        <w:p w14:paraId="3EB5691F" w14:textId="3410C641" w:rsidR="00AF556D" w:rsidRDefault="00AF556D" w:rsidP="00AF556D">
          <w:pPr>
            <w:pStyle w:val="Bibliography"/>
            <w:ind w:left="720" w:hanging="720"/>
            <w:rPr>
              <w:noProof/>
              <w:lang w:val="en-US"/>
            </w:rPr>
          </w:pPr>
          <w:r>
            <w:rPr>
              <w:noProof/>
              <w:lang w:val="en-US"/>
            </w:rPr>
            <w:t xml:space="preserve">OECD (2021) Teachers’ Professional Learning Study: Diagnostic report for Wales. </w:t>
          </w:r>
          <w:r>
            <w:rPr>
              <w:i/>
              <w:iCs/>
              <w:noProof/>
              <w:lang w:val="en-US"/>
            </w:rPr>
            <w:t>OECD Education Policy Perspectives</w:t>
          </w:r>
          <w:r w:rsidR="007D591C">
            <w:rPr>
              <w:i/>
              <w:iCs/>
              <w:noProof/>
              <w:lang w:val="en-US"/>
            </w:rPr>
            <w:t xml:space="preserve"> no. 33</w:t>
          </w:r>
          <w:r>
            <w:rPr>
              <w:noProof/>
              <w:lang w:val="en-US"/>
            </w:rPr>
            <w:t>.</w:t>
          </w:r>
          <w:r w:rsidR="007D591C">
            <w:rPr>
              <w:noProof/>
              <w:lang w:val="en-US"/>
            </w:rPr>
            <w:t xml:space="preserve"> Paris: OECD </w:t>
          </w:r>
        </w:p>
        <w:p w14:paraId="508EAD3E" w14:textId="0EB6F328" w:rsidR="00AF556D" w:rsidRDefault="00AF556D" w:rsidP="00AF556D">
          <w:pPr>
            <w:pStyle w:val="Bibliography"/>
            <w:ind w:left="720" w:hanging="720"/>
            <w:rPr>
              <w:noProof/>
              <w:lang w:val="en-US"/>
            </w:rPr>
          </w:pPr>
          <w:r>
            <w:rPr>
              <w:noProof/>
              <w:lang w:val="en-US"/>
            </w:rPr>
            <w:t xml:space="preserve">OECD (2022) </w:t>
          </w:r>
          <w:r>
            <w:rPr>
              <w:i/>
              <w:iCs/>
              <w:noProof/>
              <w:lang w:val="en-US"/>
            </w:rPr>
            <w:t>Teachers Professional Learning Study</w:t>
          </w:r>
          <w:r>
            <w:rPr>
              <w:noProof/>
              <w:lang w:val="en-US"/>
            </w:rPr>
            <w:t xml:space="preserve">. </w:t>
          </w:r>
          <w:r w:rsidR="007D591C">
            <w:rPr>
              <w:noProof/>
              <w:lang w:val="en-US"/>
            </w:rPr>
            <w:t xml:space="preserve">Available at: </w:t>
          </w:r>
          <w:hyperlink r:id="rId21" w:history="1">
            <w:r w:rsidR="00BC6CA3" w:rsidRPr="00721626">
              <w:rPr>
                <w:rStyle w:val="Hyperlink"/>
                <w:noProof/>
                <w:lang w:val="en-US"/>
              </w:rPr>
              <w:t>https://www.oecd.org/education/teachers-professional-learning-study/</w:t>
            </w:r>
          </w:hyperlink>
          <w:r w:rsidR="00BC6CA3">
            <w:rPr>
              <w:noProof/>
              <w:lang w:val="en-US"/>
            </w:rPr>
            <w:t xml:space="preserve"> </w:t>
          </w:r>
          <w:r w:rsidR="007D591C">
            <w:rPr>
              <w:noProof/>
              <w:lang w:val="en-US"/>
            </w:rPr>
            <w:t xml:space="preserve"> (Accessed 15/7/2023)</w:t>
          </w:r>
        </w:p>
        <w:p w14:paraId="0C98FB58" w14:textId="307DF24D" w:rsidR="00AF556D" w:rsidRDefault="00AF556D" w:rsidP="00AF556D">
          <w:pPr>
            <w:pStyle w:val="Bibliography"/>
            <w:ind w:left="720" w:hanging="720"/>
            <w:rPr>
              <w:noProof/>
              <w:lang w:val="en-US"/>
            </w:rPr>
          </w:pPr>
          <w:r>
            <w:rPr>
              <w:noProof/>
              <w:lang w:val="en-US"/>
            </w:rPr>
            <w:t xml:space="preserve">Ofsted. (2023). </w:t>
          </w:r>
          <w:r>
            <w:rPr>
              <w:i/>
              <w:iCs/>
              <w:noProof/>
              <w:lang w:val="en-US"/>
            </w:rPr>
            <w:t>Independent review of teachers’ professional development in schools: phase 1 findings.</w:t>
          </w:r>
          <w:r>
            <w:rPr>
              <w:noProof/>
              <w:lang w:val="en-US"/>
            </w:rPr>
            <w:t xml:space="preserve"> </w:t>
          </w:r>
          <w:r w:rsidR="00BC6CA3">
            <w:rPr>
              <w:noProof/>
              <w:lang w:val="en-US"/>
            </w:rPr>
            <w:t xml:space="preserve">London: </w:t>
          </w:r>
          <w:r>
            <w:rPr>
              <w:noProof/>
              <w:lang w:val="en-US"/>
            </w:rPr>
            <w:t>Ofsted.</w:t>
          </w:r>
        </w:p>
        <w:p w14:paraId="63EF0DF2" w14:textId="1EC67183" w:rsidR="00AF556D" w:rsidRDefault="00AF556D" w:rsidP="00AF556D">
          <w:pPr>
            <w:pStyle w:val="Bibliography"/>
            <w:ind w:left="720" w:hanging="720"/>
            <w:rPr>
              <w:noProof/>
              <w:lang w:val="en-US"/>
            </w:rPr>
          </w:pPr>
          <w:r>
            <w:rPr>
              <w:noProof/>
              <w:lang w:val="en-US"/>
            </w:rPr>
            <w:t>Organisation for Economic Co-operation and Development</w:t>
          </w:r>
          <w:r w:rsidR="00BC6CA3">
            <w:rPr>
              <w:noProof/>
              <w:lang w:val="en-US"/>
            </w:rPr>
            <w:t xml:space="preserve"> (OECD),</w:t>
          </w:r>
          <w:r>
            <w:rPr>
              <w:noProof/>
              <w:lang w:val="en-US"/>
            </w:rPr>
            <w:t xml:space="preserve"> (2021) </w:t>
          </w:r>
          <w:r>
            <w:rPr>
              <w:i/>
              <w:iCs/>
              <w:noProof/>
              <w:lang w:val="en-US"/>
            </w:rPr>
            <w:t>Scotland's Curriculum for Excellence: Into the Future.</w:t>
          </w:r>
          <w:r>
            <w:rPr>
              <w:noProof/>
              <w:lang w:val="en-US"/>
            </w:rPr>
            <w:t xml:space="preserve"> Paris: OECD.</w:t>
          </w:r>
        </w:p>
        <w:p w14:paraId="71B560F0" w14:textId="26C77F5F" w:rsidR="00AF556D" w:rsidRDefault="00AF556D" w:rsidP="00AF556D">
          <w:pPr>
            <w:pStyle w:val="Bibliography"/>
            <w:ind w:left="720" w:hanging="720"/>
            <w:rPr>
              <w:noProof/>
              <w:lang w:val="en-US"/>
            </w:rPr>
          </w:pPr>
          <w:r>
            <w:rPr>
              <w:noProof/>
              <w:lang w:val="en-US"/>
            </w:rPr>
            <w:t xml:space="preserve">Priestley, M., &amp; Minty, S. (2013). Curriculum for Excellence: 'A brilliant idea, but. . .'. . </w:t>
          </w:r>
          <w:r>
            <w:rPr>
              <w:i/>
              <w:iCs/>
              <w:noProof/>
              <w:lang w:val="en-US"/>
            </w:rPr>
            <w:t>Scottish Educational Review, 45</w:t>
          </w:r>
          <w:r>
            <w:rPr>
              <w:noProof/>
              <w:lang w:val="en-US"/>
            </w:rPr>
            <w:t>(1), pp39-52.</w:t>
          </w:r>
        </w:p>
        <w:p w14:paraId="5654DBA9" w14:textId="7C113FE5" w:rsidR="00AF556D" w:rsidRDefault="00AF556D" w:rsidP="00AF556D">
          <w:pPr>
            <w:pStyle w:val="Bibliography"/>
            <w:ind w:left="720" w:hanging="720"/>
            <w:rPr>
              <w:noProof/>
              <w:lang w:val="en-US"/>
            </w:rPr>
          </w:pPr>
          <w:r>
            <w:rPr>
              <w:noProof/>
              <w:lang w:val="en-US"/>
            </w:rPr>
            <w:t xml:space="preserve">Priestley, M., Biesta, G., &amp; Robinson, S. (2016) </w:t>
          </w:r>
          <w:r>
            <w:rPr>
              <w:i/>
              <w:iCs/>
              <w:noProof/>
              <w:lang w:val="en-US"/>
            </w:rPr>
            <w:t>Teacher Agency: An Ecological Approach.</w:t>
          </w:r>
          <w:r>
            <w:rPr>
              <w:noProof/>
              <w:lang w:val="en-US"/>
            </w:rPr>
            <w:t xml:space="preserve"> London: Bloomsbury.</w:t>
          </w:r>
        </w:p>
        <w:p w14:paraId="107BC1A2" w14:textId="66AC53A1" w:rsidR="00AF556D" w:rsidRDefault="00AF556D" w:rsidP="00AF556D">
          <w:pPr>
            <w:pStyle w:val="Bibliography"/>
            <w:ind w:left="720" w:hanging="720"/>
            <w:rPr>
              <w:noProof/>
              <w:lang w:val="en-US"/>
            </w:rPr>
          </w:pPr>
          <w:r>
            <w:rPr>
              <w:noProof/>
              <w:lang w:val="en-US"/>
            </w:rPr>
            <w:t>Priestly, M</w:t>
          </w:r>
          <w:r w:rsidR="00BC6CA3">
            <w:rPr>
              <w:noProof/>
              <w:lang w:val="en-US"/>
            </w:rPr>
            <w:t>. and</w:t>
          </w:r>
          <w:r>
            <w:rPr>
              <w:noProof/>
              <w:lang w:val="en-US"/>
            </w:rPr>
            <w:t xml:space="preserve"> Minty, S. (2013) Curriculum for Excellence: ‘A brilliant idea, but...’ . </w:t>
          </w:r>
          <w:r>
            <w:rPr>
              <w:i/>
              <w:iCs/>
              <w:noProof/>
              <w:lang w:val="en-US"/>
            </w:rPr>
            <w:t>Scottish Educational Review, 45</w:t>
          </w:r>
          <w:r>
            <w:rPr>
              <w:noProof/>
              <w:lang w:val="en-US"/>
            </w:rPr>
            <w:t xml:space="preserve">(1), </w:t>
          </w:r>
          <w:r w:rsidR="00BC6CA3">
            <w:rPr>
              <w:noProof/>
              <w:lang w:val="en-US"/>
            </w:rPr>
            <w:t>pp</w:t>
          </w:r>
          <w:r>
            <w:rPr>
              <w:noProof/>
              <w:lang w:val="en-US"/>
            </w:rPr>
            <w:t>39-52.</w:t>
          </w:r>
        </w:p>
        <w:p w14:paraId="76C01227" w14:textId="77D9D8E5" w:rsidR="00AF556D" w:rsidRDefault="00AF556D" w:rsidP="00AF556D">
          <w:pPr>
            <w:pStyle w:val="Bibliography"/>
            <w:ind w:left="720" w:hanging="720"/>
            <w:rPr>
              <w:noProof/>
              <w:lang w:val="en-US"/>
            </w:rPr>
          </w:pPr>
          <w:r>
            <w:rPr>
              <w:noProof/>
              <w:lang w:val="en-US"/>
            </w:rPr>
            <w:t xml:space="preserve">Pring, R. (2015) </w:t>
          </w:r>
          <w:r>
            <w:rPr>
              <w:i/>
              <w:iCs/>
              <w:noProof/>
              <w:lang w:val="en-US"/>
            </w:rPr>
            <w:t>Philosophy of Educational Research</w:t>
          </w:r>
          <w:r w:rsidR="00BC6CA3">
            <w:rPr>
              <w:noProof/>
              <w:lang w:val="en-US"/>
            </w:rPr>
            <w:t>, 13</w:t>
          </w:r>
          <w:r>
            <w:rPr>
              <w:noProof/>
              <w:lang w:val="en-US"/>
            </w:rPr>
            <w:t>. London: Bloomsbury Academic.</w:t>
          </w:r>
        </w:p>
        <w:p w14:paraId="41856C1C" w14:textId="54F9B766" w:rsidR="00AF556D" w:rsidRDefault="00AF556D" w:rsidP="00AF556D">
          <w:pPr>
            <w:pStyle w:val="Bibliography"/>
            <w:ind w:left="720" w:hanging="720"/>
            <w:rPr>
              <w:noProof/>
              <w:lang w:val="en-US"/>
            </w:rPr>
          </w:pPr>
          <w:r>
            <w:rPr>
              <w:noProof/>
              <w:lang w:val="en-US"/>
            </w:rPr>
            <w:t>Pyrko, I. D. (2016)</w:t>
          </w:r>
          <w:r w:rsidR="00BC6CA3">
            <w:rPr>
              <w:noProof/>
              <w:lang w:val="en-US"/>
            </w:rPr>
            <w:t xml:space="preserve"> </w:t>
          </w:r>
          <w:r>
            <w:rPr>
              <w:noProof/>
              <w:lang w:val="en-US"/>
            </w:rPr>
            <w:t xml:space="preserve"> Thinking together: What makes Communities of Practice work? </w:t>
          </w:r>
          <w:r>
            <w:rPr>
              <w:i/>
              <w:iCs/>
              <w:noProof/>
              <w:lang w:val="en-US"/>
            </w:rPr>
            <w:t>Human Relations, 70</w:t>
          </w:r>
          <w:r>
            <w:rPr>
              <w:noProof/>
              <w:lang w:val="en-US"/>
            </w:rPr>
            <w:t>(4)</w:t>
          </w:r>
          <w:r w:rsidR="00BC6CA3">
            <w:rPr>
              <w:noProof/>
              <w:lang w:val="en-US"/>
            </w:rPr>
            <w:t xml:space="preserve"> pp</w:t>
          </w:r>
          <w:r w:rsidR="00BC6CA3" w:rsidRPr="00BC6CA3">
            <w:rPr>
              <w:rFonts w:ascii="Open Sans" w:hAnsi="Open Sans" w:cs="Open Sans"/>
              <w:color w:val="333333"/>
              <w:shd w:val="clear" w:color="auto" w:fill="FFFFFF"/>
            </w:rPr>
            <w:t xml:space="preserve"> </w:t>
          </w:r>
          <w:r w:rsidR="00BC6CA3" w:rsidRPr="00BC6CA3">
            <w:rPr>
              <w:noProof/>
            </w:rPr>
            <w:t>389–409.</w:t>
          </w:r>
          <w:r>
            <w:rPr>
              <w:noProof/>
              <w:lang w:val="en-US"/>
            </w:rPr>
            <w:t>.</w:t>
          </w:r>
        </w:p>
        <w:p w14:paraId="00D49220" w14:textId="2A5045FF" w:rsidR="00AF556D" w:rsidRDefault="00AF556D" w:rsidP="00AF556D">
          <w:pPr>
            <w:pStyle w:val="Bibliography"/>
            <w:ind w:left="720" w:hanging="720"/>
            <w:rPr>
              <w:noProof/>
              <w:lang w:val="en-US"/>
            </w:rPr>
          </w:pPr>
          <w:r>
            <w:rPr>
              <w:noProof/>
              <w:lang w:val="en-US"/>
            </w:rPr>
            <w:t xml:space="preserve">Rees, G. (2007).The Impacts of Parliamentary Devolution on Education Policy in Wales. </w:t>
          </w:r>
          <w:r>
            <w:rPr>
              <w:i/>
              <w:iCs/>
              <w:noProof/>
              <w:lang w:val="en-US"/>
            </w:rPr>
            <w:t>Wales Journal of Education, 14</w:t>
          </w:r>
          <w:r>
            <w:rPr>
              <w:noProof/>
              <w:lang w:val="en-US"/>
            </w:rPr>
            <w:t xml:space="preserve">(1), </w:t>
          </w:r>
          <w:r w:rsidR="00BC6CA3">
            <w:rPr>
              <w:noProof/>
              <w:lang w:val="en-US"/>
            </w:rPr>
            <w:t>pp</w:t>
          </w:r>
          <w:r>
            <w:rPr>
              <w:noProof/>
              <w:lang w:val="en-US"/>
            </w:rPr>
            <w:t>8-20.</w:t>
          </w:r>
        </w:p>
        <w:p w14:paraId="75F683B4" w14:textId="18E15E0E" w:rsidR="00AF556D" w:rsidRDefault="00AF556D" w:rsidP="00AF556D">
          <w:pPr>
            <w:pStyle w:val="Bibliography"/>
            <w:ind w:left="720" w:hanging="720"/>
            <w:rPr>
              <w:noProof/>
              <w:lang w:val="en-US"/>
            </w:rPr>
          </w:pPr>
          <w:r>
            <w:rPr>
              <w:noProof/>
              <w:lang w:val="en-US"/>
            </w:rPr>
            <w:t xml:space="preserve">Regional Education Consortia (2022) </w:t>
          </w:r>
          <w:r>
            <w:rPr>
              <w:i/>
              <w:iCs/>
              <w:noProof/>
              <w:lang w:val="en-US"/>
            </w:rPr>
            <w:t>National Coaching and Mentoring Programme 2020 – 22.</w:t>
          </w:r>
          <w:r>
            <w:rPr>
              <w:noProof/>
              <w:lang w:val="en-US"/>
            </w:rPr>
            <w:t xml:space="preserve"> </w:t>
          </w:r>
          <w:r w:rsidR="007D591C">
            <w:rPr>
              <w:noProof/>
              <w:lang w:val="en-US"/>
            </w:rPr>
            <w:t>Available at:</w:t>
          </w:r>
          <w:r>
            <w:rPr>
              <w:noProof/>
              <w:lang w:val="en-US"/>
            </w:rPr>
            <w:t xml:space="preserve"> </w:t>
          </w:r>
          <w:hyperlink r:id="rId22" w:history="1">
            <w:r w:rsidR="00BC6CA3" w:rsidRPr="00721626">
              <w:rPr>
                <w:rStyle w:val="Hyperlink"/>
                <w:noProof/>
                <w:lang w:val="en-US"/>
              </w:rPr>
              <w:t>https://sewaleseas.org.uk/wp-content/uploads/2022/01/Benefits-and-Programme-overview-English.pdf</w:t>
            </w:r>
          </w:hyperlink>
          <w:r w:rsidR="00BC6CA3">
            <w:rPr>
              <w:noProof/>
              <w:lang w:val="en-US"/>
            </w:rPr>
            <w:t xml:space="preserve"> </w:t>
          </w:r>
          <w:r w:rsidR="007D591C">
            <w:rPr>
              <w:noProof/>
              <w:lang w:val="en-US"/>
            </w:rPr>
            <w:t xml:space="preserve"> (Accessed 15/7/2023)</w:t>
          </w:r>
        </w:p>
        <w:p w14:paraId="0D27856F" w14:textId="2EFF474C" w:rsidR="00AF556D" w:rsidRDefault="00AF556D" w:rsidP="00AF556D">
          <w:pPr>
            <w:pStyle w:val="Bibliography"/>
            <w:ind w:left="720" w:hanging="720"/>
            <w:rPr>
              <w:noProof/>
              <w:lang w:val="en-US"/>
            </w:rPr>
          </w:pPr>
          <w:r>
            <w:rPr>
              <w:noProof/>
              <w:lang w:val="en-US"/>
            </w:rPr>
            <w:t>Reynolds, D. (2008)</w:t>
          </w:r>
          <w:r w:rsidR="00BC6CA3">
            <w:rPr>
              <w:noProof/>
              <w:lang w:val="en-US"/>
            </w:rPr>
            <w:t xml:space="preserve"> </w:t>
          </w:r>
          <w:r>
            <w:rPr>
              <w:noProof/>
              <w:lang w:val="en-US"/>
            </w:rPr>
            <w:t xml:space="preserve">New Labour, education and Wales: the devolution decade. </w:t>
          </w:r>
          <w:r>
            <w:rPr>
              <w:i/>
              <w:iCs/>
              <w:noProof/>
              <w:lang w:val="en-US"/>
            </w:rPr>
            <w:t>Oxford review of Education, 34</w:t>
          </w:r>
          <w:r>
            <w:rPr>
              <w:noProof/>
              <w:lang w:val="en-US"/>
            </w:rPr>
            <w:t xml:space="preserve">(6), </w:t>
          </w:r>
          <w:r w:rsidR="00BC6CA3">
            <w:rPr>
              <w:noProof/>
              <w:lang w:val="en-US"/>
            </w:rPr>
            <w:t>pp</w:t>
          </w:r>
          <w:r>
            <w:rPr>
              <w:noProof/>
              <w:lang w:val="en-US"/>
            </w:rPr>
            <w:t>753-765.</w:t>
          </w:r>
        </w:p>
        <w:p w14:paraId="0BCC5699" w14:textId="5E1D3463" w:rsidR="00AF556D" w:rsidRDefault="00AF556D" w:rsidP="00AF556D">
          <w:pPr>
            <w:pStyle w:val="Bibliography"/>
            <w:ind w:left="720" w:hanging="720"/>
            <w:rPr>
              <w:noProof/>
              <w:lang w:val="en-US"/>
            </w:rPr>
          </w:pPr>
          <w:r>
            <w:rPr>
              <w:noProof/>
              <w:lang w:val="en-US"/>
            </w:rPr>
            <w:t xml:space="preserve">Royal Society of Edinburgh (2020) </w:t>
          </w:r>
          <w:r w:rsidR="00BC6CA3">
            <w:rPr>
              <w:i/>
              <w:iCs/>
              <w:noProof/>
              <w:lang w:val="en-US"/>
            </w:rPr>
            <w:t xml:space="preserve"> C</w:t>
          </w:r>
          <w:r>
            <w:rPr>
              <w:i/>
              <w:iCs/>
              <w:noProof/>
              <w:lang w:val="en-US"/>
            </w:rPr>
            <w:t xml:space="preserve">urriculum for excellence review: a response from the </w:t>
          </w:r>
          <w:r w:rsidR="00BC6CA3">
            <w:rPr>
              <w:i/>
              <w:iCs/>
              <w:noProof/>
              <w:lang w:val="en-US"/>
            </w:rPr>
            <w:t>R</w:t>
          </w:r>
          <w:r>
            <w:rPr>
              <w:i/>
              <w:iCs/>
              <w:noProof/>
              <w:lang w:val="en-US"/>
            </w:rPr>
            <w:t xml:space="preserve">oyal </w:t>
          </w:r>
          <w:r w:rsidR="00BC6CA3">
            <w:rPr>
              <w:i/>
              <w:iCs/>
              <w:noProof/>
              <w:lang w:val="en-US"/>
            </w:rPr>
            <w:t>S</w:t>
          </w:r>
          <w:r>
            <w:rPr>
              <w:i/>
              <w:iCs/>
              <w:noProof/>
              <w:lang w:val="en-US"/>
            </w:rPr>
            <w:t xml:space="preserve">ociety of </w:t>
          </w:r>
          <w:r w:rsidR="00BC6CA3">
            <w:rPr>
              <w:i/>
              <w:iCs/>
              <w:noProof/>
              <w:lang w:val="en-US"/>
            </w:rPr>
            <w:t>E</w:t>
          </w:r>
          <w:r>
            <w:rPr>
              <w:i/>
              <w:iCs/>
              <w:noProof/>
              <w:lang w:val="en-US"/>
            </w:rPr>
            <w:t xml:space="preserve">dinburgh education committee to the </w:t>
          </w:r>
          <w:r w:rsidR="00BC6CA3">
            <w:rPr>
              <w:i/>
              <w:iCs/>
              <w:noProof/>
              <w:lang w:val="en-US"/>
            </w:rPr>
            <w:t>OECD</w:t>
          </w:r>
          <w:r>
            <w:rPr>
              <w:i/>
              <w:iCs/>
              <w:noProof/>
              <w:lang w:val="en-US"/>
            </w:rPr>
            <w:t>.</w:t>
          </w:r>
          <w:r>
            <w:rPr>
              <w:noProof/>
              <w:lang w:val="en-US"/>
            </w:rPr>
            <w:t xml:space="preserve"> Edinburgh: R</w:t>
          </w:r>
          <w:r w:rsidR="00BC6CA3">
            <w:rPr>
              <w:noProof/>
              <w:lang w:val="en-US"/>
            </w:rPr>
            <w:t xml:space="preserve">oyal </w:t>
          </w:r>
          <w:r>
            <w:rPr>
              <w:noProof/>
              <w:lang w:val="en-US"/>
            </w:rPr>
            <w:t>S</w:t>
          </w:r>
          <w:r w:rsidR="00BC6CA3">
            <w:rPr>
              <w:noProof/>
              <w:lang w:val="en-US"/>
            </w:rPr>
            <w:t xml:space="preserve">ociety of </w:t>
          </w:r>
          <w:r>
            <w:rPr>
              <w:noProof/>
              <w:lang w:val="en-US"/>
            </w:rPr>
            <w:t>E</w:t>
          </w:r>
          <w:r w:rsidR="00BC6CA3">
            <w:rPr>
              <w:noProof/>
              <w:lang w:val="en-US"/>
            </w:rPr>
            <w:t>dinburgh</w:t>
          </w:r>
          <w:r>
            <w:rPr>
              <w:noProof/>
              <w:lang w:val="en-US"/>
            </w:rPr>
            <w:t>.</w:t>
          </w:r>
        </w:p>
        <w:p w14:paraId="3922D385" w14:textId="71BB49B4" w:rsidR="00AF556D" w:rsidRDefault="00AF556D" w:rsidP="00AF556D">
          <w:pPr>
            <w:pStyle w:val="Bibliography"/>
            <w:ind w:left="720" w:hanging="720"/>
            <w:rPr>
              <w:noProof/>
              <w:lang w:val="en-US"/>
            </w:rPr>
          </w:pPr>
          <w:r>
            <w:rPr>
              <w:noProof/>
              <w:lang w:val="en-US"/>
            </w:rPr>
            <w:lastRenderedPageBreak/>
            <w:t>Scales, P., Pickering, J., Senior, L., Headley, K., Garner, P.</w:t>
          </w:r>
          <w:r w:rsidR="00BC6CA3">
            <w:rPr>
              <w:noProof/>
              <w:lang w:val="en-US"/>
            </w:rPr>
            <w:t xml:space="preserve"> and</w:t>
          </w:r>
          <w:r>
            <w:rPr>
              <w:noProof/>
              <w:lang w:val="en-US"/>
            </w:rPr>
            <w:t xml:space="preserve"> Boulton, H. (2011) </w:t>
          </w:r>
          <w:r>
            <w:rPr>
              <w:i/>
              <w:iCs/>
              <w:noProof/>
              <w:lang w:val="en-US"/>
            </w:rPr>
            <w:t>Continuing Profesional Development in the Lifelong learning Sector.</w:t>
          </w:r>
          <w:r>
            <w:rPr>
              <w:noProof/>
              <w:lang w:val="en-US"/>
            </w:rPr>
            <w:t xml:space="preserve"> Maidenhead: Open University Press.</w:t>
          </w:r>
        </w:p>
        <w:p w14:paraId="0819680A" w14:textId="08F34094" w:rsidR="00AF556D" w:rsidRDefault="00AF556D" w:rsidP="00AF556D">
          <w:pPr>
            <w:pStyle w:val="Bibliography"/>
            <w:ind w:left="720" w:hanging="720"/>
            <w:rPr>
              <w:noProof/>
              <w:lang w:val="en-US"/>
            </w:rPr>
          </w:pPr>
          <w:r>
            <w:rPr>
              <w:noProof/>
              <w:lang w:val="en-US"/>
            </w:rPr>
            <w:t xml:space="preserve">Schon, D. (1983) </w:t>
          </w:r>
          <w:r>
            <w:rPr>
              <w:i/>
              <w:iCs/>
              <w:noProof/>
              <w:lang w:val="en-US"/>
            </w:rPr>
            <w:t>The Reflective Practitioner: How Professionals Think In Action.</w:t>
          </w:r>
          <w:r>
            <w:rPr>
              <w:noProof/>
              <w:lang w:val="en-US"/>
            </w:rPr>
            <w:t xml:space="preserve"> London: Basic Books.</w:t>
          </w:r>
        </w:p>
        <w:p w14:paraId="51B90F7D" w14:textId="14D741C4" w:rsidR="00AF556D" w:rsidRDefault="00AF556D" w:rsidP="00AF556D">
          <w:pPr>
            <w:pStyle w:val="Bibliography"/>
            <w:ind w:left="720" w:hanging="720"/>
            <w:rPr>
              <w:noProof/>
              <w:lang w:val="en-US"/>
            </w:rPr>
          </w:pPr>
          <w:r>
            <w:rPr>
              <w:noProof/>
              <w:lang w:val="en-US"/>
            </w:rPr>
            <w:t>Scoles, J. H.</w:t>
          </w:r>
          <w:r w:rsidR="00E46EE9">
            <w:rPr>
              <w:noProof/>
              <w:lang w:val="en-US"/>
            </w:rPr>
            <w:t>, Huxham, M. and Mcarthur, J</w:t>
          </w:r>
          <w:r>
            <w:rPr>
              <w:noProof/>
              <w:lang w:val="en-US"/>
            </w:rPr>
            <w:t xml:space="preserve"> (2014) Mixed-</w:t>
          </w:r>
          <w:r w:rsidR="00237249">
            <w:rPr>
              <w:noProof/>
              <w:lang w:val="en-US"/>
            </w:rPr>
            <w:t>m</w:t>
          </w:r>
          <w:r>
            <w:rPr>
              <w:noProof/>
              <w:lang w:val="en-US"/>
            </w:rPr>
            <w:t xml:space="preserve">ethods </w:t>
          </w:r>
          <w:r w:rsidR="00237249">
            <w:rPr>
              <w:noProof/>
              <w:lang w:val="en-US"/>
            </w:rPr>
            <w:t>r</w:t>
          </w:r>
          <w:r>
            <w:rPr>
              <w:noProof/>
              <w:lang w:val="en-US"/>
            </w:rPr>
            <w:t xml:space="preserve">esearch in </w:t>
          </w:r>
          <w:r w:rsidR="00237249">
            <w:rPr>
              <w:noProof/>
              <w:lang w:val="en-US"/>
            </w:rPr>
            <w:t>e</w:t>
          </w:r>
          <w:r>
            <w:rPr>
              <w:noProof/>
              <w:lang w:val="en-US"/>
            </w:rPr>
            <w:t xml:space="preserve">ducation: </w:t>
          </w:r>
          <w:r w:rsidR="00237249">
            <w:rPr>
              <w:noProof/>
              <w:lang w:val="en-US"/>
            </w:rPr>
            <w:t>e</w:t>
          </w:r>
          <w:r>
            <w:rPr>
              <w:noProof/>
              <w:lang w:val="en-US"/>
            </w:rPr>
            <w:t xml:space="preserve">xploring </w:t>
          </w:r>
          <w:r w:rsidR="00237249">
            <w:rPr>
              <w:noProof/>
              <w:lang w:val="en-US"/>
            </w:rPr>
            <w:t>s</w:t>
          </w:r>
          <w:r>
            <w:rPr>
              <w:noProof/>
              <w:lang w:val="en-US"/>
            </w:rPr>
            <w:t xml:space="preserve">tudents' </w:t>
          </w:r>
          <w:r w:rsidR="00237249">
            <w:rPr>
              <w:noProof/>
              <w:lang w:val="en-US"/>
            </w:rPr>
            <w:t>r</w:t>
          </w:r>
          <w:r>
            <w:rPr>
              <w:noProof/>
              <w:lang w:val="en-US"/>
            </w:rPr>
            <w:t xml:space="preserve">esponse to a </w:t>
          </w:r>
          <w:r w:rsidR="00237249">
            <w:rPr>
              <w:noProof/>
              <w:lang w:val="en-US"/>
            </w:rPr>
            <w:t>f</w:t>
          </w:r>
          <w:r>
            <w:rPr>
              <w:noProof/>
              <w:lang w:val="en-US"/>
            </w:rPr>
            <w:t xml:space="preserve">ocused </w:t>
          </w:r>
          <w:r w:rsidR="00237249">
            <w:rPr>
              <w:noProof/>
              <w:lang w:val="en-US"/>
            </w:rPr>
            <w:t>f</w:t>
          </w:r>
          <w:r>
            <w:rPr>
              <w:noProof/>
              <w:lang w:val="en-US"/>
            </w:rPr>
            <w:t xml:space="preserve">eedback </w:t>
          </w:r>
          <w:r w:rsidR="00237249">
            <w:rPr>
              <w:noProof/>
              <w:lang w:val="en-US"/>
            </w:rPr>
            <w:t>i</w:t>
          </w:r>
          <w:r>
            <w:rPr>
              <w:noProof/>
              <w:lang w:val="en-US"/>
            </w:rPr>
            <w:t>nitiative</w:t>
          </w:r>
          <w:r w:rsidR="00237249">
            <w:rPr>
              <w:noProof/>
              <w:lang w:val="en-US"/>
            </w:rPr>
            <w:t>, i</w:t>
          </w:r>
          <w:r>
            <w:rPr>
              <w:noProof/>
              <w:lang w:val="en-US"/>
            </w:rPr>
            <w:t xml:space="preserve">n </w:t>
          </w:r>
          <w:r>
            <w:rPr>
              <w:i/>
              <w:iCs/>
              <w:noProof/>
              <w:lang w:val="en-US"/>
            </w:rPr>
            <w:t>SAGE Research Methods Cases</w:t>
          </w:r>
          <w:r w:rsidR="00237249">
            <w:rPr>
              <w:i/>
              <w:iCs/>
              <w:noProof/>
              <w:lang w:val="en-US"/>
            </w:rPr>
            <w:t>,</w:t>
          </w:r>
          <w:r>
            <w:rPr>
              <w:noProof/>
              <w:lang w:val="en-US"/>
            </w:rPr>
            <w:t xml:space="preserve"> pp 19</w:t>
          </w:r>
          <w:r w:rsidR="00237249">
            <w:rPr>
              <w:noProof/>
              <w:lang w:val="en-US"/>
            </w:rPr>
            <w:t>-</w:t>
          </w:r>
          <w:r>
            <w:rPr>
              <w:noProof/>
              <w:lang w:val="en-US"/>
            </w:rPr>
            <w:t>24.</w:t>
          </w:r>
          <w:r w:rsidR="00237249">
            <w:rPr>
              <w:noProof/>
              <w:lang w:val="en-US"/>
            </w:rPr>
            <w:t xml:space="preserve"> </w:t>
          </w:r>
          <w:r>
            <w:rPr>
              <w:noProof/>
              <w:lang w:val="en-US"/>
            </w:rPr>
            <w:t xml:space="preserve"> S</w:t>
          </w:r>
          <w:r w:rsidR="00237249">
            <w:rPr>
              <w:noProof/>
              <w:lang w:val="en-US"/>
            </w:rPr>
            <w:t>age publications</w:t>
          </w:r>
          <w:r>
            <w:rPr>
              <w:noProof/>
              <w:lang w:val="en-US"/>
            </w:rPr>
            <w:t>.</w:t>
          </w:r>
        </w:p>
        <w:p w14:paraId="43940FAB" w14:textId="2AFE9C28" w:rsidR="00AF556D" w:rsidRDefault="00AF556D" w:rsidP="00AF556D">
          <w:pPr>
            <w:pStyle w:val="Bibliography"/>
            <w:ind w:left="720" w:hanging="720"/>
            <w:rPr>
              <w:noProof/>
              <w:lang w:val="en-US"/>
            </w:rPr>
          </w:pPr>
          <w:r>
            <w:rPr>
              <w:noProof/>
              <w:lang w:val="en-US"/>
            </w:rPr>
            <w:t>Scott, S.</w:t>
          </w:r>
          <w:r w:rsidR="00237249">
            <w:rPr>
              <w:noProof/>
              <w:lang w:val="en-US"/>
            </w:rPr>
            <w:t xml:space="preserve"> and </w:t>
          </w:r>
          <w:r>
            <w:rPr>
              <w:noProof/>
              <w:lang w:val="en-US"/>
            </w:rPr>
            <w:t xml:space="preserve">McNeish, D. (2013) </w:t>
          </w:r>
          <w:r>
            <w:rPr>
              <w:i/>
              <w:iCs/>
              <w:noProof/>
              <w:lang w:val="en-US"/>
            </w:rPr>
            <w:t>School leadership evidence review: using research evidence to support school improvement.</w:t>
          </w:r>
          <w:r>
            <w:rPr>
              <w:noProof/>
              <w:lang w:val="en-US"/>
            </w:rPr>
            <w:t xml:space="preserve"> </w:t>
          </w:r>
          <w:r w:rsidR="00237249">
            <w:rPr>
              <w:noProof/>
              <w:lang w:val="en-US"/>
            </w:rPr>
            <w:t xml:space="preserve">London: </w:t>
          </w:r>
          <w:r>
            <w:rPr>
              <w:noProof/>
              <w:lang w:val="en-US"/>
            </w:rPr>
            <w:t>Department for Education.</w:t>
          </w:r>
        </w:p>
        <w:p w14:paraId="2229E41F" w14:textId="10EA61DF" w:rsidR="00AF556D" w:rsidRDefault="00AF556D" w:rsidP="00AF556D">
          <w:pPr>
            <w:pStyle w:val="Bibliography"/>
            <w:ind w:left="720" w:hanging="720"/>
            <w:rPr>
              <w:noProof/>
              <w:lang w:val="en-US"/>
            </w:rPr>
          </w:pPr>
          <w:r>
            <w:rPr>
              <w:noProof/>
              <w:lang w:val="en-US"/>
            </w:rPr>
            <w:t>Scottish Government</w:t>
          </w:r>
          <w:r w:rsidR="00237249">
            <w:rPr>
              <w:noProof/>
              <w:lang w:val="en-US"/>
            </w:rPr>
            <w:t xml:space="preserve"> </w:t>
          </w:r>
          <w:r>
            <w:rPr>
              <w:noProof/>
              <w:lang w:val="en-US"/>
            </w:rPr>
            <w:t xml:space="preserve">(2021) </w:t>
          </w:r>
          <w:r>
            <w:rPr>
              <w:i/>
              <w:iCs/>
              <w:noProof/>
              <w:lang w:val="en-US"/>
            </w:rPr>
            <w:t>Curriculum for Excellence: Scottish Government response to OECD Review.</w:t>
          </w:r>
          <w:r>
            <w:rPr>
              <w:noProof/>
              <w:lang w:val="en-US"/>
            </w:rPr>
            <w:t xml:space="preserve"> Edinburgh: Scottish Government.</w:t>
          </w:r>
        </w:p>
        <w:p w14:paraId="3C213A4D" w14:textId="2336CF73" w:rsidR="00AF556D" w:rsidRDefault="00AF556D" w:rsidP="00AF556D">
          <w:pPr>
            <w:pStyle w:val="Bibliography"/>
            <w:ind w:left="720" w:hanging="720"/>
            <w:rPr>
              <w:noProof/>
              <w:lang w:val="en-US"/>
            </w:rPr>
          </w:pPr>
          <w:r>
            <w:rPr>
              <w:noProof/>
              <w:lang w:val="en-US"/>
            </w:rPr>
            <w:t>Scottish Government (2021</w:t>
          </w:r>
          <w:r w:rsidR="00237249">
            <w:rPr>
              <w:noProof/>
              <w:lang w:val="en-US"/>
            </w:rPr>
            <w:t>a</w:t>
          </w:r>
          <w:r>
            <w:rPr>
              <w:noProof/>
              <w:lang w:val="en-US"/>
            </w:rPr>
            <w:t>).</w:t>
          </w:r>
          <w:r w:rsidR="00237249">
            <w:rPr>
              <w:noProof/>
              <w:lang w:val="en-US"/>
            </w:rPr>
            <w:t xml:space="preserve"> </w:t>
          </w:r>
          <w:r>
            <w:rPr>
              <w:i/>
              <w:iCs/>
              <w:noProof/>
              <w:lang w:val="en-US"/>
            </w:rPr>
            <w:t>Schools - Regional Improvement Collaboratives: review</w:t>
          </w:r>
          <w:r>
            <w:rPr>
              <w:noProof/>
              <w:lang w:val="en-US"/>
            </w:rPr>
            <w:t xml:space="preserve">. </w:t>
          </w:r>
          <w:r w:rsidR="007D591C">
            <w:rPr>
              <w:noProof/>
              <w:lang w:val="en-US"/>
            </w:rPr>
            <w:t xml:space="preserve">Edinburgh: Crown publications. </w:t>
          </w:r>
        </w:p>
        <w:p w14:paraId="61C668EC" w14:textId="44C4B6E6" w:rsidR="00AF556D" w:rsidRDefault="00AF556D" w:rsidP="00AF556D">
          <w:pPr>
            <w:pStyle w:val="Bibliography"/>
            <w:ind w:left="720" w:hanging="720"/>
            <w:rPr>
              <w:noProof/>
              <w:lang w:val="en-US"/>
            </w:rPr>
          </w:pPr>
          <w:r>
            <w:rPr>
              <w:noProof/>
              <w:lang w:val="en-US"/>
            </w:rPr>
            <w:t xml:space="preserve">Scottish Government (2023) </w:t>
          </w:r>
          <w:r>
            <w:rPr>
              <w:i/>
              <w:iCs/>
              <w:noProof/>
              <w:lang w:val="en-US"/>
            </w:rPr>
            <w:t>A national model of professional learning</w:t>
          </w:r>
          <w:r>
            <w:rPr>
              <w:noProof/>
              <w:lang w:val="en-US"/>
            </w:rPr>
            <w:t xml:space="preserve">. Retrieved from Education Scotland: </w:t>
          </w:r>
          <w:hyperlink r:id="rId23" w:history="1">
            <w:r w:rsidR="00237249" w:rsidRPr="00721626">
              <w:rPr>
                <w:rStyle w:val="Hyperlink"/>
                <w:noProof/>
                <w:lang w:val="en-US"/>
              </w:rPr>
              <w:t>https://education.gov.scot/resources/a-national-model-of-professional-learning/</w:t>
            </w:r>
          </w:hyperlink>
          <w:r w:rsidR="00237249">
            <w:rPr>
              <w:noProof/>
              <w:lang w:val="en-US"/>
            </w:rPr>
            <w:t xml:space="preserve"> </w:t>
          </w:r>
        </w:p>
        <w:p w14:paraId="13B4147B" w14:textId="5ED6EC23" w:rsidR="00AF556D" w:rsidRDefault="00AF556D" w:rsidP="00AF556D">
          <w:pPr>
            <w:pStyle w:val="Bibliography"/>
            <w:ind w:left="720" w:hanging="720"/>
            <w:rPr>
              <w:noProof/>
              <w:lang w:val="en-US"/>
            </w:rPr>
          </w:pPr>
          <w:r>
            <w:rPr>
              <w:noProof/>
              <w:lang w:val="en-US"/>
            </w:rPr>
            <w:t xml:space="preserve">Scottish Parliament (2020) </w:t>
          </w:r>
          <w:r>
            <w:rPr>
              <w:i/>
              <w:iCs/>
              <w:noProof/>
              <w:lang w:val="en-US"/>
            </w:rPr>
            <w:t>Regional Improvement Collaboratives, what are they?</w:t>
          </w:r>
          <w:r>
            <w:rPr>
              <w:noProof/>
              <w:lang w:val="en-US"/>
            </w:rPr>
            <w:t xml:space="preserve"> </w:t>
          </w:r>
          <w:r w:rsidR="007D591C">
            <w:rPr>
              <w:noProof/>
              <w:lang w:val="en-US"/>
            </w:rPr>
            <w:t xml:space="preserve"> Available at: </w:t>
          </w:r>
          <w:hyperlink r:id="rId24" w:history="1">
            <w:r w:rsidR="00237249" w:rsidRPr="00721626">
              <w:rPr>
                <w:rStyle w:val="Hyperlink"/>
                <w:noProof/>
                <w:lang w:val="en-US"/>
              </w:rPr>
              <w:t>https://spice-spotlight.scot/2020/01/06/rics/</w:t>
            </w:r>
          </w:hyperlink>
          <w:r w:rsidR="00237249">
            <w:rPr>
              <w:noProof/>
              <w:lang w:val="en-US"/>
            </w:rPr>
            <w:t xml:space="preserve"> </w:t>
          </w:r>
          <w:r w:rsidR="007D591C">
            <w:rPr>
              <w:noProof/>
              <w:lang w:val="en-US"/>
            </w:rPr>
            <w:t xml:space="preserve"> (Accessed 15/7/2023)</w:t>
          </w:r>
        </w:p>
        <w:p w14:paraId="7E8277FD" w14:textId="137BF273" w:rsidR="00AF556D" w:rsidRDefault="00AF556D" w:rsidP="00AF556D">
          <w:pPr>
            <w:pStyle w:val="Bibliography"/>
            <w:ind w:left="720" w:hanging="720"/>
            <w:rPr>
              <w:noProof/>
              <w:lang w:val="en-US"/>
            </w:rPr>
          </w:pPr>
          <w:r>
            <w:rPr>
              <w:noProof/>
              <w:lang w:val="en-US"/>
            </w:rPr>
            <w:t xml:space="preserve">Scutt, C. H. (2021) </w:t>
          </w:r>
          <w:r>
            <w:rPr>
              <w:i/>
              <w:iCs/>
              <w:noProof/>
              <w:lang w:val="en-US"/>
            </w:rPr>
            <w:t>Teacher CPD: International Trends, Opportunities and Challenges.</w:t>
          </w:r>
          <w:r>
            <w:rPr>
              <w:noProof/>
              <w:lang w:val="en-US"/>
            </w:rPr>
            <w:t xml:space="preserve"> London: Chartered College of Teaching. John Catt Educational.</w:t>
          </w:r>
        </w:p>
        <w:p w14:paraId="6E4225C9" w14:textId="792B76DD" w:rsidR="00AF556D" w:rsidRDefault="00AF556D" w:rsidP="00AF556D">
          <w:pPr>
            <w:pStyle w:val="Bibliography"/>
            <w:ind w:left="720" w:hanging="720"/>
            <w:rPr>
              <w:noProof/>
              <w:lang w:val="en-US"/>
            </w:rPr>
          </w:pPr>
          <w:r>
            <w:rPr>
              <w:noProof/>
              <w:lang w:val="en-US"/>
            </w:rPr>
            <w:t>Sibieta, L.</w:t>
          </w:r>
          <w:r w:rsidR="00237249">
            <w:rPr>
              <w:noProof/>
              <w:lang w:val="en-US"/>
            </w:rPr>
            <w:t xml:space="preserve"> and </w:t>
          </w:r>
          <w:r>
            <w:rPr>
              <w:noProof/>
              <w:lang w:val="en-US"/>
            </w:rPr>
            <w:t>Jerrim, J.  (2021)</w:t>
          </w:r>
          <w:r w:rsidR="00237249">
            <w:rPr>
              <w:noProof/>
              <w:lang w:val="en-US"/>
            </w:rPr>
            <w:t xml:space="preserve"> </w:t>
          </w:r>
          <w:r>
            <w:rPr>
              <w:noProof/>
              <w:lang w:val="en-US"/>
            </w:rPr>
            <w:t xml:space="preserve"> </w:t>
          </w:r>
          <w:r>
            <w:rPr>
              <w:i/>
              <w:iCs/>
              <w:noProof/>
              <w:lang w:val="en-US"/>
            </w:rPr>
            <w:t>A comparison of school institutions and policies across the UK.</w:t>
          </w:r>
          <w:r>
            <w:rPr>
              <w:noProof/>
              <w:lang w:val="en-US"/>
            </w:rPr>
            <w:t xml:space="preserve"> Education policy Institute.</w:t>
          </w:r>
        </w:p>
        <w:p w14:paraId="25BB4D5C" w14:textId="0C81C119" w:rsidR="001A229A" w:rsidRDefault="001A229A" w:rsidP="00AF556D">
          <w:pPr>
            <w:pStyle w:val="Bibliography"/>
            <w:ind w:left="720" w:hanging="720"/>
            <w:rPr>
              <w:noProof/>
              <w:lang w:val="en-US"/>
            </w:rPr>
          </w:pPr>
          <w:r w:rsidRPr="001A229A">
            <w:rPr>
              <w:noProof/>
              <w:lang w:val="en-US"/>
            </w:rPr>
            <w:t>Sims</w:t>
          </w:r>
          <w:r>
            <w:rPr>
              <w:noProof/>
              <w:lang w:val="en-US"/>
            </w:rPr>
            <w:t>, S.</w:t>
          </w:r>
          <w:r w:rsidRPr="001A229A">
            <w:rPr>
              <w:noProof/>
              <w:lang w:val="en-US"/>
            </w:rPr>
            <w:t xml:space="preserve">, Fletcher-Wood </w:t>
          </w:r>
          <w:r>
            <w:rPr>
              <w:noProof/>
              <w:lang w:val="en-US"/>
            </w:rPr>
            <w:t xml:space="preserve">, H., </w:t>
          </w:r>
          <w:r w:rsidRPr="001A229A">
            <w:rPr>
              <w:noProof/>
              <w:lang w:val="en-US"/>
            </w:rPr>
            <w:t>O’Mara-Eves</w:t>
          </w:r>
          <w:r>
            <w:rPr>
              <w:noProof/>
              <w:lang w:val="en-US"/>
            </w:rPr>
            <w:t>, A.,</w:t>
          </w:r>
          <w:r w:rsidRPr="001A229A">
            <w:rPr>
              <w:noProof/>
              <w:lang w:val="en-US"/>
            </w:rPr>
            <w:t xml:space="preserve"> Cottingham</w:t>
          </w:r>
          <w:r>
            <w:rPr>
              <w:noProof/>
              <w:lang w:val="en-US"/>
            </w:rPr>
            <w:t>, S.,</w:t>
          </w:r>
          <w:r w:rsidRPr="001A229A">
            <w:rPr>
              <w:noProof/>
              <w:lang w:val="en-US"/>
            </w:rPr>
            <w:t xml:space="preserve"> Stansfield</w:t>
          </w:r>
          <w:r>
            <w:rPr>
              <w:noProof/>
              <w:lang w:val="en-US"/>
            </w:rPr>
            <w:t xml:space="preserve">, C., </w:t>
          </w:r>
          <w:r w:rsidRPr="001A229A">
            <w:rPr>
              <w:noProof/>
              <w:lang w:val="en-US"/>
            </w:rPr>
            <w:t xml:space="preserve"> Van Herwegen</w:t>
          </w:r>
          <w:r>
            <w:rPr>
              <w:noProof/>
              <w:lang w:val="en-US"/>
            </w:rPr>
            <w:t xml:space="preserve">, J. and </w:t>
          </w:r>
          <w:r w:rsidRPr="001A229A">
            <w:rPr>
              <w:noProof/>
              <w:lang w:val="en-US"/>
            </w:rPr>
            <w:t>Anders</w:t>
          </w:r>
          <w:r>
            <w:rPr>
              <w:noProof/>
              <w:lang w:val="en-US"/>
            </w:rPr>
            <w:t>, J. (2021)</w:t>
          </w:r>
          <w:r w:rsidRPr="001A229A">
            <w:rPr>
              <w:noProof/>
              <w:lang w:val="en-US"/>
            </w:rPr>
            <w:t xml:space="preserve"> </w:t>
          </w:r>
          <w:r w:rsidRPr="001A229A">
            <w:rPr>
              <w:i/>
              <w:iCs/>
              <w:noProof/>
              <w:lang w:val="en-US"/>
            </w:rPr>
            <w:t>What are the Characteristics of Effective Teacher Professional Development? A Systematic Review &amp; Meta-analysis.</w:t>
          </w:r>
          <w:r>
            <w:rPr>
              <w:noProof/>
              <w:lang w:val="en-US"/>
            </w:rPr>
            <w:t xml:space="preserve">  Education Endowment Foundation.</w:t>
          </w:r>
        </w:p>
        <w:p w14:paraId="7AB07A0A" w14:textId="7942AC6E" w:rsidR="00AF556D" w:rsidRDefault="00AF556D" w:rsidP="00AF556D">
          <w:pPr>
            <w:pStyle w:val="Bibliography"/>
            <w:ind w:left="720" w:hanging="720"/>
            <w:rPr>
              <w:noProof/>
              <w:lang w:val="en-US"/>
            </w:rPr>
          </w:pPr>
          <w:r>
            <w:rPr>
              <w:noProof/>
              <w:lang w:val="en-US"/>
            </w:rPr>
            <w:t xml:space="preserve">Sims, S., &amp; Fletcher-Wood, H. (2021). Identifying the characteristics of effective teacher professional development: a critical review. </w:t>
          </w:r>
          <w:r w:rsidR="001A229A" w:rsidRPr="001A229A">
            <w:rPr>
              <w:i/>
              <w:iCs/>
              <w:noProof/>
              <w:lang w:val="en-US"/>
            </w:rPr>
            <w:t>School Effectiveness and School Improvement,</w:t>
          </w:r>
          <w:r w:rsidR="001A229A" w:rsidRPr="001A229A">
            <w:rPr>
              <w:noProof/>
              <w:lang w:val="en-US"/>
            </w:rPr>
            <w:t xml:space="preserve"> 32 (1) pp47-63.</w:t>
          </w:r>
        </w:p>
        <w:p w14:paraId="5F46D2BC" w14:textId="289865E7" w:rsidR="00AF556D" w:rsidRDefault="00AF556D" w:rsidP="00AF556D">
          <w:pPr>
            <w:pStyle w:val="Bibliography"/>
            <w:ind w:left="720" w:hanging="720"/>
            <w:rPr>
              <w:noProof/>
              <w:lang w:val="en-US"/>
            </w:rPr>
          </w:pPr>
          <w:r>
            <w:rPr>
              <w:noProof/>
              <w:lang w:val="en-US"/>
            </w:rPr>
            <w:t>Singleton, R. C. (2020)</w:t>
          </w:r>
          <w:r w:rsidR="00237249">
            <w:rPr>
              <w:noProof/>
              <w:lang w:val="en-US"/>
            </w:rPr>
            <w:t xml:space="preserve"> </w:t>
          </w:r>
          <w:r>
            <w:rPr>
              <w:noProof/>
              <w:lang w:val="en-US"/>
            </w:rPr>
            <w:t xml:space="preserve"> </w:t>
          </w:r>
          <w:r>
            <w:rPr>
              <w:i/>
              <w:iCs/>
              <w:noProof/>
              <w:lang w:val="en-US"/>
            </w:rPr>
            <w:t>Great Teaching Toolkit: Evidence Review.</w:t>
          </w:r>
          <w:r>
            <w:rPr>
              <w:noProof/>
              <w:lang w:val="en-US"/>
            </w:rPr>
            <w:t xml:space="preserve"> Cambridge: Cambridge Assessment</w:t>
          </w:r>
          <w:r w:rsidR="00237249">
            <w:rPr>
              <w:noProof/>
              <w:lang w:val="en-US"/>
            </w:rPr>
            <w:t>.</w:t>
          </w:r>
          <w:r>
            <w:rPr>
              <w:noProof/>
              <w:lang w:val="en-US"/>
            </w:rPr>
            <w:t xml:space="preserve"> </w:t>
          </w:r>
        </w:p>
        <w:p w14:paraId="3B0F4EF0" w14:textId="64FBF072" w:rsidR="00AF556D" w:rsidRDefault="00AF556D" w:rsidP="00AF556D">
          <w:pPr>
            <w:pStyle w:val="Bibliography"/>
            <w:ind w:left="720" w:hanging="720"/>
            <w:rPr>
              <w:noProof/>
              <w:lang w:val="en-US"/>
            </w:rPr>
          </w:pPr>
          <w:r>
            <w:rPr>
              <w:noProof/>
              <w:lang w:val="en-US"/>
            </w:rPr>
            <w:t xml:space="preserve">Sinnema, C. N. (2020) Successful futures, successful curriculum: What can Wales learn from international curriculum reforms? </w:t>
          </w:r>
          <w:r>
            <w:rPr>
              <w:i/>
              <w:iCs/>
              <w:noProof/>
              <w:lang w:val="en-US"/>
            </w:rPr>
            <w:t>The Curriculum Journal, 31</w:t>
          </w:r>
          <w:r>
            <w:rPr>
              <w:noProof/>
              <w:lang w:val="en-US"/>
            </w:rPr>
            <w:t xml:space="preserve">(2), </w:t>
          </w:r>
          <w:r w:rsidR="00237249">
            <w:rPr>
              <w:noProof/>
              <w:lang w:val="en-US"/>
            </w:rPr>
            <w:t>pp</w:t>
          </w:r>
          <w:r>
            <w:rPr>
              <w:noProof/>
              <w:lang w:val="en-US"/>
            </w:rPr>
            <w:t>181-201.</w:t>
          </w:r>
        </w:p>
        <w:p w14:paraId="55542274" w14:textId="2CCBE45A" w:rsidR="00AF556D" w:rsidRDefault="00AF556D" w:rsidP="00AF556D">
          <w:pPr>
            <w:pStyle w:val="Bibliography"/>
            <w:ind w:left="720" w:hanging="720"/>
            <w:rPr>
              <w:noProof/>
              <w:lang w:val="en-US"/>
            </w:rPr>
          </w:pPr>
          <w:r>
            <w:rPr>
              <w:noProof/>
              <w:lang w:val="en-US"/>
            </w:rPr>
            <w:t>Slavin, R. (2018</w:t>
          </w:r>
          <w:r w:rsidR="00237249">
            <w:rPr>
              <w:noProof/>
              <w:lang w:val="en-US"/>
            </w:rPr>
            <w:t xml:space="preserve">) </w:t>
          </w:r>
          <w:r>
            <w:rPr>
              <w:noProof/>
              <w:lang w:val="en-US"/>
            </w:rPr>
            <w:t xml:space="preserve"> </w:t>
          </w:r>
          <w:r>
            <w:rPr>
              <w:i/>
              <w:iCs/>
              <w:noProof/>
              <w:lang w:val="en-US"/>
            </w:rPr>
            <w:t>John Hattie is wrong</w:t>
          </w:r>
          <w:r>
            <w:rPr>
              <w:noProof/>
              <w:lang w:val="en-US"/>
            </w:rPr>
            <w:t xml:space="preserve">. </w:t>
          </w:r>
          <w:r w:rsidR="007D591C">
            <w:rPr>
              <w:noProof/>
              <w:lang w:val="en-US"/>
            </w:rPr>
            <w:t xml:space="preserve">Available at: </w:t>
          </w:r>
          <w:hyperlink r:id="rId25" w:history="1">
            <w:r w:rsidR="00237249" w:rsidRPr="00721626">
              <w:rPr>
                <w:rStyle w:val="Hyperlink"/>
                <w:noProof/>
                <w:lang w:val="en-US"/>
              </w:rPr>
              <w:t>https://robertslavinsblog.wordpress.com/2018/06/21/john-hattie-is-wrong/</w:t>
            </w:r>
          </w:hyperlink>
          <w:r w:rsidR="00237249">
            <w:rPr>
              <w:noProof/>
              <w:lang w:val="en-US"/>
            </w:rPr>
            <w:t xml:space="preserve"> </w:t>
          </w:r>
          <w:r w:rsidR="007D591C">
            <w:rPr>
              <w:noProof/>
              <w:lang w:val="en-US"/>
            </w:rPr>
            <w:t xml:space="preserve"> (Accessed</w:t>
          </w:r>
          <w:r w:rsidR="005C686C">
            <w:rPr>
              <w:noProof/>
              <w:lang w:val="en-US"/>
            </w:rPr>
            <w:t>:</w:t>
          </w:r>
          <w:r w:rsidR="007D591C">
            <w:rPr>
              <w:noProof/>
              <w:lang w:val="en-US"/>
            </w:rPr>
            <w:t xml:space="preserve"> </w:t>
          </w:r>
          <w:r w:rsidR="005C686C">
            <w:rPr>
              <w:noProof/>
              <w:lang w:val="en-US"/>
            </w:rPr>
            <w:t>5/9/2022)</w:t>
          </w:r>
        </w:p>
        <w:p w14:paraId="17BAB11B" w14:textId="67D9D260" w:rsidR="00AF556D" w:rsidRDefault="00AF556D" w:rsidP="00AF556D">
          <w:pPr>
            <w:pStyle w:val="Bibliography"/>
            <w:ind w:left="720" w:hanging="720"/>
            <w:rPr>
              <w:noProof/>
              <w:lang w:val="en-US"/>
            </w:rPr>
          </w:pPr>
          <w:r>
            <w:rPr>
              <w:noProof/>
              <w:lang w:val="en-US"/>
            </w:rPr>
            <w:t>Smith, K. (2016)</w:t>
          </w:r>
          <w:r w:rsidR="00237249">
            <w:rPr>
              <w:noProof/>
              <w:lang w:val="en-US"/>
            </w:rPr>
            <w:t xml:space="preserve"> </w:t>
          </w:r>
          <w:r>
            <w:rPr>
              <w:noProof/>
              <w:lang w:val="en-US"/>
            </w:rPr>
            <w:t>The Curriculum Cymreig</w:t>
          </w:r>
          <w:r w:rsidR="00237249">
            <w:rPr>
              <w:noProof/>
              <w:lang w:val="en-US"/>
            </w:rPr>
            <w:t>, i</w:t>
          </w:r>
          <w:r>
            <w:rPr>
              <w:noProof/>
              <w:lang w:val="en-US"/>
            </w:rPr>
            <w:t xml:space="preserve">n K. Smith, </w:t>
          </w:r>
          <w:r>
            <w:rPr>
              <w:i/>
              <w:iCs/>
              <w:noProof/>
              <w:lang w:val="en-US"/>
            </w:rPr>
            <w:t xml:space="preserve">Curriculum, Culture and Citizenship Education in Wales </w:t>
          </w:r>
          <w:r>
            <w:rPr>
              <w:noProof/>
              <w:lang w:val="en-US"/>
            </w:rPr>
            <w:t>pp. 35-44. London: Palgrave.</w:t>
          </w:r>
        </w:p>
        <w:p w14:paraId="70292109" w14:textId="1ABF2A99" w:rsidR="00AF556D" w:rsidRDefault="00AF556D" w:rsidP="00AF556D">
          <w:pPr>
            <w:pStyle w:val="Bibliography"/>
            <w:ind w:left="720" w:hanging="720"/>
            <w:rPr>
              <w:noProof/>
              <w:lang w:val="en-US"/>
            </w:rPr>
          </w:pPr>
          <w:r>
            <w:rPr>
              <w:noProof/>
              <w:lang w:val="en-US"/>
            </w:rPr>
            <w:t xml:space="preserve">Stewart, C. (2014) Transforming Professional Development to Professional Learning. </w:t>
          </w:r>
          <w:r>
            <w:rPr>
              <w:i/>
              <w:iCs/>
              <w:noProof/>
              <w:lang w:val="en-US"/>
            </w:rPr>
            <w:t>Journal of Adult Education, 43</w:t>
          </w:r>
          <w:r>
            <w:rPr>
              <w:noProof/>
              <w:lang w:val="en-US"/>
            </w:rPr>
            <w:t xml:space="preserve">(1), </w:t>
          </w:r>
          <w:r w:rsidR="00237249">
            <w:rPr>
              <w:noProof/>
              <w:lang w:val="en-US"/>
            </w:rPr>
            <w:t>pp</w:t>
          </w:r>
          <w:r>
            <w:rPr>
              <w:noProof/>
              <w:lang w:val="en-US"/>
            </w:rPr>
            <w:t>28-33.</w:t>
          </w:r>
        </w:p>
        <w:p w14:paraId="74E55A5D" w14:textId="6D3F3E28" w:rsidR="00AF556D" w:rsidRDefault="00AF556D" w:rsidP="00AF556D">
          <w:pPr>
            <w:pStyle w:val="Bibliography"/>
            <w:ind w:left="720" w:hanging="720"/>
            <w:rPr>
              <w:noProof/>
              <w:lang w:val="en-US"/>
            </w:rPr>
          </w:pPr>
          <w:r>
            <w:rPr>
              <w:noProof/>
              <w:lang w:val="en-US"/>
            </w:rPr>
            <w:t xml:space="preserve">The Royal Society and the British Academy (2018) </w:t>
          </w:r>
          <w:r>
            <w:rPr>
              <w:i/>
              <w:iCs/>
              <w:noProof/>
              <w:lang w:val="en-US"/>
            </w:rPr>
            <w:t>Harnessing Educational Researc</w:t>
          </w:r>
          <w:r w:rsidR="00237249">
            <w:rPr>
              <w:i/>
              <w:iCs/>
              <w:noProof/>
              <w:lang w:val="en-US"/>
            </w:rPr>
            <w:t>h (14)</w:t>
          </w:r>
          <w:r>
            <w:rPr>
              <w:i/>
              <w:iCs/>
              <w:noProof/>
              <w:lang w:val="en-US"/>
            </w:rPr>
            <w:t>.</w:t>
          </w:r>
          <w:r>
            <w:rPr>
              <w:noProof/>
              <w:lang w:val="en-US"/>
            </w:rPr>
            <w:t xml:space="preserve"> London: The Royal Society and the British Academy.</w:t>
          </w:r>
        </w:p>
        <w:p w14:paraId="55BB0845" w14:textId="0C8284EF" w:rsidR="00AF556D" w:rsidRDefault="00AF556D" w:rsidP="00AF556D">
          <w:pPr>
            <w:pStyle w:val="Bibliography"/>
            <w:ind w:left="720" w:hanging="720"/>
            <w:rPr>
              <w:noProof/>
              <w:lang w:val="en-US"/>
            </w:rPr>
          </w:pPr>
          <w:r>
            <w:rPr>
              <w:noProof/>
              <w:lang w:val="en-US"/>
            </w:rPr>
            <w:lastRenderedPageBreak/>
            <w:t>Thomas, H., Duggan, B., McAlister-Wilson, S., Roberts, L., Sinnema, C., ColeJones, N.</w:t>
          </w:r>
          <w:r w:rsidR="00237249">
            <w:rPr>
              <w:noProof/>
              <w:lang w:val="en-US"/>
            </w:rPr>
            <w:t xml:space="preserve"> and</w:t>
          </w:r>
          <w:r>
            <w:rPr>
              <w:noProof/>
              <w:lang w:val="en-US"/>
            </w:rPr>
            <w:t xml:space="preserve"> Glover, A. (2023). </w:t>
          </w:r>
          <w:r>
            <w:rPr>
              <w:i/>
              <w:iCs/>
              <w:noProof/>
              <w:lang w:val="en-US"/>
            </w:rPr>
            <w:t>Research with schools on the early implementation of Curriculum for Wales: Wave 1 report.</w:t>
          </w:r>
          <w:r>
            <w:rPr>
              <w:noProof/>
              <w:lang w:val="en-US"/>
            </w:rPr>
            <w:t xml:space="preserve"> Cardiff: Welsh Government.</w:t>
          </w:r>
        </w:p>
        <w:p w14:paraId="03390FC5" w14:textId="45A84893" w:rsidR="00AF556D" w:rsidRDefault="00AF556D" w:rsidP="00AF556D">
          <w:pPr>
            <w:pStyle w:val="Bibliography"/>
            <w:ind w:left="720" w:hanging="720"/>
            <w:rPr>
              <w:noProof/>
              <w:lang w:val="en-US"/>
            </w:rPr>
          </w:pPr>
          <w:r>
            <w:rPr>
              <w:noProof/>
              <w:lang w:val="en-US"/>
            </w:rPr>
            <w:t xml:space="preserve">Timperley, H. (2008) Teacher professional learning and development. </w:t>
          </w:r>
          <w:r>
            <w:rPr>
              <w:i/>
              <w:iCs/>
              <w:noProof/>
              <w:lang w:val="en-US"/>
            </w:rPr>
            <w:t xml:space="preserve">Education Practices </w:t>
          </w:r>
          <w:r w:rsidR="005C686C">
            <w:rPr>
              <w:noProof/>
              <w:lang w:val="en-US"/>
            </w:rPr>
            <w:t>(</w:t>
          </w:r>
          <w:r w:rsidRPr="0067236F">
            <w:rPr>
              <w:noProof/>
              <w:lang w:val="en-US"/>
            </w:rPr>
            <w:t>18</w:t>
          </w:r>
          <w:r w:rsidR="005C686C">
            <w:rPr>
              <w:noProof/>
              <w:lang w:val="en-US"/>
            </w:rPr>
            <w:t>)</w:t>
          </w:r>
          <w:r>
            <w:rPr>
              <w:noProof/>
              <w:lang w:val="en-US"/>
            </w:rPr>
            <w:t xml:space="preserve">. </w:t>
          </w:r>
        </w:p>
        <w:p w14:paraId="1495EC60" w14:textId="460787D2" w:rsidR="00AF556D" w:rsidRDefault="00AF556D" w:rsidP="00AF556D">
          <w:pPr>
            <w:pStyle w:val="Bibliography"/>
            <w:ind w:left="720" w:hanging="720"/>
            <w:rPr>
              <w:noProof/>
              <w:lang w:val="en-US"/>
            </w:rPr>
          </w:pPr>
          <w:r>
            <w:rPr>
              <w:noProof/>
              <w:lang w:val="en-US"/>
            </w:rPr>
            <w:t xml:space="preserve">Timperley, H. (2011) </w:t>
          </w:r>
          <w:r>
            <w:rPr>
              <w:i/>
              <w:iCs/>
              <w:noProof/>
              <w:lang w:val="en-US"/>
            </w:rPr>
            <w:t xml:space="preserve">Realizing </w:t>
          </w:r>
          <w:r w:rsidR="00237249">
            <w:rPr>
              <w:i/>
              <w:iCs/>
              <w:noProof/>
              <w:lang w:val="en-US"/>
            </w:rPr>
            <w:t>t</w:t>
          </w:r>
          <w:r>
            <w:rPr>
              <w:i/>
              <w:iCs/>
              <w:noProof/>
              <w:lang w:val="en-US"/>
            </w:rPr>
            <w:t xml:space="preserve">he </w:t>
          </w:r>
          <w:r w:rsidR="00237249">
            <w:rPr>
              <w:i/>
              <w:iCs/>
              <w:noProof/>
              <w:lang w:val="en-US"/>
            </w:rPr>
            <w:t>p</w:t>
          </w:r>
          <w:r>
            <w:rPr>
              <w:i/>
              <w:iCs/>
              <w:noProof/>
              <w:lang w:val="en-US"/>
            </w:rPr>
            <w:t xml:space="preserve">ower </w:t>
          </w:r>
          <w:r w:rsidR="00237249">
            <w:rPr>
              <w:i/>
              <w:iCs/>
              <w:noProof/>
              <w:lang w:val="en-US"/>
            </w:rPr>
            <w:t>o</w:t>
          </w:r>
          <w:r>
            <w:rPr>
              <w:i/>
              <w:iCs/>
              <w:noProof/>
              <w:lang w:val="en-US"/>
            </w:rPr>
            <w:t xml:space="preserve">f </w:t>
          </w:r>
          <w:r w:rsidR="00237249">
            <w:rPr>
              <w:i/>
              <w:iCs/>
              <w:noProof/>
              <w:lang w:val="en-US"/>
            </w:rPr>
            <w:t>p</w:t>
          </w:r>
          <w:r>
            <w:rPr>
              <w:i/>
              <w:iCs/>
              <w:noProof/>
              <w:lang w:val="en-US"/>
            </w:rPr>
            <w:t xml:space="preserve">rofessional </w:t>
          </w:r>
          <w:r w:rsidR="00237249">
            <w:rPr>
              <w:i/>
              <w:iCs/>
              <w:noProof/>
              <w:lang w:val="en-US"/>
            </w:rPr>
            <w:t>l</w:t>
          </w:r>
          <w:r>
            <w:rPr>
              <w:i/>
              <w:iCs/>
              <w:noProof/>
              <w:lang w:val="en-US"/>
            </w:rPr>
            <w:t>earning.</w:t>
          </w:r>
          <w:r>
            <w:rPr>
              <w:noProof/>
              <w:lang w:val="en-US"/>
            </w:rPr>
            <w:t xml:space="preserve"> </w:t>
          </w:r>
          <w:r w:rsidR="00237249">
            <w:rPr>
              <w:noProof/>
              <w:lang w:val="en-US"/>
            </w:rPr>
            <w:t>Maidenhead: Open University Press/</w:t>
          </w:r>
          <w:r>
            <w:rPr>
              <w:noProof/>
              <w:lang w:val="en-US"/>
            </w:rPr>
            <w:t>McGraw-Hill Education</w:t>
          </w:r>
          <w:r w:rsidR="00237249">
            <w:rPr>
              <w:noProof/>
              <w:lang w:val="en-US"/>
            </w:rPr>
            <w:t>.</w:t>
          </w:r>
        </w:p>
        <w:p w14:paraId="5699D665" w14:textId="63F47970" w:rsidR="00AF556D" w:rsidRDefault="00AF556D" w:rsidP="00AF556D">
          <w:pPr>
            <w:pStyle w:val="Bibliography"/>
            <w:ind w:left="720" w:hanging="720"/>
            <w:rPr>
              <w:noProof/>
              <w:lang w:val="en-US"/>
            </w:rPr>
          </w:pPr>
          <w:r>
            <w:rPr>
              <w:noProof/>
              <w:lang w:val="en-US"/>
            </w:rPr>
            <w:t>Timperley, H., W</w:t>
          </w:r>
          <w:r w:rsidR="002146F4">
            <w:rPr>
              <w:noProof/>
              <w:lang w:val="en-US"/>
            </w:rPr>
            <w:t>ilson, A.</w:t>
          </w:r>
          <w:r>
            <w:rPr>
              <w:noProof/>
              <w:lang w:val="en-US"/>
            </w:rPr>
            <w:t xml:space="preserve">, Barrar, H. </w:t>
          </w:r>
          <w:r w:rsidR="002146F4">
            <w:rPr>
              <w:noProof/>
              <w:lang w:val="en-US"/>
            </w:rPr>
            <w:t>and Fung, I.</w:t>
          </w:r>
          <w:r>
            <w:rPr>
              <w:noProof/>
              <w:lang w:val="en-US"/>
            </w:rPr>
            <w:t xml:space="preserve"> (2007) </w:t>
          </w:r>
          <w:r>
            <w:rPr>
              <w:i/>
              <w:iCs/>
              <w:noProof/>
              <w:lang w:val="en-US"/>
            </w:rPr>
            <w:t xml:space="preserve">Teacher professional learning and development: Best Evidence </w:t>
          </w:r>
          <w:r w:rsidR="00237249" w:rsidRPr="00237249">
            <w:rPr>
              <w:i/>
              <w:iCs/>
              <w:noProof/>
              <w:lang w:val="en-US"/>
            </w:rPr>
            <w:t>Synthesis</w:t>
          </w:r>
          <w:r>
            <w:rPr>
              <w:i/>
              <w:iCs/>
              <w:noProof/>
              <w:lang w:val="en-US"/>
            </w:rPr>
            <w:t xml:space="preserve"> iteration (BES)</w:t>
          </w:r>
          <w:r w:rsidR="002146F4">
            <w:rPr>
              <w:noProof/>
              <w:lang w:val="en-US"/>
            </w:rPr>
            <w:t xml:space="preserve"> 18</w:t>
          </w:r>
          <w:r>
            <w:rPr>
              <w:noProof/>
              <w:lang w:val="en-US"/>
            </w:rPr>
            <w:t>. Wellington: New Zealand Ministry of Education.</w:t>
          </w:r>
        </w:p>
        <w:p w14:paraId="66C2D162" w14:textId="6F816512" w:rsidR="00AF556D" w:rsidRDefault="00AF556D" w:rsidP="00AF556D">
          <w:pPr>
            <w:pStyle w:val="Bibliography"/>
            <w:ind w:left="720" w:hanging="720"/>
            <w:rPr>
              <w:noProof/>
              <w:lang w:val="en-US"/>
            </w:rPr>
          </w:pPr>
          <w:r>
            <w:rPr>
              <w:noProof/>
              <w:lang w:val="en-US"/>
            </w:rPr>
            <w:t>Toom, A., Pyhältö, K.</w:t>
          </w:r>
          <w:r w:rsidR="002146F4">
            <w:rPr>
              <w:noProof/>
              <w:lang w:val="en-US"/>
            </w:rPr>
            <w:t xml:space="preserve"> and </w:t>
          </w:r>
          <w:r>
            <w:rPr>
              <w:noProof/>
              <w:lang w:val="en-US"/>
            </w:rPr>
            <w:t xml:space="preserve">O’Connell Rust, F. (2015) Teachers’ professional agency in contradictory times. </w:t>
          </w:r>
          <w:r>
            <w:rPr>
              <w:i/>
              <w:iCs/>
              <w:noProof/>
              <w:lang w:val="en-US"/>
            </w:rPr>
            <w:t>Teachers and Teaching, 21</w:t>
          </w:r>
          <w:r>
            <w:rPr>
              <w:noProof/>
              <w:lang w:val="en-US"/>
            </w:rPr>
            <w:t xml:space="preserve">(6), </w:t>
          </w:r>
          <w:r w:rsidR="002146F4">
            <w:rPr>
              <w:noProof/>
              <w:lang w:val="en-US"/>
            </w:rPr>
            <w:t>pp</w:t>
          </w:r>
          <w:r>
            <w:rPr>
              <w:noProof/>
              <w:lang w:val="en-US"/>
            </w:rPr>
            <w:t>615-623.</w:t>
          </w:r>
        </w:p>
        <w:p w14:paraId="5AE77DA2" w14:textId="132467A3" w:rsidR="00AF556D" w:rsidRDefault="00AF556D" w:rsidP="00AF556D">
          <w:pPr>
            <w:pStyle w:val="Bibliography"/>
            <w:ind w:left="720" w:hanging="720"/>
            <w:rPr>
              <w:noProof/>
              <w:lang w:val="en-US"/>
            </w:rPr>
          </w:pPr>
          <w:r>
            <w:rPr>
              <w:noProof/>
              <w:lang w:val="en-US"/>
            </w:rPr>
            <w:t>Trabona, K., Taylor, M., Klein, E., Munakata, M.</w:t>
          </w:r>
          <w:r w:rsidR="002146F4">
            <w:rPr>
              <w:noProof/>
              <w:lang w:val="en-US"/>
            </w:rPr>
            <w:t xml:space="preserve"> and</w:t>
          </w:r>
          <w:r>
            <w:rPr>
              <w:noProof/>
              <w:lang w:val="en-US"/>
            </w:rPr>
            <w:t xml:space="preserve"> Rahman, Z. (2019) Collaborative professional learning: cultivating science teacher leaders through vertical communities of practice. </w:t>
          </w:r>
          <w:r>
            <w:rPr>
              <w:i/>
              <w:iCs/>
              <w:noProof/>
              <w:lang w:val="en-US"/>
            </w:rPr>
            <w:t>Professional Development in Education</w:t>
          </w:r>
          <w:r>
            <w:rPr>
              <w:noProof/>
              <w:lang w:val="en-US"/>
            </w:rPr>
            <w:t xml:space="preserve">, </w:t>
          </w:r>
          <w:r w:rsidR="002146F4">
            <w:rPr>
              <w:noProof/>
              <w:lang w:val="en-US"/>
            </w:rPr>
            <w:t>pp</w:t>
          </w:r>
          <w:r>
            <w:rPr>
              <w:noProof/>
              <w:lang w:val="en-US"/>
            </w:rPr>
            <w:t>472-487.</w:t>
          </w:r>
        </w:p>
        <w:p w14:paraId="7DCB924E" w14:textId="1E1CC8AF" w:rsidR="00AF556D" w:rsidRDefault="00AF556D" w:rsidP="00AF556D">
          <w:pPr>
            <w:pStyle w:val="Bibliography"/>
            <w:ind w:left="720" w:hanging="720"/>
            <w:rPr>
              <w:noProof/>
              <w:lang w:val="en-US"/>
            </w:rPr>
          </w:pPr>
          <w:r>
            <w:rPr>
              <w:noProof/>
              <w:lang w:val="en-US"/>
            </w:rPr>
            <w:t>Tripney, J.</w:t>
          </w:r>
          <w:r w:rsidR="002146F4">
            <w:rPr>
              <w:noProof/>
              <w:lang w:val="en-US"/>
            </w:rPr>
            <w:t>,</w:t>
          </w:r>
          <w:r>
            <w:rPr>
              <w:noProof/>
              <w:lang w:val="en-US"/>
            </w:rPr>
            <w:t xml:space="preserve"> Gough, D.</w:t>
          </w:r>
          <w:r w:rsidR="002146F4">
            <w:rPr>
              <w:noProof/>
              <w:lang w:val="en-US"/>
            </w:rPr>
            <w:t>,</w:t>
          </w:r>
          <w:r>
            <w:rPr>
              <w:noProof/>
              <w:lang w:val="en-US"/>
            </w:rPr>
            <w:t xml:space="preserve"> Sharples,J.</w:t>
          </w:r>
          <w:r w:rsidR="002146F4">
            <w:rPr>
              <w:noProof/>
              <w:lang w:val="en-US"/>
            </w:rPr>
            <w:t>,</w:t>
          </w:r>
          <w:r>
            <w:rPr>
              <w:noProof/>
              <w:lang w:val="en-US"/>
            </w:rPr>
            <w:t xml:space="preserve"> Lester, S.</w:t>
          </w:r>
          <w:r w:rsidR="002146F4">
            <w:rPr>
              <w:noProof/>
              <w:lang w:val="en-US"/>
            </w:rPr>
            <w:t xml:space="preserve"> and </w:t>
          </w:r>
          <w:r>
            <w:rPr>
              <w:noProof/>
              <w:lang w:val="en-US"/>
            </w:rPr>
            <w:t>Bristow, D. (2018).</w:t>
          </w:r>
          <w:r>
            <w:rPr>
              <w:i/>
              <w:iCs/>
              <w:noProof/>
              <w:lang w:val="en-US"/>
            </w:rPr>
            <w:t>Promoting Teacher Engagement With Research Evidence.</w:t>
          </w:r>
          <w:r>
            <w:rPr>
              <w:noProof/>
              <w:lang w:val="en-US"/>
            </w:rPr>
            <w:t xml:space="preserve"> Cardiff: Wales Centre for Public Policy.</w:t>
          </w:r>
        </w:p>
        <w:p w14:paraId="05B8AE1B" w14:textId="2B6CD7FF" w:rsidR="00AF556D" w:rsidRDefault="00AF556D" w:rsidP="00AF556D">
          <w:pPr>
            <w:pStyle w:val="Bibliography"/>
            <w:ind w:left="720" w:hanging="720"/>
            <w:rPr>
              <w:noProof/>
              <w:lang w:val="en-US"/>
            </w:rPr>
          </w:pPr>
          <w:r>
            <w:rPr>
              <w:noProof/>
              <w:lang w:val="en-US"/>
            </w:rPr>
            <w:t xml:space="preserve">Vescio, V. R. (2008) A review of research on the impact of Professional Learning Communities on Teaching and Student learning. </w:t>
          </w:r>
          <w:r>
            <w:rPr>
              <w:i/>
              <w:iCs/>
              <w:noProof/>
              <w:lang w:val="en-US"/>
            </w:rPr>
            <w:t>Teaching and Teacher education, 24</w:t>
          </w:r>
          <w:r>
            <w:rPr>
              <w:noProof/>
              <w:lang w:val="en-US"/>
            </w:rPr>
            <w:t xml:space="preserve">(1), </w:t>
          </w:r>
          <w:r w:rsidR="002146F4">
            <w:rPr>
              <w:noProof/>
              <w:lang w:val="en-US"/>
            </w:rPr>
            <w:t>pp</w:t>
          </w:r>
          <w:r>
            <w:rPr>
              <w:noProof/>
              <w:lang w:val="en-US"/>
            </w:rPr>
            <w:t>80-91.</w:t>
          </w:r>
        </w:p>
        <w:p w14:paraId="18FBE75A" w14:textId="426C2443" w:rsidR="00AF556D" w:rsidRDefault="00AF556D" w:rsidP="00AF556D">
          <w:pPr>
            <w:pStyle w:val="Bibliography"/>
            <w:ind w:left="720" w:hanging="720"/>
            <w:rPr>
              <w:noProof/>
              <w:lang w:val="en-US"/>
            </w:rPr>
          </w:pPr>
          <w:r>
            <w:rPr>
              <w:noProof/>
              <w:lang w:val="en-US"/>
            </w:rPr>
            <w:t>Vongalis-Macrow, A. (2007)</w:t>
          </w:r>
          <w:r w:rsidR="002146F4">
            <w:rPr>
              <w:noProof/>
              <w:lang w:val="en-US"/>
            </w:rPr>
            <w:t xml:space="preserve"> </w:t>
          </w:r>
          <w:r>
            <w:rPr>
              <w:noProof/>
              <w:lang w:val="en-US"/>
            </w:rPr>
            <w:t xml:space="preserve"> I,</w:t>
          </w:r>
          <w:r w:rsidR="002146F4">
            <w:rPr>
              <w:noProof/>
              <w:lang w:val="en-US"/>
            </w:rPr>
            <w:t xml:space="preserve"> </w:t>
          </w:r>
          <w:r>
            <w:rPr>
              <w:noProof/>
              <w:lang w:val="en-US"/>
            </w:rPr>
            <w:t xml:space="preserve">Teacher: Re territorialisation of teachers' multi-faceted agency in globalised education. </w:t>
          </w:r>
          <w:r>
            <w:rPr>
              <w:i/>
              <w:iCs/>
              <w:noProof/>
              <w:lang w:val="en-US"/>
            </w:rPr>
            <w:t>British Journal of Sociology of Education, 28</w:t>
          </w:r>
          <w:r>
            <w:rPr>
              <w:noProof/>
              <w:lang w:val="en-US"/>
            </w:rPr>
            <w:t xml:space="preserve">, </w:t>
          </w:r>
          <w:r w:rsidR="002146F4">
            <w:rPr>
              <w:noProof/>
              <w:lang w:val="en-US"/>
            </w:rPr>
            <w:t>pp</w:t>
          </w:r>
          <w:r>
            <w:rPr>
              <w:noProof/>
              <w:lang w:val="en-US"/>
            </w:rPr>
            <w:t>425-439.</w:t>
          </w:r>
        </w:p>
        <w:p w14:paraId="12E71B40" w14:textId="119D15F5" w:rsidR="00AF556D" w:rsidRDefault="00AF556D" w:rsidP="00AF556D">
          <w:pPr>
            <w:pStyle w:val="Bibliography"/>
            <w:ind w:left="720" w:hanging="720"/>
            <w:rPr>
              <w:noProof/>
              <w:lang w:val="en-US"/>
            </w:rPr>
          </w:pPr>
          <w:r>
            <w:rPr>
              <w:noProof/>
              <w:lang w:val="en-US"/>
            </w:rPr>
            <w:t xml:space="preserve">Wales Centre for Public Policy. (2022) </w:t>
          </w:r>
          <w:r>
            <w:rPr>
              <w:i/>
              <w:iCs/>
              <w:noProof/>
              <w:lang w:val="en-US"/>
            </w:rPr>
            <w:t>Effective teacher professional development: Policy Briefing.</w:t>
          </w:r>
          <w:r>
            <w:rPr>
              <w:noProof/>
              <w:lang w:val="en-US"/>
            </w:rPr>
            <w:t xml:space="preserve"> Cardiff: Cardiff University.</w:t>
          </w:r>
        </w:p>
        <w:p w14:paraId="470D1887" w14:textId="13B7EA1D" w:rsidR="00AF556D" w:rsidRDefault="00AF556D" w:rsidP="00AF556D">
          <w:pPr>
            <w:pStyle w:val="Bibliography"/>
            <w:ind w:left="720" w:hanging="720"/>
            <w:rPr>
              <w:noProof/>
              <w:lang w:val="en-US"/>
            </w:rPr>
          </w:pPr>
          <w:r>
            <w:rPr>
              <w:noProof/>
              <w:lang w:val="en-US"/>
            </w:rPr>
            <w:t>Walter, C.</w:t>
          </w:r>
          <w:r w:rsidR="002146F4">
            <w:rPr>
              <w:noProof/>
              <w:lang w:val="en-US"/>
            </w:rPr>
            <w:t xml:space="preserve"> and</w:t>
          </w:r>
          <w:r>
            <w:rPr>
              <w:noProof/>
              <w:lang w:val="en-US"/>
            </w:rPr>
            <w:t xml:space="preserve"> Briggs, J. (2012) </w:t>
          </w:r>
          <w:r>
            <w:rPr>
              <w:i/>
              <w:iCs/>
              <w:noProof/>
              <w:lang w:val="en-US"/>
            </w:rPr>
            <w:t>What professional development makes the most difference to teachers.</w:t>
          </w:r>
          <w:r w:rsidR="002146F4">
            <w:rPr>
              <w:i/>
              <w:iCs/>
              <w:noProof/>
              <w:lang w:val="en-US"/>
            </w:rPr>
            <w:t xml:space="preserve"> </w:t>
          </w:r>
          <w:r>
            <w:rPr>
              <w:noProof/>
              <w:lang w:val="en-US"/>
            </w:rPr>
            <w:t>Oxford: Oxford University Press.</w:t>
          </w:r>
        </w:p>
        <w:p w14:paraId="629389CC" w14:textId="74A98DE3" w:rsidR="00257136" w:rsidRDefault="00257136" w:rsidP="00257136">
          <w:pPr>
            <w:pStyle w:val="Bibliography"/>
            <w:ind w:left="720" w:hanging="720"/>
            <w:rPr>
              <w:noProof/>
              <w:lang w:val="en-US"/>
            </w:rPr>
          </w:pPr>
          <w:r>
            <w:rPr>
              <w:noProof/>
              <w:lang w:val="en-US"/>
            </w:rPr>
            <w:t xml:space="preserve">Welsh Assembly Government (2001) </w:t>
          </w:r>
          <w:r>
            <w:rPr>
              <w:i/>
              <w:iCs/>
              <w:noProof/>
              <w:lang w:val="en-US"/>
            </w:rPr>
            <w:t>The Learning Country.</w:t>
          </w:r>
          <w:r>
            <w:rPr>
              <w:noProof/>
              <w:lang w:val="en-US"/>
            </w:rPr>
            <w:t xml:space="preserve"> Cardiff: Welsh Assembly Government.</w:t>
          </w:r>
        </w:p>
        <w:p w14:paraId="29868F49" w14:textId="1C78D52B" w:rsidR="00257136" w:rsidRDefault="00257136" w:rsidP="00257136">
          <w:pPr>
            <w:pStyle w:val="Bibliography"/>
            <w:ind w:left="720" w:hanging="720"/>
            <w:rPr>
              <w:noProof/>
              <w:lang w:val="en-US"/>
            </w:rPr>
          </w:pPr>
          <w:r>
            <w:rPr>
              <w:noProof/>
              <w:lang w:val="en-US"/>
            </w:rPr>
            <w:t xml:space="preserve">Welsh Government (2017) </w:t>
          </w:r>
          <w:r>
            <w:rPr>
              <w:i/>
              <w:iCs/>
              <w:noProof/>
              <w:lang w:val="en-US"/>
            </w:rPr>
            <w:t>Education in Wales: Our national mission. Action plan 2017-2021.</w:t>
          </w:r>
          <w:r>
            <w:rPr>
              <w:noProof/>
              <w:lang w:val="en-US"/>
            </w:rPr>
            <w:t xml:space="preserve"> Cardiff: Crown.</w:t>
          </w:r>
        </w:p>
        <w:p w14:paraId="67CCAE11" w14:textId="38A510AF" w:rsidR="0067236F" w:rsidRPr="0009628E" w:rsidRDefault="0067236F" w:rsidP="0067236F">
          <w:pPr>
            <w:rPr>
              <w:i/>
              <w:iCs/>
              <w:lang w:val="en-US"/>
            </w:rPr>
          </w:pPr>
          <w:r>
            <w:rPr>
              <w:lang w:val="en-US"/>
            </w:rPr>
            <w:t xml:space="preserve">Welsh Government (2018) </w:t>
          </w:r>
          <w:r>
            <w:rPr>
              <w:i/>
              <w:iCs/>
              <w:lang w:val="en-US"/>
            </w:rPr>
            <w:t xml:space="preserve">National Approach to Professional Learning (NAPL). </w:t>
          </w:r>
          <w:r w:rsidRPr="0067236F">
            <w:rPr>
              <w:lang w:val="en-US"/>
            </w:rPr>
            <w:t>Cardiff: Crown</w:t>
          </w:r>
        </w:p>
        <w:p w14:paraId="5C72C84F" w14:textId="0B8A7AEB" w:rsidR="00AF556D" w:rsidRDefault="00AF556D" w:rsidP="00AF556D">
          <w:pPr>
            <w:pStyle w:val="Bibliography"/>
            <w:ind w:left="720" w:hanging="720"/>
            <w:rPr>
              <w:noProof/>
              <w:lang w:val="en-US"/>
            </w:rPr>
          </w:pPr>
          <w:r>
            <w:rPr>
              <w:noProof/>
              <w:lang w:val="en-US"/>
            </w:rPr>
            <w:t>Welsh Government (2018</w:t>
          </w:r>
          <w:r w:rsidR="0009628E">
            <w:rPr>
              <w:noProof/>
              <w:lang w:val="en-US"/>
            </w:rPr>
            <w:t>a</w:t>
          </w:r>
          <w:r>
            <w:rPr>
              <w:noProof/>
              <w:lang w:val="en-US"/>
            </w:rPr>
            <w:t xml:space="preserve">) </w:t>
          </w:r>
          <w:r>
            <w:rPr>
              <w:i/>
              <w:iCs/>
              <w:noProof/>
              <w:lang w:val="en-US"/>
            </w:rPr>
            <w:t>Schools as learning organisations (SLO)</w:t>
          </w:r>
          <w:r>
            <w:rPr>
              <w:noProof/>
              <w:lang w:val="en-US"/>
            </w:rPr>
            <w:t xml:space="preserve">. </w:t>
          </w:r>
          <w:r w:rsidR="0067236F" w:rsidRPr="0067236F">
            <w:rPr>
              <w:lang w:val="en-US"/>
            </w:rPr>
            <w:t>Cardiff: Crown</w:t>
          </w:r>
          <w:r w:rsidR="0067236F">
            <w:rPr>
              <w:lang w:val="en-US"/>
            </w:rPr>
            <w:t>.</w:t>
          </w:r>
          <w:r w:rsidR="0067236F">
            <w:rPr>
              <w:noProof/>
              <w:lang w:val="en-US"/>
            </w:rPr>
            <w:t xml:space="preserve"> </w:t>
          </w:r>
          <w:r w:rsidR="005C686C">
            <w:rPr>
              <w:noProof/>
              <w:lang w:val="en-US"/>
            </w:rPr>
            <w:t xml:space="preserve">Available at: </w:t>
          </w:r>
          <w:r>
            <w:rPr>
              <w:noProof/>
              <w:lang w:val="en-US"/>
            </w:rPr>
            <w:t xml:space="preserve"> Hwb: </w:t>
          </w:r>
          <w:hyperlink r:id="rId26" w:history="1">
            <w:r w:rsidR="00257136" w:rsidRPr="00721626">
              <w:rPr>
                <w:rStyle w:val="Hyperlink"/>
                <w:noProof/>
                <w:lang w:val="en-US"/>
              </w:rPr>
              <w:t>https://www.gov.wales/schools-learning-organisations-slo-overview</w:t>
            </w:r>
          </w:hyperlink>
          <w:r w:rsidR="00257136">
            <w:rPr>
              <w:noProof/>
              <w:lang w:val="en-US"/>
            </w:rPr>
            <w:t xml:space="preserve"> </w:t>
          </w:r>
          <w:r w:rsidR="005C686C">
            <w:rPr>
              <w:noProof/>
              <w:lang w:val="en-US"/>
            </w:rPr>
            <w:t>(Accessed: 25/7/2023)</w:t>
          </w:r>
        </w:p>
        <w:p w14:paraId="10D30348" w14:textId="3D359A41" w:rsidR="00257136" w:rsidRDefault="00257136" w:rsidP="00257136">
          <w:pPr>
            <w:pStyle w:val="Bibliography"/>
            <w:ind w:left="720" w:hanging="720"/>
            <w:rPr>
              <w:noProof/>
              <w:lang w:val="en-US"/>
            </w:rPr>
          </w:pPr>
          <w:r>
            <w:rPr>
              <w:noProof/>
              <w:lang w:val="en-US"/>
            </w:rPr>
            <w:t>Welsh Government (202</w:t>
          </w:r>
          <w:r w:rsidR="001678D6">
            <w:rPr>
              <w:noProof/>
              <w:lang w:val="en-US"/>
            </w:rPr>
            <w:t>0</w:t>
          </w:r>
          <w:r>
            <w:rPr>
              <w:noProof/>
              <w:lang w:val="en-US"/>
            </w:rPr>
            <w:t xml:space="preserve">)  </w:t>
          </w:r>
          <w:r>
            <w:rPr>
              <w:i/>
              <w:iCs/>
              <w:noProof/>
              <w:lang w:val="en-US"/>
            </w:rPr>
            <w:t>Curriculum for Wales</w:t>
          </w:r>
          <w:r w:rsidR="001678D6">
            <w:rPr>
              <w:i/>
              <w:iCs/>
              <w:noProof/>
              <w:lang w:val="en-US"/>
            </w:rPr>
            <w:t xml:space="preserve"> guidance</w:t>
          </w:r>
          <w:r>
            <w:rPr>
              <w:noProof/>
              <w:lang w:val="en-US"/>
            </w:rPr>
            <w:t xml:space="preserve">. </w:t>
          </w:r>
          <w:r w:rsidR="005C686C">
            <w:rPr>
              <w:noProof/>
              <w:lang w:val="en-US"/>
            </w:rPr>
            <w:t>Available at:</w:t>
          </w:r>
          <w:r>
            <w:rPr>
              <w:noProof/>
              <w:lang w:val="en-US"/>
            </w:rPr>
            <w:t xml:space="preserve"> </w:t>
          </w:r>
          <w:hyperlink r:id="rId27" w:anchor="designing-a-school-curriculum" w:history="1">
            <w:r w:rsidRPr="00721626">
              <w:rPr>
                <w:rStyle w:val="Hyperlink"/>
                <w:noProof/>
                <w:lang w:val="en-US"/>
              </w:rPr>
              <w:t>https://hwb.gov.wales/curriculum-for-wales/introduction/#designing-a-school-curriculum</w:t>
            </w:r>
          </w:hyperlink>
          <w:r>
            <w:rPr>
              <w:noProof/>
              <w:lang w:val="en-US"/>
            </w:rPr>
            <w:t xml:space="preserve"> </w:t>
          </w:r>
          <w:r w:rsidR="005C686C">
            <w:rPr>
              <w:noProof/>
              <w:lang w:val="en-US"/>
            </w:rPr>
            <w:t xml:space="preserve"> (Accessed: 25/7/2023)</w:t>
          </w:r>
        </w:p>
        <w:p w14:paraId="0AB3D1E9" w14:textId="77021EB5" w:rsidR="001678D6" w:rsidRPr="001678D6" w:rsidRDefault="001678D6" w:rsidP="0067236F">
          <w:pPr>
            <w:pStyle w:val="Bibliography"/>
            <w:ind w:left="720" w:hanging="720"/>
            <w:rPr>
              <w:noProof/>
              <w:lang w:val="en-US"/>
            </w:rPr>
          </w:pPr>
          <w:r>
            <w:rPr>
              <w:noProof/>
              <w:lang w:val="en-US"/>
            </w:rPr>
            <w:t xml:space="preserve">Welsh Government (2020a) </w:t>
          </w:r>
          <w:r>
            <w:rPr>
              <w:i/>
              <w:iCs/>
              <w:noProof/>
              <w:lang w:val="en-US"/>
            </w:rPr>
            <w:t>Education in Wales: Our National Mission. Update October 2020.</w:t>
          </w:r>
          <w:r>
            <w:rPr>
              <w:noProof/>
              <w:lang w:val="en-US"/>
            </w:rPr>
            <w:t xml:space="preserve"> Cardiff: Welsh Government. </w:t>
          </w:r>
        </w:p>
        <w:p w14:paraId="7A772D6B" w14:textId="6AD70019" w:rsidR="00257136" w:rsidRDefault="00257136" w:rsidP="00257136">
          <w:pPr>
            <w:pStyle w:val="Bibliography"/>
            <w:ind w:left="720" w:hanging="720"/>
            <w:rPr>
              <w:noProof/>
              <w:lang w:val="en-US"/>
            </w:rPr>
          </w:pPr>
          <w:r>
            <w:rPr>
              <w:noProof/>
              <w:lang w:val="en-US"/>
            </w:rPr>
            <w:lastRenderedPageBreak/>
            <w:t xml:space="preserve">Welsh Government (2022). </w:t>
          </w:r>
          <w:r>
            <w:rPr>
              <w:i/>
              <w:iCs/>
              <w:noProof/>
              <w:lang w:val="en-US"/>
            </w:rPr>
            <w:t>National Network for Curriculum Implementation</w:t>
          </w:r>
          <w:r>
            <w:rPr>
              <w:noProof/>
              <w:lang w:val="en-US"/>
            </w:rPr>
            <w:t xml:space="preserve">. </w:t>
          </w:r>
          <w:r w:rsidR="005C686C">
            <w:rPr>
              <w:noProof/>
              <w:lang w:val="en-US"/>
            </w:rPr>
            <w:t>Available at:</w:t>
          </w:r>
          <w:r>
            <w:rPr>
              <w:noProof/>
              <w:lang w:val="en-US"/>
            </w:rPr>
            <w:t xml:space="preserve"> </w:t>
          </w:r>
          <w:hyperlink r:id="rId28" w:history="1">
            <w:r w:rsidRPr="00721626">
              <w:rPr>
                <w:rStyle w:val="Hyperlink"/>
                <w:noProof/>
                <w:lang w:val="en-US"/>
              </w:rPr>
              <w:t>https://hwb.gov.wales/curriculum-for-wales/national-network-for-curriculum-implementation/</w:t>
            </w:r>
          </w:hyperlink>
          <w:r>
            <w:rPr>
              <w:noProof/>
              <w:lang w:val="en-US"/>
            </w:rPr>
            <w:t xml:space="preserve"> </w:t>
          </w:r>
          <w:r w:rsidR="005C686C">
            <w:rPr>
              <w:noProof/>
              <w:lang w:val="en-US"/>
            </w:rPr>
            <w:t xml:space="preserve"> (Accessed: 25/7/2023)</w:t>
          </w:r>
        </w:p>
        <w:p w14:paraId="2D1108FD" w14:textId="4D75935F" w:rsidR="00AF556D" w:rsidRDefault="00AF556D" w:rsidP="00AF556D">
          <w:pPr>
            <w:pStyle w:val="Bibliography"/>
            <w:ind w:left="720" w:hanging="720"/>
            <w:rPr>
              <w:noProof/>
              <w:lang w:val="en-US"/>
            </w:rPr>
          </w:pPr>
          <w:r>
            <w:rPr>
              <w:noProof/>
              <w:lang w:val="en-US"/>
            </w:rPr>
            <w:t xml:space="preserve">Welsh Government  (2023) </w:t>
          </w:r>
          <w:r>
            <w:rPr>
              <w:i/>
              <w:iCs/>
              <w:noProof/>
              <w:lang w:val="en-US"/>
            </w:rPr>
            <w:t>National Professional Learning Entitlement</w:t>
          </w:r>
          <w:r>
            <w:rPr>
              <w:noProof/>
              <w:lang w:val="en-US"/>
            </w:rPr>
            <w:t xml:space="preserve">. </w:t>
          </w:r>
          <w:r w:rsidR="005C686C">
            <w:rPr>
              <w:noProof/>
              <w:lang w:val="en-US"/>
            </w:rPr>
            <w:t xml:space="preserve">Available at: </w:t>
          </w:r>
          <w:hyperlink r:id="rId29" w:history="1">
            <w:r w:rsidR="00257136" w:rsidRPr="00721626">
              <w:rPr>
                <w:rStyle w:val="Hyperlink"/>
                <w:noProof/>
                <w:lang w:val="en-US"/>
              </w:rPr>
              <w:t>https://hwb.gov.wales/professional-development/national-professional-learning-entitlement/national-professional-learning-entitlement/</w:t>
            </w:r>
          </w:hyperlink>
          <w:r w:rsidR="00257136">
            <w:rPr>
              <w:noProof/>
              <w:lang w:val="en-US"/>
            </w:rPr>
            <w:t xml:space="preserve"> </w:t>
          </w:r>
          <w:r w:rsidR="005C686C">
            <w:rPr>
              <w:noProof/>
              <w:lang w:val="en-US"/>
            </w:rPr>
            <w:t>(Accessed: 25/7/2023)</w:t>
          </w:r>
        </w:p>
        <w:p w14:paraId="0192AFA6" w14:textId="76FE25D8" w:rsidR="00AF556D" w:rsidRDefault="00AF556D" w:rsidP="00AF556D">
          <w:pPr>
            <w:pStyle w:val="Bibliography"/>
            <w:ind w:left="720" w:hanging="720"/>
            <w:rPr>
              <w:noProof/>
              <w:lang w:val="en-US"/>
            </w:rPr>
          </w:pPr>
          <w:r>
            <w:rPr>
              <w:noProof/>
              <w:lang w:val="en-US"/>
            </w:rPr>
            <w:t>Welsh Government  (2023</w:t>
          </w:r>
          <w:r w:rsidR="00257136">
            <w:rPr>
              <w:noProof/>
              <w:lang w:val="en-US"/>
            </w:rPr>
            <w:t>a</w:t>
          </w:r>
          <w:r>
            <w:rPr>
              <w:noProof/>
              <w:lang w:val="en-US"/>
            </w:rPr>
            <w:t xml:space="preserve">) </w:t>
          </w:r>
          <w:r>
            <w:rPr>
              <w:i/>
              <w:iCs/>
              <w:noProof/>
              <w:lang w:val="en-US"/>
            </w:rPr>
            <w:t>The National Strategy for Educational Research and Enquiry (NSERE): vision document</w:t>
          </w:r>
          <w:r>
            <w:rPr>
              <w:noProof/>
              <w:lang w:val="en-US"/>
            </w:rPr>
            <w:t xml:space="preserve">. </w:t>
          </w:r>
          <w:r w:rsidR="005C686C">
            <w:rPr>
              <w:noProof/>
              <w:lang w:val="en-US"/>
            </w:rPr>
            <w:t>Available at</w:t>
          </w:r>
          <w:r>
            <w:rPr>
              <w:noProof/>
              <w:lang w:val="en-US"/>
            </w:rPr>
            <w:t xml:space="preserve">: </w:t>
          </w:r>
          <w:hyperlink r:id="rId30" w:history="1">
            <w:r w:rsidR="00257136" w:rsidRPr="00721626">
              <w:rPr>
                <w:rStyle w:val="Hyperlink"/>
                <w:noProof/>
                <w:lang w:val="en-US"/>
              </w:rPr>
              <w:t>https://www.gov.wales/national-strategy-educational-research-and-enquiry-nsere-vision-document-html</w:t>
            </w:r>
          </w:hyperlink>
          <w:r w:rsidR="00257136">
            <w:rPr>
              <w:noProof/>
              <w:lang w:val="en-US"/>
            </w:rPr>
            <w:t xml:space="preserve"> </w:t>
          </w:r>
          <w:r w:rsidR="005C686C">
            <w:rPr>
              <w:noProof/>
              <w:lang w:val="en-US"/>
            </w:rPr>
            <w:t>(Accessed: 26/7/2023)</w:t>
          </w:r>
        </w:p>
        <w:p w14:paraId="2557A8F1" w14:textId="77E67E10" w:rsidR="00AF556D" w:rsidRDefault="00AF556D" w:rsidP="00AF556D">
          <w:pPr>
            <w:pStyle w:val="Bibliography"/>
            <w:ind w:left="720" w:hanging="720"/>
            <w:rPr>
              <w:noProof/>
              <w:lang w:val="en-US"/>
            </w:rPr>
          </w:pPr>
          <w:r>
            <w:rPr>
              <w:noProof/>
              <w:lang w:val="en-US"/>
            </w:rPr>
            <w:t>Welsh Government (2023</w:t>
          </w:r>
          <w:r w:rsidR="00257136">
            <w:rPr>
              <w:noProof/>
              <w:lang w:val="en-US"/>
            </w:rPr>
            <w:t>b</w:t>
          </w:r>
          <w:r>
            <w:rPr>
              <w:noProof/>
              <w:lang w:val="en-US"/>
            </w:rPr>
            <w:t xml:space="preserve">) </w:t>
          </w:r>
          <w:r>
            <w:rPr>
              <w:i/>
              <w:iCs/>
              <w:noProof/>
              <w:lang w:val="en-US"/>
            </w:rPr>
            <w:t>Curriculum for Wales: annual report 2023.</w:t>
          </w:r>
          <w:r>
            <w:rPr>
              <w:noProof/>
              <w:lang w:val="en-US"/>
            </w:rPr>
            <w:t xml:space="preserve"> Cardiff: Welsh Government.</w:t>
          </w:r>
        </w:p>
        <w:p w14:paraId="2EF8EC82" w14:textId="17D272A0" w:rsidR="00AF556D" w:rsidRDefault="00AF556D" w:rsidP="00AF556D">
          <w:pPr>
            <w:pStyle w:val="Bibliography"/>
            <w:ind w:left="720" w:hanging="720"/>
            <w:rPr>
              <w:noProof/>
              <w:lang w:val="en-US"/>
            </w:rPr>
          </w:pPr>
          <w:r>
            <w:rPr>
              <w:noProof/>
              <w:lang w:val="en-US"/>
            </w:rPr>
            <w:t>Welsh Government (2023</w:t>
          </w:r>
          <w:r w:rsidR="002146F4">
            <w:rPr>
              <w:noProof/>
              <w:lang w:val="en-US"/>
            </w:rPr>
            <w:t>c</w:t>
          </w:r>
          <w:r>
            <w:rPr>
              <w:noProof/>
              <w:lang w:val="en-US"/>
            </w:rPr>
            <w:t xml:space="preserve">) </w:t>
          </w:r>
          <w:r>
            <w:rPr>
              <w:i/>
              <w:iCs/>
              <w:noProof/>
              <w:lang w:val="en-US"/>
            </w:rPr>
            <w:t>National professional enquiry project</w:t>
          </w:r>
          <w:r>
            <w:rPr>
              <w:noProof/>
              <w:lang w:val="en-US"/>
            </w:rPr>
            <w:t xml:space="preserve">. </w:t>
          </w:r>
          <w:r w:rsidR="005C686C">
            <w:rPr>
              <w:noProof/>
              <w:lang w:val="en-US"/>
            </w:rPr>
            <w:t>Available at</w:t>
          </w:r>
          <w:r>
            <w:rPr>
              <w:noProof/>
              <w:lang w:val="en-US"/>
            </w:rPr>
            <w:t xml:space="preserve">: </w:t>
          </w:r>
          <w:hyperlink r:id="rId31" w:history="1">
            <w:r w:rsidR="00257136" w:rsidRPr="00721626">
              <w:rPr>
                <w:rStyle w:val="Hyperlink"/>
                <w:noProof/>
                <w:lang w:val="en-US"/>
              </w:rPr>
              <w:t>https://hwb.gov.wales/professional-development/national-professional-enquiry-project</w:t>
            </w:r>
          </w:hyperlink>
          <w:r w:rsidR="00257136">
            <w:rPr>
              <w:noProof/>
              <w:lang w:val="en-US"/>
            </w:rPr>
            <w:t xml:space="preserve"> </w:t>
          </w:r>
          <w:r w:rsidR="005C686C">
            <w:rPr>
              <w:noProof/>
              <w:lang w:val="en-US"/>
            </w:rPr>
            <w:t xml:space="preserve"> (Accessed: 3/8/2023)</w:t>
          </w:r>
        </w:p>
        <w:p w14:paraId="1E961198" w14:textId="0FADD9B1" w:rsidR="00AF556D" w:rsidRDefault="00AF556D" w:rsidP="00AF556D">
          <w:pPr>
            <w:pStyle w:val="Bibliography"/>
            <w:ind w:left="720" w:hanging="720"/>
            <w:rPr>
              <w:noProof/>
              <w:lang w:val="en-US"/>
            </w:rPr>
          </w:pPr>
          <w:r>
            <w:rPr>
              <w:noProof/>
              <w:lang w:val="en-US"/>
            </w:rPr>
            <w:t>Wenger, E. (2010) Communities of Practice and social learning systems: The career of a concept</w:t>
          </w:r>
          <w:r w:rsidR="002146F4">
            <w:rPr>
              <w:noProof/>
              <w:lang w:val="en-US"/>
            </w:rPr>
            <w:t>, in</w:t>
          </w:r>
          <w:r>
            <w:rPr>
              <w:noProof/>
              <w:lang w:val="en-US"/>
            </w:rPr>
            <w:t xml:space="preserve"> Blackmore, </w:t>
          </w:r>
          <w:r w:rsidR="002146F4">
            <w:rPr>
              <w:noProof/>
              <w:lang w:val="en-US"/>
            </w:rPr>
            <w:t xml:space="preserve">C. </w:t>
          </w:r>
          <w:r>
            <w:rPr>
              <w:i/>
              <w:iCs/>
              <w:noProof/>
              <w:lang w:val="en-US"/>
            </w:rPr>
            <w:t>Social Learning Systems and Communities of Practice</w:t>
          </w:r>
          <w:r>
            <w:rPr>
              <w:noProof/>
              <w:lang w:val="en-US"/>
            </w:rPr>
            <w:t xml:space="preserve"> (pp. 179-198). London: Springer Verlag and the Open University</w:t>
          </w:r>
          <w:r w:rsidR="002146F4">
            <w:rPr>
              <w:noProof/>
              <w:lang w:val="en-US"/>
            </w:rPr>
            <w:t>.</w:t>
          </w:r>
        </w:p>
        <w:p w14:paraId="38DD6575" w14:textId="64DFC833" w:rsidR="00AF556D" w:rsidRDefault="00AF556D" w:rsidP="00AF556D">
          <w:pPr>
            <w:pStyle w:val="Bibliography"/>
            <w:ind w:left="720" w:hanging="720"/>
            <w:rPr>
              <w:noProof/>
              <w:lang w:val="en-US"/>
            </w:rPr>
          </w:pPr>
          <w:r>
            <w:rPr>
              <w:noProof/>
              <w:lang w:val="en-US"/>
            </w:rPr>
            <w:t>West, L. (2010) Really reflexive practice</w:t>
          </w:r>
          <w:r w:rsidR="002146F4">
            <w:rPr>
              <w:noProof/>
              <w:lang w:val="en-US"/>
            </w:rPr>
            <w:t>, i</w:t>
          </w:r>
          <w:r>
            <w:rPr>
              <w:noProof/>
              <w:lang w:val="en-US"/>
            </w:rPr>
            <w:t xml:space="preserve">n H. Bradbury, N. Frost, S. Kilminster, &amp; M. Zukas, </w:t>
          </w:r>
          <w:r>
            <w:rPr>
              <w:i/>
              <w:iCs/>
              <w:noProof/>
              <w:lang w:val="en-US"/>
            </w:rPr>
            <w:t xml:space="preserve">Beyond Reflective Practice: New approaches to professional </w:t>
          </w:r>
          <w:r w:rsidR="002146F4">
            <w:rPr>
              <w:i/>
              <w:iCs/>
              <w:noProof/>
              <w:lang w:val="en-US"/>
            </w:rPr>
            <w:t>li</w:t>
          </w:r>
          <w:r>
            <w:rPr>
              <w:i/>
              <w:iCs/>
              <w:noProof/>
              <w:lang w:val="en-US"/>
            </w:rPr>
            <w:t>felong learning</w:t>
          </w:r>
          <w:r w:rsidR="002146F4">
            <w:rPr>
              <w:noProof/>
              <w:lang w:val="en-US"/>
            </w:rPr>
            <w:t xml:space="preserve">.  </w:t>
          </w:r>
          <w:r>
            <w:rPr>
              <w:noProof/>
              <w:lang w:val="en-US"/>
            </w:rPr>
            <w:t>London: Routledge</w:t>
          </w:r>
          <w:r w:rsidR="002146F4">
            <w:rPr>
              <w:noProof/>
              <w:lang w:val="en-US"/>
            </w:rPr>
            <w:t>, pp. 66-82</w:t>
          </w:r>
          <w:r>
            <w:rPr>
              <w:noProof/>
              <w:lang w:val="en-US"/>
            </w:rPr>
            <w:t>.</w:t>
          </w:r>
        </w:p>
        <w:p w14:paraId="208A0A5B" w14:textId="225F06E7" w:rsidR="00AF556D" w:rsidRDefault="00AF556D" w:rsidP="00AF556D">
          <w:pPr>
            <w:pStyle w:val="Bibliography"/>
            <w:ind w:left="720" w:hanging="720"/>
            <w:rPr>
              <w:noProof/>
              <w:lang w:val="en-US"/>
            </w:rPr>
          </w:pPr>
          <w:r>
            <w:rPr>
              <w:noProof/>
              <w:lang w:val="en-US"/>
            </w:rPr>
            <w:t>Wiliam, D. (2016)</w:t>
          </w:r>
          <w:r w:rsidR="002146F4">
            <w:rPr>
              <w:noProof/>
              <w:lang w:val="en-US"/>
            </w:rPr>
            <w:t xml:space="preserve"> </w:t>
          </w:r>
          <w:r>
            <w:rPr>
              <w:noProof/>
              <w:lang w:val="en-US"/>
            </w:rPr>
            <w:t xml:space="preserve"> </w:t>
          </w:r>
          <w:r>
            <w:rPr>
              <w:i/>
              <w:iCs/>
              <w:noProof/>
              <w:lang w:val="en-US"/>
            </w:rPr>
            <w:t>Leadership for Teacher Learning: Creating a Culture Where All Teachers Improve So That All Students Succeed.</w:t>
          </w:r>
          <w:r>
            <w:rPr>
              <w:noProof/>
              <w:lang w:val="en-US"/>
            </w:rPr>
            <w:t xml:space="preserve"> West Palm Beach, Florida: Learning Sciences International.</w:t>
          </w:r>
        </w:p>
        <w:p w14:paraId="6ABBF828" w14:textId="3505F8F4" w:rsidR="00AF556D" w:rsidRDefault="00AF556D" w:rsidP="00AF556D">
          <w:pPr>
            <w:pStyle w:val="Bibliography"/>
            <w:ind w:left="720" w:hanging="720"/>
            <w:rPr>
              <w:noProof/>
              <w:lang w:val="en-US"/>
            </w:rPr>
          </w:pPr>
          <w:r>
            <w:rPr>
              <w:noProof/>
              <w:lang w:val="en-US"/>
            </w:rPr>
            <w:t xml:space="preserve">Yazan, B. (2015) Three </w:t>
          </w:r>
          <w:r w:rsidR="002146F4">
            <w:rPr>
              <w:noProof/>
              <w:lang w:val="en-US"/>
            </w:rPr>
            <w:t>a</w:t>
          </w:r>
          <w:r>
            <w:rPr>
              <w:noProof/>
              <w:lang w:val="en-US"/>
            </w:rPr>
            <w:t xml:space="preserve">pproaches to </w:t>
          </w:r>
          <w:r w:rsidR="002146F4">
            <w:rPr>
              <w:noProof/>
              <w:lang w:val="en-US"/>
            </w:rPr>
            <w:t>c</w:t>
          </w:r>
          <w:r>
            <w:rPr>
              <w:noProof/>
              <w:lang w:val="en-US"/>
            </w:rPr>
            <w:t xml:space="preserve">ase </w:t>
          </w:r>
          <w:r w:rsidR="002146F4">
            <w:rPr>
              <w:noProof/>
              <w:lang w:val="en-US"/>
            </w:rPr>
            <w:t>s</w:t>
          </w:r>
          <w:r>
            <w:rPr>
              <w:noProof/>
              <w:lang w:val="en-US"/>
            </w:rPr>
            <w:t xml:space="preserve">tudy </w:t>
          </w:r>
          <w:r w:rsidR="002146F4">
            <w:rPr>
              <w:noProof/>
              <w:lang w:val="en-US"/>
            </w:rPr>
            <w:t>m</w:t>
          </w:r>
          <w:r>
            <w:rPr>
              <w:noProof/>
              <w:lang w:val="en-US"/>
            </w:rPr>
            <w:t xml:space="preserve">ethods in </w:t>
          </w:r>
          <w:r w:rsidR="002146F4">
            <w:rPr>
              <w:noProof/>
              <w:lang w:val="en-US"/>
            </w:rPr>
            <w:t>e</w:t>
          </w:r>
          <w:r>
            <w:rPr>
              <w:noProof/>
              <w:lang w:val="en-US"/>
            </w:rPr>
            <w:t xml:space="preserve">ducation: Yin, Merriam, and Stake. </w:t>
          </w:r>
          <w:r>
            <w:rPr>
              <w:i/>
              <w:iCs/>
              <w:noProof/>
              <w:lang w:val="en-US"/>
            </w:rPr>
            <w:t>Qualitative Report</w:t>
          </w:r>
          <w:r>
            <w:rPr>
              <w:noProof/>
              <w:lang w:val="en-US"/>
            </w:rPr>
            <w:t xml:space="preserve">, </w:t>
          </w:r>
          <w:r w:rsidR="002146F4">
            <w:rPr>
              <w:noProof/>
              <w:lang w:val="en-US"/>
            </w:rPr>
            <w:t>pp</w:t>
          </w:r>
          <w:r w:rsidR="0067236F">
            <w:rPr>
              <w:noProof/>
              <w:lang w:val="en-US"/>
            </w:rPr>
            <w:t xml:space="preserve">. </w:t>
          </w:r>
          <w:r>
            <w:rPr>
              <w:noProof/>
              <w:lang w:val="en-US"/>
            </w:rPr>
            <w:t>134-152.</w:t>
          </w:r>
        </w:p>
        <w:p w14:paraId="482C1216" w14:textId="5A5D2502" w:rsidR="00AF556D" w:rsidRDefault="00AF556D" w:rsidP="00AF556D">
          <w:pPr>
            <w:pStyle w:val="Bibliography"/>
            <w:ind w:left="720" w:hanging="720"/>
            <w:rPr>
              <w:noProof/>
              <w:lang w:val="en-US"/>
            </w:rPr>
          </w:pPr>
          <w:r>
            <w:rPr>
              <w:noProof/>
              <w:lang w:val="en-US"/>
            </w:rPr>
            <w:t xml:space="preserve">Yin, R. K. (2002) </w:t>
          </w:r>
          <w:r>
            <w:rPr>
              <w:i/>
              <w:iCs/>
              <w:noProof/>
              <w:lang w:val="en-US"/>
            </w:rPr>
            <w:t>Case study research: Design and methods.</w:t>
          </w:r>
          <w:r>
            <w:rPr>
              <w:noProof/>
              <w:lang w:val="en-US"/>
            </w:rPr>
            <w:t xml:space="preserve"> Thousand Oaks: S</w:t>
          </w:r>
          <w:r w:rsidR="002146F4">
            <w:rPr>
              <w:noProof/>
              <w:lang w:val="en-US"/>
            </w:rPr>
            <w:t>age</w:t>
          </w:r>
          <w:r>
            <w:rPr>
              <w:noProof/>
              <w:lang w:val="en-US"/>
            </w:rPr>
            <w:t xml:space="preserve"> publications.</w:t>
          </w:r>
        </w:p>
        <w:p w14:paraId="476A26E9" w14:textId="4A29EE36" w:rsidR="00AF556D" w:rsidRDefault="00000000" w:rsidP="00AF556D"/>
      </w:sdtContent>
    </w:sdt>
    <w:p w14:paraId="719DDDA9" w14:textId="77777777" w:rsidR="00AF556D" w:rsidRPr="009D500B" w:rsidRDefault="00AF556D" w:rsidP="00190EF0">
      <w:pPr>
        <w:pStyle w:val="BodyTextIndent"/>
        <w:ind w:left="0" w:firstLine="0"/>
        <w:rPr>
          <w:b/>
          <w:bCs/>
          <w:sz w:val="22"/>
          <w:szCs w:val="22"/>
        </w:rPr>
      </w:pPr>
    </w:p>
    <w:p w14:paraId="427937E6" w14:textId="077C2C3B" w:rsidR="00AF556D" w:rsidRPr="00102BE5" w:rsidRDefault="00B048E8" w:rsidP="00102BE5">
      <w:pPr>
        <w:rPr>
          <w:rFonts w:ascii="Arial" w:eastAsia="Arial" w:hAnsi="Arial" w:cs="Arial"/>
          <w:b/>
          <w:bCs/>
          <w:color w:val="000000"/>
          <w:u w:color="000000"/>
          <w:bdr w:val="nil"/>
          <w:lang w:val="en-US"/>
        </w:rPr>
      </w:pPr>
      <w:r>
        <w:rPr>
          <w:b/>
          <w:bCs/>
        </w:rPr>
        <w:br w:type="page"/>
      </w:r>
    </w:p>
    <w:p w14:paraId="45FBCDD0" w14:textId="1D114C85" w:rsidR="00C24994" w:rsidRPr="00102BE5" w:rsidRDefault="00AF556D" w:rsidP="00190EF0">
      <w:pPr>
        <w:pStyle w:val="BodyTextIndent"/>
        <w:ind w:left="0" w:firstLine="0"/>
        <w:rPr>
          <w:b/>
          <w:bCs/>
          <w:sz w:val="28"/>
          <w:szCs w:val="28"/>
        </w:rPr>
      </w:pPr>
      <w:r w:rsidRPr="00102BE5">
        <w:rPr>
          <w:b/>
          <w:bCs/>
          <w:sz w:val="28"/>
          <w:szCs w:val="28"/>
        </w:rPr>
        <w:lastRenderedPageBreak/>
        <w:t xml:space="preserve">Appendix A: Questionnaire </w:t>
      </w:r>
    </w:p>
    <w:p w14:paraId="624FC6DA" w14:textId="0F4DAD9B" w:rsidR="00381033" w:rsidRPr="00381033" w:rsidRDefault="00381033" w:rsidP="00381033">
      <w:pPr>
        <w:rPr>
          <w:rFonts w:ascii="Arial" w:eastAsia="Arial" w:hAnsi="Arial" w:cs="Arial"/>
          <w:b/>
          <w:bCs/>
          <w:color w:val="000000"/>
          <w:u w:color="000000"/>
          <w:bdr w:val="nil"/>
          <w:lang w:val="en-US"/>
        </w:rPr>
      </w:pPr>
    </w:p>
    <w:p w14:paraId="0F4E651B" w14:textId="543076F0" w:rsidR="00102BE5" w:rsidRDefault="00381033" w:rsidP="00CD4DA8">
      <w:pPr>
        <w:pStyle w:val="BodyTextIndent"/>
        <w:ind w:left="0" w:firstLine="0"/>
        <w:rPr>
          <w:b/>
          <w:bCs/>
          <w:sz w:val="22"/>
          <w:szCs w:val="22"/>
        </w:rPr>
      </w:pPr>
      <w:r>
        <w:rPr>
          <w:b/>
          <w:bCs/>
          <w:noProof/>
          <w:sz w:val="22"/>
          <w:szCs w:val="22"/>
        </w:rPr>
        <w:drawing>
          <wp:inline distT="0" distB="0" distL="0" distR="0" wp14:anchorId="28B47410" wp14:editId="35848A7A">
            <wp:extent cx="5731510" cy="8110855"/>
            <wp:effectExtent l="0" t="0" r="0" b="0"/>
            <wp:docPr id="351376881"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1376881" name="Picture 351376881"/>
                    <pic:cNvPicPr/>
                  </pic:nvPicPr>
                  <pic:blipFill>
                    <a:blip r:embed="rId32">
                      <a:extLst>
                        <a:ext uri="{28A0092B-C50C-407E-A947-70E740481C1C}">
                          <a14:useLocalDpi xmlns:a14="http://schemas.microsoft.com/office/drawing/2010/main" val="0"/>
                        </a:ext>
                      </a:extLst>
                    </a:blip>
                    <a:stretch>
                      <a:fillRect/>
                    </a:stretch>
                  </pic:blipFill>
                  <pic:spPr>
                    <a:xfrm>
                      <a:off x="0" y="0"/>
                      <a:ext cx="5731510" cy="8110855"/>
                    </a:xfrm>
                    <a:prstGeom prst="rect">
                      <a:avLst/>
                    </a:prstGeom>
                  </pic:spPr>
                </pic:pic>
              </a:graphicData>
            </a:graphic>
          </wp:inline>
        </w:drawing>
      </w:r>
    </w:p>
    <w:p w14:paraId="3AF98BC1" w14:textId="6A3A810B" w:rsidR="00381033" w:rsidRDefault="00381033" w:rsidP="00CD4DA8">
      <w:pPr>
        <w:pStyle w:val="BodyTextIndent"/>
        <w:ind w:left="0" w:firstLine="0"/>
        <w:rPr>
          <w:b/>
          <w:bCs/>
          <w:sz w:val="22"/>
          <w:szCs w:val="22"/>
        </w:rPr>
      </w:pPr>
      <w:r>
        <w:rPr>
          <w:b/>
          <w:bCs/>
          <w:noProof/>
          <w:sz w:val="22"/>
          <w:szCs w:val="22"/>
        </w:rPr>
        <w:lastRenderedPageBreak/>
        <w:drawing>
          <wp:inline distT="0" distB="0" distL="0" distR="0" wp14:anchorId="61757F86" wp14:editId="716649A8">
            <wp:extent cx="5731510" cy="8110855"/>
            <wp:effectExtent l="0" t="0" r="0" b="0"/>
            <wp:docPr id="1779694318"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9694318" name="Picture 1779694318"/>
                    <pic:cNvPicPr/>
                  </pic:nvPicPr>
                  <pic:blipFill>
                    <a:blip r:embed="rId33">
                      <a:extLst>
                        <a:ext uri="{28A0092B-C50C-407E-A947-70E740481C1C}">
                          <a14:useLocalDpi xmlns:a14="http://schemas.microsoft.com/office/drawing/2010/main" val="0"/>
                        </a:ext>
                      </a:extLst>
                    </a:blip>
                    <a:stretch>
                      <a:fillRect/>
                    </a:stretch>
                  </pic:blipFill>
                  <pic:spPr>
                    <a:xfrm>
                      <a:off x="0" y="0"/>
                      <a:ext cx="5731510" cy="8110855"/>
                    </a:xfrm>
                    <a:prstGeom prst="rect">
                      <a:avLst/>
                    </a:prstGeom>
                  </pic:spPr>
                </pic:pic>
              </a:graphicData>
            </a:graphic>
          </wp:inline>
        </w:drawing>
      </w:r>
    </w:p>
    <w:p w14:paraId="279710F5" w14:textId="77777777" w:rsidR="00381033" w:rsidRDefault="00381033" w:rsidP="00CD4DA8">
      <w:pPr>
        <w:pStyle w:val="BodyTextIndent"/>
        <w:ind w:left="0" w:firstLine="0"/>
        <w:rPr>
          <w:b/>
          <w:bCs/>
          <w:sz w:val="22"/>
          <w:szCs w:val="22"/>
        </w:rPr>
      </w:pPr>
    </w:p>
    <w:p w14:paraId="5F204802" w14:textId="77777777" w:rsidR="00381033" w:rsidRDefault="00381033" w:rsidP="00CD4DA8">
      <w:pPr>
        <w:pStyle w:val="BodyTextIndent"/>
        <w:ind w:left="0" w:firstLine="0"/>
        <w:rPr>
          <w:b/>
          <w:bCs/>
          <w:sz w:val="22"/>
          <w:szCs w:val="22"/>
        </w:rPr>
      </w:pPr>
    </w:p>
    <w:p w14:paraId="2252883A" w14:textId="77777777" w:rsidR="00381033" w:rsidRDefault="00381033" w:rsidP="00CD4DA8">
      <w:pPr>
        <w:pStyle w:val="BodyTextIndent"/>
        <w:ind w:left="0" w:firstLine="0"/>
        <w:rPr>
          <w:b/>
          <w:bCs/>
          <w:sz w:val="22"/>
          <w:szCs w:val="22"/>
        </w:rPr>
      </w:pPr>
    </w:p>
    <w:p w14:paraId="799D5563" w14:textId="25C0F86C" w:rsidR="00381033" w:rsidRDefault="00381033" w:rsidP="00CD4DA8">
      <w:pPr>
        <w:pStyle w:val="BodyTextIndent"/>
        <w:ind w:left="0" w:firstLine="0"/>
        <w:rPr>
          <w:b/>
          <w:bCs/>
          <w:sz w:val="22"/>
          <w:szCs w:val="22"/>
        </w:rPr>
      </w:pPr>
      <w:r>
        <w:rPr>
          <w:b/>
          <w:bCs/>
          <w:noProof/>
          <w:sz w:val="22"/>
          <w:szCs w:val="22"/>
        </w:rPr>
        <w:drawing>
          <wp:inline distT="0" distB="0" distL="0" distR="0" wp14:anchorId="77070379" wp14:editId="4B13D8C0">
            <wp:extent cx="5731510" cy="8110855"/>
            <wp:effectExtent l="0" t="0" r="0" b="0"/>
            <wp:docPr id="1452269861"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2269861" name="Picture 1452269861"/>
                    <pic:cNvPicPr/>
                  </pic:nvPicPr>
                  <pic:blipFill>
                    <a:blip r:embed="rId34">
                      <a:extLst>
                        <a:ext uri="{28A0092B-C50C-407E-A947-70E740481C1C}">
                          <a14:useLocalDpi xmlns:a14="http://schemas.microsoft.com/office/drawing/2010/main" val="0"/>
                        </a:ext>
                      </a:extLst>
                    </a:blip>
                    <a:stretch>
                      <a:fillRect/>
                    </a:stretch>
                  </pic:blipFill>
                  <pic:spPr>
                    <a:xfrm>
                      <a:off x="0" y="0"/>
                      <a:ext cx="5731510" cy="8110855"/>
                    </a:xfrm>
                    <a:prstGeom prst="rect">
                      <a:avLst/>
                    </a:prstGeom>
                  </pic:spPr>
                </pic:pic>
              </a:graphicData>
            </a:graphic>
          </wp:inline>
        </w:drawing>
      </w:r>
    </w:p>
    <w:p w14:paraId="66B25B7E" w14:textId="77777777" w:rsidR="00381033" w:rsidRDefault="00381033" w:rsidP="00CD4DA8">
      <w:pPr>
        <w:pStyle w:val="BodyTextIndent"/>
        <w:ind w:left="0" w:firstLine="0"/>
        <w:rPr>
          <w:b/>
          <w:bCs/>
          <w:sz w:val="22"/>
          <w:szCs w:val="22"/>
        </w:rPr>
      </w:pPr>
    </w:p>
    <w:p w14:paraId="6309D3A6" w14:textId="77777777" w:rsidR="00381033" w:rsidRDefault="00381033" w:rsidP="00CD4DA8">
      <w:pPr>
        <w:pStyle w:val="BodyTextIndent"/>
        <w:ind w:left="0" w:firstLine="0"/>
        <w:rPr>
          <w:b/>
          <w:bCs/>
          <w:sz w:val="22"/>
          <w:szCs w:val="22"/>
        </w:rPr>
      </w:pPr>
    </w:p>
    <w:p w14:paraId="050575E8" w14:textId="2F606C16" w:rsidR="00381033" w:rsidRDefault="00381033" w:rsidP="00CD4DA8">
      <w:pPr>
        <w:pStyle w:val="BodyTextIndent"/>
        <w:ind w:left="0" w:firstLine="0"/>
        <w:rPr>
          <w:b/>
          <w:bCs/>
          <w:sz w:val="22"/>
          <w:szCs w:val="22"/>
        </w:rPr>
      </w:pPr>
      <w:r>
        <w:rPr>
          <w:b/>
          <w:bCs/>
          <w:noProof/>
          <w:sz w:val="22"/>
          <w:szCs w:val="22"/>
        </w:rPr>
        <w:drawing>
          <wp:inline distT="0" distB="0" distL="0" distR="0" wp14:anchorId="581E1039" wp14:editId="3F54B2E9">
            <wp:extent cx="5731510" cy="8110855"/>
            <wp:effectExtent l="0" t="0" r="0" b="0"/>
            <wp:docPr id="1462764217"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2764217" name="Picture 1462764217"/>
                    <pic:cNvPicPr/>
                  </pic:nvPicPr>
                  <pic:blipFill>
                    <a:blip r:embed="rId35">
                      <a:extLst>
                        <a:ext uri="{28A0092B-C50C-407E-A947-70E740481C1C}">
                          <a14:useLocalDpi xmlns:a14="http://schemas.microsoft.com/office/drawing/2010/main" val="0"/>
                        </a:ext>
                      </a:extLst>
                    </a:blip>
                    <a:stretch>
                      <a:fillRect/>
                    </a:stretch>
                  </pic:blipFill>
                  <pic:spPr>
                    <a:xfrm>
                      <a:off x="0" y="0"/>
                      <a:ext cx="5731510" cy="8110855"/>
                    </a:xfrm>
                    <a:prstGeom prst="rect">
                      <a:avLst/>
                    </a:prstGeom>
                  </pic:spPr>
                </pic:pic>
              </a:graphicData>
            </a:graphic>
          </wp:inline>
        </w:drawing>
      </w:r>
    </w:p>
    <w:p w14:paraId="100A3D89" w14:textId="77777777" w:rsidR="00381033" w:rsidRDefault="00381033" w:rsidP="00CD4DA8">
      <w:pPr>
        <w:pStyle w:val="BodyTextIndent"/>
        <w:ind w:left="0" w:firstLine="0"/>
        <w:rPr>
          <w:b/>
          <w:bCs/>
          <w:sz w:val="22"/>
          <w:szCs w:val="22"/>
        </w:rPr>
      </w:pPr>
    </w:p>
    <w:p w14:paraId="1244F0CC" w14:textId="3701A3C8" w:rsidR="00381033" w:rsidRDefault="00381033" w:rsidP="00CD4DA8">
      <w:pPr>
        <w:pStyle w:val="BodyTextIndent"/>
        <w:ind w:left="0" w:firstLine="0"/>
        <w:rPr>
          <w:b/>
          <w:bCs/>
          <w:sz w:val="22"/>
          <w:szCs w:val="22"/>
        </w:rPr>
      </w:pPr>
      <w:r>
        <w:rPr>
          <w:b/>
          <w:bCs/>
          <w:noProof/>
          <w:sz w:val="22"/>
          <w:szCs w:val="22"/>
        </w:rPr>
        <w:lastRenderedPageBreak/>
        <w:drawing>
          <wp:inline distT="0" distB="0" distL="0" distR="0" wp14:anchorId="54F4FACF" wp14:editId="2FA13B57">
            <wp:extent cx="5731510" cy="8110855"/>
            <wp:effectExtent l="0" t="0" r="0" b="0"/>
            <wp:docPr id="439710049"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9710049" name="Picture 439710049"/>
                    <pic:cNvPicPr/>
                  </pic:nvPicPr>
                  <pic:blipFill>
                    <a:blip r:embed="rId36">
                      <a:extLst>
                        <a:ext uri="{28A0092B-C50C-407E-A947-70E740481C1C}">
                          <a14:useLocalDpi xmlns:a14="http://schemas.microsoft.com/office/drawing/2010/main" val="0"/>
                        </a:ext>
                      </a:extLst>
                    </a:blip>
                    <a:stretch>
                      <a:fillRect/>
                    </a:stretch>
                  </pic:blipFill>
                  <pic:spPr>
                    <a:xfrm>
                      <a:off x="0" y="0"/>
                      <a:ext cx="5731510" cy="8110855"/>
                    </a:xfrm>
                    <a:prstGeom prst="rect">
                      <a:avLst/>
                    </a:prstGeom>
                  </pic:spPr>
                </pic:pic>
              </a:graphicData>
            </a:graphic>
          </wp:inline>
        </w:drawing>
      </w:r>
    </w:p>
    <w:p w14:paraId="3C35C9EB" w14:textId="77777777" w:rsidR="00381033" w:rsidRDefault="00381033" w:rsidP="00CD4DA8">
      <w:pPr>
        <w:pStyle w:val="BodyTextIndent"/>
        <w:ind w:left="0" w:firstLine="0"/>
        <w:rPr>
          <w:b/>
          <w:bCs/>
          <w:sz w:val="22"/>
          <w:szCs w:val="22"/>
        </w:rPr>
      </w:pPr>
    </w:p>
    <w:p w14:paraId="0E77C0E6" w14:textId="77777777" w:rsidR="00381033" w:rsidRDefault="00381033" w:rsidP="00CD4DA8">
      <w:pPr>
        <w:pStyle w:val="BodyTextIndent"/>
        <w:ind w:left="0" w:firstLine="0"/>
        <w:rPr>
          <w:b/>
          <w:bCs/>
          <w:sz w:val="22"/>
          <w:szCs w:val="22"/>
        </w:rPr>
      </w:pPr>
    </w:p>
    <w:p w14:paraId="01D3D283" w14:textId="40AC6D86" w:rsidR="00381033" w:rsidRDefault="00381033" w:rsidP="00CD4DA8">
      <w:pPr>
        <w:pStyle w:val="BodyTextIndent"/>
        <w:ind w:left="0" w:firstLine="0"/>
        <w:rPr>
          <w:b/>
          <w:bCs/>
          <w:sz w:val="22"/>
          <w:szCs w:val="22"/>
        </w:rPr>
      </w:pPr>
      <w:r>
        <w:rPr>
          <w:b/>
          <w:bCs/>
          <w:noProof/>
          <w:sz w:val="22"/>
          <w:szCs w:val="22"/>
        </w:rPr>
        <w:lastRenderedPageBreak/>
        <w:drawing>
          <wp:inline distT="0" distB="0" distL="0" distR="0" wp14:anchorId="31F28BF1" wp14:editId="7AFF4528">
            <wp:extent cx="5731510" cy="8110855"/>
            <wp:effectExtent l="0" t="0" r="0" b="0"/>
            <wp:docPr id="1486642329"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6642329" name="Picture 1486642329"/>
                    <pic:cNvPicPr/>
                  </pic:nvPicPr>
                  <pic:blipFill>
                    <a:blip r:embed="rId37">
                      <a:extLst>
                        <a:ext uri="{28A0092B-C50C-407E-A947-70E740481C1C}">
                          <a14:useLocalDpi xmlns:a14="http://schemas.microsoft.com/office/drawing/2010/main" val="0"/>
                        </a:ext>
                      </a:extLst>
                    </a:blip>
                    <a:stretch>
                      <a:fillRect/>
                    </a:stretch>
                  </pic:blipFill>
                  <pic:spPr>
                    <a:xfrm>
                      <a:off x="0" y="0"/>
                      <a:ext cx="5731510" cy="8110855"/>
                    </a:xfrm>
                    <a:prstGeom prst="rect">
                      <a:avLst/>
                    </a:prstGeom>
                  </pic:spPr>
                </pic:pic>
              </a:graphicData>
            </a:graphic>
          </wp:inline>
        </w:drawing>
      </w:r>
    </w:p>
    <w:p w14:paraId="476082C3" w14:textId="77777777" w:rsidR="00381033" w:rsidRDefault="00381033" w:rsidP="00CD4DA8">
      <w:pPr>
        <w:pStyle w:val="BodyTextIndent"/>
        <w:ind w:left="0" w:firstLine="0"/>
        <w:rPr>
          <w:b/>
          <w:bCs/>
          <w:sz w:val="22"/>
          <w:szCs w:val="22"/>
        </w:rPr>
      </w:pPr>
    </w:p>
    <w:p w14:paraId="03510490" w14:textId="77777777" w:rsidR="00381033" w:rsidRDefault="00381033" w:rsidP="00CD4DA8">
      <w:pPr>
        <w:pStyle w:val="BodyTextIndent"/>
        <w:ind w:left="0" w:firstLine="0"/>
        <w:rPr>
          <w:b/>
          <w:bCs/>
          <w:sz w:val="22"/>
          <w:szCs w:val="22"/>
        </w:rPr>
      </w:pPr>
    </w:p>
    <w:p w14:paraId="76624767" w14:textId="77777777" w:rsidR="00381033" w:rsidRDefault="00381033" w:rsidP="00CD4DA8">
      <w:pPr>
        <w:pStyle w:val="BodyTextIndent"/>
        <w:ind w:left="0" w:firstLine="0"/>
        <w:rPr>
          <w:b/>
          <w:bCs/>
          <w:sz w:val="22"/>
          <w:szCs w:val="22"/>
        </w:rPr>
      </w:pPr>
    </w:p>
    <w:p w14:paraId="28456EFA" w14:textId="61BCAFFA" w:rsidR="00381033" w:rsidRDefault="00381033" w:rsidP="00CD4DA8">
      <w:pPr>
        <w:pStyle w:val="BodyTextIndent"/>
        <w:ind w:left="0" w:firstLine="0"/>
        <w:rPr>
          <w:b/>
          <w:bCs/>
          <w:sz w:val="22"/>
          <w:szCs w:val="22"/>
        </w:rPr>
      </w:pPr>
      <w:r>
        <w:rPr>
          <w:b/>
          <w:bCs/>
          <w:noProof/>
          <w:sz w:val="22"/>
          <w:szCs w:val="22"/>
        </w:rPr>
        <w:drawing>
          <wp:inline distT="0" distB="0" distL="0" distR="0" wp14:anchorId="1EB7FA11" wp14:editId="040D6288">
            <wp:extent cx="5731510" cy="8110855"/>
            <wp:effectExtent l="0" t="0" r="0" b="0"/>
            <wp:docPr id="1554105651"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4105651" name="Picture 1554105651"/>
                    <pic:cNvPicPr/>
                  </pic:nvPicPr>
                  <pic:blipFill>
                    <a:blip r:embed="rId38">
                      <a:extLst>
                        <a:ext uri="{28A0092B-C50C-407E-A947-70E740481C1C}">
                          <a14:useLocalDpi xmlns:a14="http://schemas.microsoft.com/office/drawing/2010/main" val="0"/>
                        </a:ext>
                      </a:extLst>
                    </a:blip>
                    <a:stretch>
                      <a:fillRect/>
                    </a:stretch>
                  </pic:blipFill>
                  <pic:spPr>
                    <a:xfrm>
                      <a:off x="0" y="0"/>
                      <a:ext cx="5731510" cy="8110855"/>
                    </a:xfrm>
                    <a:prstGeom prst="rect">
                      <a:avLst/>
                    </a:prstGeom>
                  </pic:spPr>
                </pic:pic>
              </a:graphicData>
            </a:graphic>
          </wp:inline>
        </w:drawing>
      </w:r>
    </w:p>
    <w:p w14:paraId="0E17F97E" w14:textId="77777777" w:rsidR="00381033" w:rsidRDefault="00381033" w:rsidP="00CD4DA8">
      <w:pPr>
        <w:pStyle w:val="BodyTextIndent"/>
        <w:ind w:left="0" w:firstLine="0"/>
        <w:rPr>
          <w:b/>
          <w:bCs/>
          <w:sz w:val="22"/>
          <w:szCs w:val="22"/>
        </w:rPr>
      </w:pPr>
    </w:p>
    <w:p w14:paraId="2F15F947" w14:textId="66CFA857" w:rsidR="00381033" w:rsidRDefault="00381033" w:rsidP="00CD4DA8">
      <w:pPr>
        <w:pStyle w:val="BodyTextIndent"/>
        <w:ind w:left="0" w:firstLine="0"/>
        <w:rPr>
          <w:b/>
          <w:bCs/>
          <w:sz w:val="22"/>
          <w:szCs w:val="22"/>
        </w:rPr>
      </w:pPr>
      <w:r>
        <w:rPr>
          <w:b/>
          <w:bCs/>
          <w:noProof/>
          <w:sz w:val="22"/>
          <w:szCs w:val="22"/>
        </w:rPr>
        <w:lastRenderedPageBreak/>
        <w:drawing>
          <wp:inline distT="0" distB="0" distL="0" distR="0" wp14:anchorId="477A0B10" wp14:editId="52421A65">
            <wp:extent cx="5731510" cy="8110855"/>
            <wp:effectExtent l="0" t="0" r="0" b="0"/>
            <wp:docPr id="1806093285"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6093285" name="Picture 1806093285"/>
                    <pic:cNvPicPr/>
                  </pic:nvPicPr>
                  <pic:blipFill>
                    <a:blip r:embed="rId39">
                      <a:extLst>
                        <a:ext uri="{28A0092B-C50C-407E-A947-70E740481C1C}">
                          <a14:useLocalDpi xmlns:a14="http://schemas.microsoft.com/office/drawing/2010/main" val="0"/>
                        </a:ext>
                      </a:extLst>
                    </a:blip>
                    <a:stretch>
                      <a:fillRect/>
                    </a:stretch>
                  </pic:blipFill>
                  <pic:spPr>
                    <a:xfrm>
                      <a:off x="0" y="0"/>
                      <a:ext cx="5731510" cy="8110855"/>
                    </a:xfrm>
                    <a:prstGeom prst="rect">
                      <a:avLst/>
                    </a:prstGeom>
                  </pic:spPr>
                </pic:pic>
              </a:graphicData>
            </a:graphic>
          </wp:inline>
        </w:drawing>
      </w:r>
    </w:p>
    <w:p w14:paraId="6430F00F" w14:textId="77777777" w:rsidR="00381033" w:rsidRDefault="00381033" w:rsidP="00CD4DA8">
      <w:pPr>
        <w:pStyle w:val="BodyTextIndent"/>
        <w:ind w:left="0" w:firstLine="0"/>
        <w:rPr>
          <w:b/>
          <w:bCs/>
          <w:sz w:val="22"/>
          <w:szCs w:val="22"/>
        </w:rPr>
      </w:pPr>
    </w:p>
    <w:p w14:paraId="0D6FB94F" w14:textId="77777777" w:rsidR="00381033" w:rsidRDefault="00381033" w:rsidP="00CD4DA8">
      <w:pPr>
        <w:pStyle w:val="BodyTextIndent"/>
        <w:ind w:left="0" w:firstLine="0"/>
        <w:rPr>
          <w:b/>
          <w:bCs/>
          <w:sz w:val="22"/>
          <w:szCs w:val="22"/>
        </w:rPr>
      </w:pPr>
    </w:p>
    <w:p w14:paraId="2A2B0BF7" w14:textId="785DBCB6" w:rsidR="00381033" w:rsidRDefault="00381033" w:rsidP="00CD4DA8">
      <w:pPr>
        <w:pStyle w:val="BodyTextIndent"/>
        <w:ind w:left="0" w:firstLine="0"/>
        <w:rPr>
          <w:b/>
          <w:bCs/>
          <w:sz w:val="22"/>
          <w:szCs w:val="22"/>
        </w:rPr>
      </w:pPr>
      <w:r>
        <w:rPr>
          <w:b/>
          <w:bCs/>
          <w:noProof/>
          <w:sz w:val="22"/>
          <w:szCs w:val="22"/>
        </w:rPr>
        <w:lastRenderedPageBreak/>
        <w:drawing>
          <wp:inline distT="0" distB="0" distL="0" distR="0" wp14:anchorId="3F1D8EE0" wp14:editId="743727C3">
            <wp:extent cx="5731510" cy="8110855"/>
            <wp:effectExtent l="0" t="0" r="0" b="0"/>
            <wp:docPr id="1986888456"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6888456" name="Picture 1986888456"/>
                    <pic:cNvPicPr/>
                  </pic:nvPicPr>
                  <pic:blipFill>
                    <a:blip r:embed="rId40">
                      <a:extLst>
                        <a:ext uri="{28A0092B-C50C-407E-A947-70E740481C1C}">
                          <a14:useLocalDpi xmlns:a14="http://schemas.microsoft.com/office/drawing/2010/main" val="0"/>
                        </a:ext>
                      </a:extLst>
                    </a:blip>
                    <a:stretch>
                      <a:fillRect/>
                    </a:stretch>
                  </pic:blipFill>
                  <pic:spPr>
                    <a:xfrm>
                      <a:off x="0" y="0"/>
                      <a:ext cx="5731510" cy="8110855"/>
                    </a:xfrm>
                    <a:prstGeom prst="rect">
                      <a:avLst/>
                    </a:prstGeom>
                  </pic:spPr>
                </pic:pic>
              </a:graphicData>
            </a:graphic>
          </wp:inline>
        </w:drawing>
      </w:r>
    </w:p>
    <w:p w14:paraId="2B2FC301" w14:textId="77777777" w:rsidR="00102BE5" w:rsidRDefault="00102BE5">
      <w:pPr>
        <w:rPr>
          <w:rFonts w:ascii="Arial" w:eastAsia="Arial" w:hAnsi="Arial" w:cs="Arial"/>
          <w:b/>
          <w:bCs/>
          <w:color w:val="000000"/>
          <w:u w:color="000000"/>
          <w:bdr w:val="nil"/>
          <w:lang w:val="en-US"/>
        </w:rPr>
      </w:pPr>
      <w:r>
        <w:rPr>
          <w:b/>
          <w:bCs/>
        </w:rPr>
        <w:br w:type="page"/>
      </w:r>
    </w:p>
    <w:p w14:paraId="2ED38660" w14:textId="4D89668B" w:rsidR="00CD4DA8" w:rsidRPr="00381033" w:rsidRDefault="00AF556D" w:rsidP="00CD4DA8">
      <w:pPr>
        <w:pStyle w:val="BodyTextIndent"/>
        <w:ind w:left="0" w:firstLine="0"/>
        <w:rPr>
          <w:b/>
          <w:bCs/>
        </w:rPr>
      </w:pPr>
      <w:r w:rsidRPr="00381033">
        <w:rPr>
          <w:b/>
          <w:bCs/>
        </w:rPr>
        <w:lastRenderedPageBreak/>
        <w:t>Appendix B: Interview protocol</w:t>
      </w:r>
    </w:p>
    <w:p w14:paraId="03D6DEE1" w14:textId="77777777" w:rsidR="00CD4DA8" w:rsidRPr="00F04452" w:rsidRDefault="00CD4DA8" w:rsidP="00CD4DA8">
      <w:pPr>
        <w:rPr>
          <w:rFonts w:cstheme="minorHAnsi"/>
          <w:i/>
          <w:iCs/>
        </w:rPr>
      </w:pPr>
      <w:r w:rsidRPr="00D443A7">
        <w:rPr>
          <w:rFonts w:cstheme="minorHAnsi"/>
          <w:i/>
          <w:iCs/>
        </w:rPr>
        <w:t xml:space="preserve">Introductory protocol: </w:t>
      </w:r>
    </w:p>
    <w:p w14:paraId="65311495" w14:textId="77777777" w:rsidR="00CD4DA8" w:rsidRDefault="00CD4DA8" w:rsidP="00CD4DA8">
      <w:pPr>
        <w:pStyle w:val="maintxt"/>
        <w:rPr>
          <w:rFonts w:asciiTheme="minorHAnsi" w:hAnsiTheme="minorHAnsi" w:cstheme="minorHAnsi"/>
          <w:sz w:val="22"/>
          <w:szCs w:val="22"/>
        </w:rPr>
      </w:pPr>
      <w:r w:rsidRPr="00D443A7">
        <w:rPr>
          <w:rFonts w:asciiTheme="minorHAnsi" w:hAnsiTheme="minorHAnsi" w:cstheme="minorHAnsi"/>
          <w:sz w:val="22"/>
          <w:szCs w:val="22"/>
        </w:rPr>
        <w:t>Thank you for completing the question</w:t>
      </w:r>
      <w:r>
        <w:rPr>
          <w:rFonts w:asciiTheme="minorHAnsi" w:hAnsiTheme="minorHAnsi" w:cstheme="minorHAnsi"/>
          <w:sz w:val="22"/>
          <w:szCs w:val="22"/>
        </w:rPr>
        <w:t>n</w:t>
      </w:r>
      <w:r w:rsidRPr="00D443A7">
        <w:rPr>
          <w:rFonts w:asciiTheme="minorHAnsi" w:hAnsiTheme="minorHAnsi" w:cstheme="minorHAnsi"/>
          <w:sz w:val="22"/>
          <w:szCs w:val="22"/>
        </w:rPr>
        <w:t xml:space="preserve">aire and agreeing to meet with me today to answer some further questions.  This research is for an MA dissertation at UWTSD. The research is focusing on the nature and impact of professional learning in support of the Curriculum for Wales. </w:t>
      </w:r>
      <w:r>
        <w:rPr>
          <w:rFonts w:asciiTheme="minorHAnsi" w:hAnsiTheme="minorHAnsi" w:cstheme="minorHAnsi"/>
          <w:sz w:val="22"/>
          <w:szCs w:val="22"/>
        </w:rPr>
        <w:t xml:space="preserve"> My research is focusing on gathering evidence about practitioner perceptions of the PL that they have experienced to support their implementation of CfW. In particular I am exploring the impact of this PL, and whether there are factors that have made this PL impactful for practitioners. </w:t>
      </w:r>
    </w:p>
    <w:p w14:paraId="26EF96D6" w14:textId="77777777" w:rsidR="00CD4DA8" w:rsidRPr="00D443A7" w:rsidRDefault="00CD4DA8" w:rsidP="00CD4DA8">
      <w:pPr>
        <w:pStyle w:val="maintxt"/>
        <w:rPr>
          <w:rFonts w:asciiTheme="minorHAnsi" w:hAnsiTheme="minorHAnsi" w:cstheme="minorHAnsi"/>
          <w:color w:val="000000"/>
          <w:sz w:val="22"/>
          <w:szCs w:val="22"/>
        </w:rPr>
      </w:pPr>
      <w:r w:rsidRPr="00D443A7">
        <w:rPr>
          <w:rFonts w:asciiTheme="minorHAnsi" w:hAnsiTheme="minorHAnsi" w:cstheme="minorHAnsi"/>
          <w:sz w:val="22"/>
          <w:szCs w:val="22"/>
        </w:rPr>
        <w:t>I have planned this interview to last no longer than 45 minutes.  I have several questions I would like to ask you</w:t>
      </w:r>
      <w:r>
        <w:rPr>
          <w:rFonts w:asciiTheme="minorHAnsi" w:hAnsiTheme="minorHAnsi" w:cstheme="minorHAnsi"/>
          <w:sz w:val="22"/>
          <w:szCs w:val="22"/>
        </w:rPr>
        <w:t>, and I may ask some follow up questions as well</w:t>
      </w:r>
      <w:r w:rsidRPr="00D443A7">
        <w:rPr>
          <w:rFonts w:asciiTheme="minorHAnsi" w:hAnsiTheme="minorHAnsi" w:cstheme="minorHAnsi"/>
          <w:sz w:val="22"/>
          <w:szCs w:val="22"/>
        </w:rPr>
        <w:t xml:space="preserve">. </w:t>
      </w:r>
    </w:p>
    <w:p w14:paraId="507A4923" w14:textId="77777777" w:rsidR="00CD4DA8" w:rsidRPr="00D443A7" w:rsidRDefault="00CD4DA8" w:rsidP="00CD4DA8">
      <w:pPr>
        <w:pStyle w:val="maintxt"/>
        <w:rPr>
          <w:rFonts w:asciiTheme="minorHAnsi" w:hAnsiTheme="minorHAnsi" w:cstheme="minorHAnsi"/>
          <w:color w:val="000000"/>
          <w:sz w:val="22"/>
          <w:szCs w:val="22"/>
        </w:rPr>
      </w:pPr>
      <w:r w:rsidRPr="00D443A7">
        <w:rPr>
          <w:rFonts w:asciiTheme="minorHAnsi" w:hAnsiTheme="minorHAnsi" w:cstheme="minorHAnsi"/>
          <w:color w:val="000000"/>
          <w:sz w:val="22"/>
          <w:szCs w:val="22"/>
        </w:rPr>
        <w:t xml:space="preserve">To help my note taking and transcription, I would like to record the audio of this interview using MS Teams.  For your information, only I will have access to the recording, and it will be destroyed after the interview is transcribed.  Do you consent to the recording? </w:t>
      </w:r>
    </w:p>
    <w:p w14:paraId="0FF65935" w14:textId="063D9208" w:rsidR="00CD4DA8" w:rsidRDefault="00CD4DA8" w:rsidP="00CD4DA8">
      <w:r>
        <w:t xml:space="preserve">All information will be held as confidential. In any transcript or writing you will be referred to as Teacher, followed by a random letter, such as ‘Teacher A’.   Transcripts of the interview will be destroyed after the research is complete. In the write up of the dissertation,  care will be taken to ensure that you or your school are not identifiable from any responses.  </w:t>
      </w:r>
    </w:p>
    <w:p w14:paraId="557F9377" w14:textId="125DDC24" w:rsidR="00810121" w:rsidRDefault="00CD4DA8" w:rsidP="00CD4DA8">
      <w:r>
        <w:t xml:space="preserve">Your participation is </w:t>
      </w:r>
      <w:r w:rsidR="00A5515E">
        <w:t>voluntary,</w:t>
      </w:r>
      <w:r>
        <w:t xml:space="preserve"> and you can withdraw at any point, or choose to not answer any of the questions if you wish.  If you change your mind at a later point and do not want your responses included in the assignment, you are free to contact me at any point.  </w:t>
      </w:r>
      <w:r w:rsidR="00810121">
        <w:t xml:space="preserve">By giving consent you understand that your responses will be confidential. </w:t>
      </w:r>
    </w:p>
    <w:p w14:paraId="4B1DCDD0" w14:textId="06891F39" w:rsidR="00810121" w:rsidRDefault="00CD4DA8" w:rsidP="00CD4DA8">
      <w:r>
        <w:t xml:space="preserve">Do you give your consent to proceed with the interview?  </w:t>
      </w:r>
    </w:p>
    <w:p w14:paraId="53D32D91" w14:textId="2E1D465F" w:rsidR="00CD4DA8" w:rsidRPr="00CD4DA8" w:rsidRDefault="00810121" w:rsidP="00CD4DA8">
      <w:r>
        <w:t>(</w:t>
      </w:r>
      <w:r w:rsidR="00CD4DA8">
        <w:t xml:space="preserve">Interviews </w:t>
      </w:r>
      <w:r>
        <w:t xml:space="preserve">were </w:t>
      </w:r>
      <w:r w:rsidR="00CD4DA8">
        <w:t xml:space="preserve">held online, so oral consent </w:t>
      </w:r>
      <w:r>
        <w:t xml:space="preserve">was </w:t>
      </w:r>
      <w:r w:rsidR="00A5515E">
        <w:t>received</w:t>
      </w:r>
      <w:r>
        <w:t xml:space="preserve">). </w:t>
      </w:r>
    </w:p>
    <w:p w14:paraId="65E624A8" w14:textId="5B9FAAB0" w:rsidR="00CD4DA8" w:rsidRPr="00CD4DA8" w:rsidRDefault="00CD4DA8" w:rsidP="00CD4DA8">
      <w:pPr>
        <w:rPr>
          <w:i/>
          <w:iCs/>
        </w:rPr>
      </w:pPr>
      <w:r w:rsidRPr="00A348DB">
        <w:rPr>
          <w:i/>
          <w:iCs/>
        </w:rPr>
        <w:t xml:space="preserve">Interview questions: </w:t>
      </w:r>
    </w:p>
    <w:p w14:paraId="491929B5" w14:textId="77777777" w:rsidR="00CD4DA8" w:rsidRDefault="00CD4DA8" w:rsidP="00CD4DA8">
      <w:pPr>
        <w:pStyle w:val="ListParagraph"/>
        <w:numPr>
          <w:ilvl w:val="0"/>
          <w:numId w:val="20"/>
        </w:numPr>
        <w:spacing w:after="0" w:line="240" w:lineRule="auto"/>
      </w:pPr>
      <w:r>
        <w:t xml:space="preserve">Can you give me some further context about the type and nature of your school setting please? </w:t>
      </w:r>
    </w:p>
    <w:p w14:paraId="75382F50" w14:textId="1764175A" w:rsidR="00CD4DA8" w:rsidRDefault="00CD4DA8" w:rsidP="00CD4DA8">
      <w:pPr>
        <w:ind w:firstLine="720"/>
      </w:pPr>
      <w:r>
        <w:t>Probe to include size/diversity/context/urban or rural/FSM</w:t>
      </w:r>
    </w:p>
    <w:p w14:paraId="077C021B" w14:textId="77777777" w:rsidR="00CD4DA8" w:rsidRDefault="00CD4DA8" w:rsidP="00CD4DA8">
      <w:pPr>
        <w:pStyle w:val="ListParagraph"/>
        <w:numPr>
          <w:ilvl w:val="0"/>
          <w:numId w:val="20"/>
        </w:numPr>
        <w:spacing w:after="0" w:line="240" w:lineRule="auto"/>
      </w:pPr>
      <w:r>
        <w:t xml:space="preserve">Can you give further information about your role within school?  </w:t>
      </w:r>
    </w:p>
    <w:p w14:paraId="5B0518AB" w14:textId="75E0A35F" w:rsidR="00CD4DA8" w:rsidRDefault="00CD4DA8" w:rsidP="00CD4DA8">
      <w:pPr>
        <w:pStyle w:val="ListParagraph"/>
      </w:pPr>
      <w:r>
        <w:t>Probe to include leadership status/experience/subject/phase/</w:t>
      </w:r>
    </w:p>
    <w:p w14:paraId="7E8CE92D" w14:textId="77777777" w:rsidR="00CD4DA8" w:rsidRDefault="00CD4DA8" w:rsidP="00CD4DA8">
      <w:pPr>
        <w:pStyle w:val="ListParagraph"/>
      </w:pPr>
    </w:p>
    <w:p w14:paraId="6D904A62" w14:textId="77777777" w:rsidR="00CD4DA8" w:rsidRDefault="00CD4DA8" w:rsidP="00CD4DA8">
      <w:pPr>
        <w:pStyle w:val="ListParagraph"/>
        <w:numPr>
          <w:ilvl w:val="0"/>
          <w:numId w:val="20"/>
        </w:numPr>
        <w:spacing w:after="0" w:line="240" w:lineRule="auto"/>
      </w:pPr>
      <w:r>
        <w:t xml:space="preserve">The questionnaire you completed asked about your engagement with different types of PL.  You responded that you had accessed PL including X (provide summary of questionnaire responses on PL engagement).   Comparing yourself to your colleagues within your school,  would you say that you have accessed and engaged with more/less or a similar amount of PL compared to colleagues?    </w:t>
      </w:r>
    </w:p>
    <w:p w14:paraId="53233D61" w14:textId="474BEB02" w:rsidR="00CD4DA8" w:rsidRDefault="00CD4DA8" w:rsidP="00CD4DA8">
      <w:pPr>
        <w:ind w:firstLine="720"/>
      </w:pPr>
      <w:r>
        <w:t xml:space="preserve">Probe to uncover reasons for any differences or similarities. </w:t>
      </w:r>
    </w:p>
    <w:p w14:paraId="09F68783" w14:textId="77777777" w:rsidR="00CD4DA8" w:rsidRDefault="00CD4DA8" w:rsidP="00CD4DA8">
      <w:pPr>
        <w:pStyle w:val="ListParagraph"/>
        <w:numPr>
          <w:ilvl w:val="0"/>
          <w:numId w:val="20"/>
        </w:numPr>
        <w:spacing w:after="0" w:line="240" w:lineRule="auto"/>
      </w:pPr>
      <w:r>
        <w:t xml:space="preserve">I’d like to focus first on the PL that you have engaged with on a personal level.  These are the activities that you have initiated or organised yourself or engaged with individually.  </w:t>
      </w:r>
    </w:p>
    <w:p w14:paraId="51B954D3" w14:textId="77777777" w:rsidR="00CD4DA8" w:rsidRDefault="00CD4DA8" w:rsidP="00CD4DA8">
      <w:pPr>
        <w:pStyle w:val="ListParagraph"/>
      </w:pPr>
    </w:p>
    <w:p w14:paraId="4DF8113F" w14:textId="77777777" w:rsidR="00CD4DA8" w:rsidRDefault="00CD4DA8" w:rsidP="00CD4DA8">
      <w:pPr>
        <w:pStyle w:val="ListParagraph"/>
        <w:numPr>
          <w:ilvl w:val="1"/>
          <w:numId w:val="20"/>
        </w:numPr>
        <w:spacing w:after="0" w:line="240" w:lineRule="auto"/>
      </w:pPr>
      <w:r>
        <w:t xml:space="preserve">To what extent of any did this engagement have on your knowledge and confidence in implementing CfW? </w:t>
      </w:r>
    </w:p>
    <w:p w14:paraId="40BA7B9F" w14:textId="77777777" w:rsidR="00CD4DA8" w:rsidRDefault="00CD4DA8" w:rsidP="00CD4DA8">
      <w:pPr>
        <w:pStyle w:val="ListParagraph"/>
        <w:numPr>
          <w:ilvl w:val="1"/>
          <w:numId w:val="20"/>
        </w:numPr>
        <w:spacing w:after="0" w:line="240" w:lineRule="auto"/>
      </w:pPr>
      <w:r>
        <w:lastRenderedPageBreak/>
        <w:t>Why did this engagement have this level of impact?</w:t>
      </w:r>
    </w:p>
    <w:p w14:paraId="4D256584" w14:textId="77777777" w:rsidR="00CD4DA8" w:rsidRDefault="00CD4DA8" w:rsidP="00CD4DA8">
      <w:pPr>
        <w:ind w:left="720" w:firstLine="360"/>
      </w:pPr>
      <w:r>
        <w:t xml:space="preserve">Probe to focus on the pedagogies, design and characteristics of the PL.  </w:t>
      </w:r>
    </w:p>
    <w:p w14:paraId="2EB4623B" w14:textId="77777777" w:rsidR="00CD4DA8" w:rsidRDefault="00CD4DA8" w:rsidP="00CD4DA8">
      <w:pPr>
        <w:pStyle w:val="ListParagraph"/>
      </w:pPr>
    </w:p>
    <w:p w14:paraId="59292CC7" w14:textId="77777777" w:rsidR="00CD4DA8" w:rsidRDefault="00CD4DA8" w:rsidP="00CD4DA8">
      <w:pPr>
        <w:pStyle w:val="ListParagraph"/>
        <w:numPr>
          <w:ilvl w:val="0"/>
          <w:numId w:val="20"/>
        </w:numPr>
        <w:spacing w:after="0" w:line="240" w:lineRule="auto"/>
      </w:pPr>
      <w:r>
        <w:t xml:space="preserve">I’d like to ask about the PL that has been provided at school level.   These are the activities that have happened within school that you have engaged with, or that  school leadership or staff have led/delivered or participated in within the school setting.  </w:t>
      </w:r>
    </w:p>
    <w:p w14:paraId="1BA7A2BD" w14:textId="77777777" w:rsidR="00CD4DA8" w:rsidRDefault="00CD4DA8" w:rsidP="00CD4DA8">
      <w:pPr>
        <w:pStyle w:val="ListParagraph"/>
      </w:pPr>
    </w:p>
    <w:p w14:paraId="091AFB57" w14:textId="77777777" w:rsidR="00CD4DA8" w:rsidRDefault="00CD4DA8" w:rsidP="00CD4DA8">
      <w:pPr>
        <w:pStyle w:val="ListParagraph"/>
        <w:numPr>
          <w:ilvl w:val="1"/>
          <w:numId w:val="20"/>
        </w:numPr>
        <w:spacing w:after="0" w:line="240" w:lineRule="auto"/>
      </w:pPr>
      <w:r>
        <w:t xml:space="preserve">To what extent of any did this engagement have on your knowledge and confidence in implementing CfW? </w:t>
      </w:r>
    </w:p>
    <w:p w14:paraId="6B28E170" w14:textId="77777777" w:rsidR="00CD4DA8" w:rsidRDefault="00CD4DA8" w:rsidP="00CD4DA8">
      <w:pPr>
        <w:pStyle w:val="ListParagraph"/>
        <w:numPr>
          <w:ilvl w:val="1"/>
          <w:numId w:val="20"/>
        </w:numPr>
        <w:spacing w:after="0" w:line="240" w:lineRule="auto"/>
      </w:pPr>
      <w:r>
        <w:t>Why did this engagement have this level of impact?</w:t>
      </w:r>
    </w:p>
    <w:p w14:paraId="2364C338" w14:textId="468399A5" w:rsidR="00CD4DA8" w:rsidRDefault="00CD4DA8" w:rsidP="00CD4DA8">
      <w:pPr>
        <w:ind w:left="360" w:firstLine="720"/>
      </w:pPr>
      <w:r>
        <w:t xml:space="preserve">Probe to focus on the pedagogies, design and characteristics of the PL.  </w:t>
      </w:r>
    </w:p>
    <w:p w14:paraId="6BA20871" w14:textId="77777777" w:rsidR="00CD4DA8" w:rsidRDefault="00CD4DA8" w:rsidP="00CD4DA8">
      <w:pPr>
        <w:pStyle w:val="ListParagraph"/>
        <w:numPr>
          <w:ilvl w:val="0"/>
          <w:numId w:val="20"/>
        </w:numPr>
        <w:spacing w:after="0" w:line="240" w:lineRule="auto"/>
      </w:pPr>
      <w:r>
        <w:t xml:space="preserve">I’d like to ask about the PL that you have engaged with at a regional, LA or National level. These are activities that you have been led or arranged by the LA, regional consortia or Welsh Government.   (Provide examples if required) </w:t>
      </w:r>
    </w:p>
    <w:p w14:paraId="422AD3BB" w14:textId="77777777" w:rsidR="00CD4DA8" w:rsidRDefault="00CD4DA8" w:rsidP="00CD4DA8">
      <w:pPr>
        <w:pStyle w:val="ListParagraph"/>
      </w:pPr>
    </w:p>
    <w:p w14:paraId="0009905E" w14:textId="77777777" w:rsidR="00CD4DA8" w:rsidRDefault="00CD4DA8" w:rsidP="00CD4DA8">
      <w:pPr>
        <w:pStyle w:val="ListParagraph"/>
        <w:numPr>
          <w:ilvl w:val="1"/>
          <w:numId w:val="20"/>
        </w:numPr>
        <w:spacing w:after="0" w:line="240" w:lineRule="auto"/>
      </w:pPr>
      <w:r>
        <w:t xml:space="preserve">To what extent of any did this engagement have on your knowledge and confidence in implementing CfW? </w:t>
      </w:r>
    </w:p>
    <w:p w14:paraId="09F41B0D" w14:textId="77777777" w:rsidR="00CD4DA8" w:rsidRDefault="00CD4DA8" w:rsidP="00CD4DA8">
      <w:pPr>
        <w:pStyle w:val="ListParagraph"/>
        <w:numPr>
          <w:ilvl w:val="1"/>
          <w:numId w:val="20"/>
        </w:numPr>
        <w:spacing w:after="0" w:line="240" w:lineRule="auto"/>
      </w:pPr>
      <w:r>
        <w:t>Why did this engagement have this level of impact?</w:t>
      </w:r>
    </w:p>
    <w:p w14:paraId="1B8C9011" w14:textId="425DB708" w:rsidR="00CD4DA8" w:rsidRDefault="00CD4DA8" w:rsidP="00CD4DA8">
      <w:pPr>
        <w:pStyle w:val="ListParagraph"/>
        <w:ind w:firstLine="360"/>
      </w:pPr>
      <w:r>
        <w:t xml:space="preserve">Probe to focus on the pedagogies, design and characteristics of the PL.  </w:t>
      </w:r>
    </w:p>
    <w:p w14:paraId="5876AAAC" w14:textId="77777777" w:rsidR="00CD4DA8" w:rsidRDefault="00CD4DA8" w:rsidP="00CD4DA8">
      <w:pPr>
        <w:pStyle w:val="ListParagraph"/>
        <w:ind w:firstLine="360"/>
      </w:pPr>
    </w:p>
    <w:p w14:paraId="7A7FA0CF" w14:textId="77777777" w:rsidR="00CD4DA8" w:rsidRDefault="00CD4DA8" w:rsidP="00CD4DA8">
      <w:pPr>
        <w:pStyle w:val="ListParagraph"/>
        <w:numPr>
          <w:ilvl w:val="0"/>
          <w:numId w:val="20"/>
        </w:numPr>
        <w:spacing w:after="0" w:line="240" w:lineRule="auto"/>
      </w:pPr>
      <w:r>
        <w:t xml:space="preserve">Are there any types of PL opportunities on CfW that you have chosen not to access or engage with, and if so why not? </w:t>
      </w:r>
    </w:p>
    <w:p w14:paraId="46A05B08" w14:textId="5B7E6731" w:rsidR="00CD4DA8" w:rsidRDefault="00CD4DA8" w:rsidP="00CD4DA8">
      <w:pPr>
        <w:pStyle w:val="ListParagraph"/>
      </w:pPr>
      <w:r>
        <w:t xml:space="preserve">Probe to find out reasons. These may include access to these opportunities, previous experiences of providers or types of PL. </w:t>
      </w:r>
    </w:p>
    <w:p w14:paraId="7574E9EF" w14:textId="77777777" w:rsidR="00CD4DA8" w:rsidRDefault="00CD4DA8" w:rsidP="00CD4DA8">
      <w:pPr>
        <w:pStyle w:val="ListParagraph"/>
      </w:pPr>
    </w:p>
    <w:p w14:paraId="10D1202B" w14:textId="77777777" w:rsidR="00CD4DA8" w:rsidRDefault="00CD4DA8" w:rsidP="00CD4DA8">
      <w:pPr>
        <w:pStyle w:val="ListParagraph"/>
        <w:numPr>
          <w:ilvl w:val="0"/>
          <w:numId w:val="20"/>
        </w:numPr>
        <w:spacing w:after="0" w:line="240" w:lineRule="auto"/>
      </w:pPr>
      <w:r>
        <w:t xml:space="preserve">I’d like to think about the PL that you have found impactful.  You noted in the questionnaire that xxxx professional learning experience has been most impactful on your knowledge and confidence. What made this so impactful for you?  </w:t>
      </w:r>
    </w:p>
    <w:p w14:paraId="02ED94E5" w14:textId="6F75D94D" w:rsidR="00CD4DA8" w:rsidRDefault="00CD4DA8" w:rsidP="00CD4DA8">
      <w:pPr>
        <w:ind w:firstLine="720"/>
      </w:pPr>
      <w:r>
        <w:t>Probe: reasons, influences, perceptions of PL</w:t>
      </w:r>
    </w:p>
    <w:p w14:paraId="1CF37A4C" w14:textId="77777777" w:rsidR="00CD4DA8" w:rsidRDefault="00CD4DA8" w:rsidP="00CD4DA8">
      <w:pPr>
        <w:pStyle w:val="ListParagraph"/>
        <w:numPr>
          <w:ilvl w:val="0"/>
          <w:numId w:val="20"/>
        </w:numPr>
        <w:spacing w:after="0" w:line="240" w:lineRule="auto"/>
      </w:pPr>
      <w:r>
        <w:t xml:space="preserve">I’d like to think about the PL that you have not found to be helpful or impactful.  You noted on the questionnaire that xxxx professional learning experience was less impactful on your knowledge and confidence. What made this things have less of an impact?  </w:t>
      </w:r>
    </w:p>
    <w:p w14:paraId="43A77167" w14:textId="77777777" w:rsidR="00CD4DA8" w:rsidRDefault="00CD4DA8" w:rsidP="00CD4DA8">
      <w:pPr>
        <w:pStyle w:val="ListParagraph"/>
      </w:pPr>
      <w:r>
        <w:t>Probe: reasons, influences, perceptions</w:t>
      </w:r>
    </w:p>
    <w:p w14:paraId="09B65450" w14:textId="77777777" w:rsidR="00CD4DA8" w:rsidRDefault="00CD4DA8" w:rsidP="00CD4DA8">
      <w:pPr>
        <w:pStyle w:val="ListParagraph"/>
      </w:pPr>
    </w:p>
    <w:p w14:paraId="32CD3703" w14:textId="77777777" w:rsidR="00CD4DA8" w:rsidRDefault="00CD4DA8" w:rsidP="00CD4DA8">
      <w:pPr>
        <w:pStyle w:val="ListParagraph"/>
        <w:numPr>
          <w:ilvl w:val="0"/>
          <w:numId w:val="20"/>
        </w:numPr>
        <w:spacing w:after="0" w:line="240" w:lineRule="auto"/>
      </w:pPr>
      <w:r>
        <w:t xml:space="preserve">Do you have any other thoughts on PL on CfW you would like to share, or anything else that you haven’t mentioned that you would like to? </w:t>
      </w:r>
    </w:p>
    <w:p w14:paraId="05C43F8A" w14:textId="77777777" w:rsidR="00CD4DA8" w:rsidRDefault="00CD4DA8" w:rsidP="00CD4DA8">
      <w:pPr>
        <w:pStyle w:val="ListParagraph"/>
      </w:pPr>
    </w:p>
    <w:p w14:paraId="54C6559E" w14:textId="77777777" w:rsidR="00CD4DA8" w:rsidRDefault="00CD4DA8" w:rsidP="00CD4DA8">
      <w:r>
        <w:t xml:space="preserve">Thank you for your time. </w:t>
      </w:r>
    </w:p>
    <w:p w14:paraId="2C5B451D" w14:textId="77777777" w:rsidR="00CD4DA8" w:rsidRDefault="00CD4DA8" w:rsidP="00190EF0">
      <w:pPr>
        <w:pStyle w:val="BodyTextIndent"/>
        <w:ind w:left="0" w:firstLine="0"/>
        <w:rPr>
          <w:b/>
          <w:bCs/>
          <w:sz w:val="22"/>
          <w:szCs w:val="22"/>
        </w:rPr>
      </w:pPr>
    </w:p>
    <w:p w14:paraId="3FC4E7B1" w14:textId="77777777" w:rsidR="00CD4DA8" w:rsidRDefault="00CD4DA8">
      <w:pPr>
        <w:rPr>
          <w:rFonts w:ascii="Arial" w:eastAsia="Arial" w:hAnsi="Arial" w:cs="Arial"/>
          <w:b/>
          <w:bCs/>
          <w:color w:val="000000"/>
          <w:u w:color="000000"/>
          <w:bdr w:val="nil"/>
          <w:lang w:val="en-US"/>
        </w:rPr>
      </w:pPr>
      <w:r>
        <w:rPr>
          <w:b/>
          <w:bCs/>
        </w:rPr>
        <w:br w:type="page"/>
      </w:r>
    </w:p>
    <w:p w14:paraId="602ACDA7" w14:textId="51FBB112" w:rsidR="00AF556D" w:rsidRDefault="00AF556D" w:rsidP="00190EF0">
      <w:pPr>
        <w:pStyle w:val="BodyTextIndent"/>
        <w:ind w:left="0" w:firstLine="0"/>
        <w:rPr>
          <w:b/>
          <w:bCs/>
          <w:sz w:val="22"/>
          <w:szCs w:val="22"/>
        </w:rPr>
      </w:pPr>
      <w:r>
        <w:rPr>
          <w:b/>
          <w:bCs/>
          <w:sz w:val="22"/>
          <w:szCs w:val="22"/>
        </w:rPr>
        <w:lastRenderedPageBreak/>
        <w:t>Appendix C: Ethical approval</w:t>
      </w:r>
    </w:p>
    <w:p w14:paraId="2CD533AF" w14:textId="77777777" w:rsidR="00DD26F2" w:rsidRDefault="00DD26F2" w:rsidP="00190EF0">
      <w:pPr>
        <w:pStyle w:val="BodyTextIndent"/>
        <w:ind w:left="0" w:firstLine="0"/>
        <w:rPr>
          <w:b/>
          <w:bCs/>
          <w:sz w:val="22"/>
          <w:szCs w:val="22"/>
        </w:rPr>
      </w:pPr>
    </w:p>
    <w:bookmarkStart w:id="1" w:name="_MON_1756389362"/>
    <w:bookmarkEnd w:id="1"/>
    <w:p w14:paraId="51190215" w14:textId="22A2978B" w:rsidR="00C24994" w:rsidRDefault="00500DB4" w:rsidP="00190EF0">
      <w:pPr>
        <w:jc w:val="both"/>
      </w:pPr>
      <w:r>
        <w:rPr>
          <w:noProof/>
        </w:rPr>
        <w:object w:dxaOrig="760" w:dyaOrig="480" w14:anchorId="09E5351D">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alt="" style="width:119.8pt;height:74.95pt;mso-width-percent:0;mso-height-percent:0;mso-width-percent:0;mso-height-percent:0" o:ole="">
            <v:imagedata r:id="rId41" o:title=""/>
          </v:shape>
          <o:OLEObject Type="Embed" ProgID="Word.Document.12" ShapeID="_x0000_i1025" DrawAspect="Icon" ObjectID="_1756883180" r:id="rId42">
            <o:FieldCodes>\s</o:FieldCodes>
          </o:OLEObject>
        </w:object>
      </w:r>
    </w:p>
    <w:p w14:paraId="3400EE96" w14:textId="77777777" w:rsidR="00DD26F2" w:rsidRDefault="00DD26F2" w:rsidP="00190EF0">
      <w:pPr>
        <w:jc w:val="both"/>
      </w:pPr>
    </w:p>
    <w:p w14:paraId="48E3F290" w14:textId="77777777" w:rsidR="00DD26F2" w:rsidRDefault="00DD26F2" w:rsidP="00190EF0">
      <w:pPr>
        <w:jc w:val="both"/>
      </w:pPr>
    </w:p>
    <w:p w14:paraId="53CB1BF0" w14:textId="4A17D2ED" w:rsidR="00DD26F2" w:rsidRPr="00C83553" w:rsidRDefault="00DD26F2" w:rsidP="00190EF0">
      <w:pPr>
        <w:jc w:val="both"/>
      </w:pPr>
    </w:p>
    <w:sectPr w:rsidR="00DD26F2" w:rsidRPr="00C83553">
      <w:headerReference w:type="default" r:id="rId43"/>
      <w:footerReference w:type="even" r:id="rId44"/>
      <w:footerReference w:type="default" r:id="rId4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5B40677" w14:textId="77777777" w:rsidR="00500DB4" w:rsidRDefault="00500DB4" w:rsidP="00A21D7D">
      <w:pPr>
        <w:spacing w:after="0" w:line="240" w:lineRule="auto"/>
      </w:pPr>
      <w:r>
        <w:separator/>
      </w:r>
    </w:p>
  </w:endnote>
  <w:endnote w:type="continuationSeparator" w:id="0">
    <w:p w14:paraId="21969A76" w14:textId="77777777" w:rsidR="00500DB4" w:rsidRDefault="00500DB4" w:rsidP="00A21D7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ymbol">
    <w:panose1 w:val="05050102010706020507"/>
    <w:charset w:val="02"/>
    <w:family w:val="decorative"/>
    <w:pitch w:val="variable"/>
    <w:sig w:usb0="00000003" w:usb1="10000000" w:usb2="00000000" w:usb3="00000000" w:csb0="80000001"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Open Sans">
    <w:panose1 w:val="020B0606030504020204"/>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885129769"/>
      <w:docPartObj>
        <w:docPartGallery w:val="Page Numbers (Bottom of Page)"/>
        <w:docPartUnique/>
      </w:docPartObj>
    </w:sdtPr>
    <w:sdtContent>
      <w:p w14:paraId="559E5A63" w14:textId="5BE34080" w:rsidR="007F7F5E" w:rsidRDefault="007F7F5E" w:rsidP="00721626">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E23FC99" w14:textId="77777777" w:rsidR="007F7F5E" w:rsidRDefault="007F7F5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064910014"/>
      <w:docPartObj>
        <w:docPartGallery w:val="Page Numbers (Bottom of Page)"/>
        <w:docPartUnique/>
      </w:docPartObj>
    </w:sdtPr>
    <w:sdtContent>
      <w:p w14:paraId="025D2B1E" w14:textId="67A381AC" w:rsidR="007F7F5E" w:rsidRDefault="007F7F5E" w:rsidP="00721626">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49B6BC28" w14:textId="77777777" w:rsidR="007F7F5E" w:rsidRDefault="007F7F5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31671FA" w14:textId="77777777" w:rsidR="00500DB4" w:rsidRDefault="00500DB4" w:rsidP="00A21D7D">
      <w:pPr>
        <w:spacing w:after="0" w:line="240" w:lineRule="auto"/>
      </w:pPr>
      <w:r>
        <w:separator/>
      </w:r>
    </w:p>
  </w:footnote>
  <w:footnote w:type="continuationSeparator" w:id="0">
    <w:p w14:paraId="33B772EE" w14:textId="77777777" w:rsidR="00500DB4" w:rsidRDefault="00500DB4" w:rsidP="00A21D7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1B6E560" w14:textId="3CFC711B" w:rsidR="00A21D7D" w:rsidRDefault="00A21D7D">
    <w:pPr>
      <w:pStyle w:val="Header"/>
    </w:pPr>
    <w:r>
      <w:t>Nicola Hagendyk</w:t>
    </w:r>
  </w:p>
  <w:p w14:paraId="3FCA672A" w14:textId="77777777" w:rsidR="00A21D7D" w:rsidRDefault="00A21D7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6B3C1E"/>
    <w:multiLevelType w:val="hybridMultilevel"/>
    <w:tmpl w:val="0B58836A"/>
    <w:lvl w:ilvl="0" w:tplc="B1D26A9A">
      <w:start w:val="1"/>
      <w:numFmt w:val="decimal"/>
      <w:lvlText w:val="%1."/>
      <w:lvlJc w:val="left"/>
      <w:pPr>
        <w:ind w:left="720" w:hanging="360"/>
      </w:pPr>
      <w:rPr>
        <w:rFonts w:eastAsiaTheme="minorHAnsi" w:hint="default"/>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27F3EAE"/>
    <w:multiLevelType w:val="multilevel"/>
    <w:tmpl w:val="D33C4A8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668567E"/>
    <w:multiLevelType w:val="hybridMultilevel"/>
    <w:tmpl w:val="223A812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6D818C5"/>
    <w:multiLevelType w:val="hybridMultilevel"/>
    <w:tmpl w:val="03FACA02"/>
    <w:lvl w:ilvl="0" w:tplc="3806BC76">
      <w:start w:val="1"/>
      <w:numFmt w:val="decimal"/>
      <w:lvlText w:val="%1."/>
      <w:lvlJc w:val="left"/>
      <w:pPr>
        <w:ind w:left="844"/>
      </w:pPr>
      <w:rPr>
        <w:rFonts w:ascii="Tahoma" w:eastAsia="Tahoma" w:hAnsi="Tahoma" w:cs="Tahoma"/>
        <w:b w:val="0"/>
        <w:i w:val="0"/>
        <w:strike w:val="0"/>
        <w:dstrike w:val="0"/>
        <w:color w:val="242424"/>
        <w:sz w:val="25"/>
        <w:szCs w:val="25"/>
        <w:u w:val="none" w:color="000000"/>
        <w:bdr w:val="none" w:sz="0" w:space="0" w:color="auto"/>
        <w:shd w:val="clear" w:color="auto" w:fill="auto"/>
        <w:vertAlign w:val="baseline"/>
      </w:rPr>
    </w:lvl>
    <w:lvl w:ilvl="1" w:tplc="96FCC23A">
      <w:start w:val="2"/>
      <w:numFmt w:val="decimal"/>
      <w:lvlText w:val="%2"/>
      <w:lvlJc w:val="left"/>
      <w:pPr>
        <w:ind w:left="938"/>
      </w:pPr>
      <w:rPr>
        <w:rFonts w:ascii="Tahoma" w:eastAsia="Tahoma" w:hAnsi="Tahoma" w:cs="Tahoma"/>
        <w:b w:val="0"/>
        <w:i w:val="0"/>
        <w:strike w:val="0"/>
        <w:dstrike w:val="0"/>
        <w:color w:val="242424"/>
        <w:sz w:val="25"/>
        <w:szCs w:val="25"/>
        <w:u w:val="none" w:color="000000"/>
        <w:bdr w:val="none" w:sz="0" w:space="0" w:color="auto"/>
        <w:shd w:val="clear" w:color="auto" w:fill="auto"/>
        <w:vertAlign w:val="baseline"/>
      </w:rPr>
    </w:lvl>
    <w:lvl w:ilvl="2" w:tplc="B87E49CC">
      <w:start w:val="1"/>
      <w:numFmt w:val="lowerRoman"/>
      <w:lvlText w:val="%3"/>
      <w:lvlJc w:val="left"/>
      <w:pPr>
        <w:ind w:left="1526"/>
      </w:pPr>
      <w:rPr>
        <w:rFonts w:ascii="Tahoma" w:eastAsia="Tahoma" w:hAnsi="Tahoma" w:cs="Tahoma"/>
        <w:b w:val="0"/>
        <w:i w:val="0"/>
        <w:strike w:val="0"/>
        <w:dstrike w:val="0"/>
        <w:color w:val="242424"/>
        <w:sz w:val="25"/>
        <w:szCs w:val="25"/>
        <w:u w:val="none" w:color="000000"/>
        <w:bdr w:val="none" w:sz="0" w:space="0" w:color="auto"/>
        <w:shd w:val="clear" w:color="auto" w:fill="auto"/>
        <w:vertAlign w:val="baseline"/>
      </w:rPr>
    </w:lvl>
    <w:lvl w:ilvl="3" w:tplc="A4B07BA8">
      <w:start w:val="1"/>
      <w:numFmt w:val="decimal"/>
      <w:lvlText w:val="%4"/>
      <w:lvlJc w:val="left"/>
      <w:pPr>
        <w:ind w:left="2246"/>
      </w:pPr>
      <w:rPr>
        <w:rFonts w:ascii="Tahoma" w:eastAsia="Tahoma" w:hAnsi="Tahoma" w:cs="Tahoma"/>
        <w:b w:val="0"/>
        <w:i w:val="0"/>
        <w:strike w:val="0"/>
        <w:dstrike w:val="0"/>
        <w:color w:val="242424"/>
        <w:sz w:val="25"/>
        <w:szCs w:val="25"/>
        <w:u w:val="none" w:color="000000"/>
        <w:bdr w:val="none" w:sz="0" w:space="0" w:color="auto"/>
        <w:shd w:val="clear" w:color="auto" w:fill="auto"/>
        <w:vertAlign w:val="baseline"/>
      </w:rPr>
    </w:lvl>
    <w:lvl w:ilvl="4" w:tplc="3CE20AA2">
      <w:start w:val="1"/>
      <w:numFmt w:val="lowerLetter"/>
      <w:lvlText w:val="%5"/>
      <w:lvlJc w:val="left"/>
      <w:pPr>
        <w:ind w:left="2966"/>
      </w:pPr>
      <w:rPr>
        <w:rFonts w:ascii="Tahoma" w:eastAsia="Tahoma" w:hAnsi="Tahoma" w:cs="Tahoma"/>
        <w:b w:val="0"/>
        <w:i w:val="0"/>
        <w:strike w:val="0"/>
        <w:dstrike w:val="0"/>
        <w:color w:val="242424"/>
        <w:sz w:val="25"/>
        <w:szCs w:val="25"/>
        <w:u w:val="none" w:color="000000"/>
        <w:bdr w:val="none" w:sz="0" w:space="0" w:color="auto"/>
        <w:shd w:val="clear" w:color="auto" w:fill="auto"/>
        <w:vertAlign w:val="baseline"/>
      </w:rPr>
    </w:lvl>
    <w:lvl w:ilvl="5" w:tplc="463A9FDE">
      <w:start w:val="1"/>
      <w:numFmt w:val="lowerRoman"/>
      <w:lvlText w:val="%6"/>
      <w:lvlJc w:val="left"/>
      <w:pPr>
        <w:ind w:left="3686"/>
      </w:pPr>
      <w:rPr>
        <w:rFonts w:ascii="Tahoma" w:eastAsia="Tahoma" w:hAnsi="Tahoma" w:cs="Tahoma"/>
        <w:b w:val="0"/>
        <w:i w:val="0"/>
        <w:strike w:val="0"/>
        <w:dstrike w:val="0"/>
        <w:color w:val="242424"/>
        <w:sz w:val="25"/>
        <w:szCs w:val="25"/>
        <w:u w:val="none" w:color="000000"/>
        <w:bdr w:val="none" w:sz="0" w:space="0" w:color="auto"/>
        <w:shd w:val="clear" w:color="auto" w:fill="auto"/>
        <w:vertAlign w:val="baseline"/>
      </w:rPr>
    </w:lvl>
    <w:lvl w:ilvl="6" w:tplc="B8CC11A4">
      <w:start w:val="1"/>
      <w:numFmt w:val="decimal"/>
      <w:lvlText w:val="%7"/>
      <w:lvlJc w:val="left"/>
      <w:pPr>
        <w:ind w:left="4406"/>
      </w:pPr>
      <w:rPr>
        <w:rFonts w:ascii="Tahoma" w:eastAsia="Tahoma" w:hAnsi="Tahoma" w:cs="Tahoma"/>
        <w:b w:val="0"/>
        <w:i w:val="0"/>
        <w:strike w:val="0"/>
        <w:dstrike w:val="0"/>
        <w:color w:val="242424"/>
        <w:sz w:val="25"/>
        <w:szCs w:val="25"/>
        <w:u w:val="none" w:color="000000"/>
        <w:bdr w:val="none" w:sz="0" w:space="0" w:color="auto"/>
        <w:shd w:val="clear" w:color="auto" w:fill="auto"/>
        <w:vertAlign w:val="baseline"/>
      </w:rPr>
    </w:lvl>
    <w:lvl w:ilvl="7" w:tplc="27647D58">
      <w:start w:val="1"/>
      <w:numFmt w:val="lowerLetter"/>
      <w:lvlText w:val="%8"/>
      <w:lvlJc w:val="left"/>
      <w:pPr>
        <w:ind w:left="5126"/>
      </w:pPr>
      <w:rPr>
        <w:rFonts w:ascii="Tahoma" w:eastAsia="Tahoma" w:hAnsi="Tahoma" w:cs="Tahoma"/>
        <w:b w:val="0"/>
        <w:i w:val="0"/>
        <w:strike w:val="0"/>
        <w:dstrike w:val="0"/>
        <w:color w:val="242424"/>
        <w:sz w:val="25"/>
        <w:szCs w:val="25"/>
        <w:u w:val="none" w:color="000000"/>
        <w:bdr w:val="none" w:sz="0" w:space="0" w:color="auto"/>
        <w:shd w:val="clear" w:color="auto" w:fill="auto"/>
        <w:vertAlign w:val="baseline"/>
      </w:rPr>
    </w:lvl>
    <w:lvl w:ilvl="8" w:tplc="20B4F2D2">
      <w:start w:val="1"/>
      <w:numFmt w:val="lowerRoman"/>
      <w:lvlText w:val="%9"/>
      <w:lvlJc w:val="left"/>
      <w:pPr>
        <w:ind w:left="5846"/>
      </w:pPr>
      <w:rPr>
        <w:rFonts w:ascii="Tahoma" w:eastAsia="Tahoma" w:hAnsi="Tahoma" w:cs="Tahoma"/>
        <w:b w:val="0"/>
        <w:i w:val="0"/>
        <w:strike w:val="0"/>
        <w:dstrike w:val="0"/>
        <w:color w:val="242424"/>
        <w:sz w:val="25"/>
        <w:szCs w:val="25"/>
        <w:u w:val="none" w:color="000000"/>
        <w:bdr w:val="none" w:sz="0" w:space="0" w:color="auto"/>
        <w:shd w:val="clear" w:color="auto" w:fill="auto"/>
        <w:vertAlign w:val="baseline"/>
      </w:rPr>
    </w:lvl>
  </w:abstractNum>
  <w:abstractNum w:abstractNumId="5"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46C0B94"/>
    <w:multiLevelType w:val="hybridMultilevel"/>
    <w:tmpl w:val="2B64F568"/>
    <w:lvl w:ilvl="0" w:tplc="2B409394">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24EC37AD"/>
    <w:multiLevelType w:val="multilevel"/>
    <w:tmpl w:val="35F092D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0"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A4420C3"/>
    <w:multiLevelType w:val="hybridMultilevel"/>
    <w:tmpl w:val="34B68D54"/>
    <w:lvl w:ilvl="0" w:tplc="6F12A2B6">
      <w:start w:val="1"/>
      <w:numFmt w:val="decimal"/>
      <w:lvlText w:val="%1)"/>
      <w:lvlJc w:val="left"/>
      <w:pPr>
        <w:ind w:left="720" w:hanging="360"/>
      </w:pPr>
      <w:rPr>
        <w:rFonts w:ascii="Arial" w:eastAsia="Calibri" w:hAnsi="Arial" w:cs="Arial"/>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2D6B1680"/>
    <w:multiLevelType w:val="hybridMultilevel"/>
    <w:tmpl w:val="BB3C73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DED22F4"/>
    <w:multiLevelType w:val="hybridMultilevel"/>
    <w:tmpl w:val="72467A6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7" w15:restartNumberingAfterBreak="0">
    <w:nsid w:val="35C50D91"/>
    <w:multiLevelType w:val="hybridMultilevel"/>
    <w:tmpl w:val="388CD87E"/>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3BA43D3A"/>
    <w:multiLevelType w:val="hybridMultilevel"/>
    <w:tmpl w:val="1186B378"/>
    <w:lvl w:ilvl="0" w:tplc="6F98A86E">
      <w:start w:val="1"/>
      <w:numFmt w:val="bullet"/>
      <w:lvlText w:val="ü"/>
      <w:lvlJc w:val="left"/>
      <w:pPr>
        <w:tabs>
          <w:tab w:val="num" w:pos="720"/>
        </w:tabs>
        <w:ind w:left="720" w:hanging="360"/>
      </w:pPr>
      <w:rPr>
        <w:rFonts w:ascii="Wingdings" w:hAnsi="Wingdings" w:hint="default"/>
      </w:rPr>
    </w:lvl>
    <w:lvl w:ilvl="1" w:tplc="31DE5C46" w:tentative="1">
      <w:start w:val="1"/>
      <w:numFmt w:val="bullet"/>
      <w:lvlText w:val="ü"/>
      <w:lvlJc w:val="left"/>
      <w:pPr>
        <w:tabs>
          <w:tab w:val="num" w:pos="1440"/>
        </w:tabs>
        <w:ind w:left="1440" w:hanging="360"/>
      </w:pPr>
      <w:rPr>
        <w:rFonts w:ascii="Wingdings" w:hAnsi="Wingdings" w:hint="default"/>
      </w:rPr>
    </w:lvl>
    <w:lvl w:ilvl="2" w:tplc="806AEE6C" w:tentative="1">
      <w:start w:val="1"/>
      <w:numFmt w:val="bullet"/>
      <w:lvlText w:val="ü"/>
      <w:lvlJc w:val="left"/>
      <w:pPr>
        <w:tabs>
          <w:tab w:val="num" w:pos="2160"/>
        </w:tabs>
        <w:ind w:left="2160" w:hanging="360"/>
      </w:pPr>
      <w:rPr>
        <w:rFonts w:ascii="Wingdings" w:hAnsi="Wingdings" w:hint="default"/>
      </w:rPr>
    </w:lvl>
    <w:lvl w:ilvl="3" w:tplc="57305864" w:tentative="1">
      <w:start w:val="1"/>
      <w:numFmt w:val="bullet"/>
      <w:lvlText w:val="ü"/>
      <w:lvlJc w:val="left"/>
      <w:pPr>
        <w:tabs>
          <w:tab w:val="num" w:pos="2880"/>
        </w:tabs>
        <w:ind w:left="2880" w:hanging="360"/>
      </w:pPr>
      <w:rPr>
        <w:rFonts w:ascii="Wingdings" w:hAnsi="Wingdings" w:hint="default"/>
      </w:rPr>
    </w:lvl>
    <w:lvl w:ilvl="4" w:tplc="88A46D96" w:tentative="1">
      <w:start w:val="1"/>
      <w:numFmt w:val="bullet"/>
      <w:lvlText w:val="ü"/>
      <w:lvlJc w:val="left"/>
      <w:pPr>
        <w:tabs>
          <w:tab w:val="num" w:pos="3600"/>
        </w:tabs>
        <w:ind w:left="3600" w:hanging="360"/>
      </w:pPr>
      <w:rPr>
        <w:rFonts w:ascii="Wingdings" w:hAnsi="Wingdings" w:hint="default"/>
      </w:rPr>
    </w:lvl>
    <w:lvl w:ilvl="5" w:tplc="B22011B4" w:tentative="1">
      <w:start w:val="1"/>
      <w:numFmt w:val="bullet"/>
      <w:lvlText w:val="ü"/>
      <w:lvlJc w:val="left"/>
      <w:pPr>
        <w:tabs>
          <w:tab w:val="num" w:pos="4320"/>
        </w:tabs>
        <w:ind w:left="4320" w:hanging="360"/>
      </w:pPr>
      <w:rPr>
        <w:rFonts w:ascii="Wingdings" w:hAnsi="Wingdings" w:hint="default"/>
      </w:rPr>
    </w:lvl>
    <w:lvl w:ilvl="6" w:tplc="6632FA16" w:tentative="1">
      <w:start w:val="1"/>
      <w:numFmt w:val="bullet"/>
      <w:lvlText w:val="ü"/>
      <w:lvlJc w:val="left"/>
      <w:pPr>
        <w:tabs>
          <w:tab w:val="num" w:pos="5040"/>
        </w:tabs>
        <w:ind w:left="5040" w:hanging="360"/>
      </w:pPr>
      <w:rPr>
        <w:rFonts w:ascii="Wingdings" w:hAnsi="Wingdings" w:hint="default"/>
      </w:rPr>
    </w:lvl>
    <w:lvl w:ilvl="7" w:tplc="A454B2CE" w:tentative="1">
      <w:start w:val="1"/>
      <w:numFmt w:val="bullet"/>
      <w:lvlText w:val="ü"/>
      <w:lvlJc w:val="left"/>
      <w:pPr>
        <w:tabs>
          <w:tab w:val="num" w:pos="5760"/>
        </w:tabs>
        <w:ind w:left="5760" w:hanging="360"/>
      </w:pPr>
      <w:rPr>
        <w:rFonts w:ascii="Wingdings" w:hAnsi="Wingdings" w:hint="default"/>
      </w:rPr>
    </w:lvl>
    <w:lvl w:ilvl="8" w:tplc="05561530" w:tentative="1">
      <w:start w:val="1"/>
      <w:numFmt w:val="bullet"/>
      <w:lvlText w:val="ü"/>
      <w:lvlJc w:val="left"/>
      <w:pPr>
        <w:tabs>
          <w:tab w:val="num" w:pos="6480"/>
        </w:tabs>
        <w:ind w:left="6480" w:hanging="360"/>
      </w:pPr>
      <w:rPr>
        <w:rFonts w:ascii="Wingdings" w:hAnsi="Wingdings" w:hint="default"/>
      </w:rPr>
    </w:lvl>
  </w:abstractNum>
  <w:abstractNum w:abstractNumId="23" w15:restartNumberingAfterBreak="0">
    <w:nsid w:val="3BB25E8B"/>
    <w:multiLevelType w:val="hybridMultilevel"/>
    <w:tmpl w:val="791ECF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44BA6070"/>
    <w:multiLevelType w:val="multilevel"/>
    <w:tmpl w:val="D65894D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4DAC145F"/>
    <w:multiLevelType w:val="multilevel"/>
    <w:tmpl w:val="504AB03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30" w15:restartNumberingAfterBreak="0">
    <w:nsid w:val="52F70ED0"/>
    <w:multiLevelType w:val="multilevel"/>
    <w:tmpl w:val="F43AEAB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1" w15:restartNumberingAfterBreak="0">
    <w:nsid w:val="55432C02"/>
    <w:multiLevelType w:val="hybridMultilevel"/>
    <w:tmpl w:val="EF2AC8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582675AD"/>
    <w:multiLevelType w:val="hybridMultilevel"/>
    <w:tmpl w:val="B03ED140"/>
    <w:lvl w:ilvl="0" w:tplc="BC42B17E">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34"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35" w15:restartNumberingAfterBreak="0">
    <w:nsid w:val="5C2B2CE4"/>
    <w:multiLevelType w:val="hybridMultilevel"/>
    <w:tmpl w:val="E0FE1C24"/>
    <w:lvl w:ilvl="0" w:tplc="D568A10E">
      <w:start w:val="1"/>
      <w:numFmt w:val="bullet"/>
      <w:lvlText w:val="ü"/>
      <w:lvlJc w:val="left"/>
      <w:pPr>
        <w:tabs>
          <w:tab w:val="num" w:pos="720"/>
        </w:tabs>
        <w:ind w:left="720" w:hanging="360"/>
      </w:pPr>
      <w:rPr>
        <w:rFonts w:ascii="Wingdings" w:hAnsi="Wingdings" w:hint="default"/>
      </w:rPr>
    </w:lvl>
    <w:lvl w:ilvl="1" w:tplc="15FCE974" w:tentative="1">
      <w:start w:val="1"/>
      <w:numFmt w:val="bullet"/>
      <w:lvlText w:val="ü"/>
      <w:lvlJc w:val="left"/>
      <w:pPr>
        <w:tabs>
          <w:tab w:val="num" w:pos="1440"/>
        </w:tabs>
        <w:ind w:left="1440" w:hanging="360"/>
      </w:pPr>
      <w:rPr>
        <w:rFonts w:ascii="Wingdings" w:hAnsi="Wingdings" w:hint="default"/>
      </w:rPr>
    </w:lvl>
    <w:lvl w:ilvl="2" w:tplc="CA42FE8C" w:tentative="1">
      <w:start w:val="1"/>
      <w:numFmt w:val="bullet"/>
      <w:lvlText w:val="ü"/>
      <w:lvlJc w:val="left"/>
      <w:pPr>
        <w:tabs>
          <w:tab w:val="num" w:pos="2160"/>
        </w:tabs>
        <w:ind w:left="2160" w:hanging="360"/>
      </w:pPr>
      <w:rPr>
        <w:rFonts w:ascii="Wingdings" w:hAnsi="Wingdings" w:hint="default"/>
      </w:rPr>
    </w:lvl>
    <w:lvl w:ilvl="3" w:tplc="0D88587A" w:tentative="1">
      <w:start w:val="1"/>
      <w:numFmt w:val="bullet"/>
      <w:lvlText w:val="ü"/>
      <w:lvlJc w:val="left"/>
      <w:pPr>
        <w:tabs>
          <w:tab w:val="num" w:pos="2880"/>
        </w:tabs>
        <w:ind w:left="2880" w:hanging="360"/>
      </w:pPr>
      <w:rPr>
        <w:rFonts w:ascii="Wingdings" w:hAnsi="Wingdings" w:hint="default"/>
      </w:rPr>
    </w:lvl>
    <w:lvl w:ilvl="4" w:tplc="BF687834" w:tentative="1">
      <w:start w:val="1"/>
      <w:numFmt w:val="bullet"/>
      <w:lvlText w:val="ü"/>
      <w:lvlJc w:val="left"/>
      <w:pPr>
        <w:tabs>
          <w:tab w:val="num" w:pos="3600"/>
        </w:tabs>
        <w:ind w:left="3600" w:hanging="360"/>
      </w:pPr>
      <w:rPr>
        <w:rFonts w:ascii="Wingdings" w:hAnsi="Wingdings" w:hint="default"/>
      </w:rPr>
    </w:lvl>
    <w:lvl w:ilvl="5" w:tplc="D9726926" w:tentative="1">
      <w:start w:val="1"/>
      <w:numFmt w:val="bullet"/>
      <w:lvlText w:val="ü"/>
      <w:lvlJc w:val="left"/>
      <w:pPr>
        <w:tabs>
          <w:tab w:val="num" w:pos="4320"/>
        </w:tabs>
        <w:ind w:left="4320" w:hanging="360"/>
      </w:pPr>
      <w:rPr>
        <w:rFonts w:ascii="Wingdings" w:hAnsi="Wingdings" w:hint="default"/>
      </w:rPr>
    </w:lvl>
    <w:lvl w:ilvl="6" w:tplc="77BCCDD6" w:tentative="1">
      <w:start w:val="1"/>
      <w:numFmt w:val="bullet"/>
      <w:lvlText w:val="ü"/>
      <w:lvlJc w:val="left"/>
      <w:pPr>
        <w:tabs>
          <w:tab w:val="num" w:pos="5040"/>
        </w:tabs>
        <w:ind w:left="5040" w:hanging="360"/>
      </w:pPr>
      <w:rPr>
        <w:rFonts w:ascii="Wingdings" w:hAnsi="Wingdings" w:hint="default"/>
      </w:rPr>
    </w:lvl>
    <w:lvl w:ilvl="7" w:tplc="481CB878" w:tentative="1">
      <w:start w:val="1"/>
      <w:numFmt w:val="bullet"/>
      <w:lvlText w:val="ü"/>
      <w:lvlJc w:val="left"/>
      <w:pPr>
        <w:tabs>
          <w:tab w:val="num" w:pos="5760"/>
        </w:tabs>
        <w:ind w:left="5760" w:hanging="360"/>
      </w:pPr>
      <w:rPr>
        <w:rFonts w:ascii="Wingdings" w:hAnsi="Wingdings" w:hint="default"/>
      </w:rPr>
    </w:lvl>
    <w:lvl w:ilvl="8" w:tplc="5C382406" w:tentative="1">
      <w:start w:val="1"/>
      <w:numFmt w:val="bullet"/>
      <w:lvlText w:val="ü"/>
      <w:lvlJc w:val="left"/>
      <w:pPr>
        <w:tabs>
          <w:tab w:val="num" w:pos="6480"/>
        </w:tabs>
        <w:ind w:left="6480" w:hanging="360"/>
      </w:pPr>
      <w:rPr>
        <w:rFonts w:ascii="Wingdings" w:hAnsi="Wingdings" w:hint="default"/>
      </w:rPr>
    </w:lvl>
  </w:abstractNum>
  <w:abstractNum w:abstractNumId="36" w15:restartNumberingAfterBreak="0">
    <w:nsid w:val="5E6810AF"/>
    <w:multiLevelType w:val="hybridMultilevel"/>
    <w:tmpl w:val="51720934"/>
    <w:lvl w:ilvl="0" w:tplc="08090011">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5E6F106B"/>
    <w:multiLevelType w:val="hybridMultilevel"/>
    <w:tmpl w:val="F30495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5FBA1B12"/>
    <w:multiLevelType w:val="hybridMultilevel"/>
    <w:tmpl w:val="637E78EA"/>
    <w:lvl w:ilvl="0" w:tplc="2138DFA6">
      <w:start w:val="1"/>
      <w:numFmt w:val="bullet"/>
      <w:lvlText w:val="ü"/>
      <w:lvlJc w:val="left"/>
      <w:pPr>
        <w:tabs>
          <w:tab w:val="num" w:pos="720"/>
        </w:tabs>
        <w:ind w:left="720" w:hanging="360"/>
      </w:pPr>
      <w:rPr>
        <w:rFonts w:ascii="Wingdings" w:hAnsi="Wingdings" w:hint="default"/>
      </w:rPr>
    </w:lvl>
    <w:lvl w:ilvl="1" w:tplc="65723654" w:tentative="1">
      <w:start w:val="1"/>
      <w:numFmt w:val="bullet"/>
      <w:lvlText w:val="ü"/>
      <w:lvlJc w:val="left"/>
      <w:pPr>
        <w:tabs>
          <w:tab w:val="num" w:pos="1440"/>
        </w:tabs>
        <w:ind w:left="1440" w:hanging="360"/>
      </w:pPr>
      <w:rPr>
        <w:rFonts w:ascii="Wingdings" w:hAnsi="Wingdings" w:hint="default"/>
      </w:rPr>
    </w:lvl>
    <w:lvl w:ilvl="2" w:tplc="83967C34" w:tentative="1">
      <w:start w:val="1"/>
      <w:numFmt w:val="bullet"/>
      <w:lvlText w:val="ü"/>
      <w:lvlJc w:val="left"/>
      <w:pPr>
        <w:tabs>
          <w:tab w:val="num" w:pos="2160"/>
        </w:tabs>
        <w:ind w:left="2160" w:hanging="360"/>
      </w:pPr>
      <w:rPr>
        <w:rFonts w:ascii="Wingdings" w:hAnsi="Wingdings" w:hint="default"/>
      </w:rPr>
    </w:lvl>
    <w:lvl w:ilvl="3" w:tplc="4850B55E" w:tentative="1">
      <w:start w:val="1"/>
      <w:numFmt w:val="bullet"/>
      <w:lvlText w:val="ü"/>
      <w:lvlJc w:val="left"/>
      <w:pPr>
        <w:tabs>
          <w:tab w:val="num" w:pos="2880"/>
        </w:tabs>
        <w:ind w:left="2880" w:hanging="360"/>
      </w:pPr>
      <w:rPr>
        <w:rFonts w:ascii="Wingdings" w:hAnsi="Wingdings" w:hint="default"/>
      </w:rPr>
    </w:lvl>
    <w:lvl w:ilvl="4" w:tplc="7E7E3BBC" w:tentative="1">
      <w:start w:val="1"/>
      <w:numFmt w:val="bullet"/>
      <w:lvlText w:val="ü"/>
      <w:lvlJc w:val="left"/>
      <w:pPr>
        <w:tabs>
          <w:tab w:val="num" w:pos="3600"/>
        </w:tabs>
        <w:ind w:left="3600" w:hanging="360"/>
      </w:pPr>
      <w:rPr>
        <w:rFonts w:ascii="Wingdings" w:hAnsi="Wingdings" w:hint="default"/>
      </w:rPr>
    </w:lvl>
    <w:lvl w:ilvl="5" w:tplc="EA46113E" w:tentative="1">
      <w:start w:val="1"/>
      <w:numFmt w:val="bullet"/>
      <w:lvlText w:val="ü"/>
      <w:lvlJc w:val="left"/>
      <w:pPr>
        <w:tabs>
          <w:tab w:val="num" w:pos="4320"/>
        </w:tabs>
        <w:ind w:left="4320" w:hanging="360"/>
      </w:pPr>
      <w:rPr>
        <w:rFonts w:ascii="Wingdings" w:hAnsi="Wingdings" w:hint="default"/>
      </w:rPr>
    </w:lvl>
    <w:lvl w:ilvl="6" w:tplc="EF426DC6" w:tentative="1">
      <w:start w:val="1"/>
      <w:numFmt w:val="bullet"/>
      <w:lvlText w:val="ü"/>
      <w:lvlJc w:val="left"/>
      <w:pPr>
        <w:tabs>
          <w:tab w:val="num" w:pos="5040"/>
        </w:tabs>
        <w:ind w:left="5040" w:hanging="360"/>
      </w:pPr>
      <w:rPr>
        <w:rFonts w:ascii="Wingdings" w:hAnsi="Wingdings" w:hint="default"/>
      </w:rPr>
    </w:lvl>
    <w:lvl w:ilvl="7" w:tplc="D1CC25A8" w:tentative="1">
      <w:start w:val="1"/>
      <w:numFmt w:val="bullet"/>
      <w:lvlText w:val="ü"/>
      <w:lvlJc w:val="left"/>
      <w:pPr>
        <w:tabs>
          <w:tab w:val="num" w:pos="5760"/>
        </w:tabs>
        <w:ind w:left="5760" w:hanging="360"/>
      </w:pPr>
      <w:rPr>
        <w:rFonts w:ascii="Wingdings" w:hAnsi="Wingdings" w:hint="default"/>
      </w:rPr>
    </w:lvl>
    <w:lvl w:ilvl="8" w:tplc="E1E251EC" w:tentative="1">
      <w:start w:val="1"/>
      <w:numFmt w:val="bullet"/>
      <w:lvlText w:val="ü"/>
      <w:lvlJc w:val="left"/>
      <w:pPr>
        <w:tabs>
          <w:tab w:val="num" w:pos="6480"/>
        </w:tabs>
        <w:ind w:left="6480" w:hanging="360"/>
      </w:pPr>
      <w:rPr>
        <w:rFonts w:ascii="Wingdings" w:hAnsi="Wingdings" w:hint="default"/>
      </w:rPr>
    </w:lvl>
  </w:abstractNum>
  <w:abstractNum w:abstractNumId="3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2" w15:restartNumberingAfterBreak="0">
    <w:nsid w:val="662F7330"/>
    <w:multiLevelType w:val="multilevel"/>
    <w:tmpl w:val="74E4AC90"/>
    <w:lvl w:ilvl="0">
      <w:start w:val="1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3" w15:restartNumberingAfterBreak="0">
    <w:nsid w:val="66547DB6"/>
    <w:multiLevelType w:val="multilevel"/>
    <w:tmpl w:val="EFB80B0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4"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6"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2160B62"/>
    <w:multiLevelType w:val="multilevel"/>
    <w:tmpl w:val="E11EE4D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8"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49"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15195250">
    <w:abstractNumId w:val="8"/>
  </w:num>
  <w:num w:numId="2" w16cid:durableId="1613201289">
    <w:abstractNumId w:val="43"/>
  </w:num>
  <w:num w:numId="3" w16cid:durableId="313797001">
    <w:abstractNumId w:val="30"/>
  </w:num>
  <w:num w:numId="4" w16cid:durableId="1775396921">
    <w:abstractNumId w:val="1"/>
  </w:num>
  <w:num w:numId="5" w16cid:durableId="969165542">
    <w:abstractNumId w:val="28"/>
  </w:num>
  <w:num w:numId="6" w16cid:durableId="262687301">
    <w:abstractNumId w:val="47"/>
  </w:num>
  <w:num w:numId="7" w16cid:durableId="1955289692">
    <w:abstractNumId w:val="14"/>
  </w:num>
  <w:num w:numId="8" w16cid:durableId="2075201440">
    <w:abstractNumId w:val="17"/>
  </w:num>
  <w:num w:numId="9" w16cid:durableId="1751854544">
    <w:abstractNumId w:val="35"/>
  </w:num>
  <w:num w:numId="10" w16cid:durableId="442919346">
    <w:abstractNumId w:val="22"/>
  </w:num>
  <w:num w:numId="11" w16cid:durableId="350566860">
    <w:abstractNumId w:val="38"/>
  </w:num>
  <w:num w:numId="12" w16cid:durableId="1347748909">
    <w:abstractNumId w:val="37"/>
  </w:num>
  <w:num w:numId="13" w16cid:durableId="2136363026">
    <w:abstractNumId w:val="0"/>
  </w:num>
  <w:num w:numId="14" w16cid:durableId="14770501">
    <w:abstractNumId w:val="32"/>
  </w:num>
  <w:num w:numId="15" w16cid:durableId="1563104697">
    <w:abstractNumId w:val="6"/>
  </w:num>
  <w:num w:numId="16" w16cid:durableId="1448889927">
    <w:abstractNumId w:val="31"/>
  </w:num>
  <w:num w:numId="17" w16cid:durableId="1771513339">
    <w:abstractNumId w:val="23"/>
  </w:num>
  <w:num w:numId="18" w16cid:durableId="386537710">
    <w:abstractNumId w:val="24"/>
  </w:num>
  <w:num w:numId="19" w16cid:durableId="1402867426">
    <w:abstractNumId w:val="13"/>
  </w:num>
  <w:num w:numId="20" w16cid:durableId="773601006">
    <w:abstractNumId w:val="36"/>
  </w:num>
  <w:num w:numId="21" w16cid:durableId="1204907988">
    <w:abstractNumId w:val="42"/>
  </w:num>
  <w:num w:numId="22" w16cid:durableId="1257640821">
    <w:abstractNumId w:val="3"/>
  </w:num>
  <w:num w:numId="23" w16cid:durableId="1586843970">
    <w:abstractNumId w:val="4"/>
  </w:num>
  <w:num w:numId="24" w16cid:durableId="1541740775">
    <w:abstractNumId w:val="20"/>
  </w:num>
  <w:num w:numId="25" w16cid:durableId="212038413">
    <w:abstractNumId w:val="40"/>
  </w:num>
  <w:num w:numId="26" w16cid:durableId="463890519">
    <w:abstractNumId w:val="7"/>
  </w:num>
  <w:num w:numId="27" w16cid:durableId="756442471">
    <w:abstractNumId w:val="48"/>
  </w:num>
  <w:num w:numId="28" w16cid:durableId="1160389981">
    <w:abstractNumId w:val="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9" w16cid:durableId="159584495">
    <w:abstractNumId w:val="2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0" w16cid:durableId="2050583">
    <w:abstractNumId w:val="3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1" w16cid:durableId="866019394">
    <w:abstractNumId w:val="9"/>
  </w:num>
  <w:num w:numId="32" w16cid:durableId="1850870952">
    <w:abstractNumId w:val="16"/>
  </w:num>
  <w:num w:numId="33" w16cid:durableId="901140546">
    <w:abstractNumId w:val="18"/>
  </w:num>
  <w:num w:numId="34" w16cid:durableId="1296135406">
    <w:abstractNumId w:val="45"/>
  </w:num>
  <w:num w:numId="35" w16cid:durableId="376196927">
    <w:abstractNumId w:val="41"/>
  </w:num>
  <w:num w:numId="36" w16cid:durableId="2041590517">
    <w:abstractNumId w:val="44"/>
  </w:num>
  <w:num w:numId="37" w16cid:durableId="419840069">
    <w:abstractNumId w:val="2"/>
  </w:num>
  <w:num w:numId="38" w16cid:durableId="1799759771">
    <w:abstractNumId w:val="12"/>
  </w:num>
  <w:num w:numId="39" w16cid:durableId="768113996">
    <w:abstractNumId w:val="15"/>
  </w:num>
  <w:num w:numId="40" w16cid:durableId="230652917">
    <w:abstractNumId w:val="21"/>
  </w:num>
  <w:num w:numId="41" w16cid:durableId="999384252">
    <w:abstractNumId w:val="26"/>
  </w:num>
  <w:num w:numId="42" w16cid:durableId="1336498483">
    <w:abstractNumId w:val="46"/>
  </w:num>
  <w:num w:numId="43" w16cid:durableId="1117528638">
    <w:abstractNumId w:val="10"/>
  </w:num>
  <w:num w:numId="44" w16cid:durableId="1617447194">
    <w:abstractNumId w:val="27"/>
  </w:num>
  <w:num w:numId="45" w16cid:durableId="874464025">
    <w:abstractNumId w:val="39"/>
  </w:num>
  <w:num w:numId="46" w16cid:durableId="1225023150">
    <w:abstractNumId w:val="5"/>
  </w:num>
  <w:num w:numId="47" w16cid:durableId="1947693070">
    <w:abstractNumId w:val="19"/>
  </w:num>
  <w:num w:numId="48" w16cid:durableId="664743794">
    <w:abstractNumId w:val="25"/>
  </w:num>
  <w:num w:numId="49" w16cid:durableId="1997220668">
    <w:abstractNumId w:val="49"/>
  </w:num>
  <w:num w:numId="50" w16cid:durableId="1305501765">
    <w:abstractNumId w:val="34"/>
  </w:num>
  <w:num w:numId="51" w16cid:durableId="273949405">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0"/>
  <w:activeWritingStyle w:appName="MSWord" w:lang="en-GB" w:vendorID="64" w:dllVersion="0" w:nlCheck="1" w:checkStyle="0"/>
  <w:activeWritingStyle w:appName="MSWord" w:lang="en-US" w:vendorID="64" w:dllVersion="0" w:nlCheck="1" w:checkStyle="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B7F2E"/>
    <w:rsid w:val="00001836"/>
    <w:rsid w:val="00001DA3"/>
    <w:rsid w:val="000047C2"/>
    <w:rsid w:val="000114A5"/>
    <w:rsid w:val="0001574D"/>
    <w:rsid w:val="00017B98"/>
    <w:rsid w:val="00024EE9"/>
    <w:rsid w:val="00032031"/>
    <w:rsid w:val="00037158"/>
    <w:rsid w:val="00041B6B"/>
    <w:rsid w:val="00042523"/>
    <w:rsid w:val="0004558F"/>
    <w:rsid w:val="00050A62"/>
    <w:rsid w:val="00050AAD"/>
    <w:rsid w:val="00053385"/>
    <w:rsid w:val="00053884"/>
    <w:rsid w:val="00056171"/>
    <w:rsid w:val="00057B10"/>
    <w:rsid w:val="00064AEF"/>
    <w:rsid w:val="00065659"/>
    <w:rsid w:val="00067432"/>
    <w:rsid w:val="00071C81"/>
    <w:rsid w:val="00071F74"/>
    <w:rsid w:val="00074E33"/>
    <w:rsid w:val="0008598D"/>
    <w:rsid w:val="0009354A"/>
    <w:rsid w:val="0009366F"/>
    <w:rsid w:val="00093D04"/>
    <w:rsid w:val="00093EC1"/>
    <w:rsid w:val="0009573F"/>
    <w:rsid w:val="000958A9"/>
    <w:rsid w:val="0009628E"/>
    <w:rsid w:val="000974F6"/>
    <w:rsid w:val="000A08E2"/>
    <w:rsid w:val="000A3B33"/>
    <w:rsid w:val="000A3BA4"/>
    <w:rsid w:val="000A7C0C"/>
    <w:rsid w:val="000B29CF"/>
    <w:rsid w:val="000B31F1"/>
    <w:rsid w:val="000B439C"/>
    <w:rsid w:val="000B7F2E"/>
    <w:rsid w:val="000C0FBC"/>
    <w:rsid w:val="000C1295"/>
    <w:rsid w:val="000C248B"/>
    <w:rsid w:val="000C2F6D"/>
    <w:rsid w:val="000C4A68"/>
    <w:rsid w:val="000C58E7"/>
    <w:rsid w:val="000C691F"/>
    <w:rsid w:val="000C7977"/>
    <w:rsid w:val="000E012F"/>
    <w:rsid w:val="000E1540"/>
    <w:rsid w:val="000E184E"/>
    <w:rsid w:val="000E2E19"/>
    <w:rsid w:val="000E3050"/>
    <w:rsid w:val="000F1BB6"/>
    <w:rsid w:val="001004BF"/>
    <w:rsid w:val="00102BE5"/>
    <w:rsid w:val="00102D0A"/>
    <w:rsid w:val="00105C07"/>
    <w:rsid w:val="0011737C"/>
    <w:rsid w:val="00117482"/>
    <w:rsid w:val="001209F0"/>
    <w:rsid w:val="00121204"/>
    <w:rsid w:val="001267D9"/>
    <w:rsid w:val="00126B3A"/>
    <w:rsid w:val="00130749"/>
    <w:rsid w:val="0013121B"/>
    <w:rsid w:val="0013232F"/>
    <w:rsid w:val="0013253A"/>
    <w:rsid w:val="00135BF1"/>
    <w:rsid w:val="001451A9"/>
    <w:rsid w:val="001469F6"/>
    <w:rsid w:val="0015043A"/>
    <w:rsid w:val="001523E9"/>
    <w:rsid w:val="0016294E"/>
    <w:rsid w:val="00162BBB"/>
    <w:rsid w:val="0016599D"/>
    <w:rsid w:val="00166AD6"/>
    <w:rsid w:val="001678D6"/>
    <w:rsid w:val="00167FD1"/>
    <w:rsid w:val="00170AE3"/>
    <w:rsid w:val="001715CC"/>
    <w:rsid w:val="0017536C"/>
    <w:rsid w:val="001757E1"/>
    <w:rsid w:val="0018676B"/>
    <w:rsid w:val="00190EF0"/>
    <w:rsid w:val="001968F4"/>
    <w:rsid w:val="001A1E71"/>
    <w:rsid w:val="001A1F1A"/>
    <w:rsid w:val="001A229A"/>
    <w:rsid w:val="001A298C"/>
    <w:rsid w:val="001A4C05"/>
    <w:rsid w:val="001A6BAE"/>
    <w:rsid w:val="001A6DAD"/>
    <w:rsid w:val="001B63C8"/>
    <w:rsid w:val="001C014B"/>
    <w:rsid w:val="001C0659"/>
    <w:rsid w:val="001C08E7"/>
    <w:rsid w:val="001C1800"/>
    <w:rsid w:val="001C2C4A"/>
    <w:rsid w:val="001D31E2"/>
    <w:rsid w:val="001D3436"/>
    <w:rsid w:val="001D68AF"/>
    <w:rsid w:val="001E09C8"/>
    <w:rsid w:val="001E2548"/>
    <w:rsid w:val="001E575C"/>
    <w:rsid w:val="001E71E1"/>
    <w:rsid w:val="002008FA"/>
    <w:rsid w:val="0020150F"/>
    <w:rsid w:val="0020339A"/>
    <w:rsid w:val="00204DF2"/>
    <w:rsid w:val="002073B2"/>
    <w:rsid w:val="0021104B"/>
    <w:rsid w:val="00212829"/>
    <w:rsid w:val="002146F4"/>
    <w:rsid w:val="00216354"/>
    <w:rsid w:val="002234BC"/>
    <w:rsid w:val="0022489D"/>
    <w:rsid w:val="002303B0"/>
    <w:rsid w:val="00236FD2"/>
    <w:rsid w:val="00237249"/>
    <w:rsid w:val="002402F6"/>
    <w:rsid w:val="0024106A"/>
    <w:rsid w:val="0024351F"/>
    <w:rsid w:val="0024706D"/>
    <w:rsid w:val="00250BE9"/>
    <w:rsid w:val="002518FE"/>
    <w:rsid w:val="0025395A"/>
    <w:rsid w:val="00253F27"/>
    <w:rsid w:val="0025530F"/>
    <w:rsid w:val="00256814"/>
    <w:rsid w:val="00257136"/>
    <w:rsid w:val="0026139A"/>
    <w:rsid w:val="00271EDF"/>
    <w:rsid w:val="002734A7"/>
    <w:rsid w:val="002767FD"/>
    <w:rsid w:val="002904BC"/>
    <w:rsid w:val="0029520B"/>
    <w:rsid w:val="0029586C"/>
    <w:rsid w:val="002A0E9C"/>
    <w:rsid w:val="002A5348"/>
    <w:rsid w:val="002A5E94"/>
    <w:rsid w:val="002B46B1"/>
    <w:rsid w:val="002C4B31"/>
    <w:rsid w:val="002C5CBB"/>
    <w:rsid w:val="002D332F"/>
    <w:rsid w:val="002D6FB1"/>
    <w:rsid w:val="002D7DF0"/>
    <w:rsid w:val="002E067C"/>
    <w:rsid w:val="002E1A6C"/>
    <w:rsid w:val="002F255F"/>
    <w:rsid w:val="002F38D4"/>
    <w:rsid w:val="002F4B7C"/>
    <w:rsid w:val="002F74CD"/>
    <w:rsid w:val="0030001B"/>
    <w:rsid w:val="00302B8F"/>
    <w:rsid w:val="00305F63"/>
    <w:rsid w:val="0030733F"/>
    <w:rsid w:val="00314004"/>
    <w:rsid w:val="00314C6C"/>
    <w:rsid w:val="003156E1"/>
    <w:rsid w:val="00315DC2"/>
    <w:rsid w:val="00320E41"/>
    <w:rsid w:val="003216E1"/>
    <w:rsid w:val="003236DC"/>
    <w:rsid w:val="00336368"/>
    <w:rsid w:val="003402C0"/>
    <w:rsid w:val="003419A8"/>
    <w:rsid w:val="003419EF"/>
    <w:rsid w:val="00343DD4"/>
    <w:rsid w:val="003515EF"/>
    <w:rsid w:val="00353C86"/>
    <w:rsid w:val="00353F8B"/>
    <w:rsid w:val="003578C2"/>
    <w:rsid w:val="00357E6E"/>
    <w:rsid w:val="003702E6"/>
    <w:rsid w:val="00374C24"/>
    <w:rsid w:val="00374FDF"/>
    <w:rsid w:val="00380792"/>
    <w:rsid w:val="00381033"/>
    <w:rsid w:val="003822A7"/>
    <w:rsid w:val="003825DE"/>
    <w:rsid w:val="00383EA6"/>
    <w:rsid w:val="0038533E"/>
    <w:rsid w:val="00386597"/>
    <w:rsid w:val="00391728"/>
    <w:rsid w:val="00395A99"/>
    <w:rsid w:val="003971AD"/>
    <w:rsid w:val="003A14AF"/>
    <w:rsid w:val="003A2E5F"/>
    <w:rsid w:val="003A3D55"/>
    <w:rsid w:val="003A7397"/>
    <w:rsid w:val="003B05C6"/>
    <w:rsid w:val="003C18B9"/>
    <w:rsid w:val="003C60B2"/>
    <w:rsid w:val="003C68FC"/>
    <w:rsid w:val="003D0DDC"/>
    <w:rsid w:val="003D1D76"/>
    <w:rsid w:val="003D3114"/>
    <w:rsid w:val="003D3CD9"/>
    <w:rsid w:val="003D6942"/>
    <w:rsid w:val="003D78F1"/>
    <w:rsid w:val="003D79A0"/>
    <w:rsid w:val="003E3F28"/>
    <w:rsid w:val="003E7E71"/>
    <w:rsid w:val="003F1517"/>
    <w:rsid w:val="003F7349"/>
    <w:rsid w:val="00407024"/>
    <w:rsid w:val="00407E21"/>
    <w:rsid w:val="00410EFC"/>
    <w:rsid w:val="00411EB9"/>
    <w:rsid w:val="00411FA6"/>
    <w:rsid w:val="004136F8"/>
    <w:rsid w:val="0041711C"/>
    <w:rsid w:val="00440828"/>
    <w:rsid w:val="00441576"/>
    <w:rsid w:val="0044290E"/>
    <w:rsid w:val="00444E5E"/>
    <w:rsid w:val="0045118F"/>
    <w:rsid w:val="0045260A"/>
    <w:rsid w:val="00457EDB"/>
    <w:rsid w:val="00461B9C"/>
    <w:rsid w:val="004651A1"/>
    <w:rsid w:val="00465A23"/>
    <w:rsid w:val="00465C43"/>
    <w:rsid w:val="0046671C"/>
    <w:rsid w:val="00471133"/>
    <w:rsid w:val="00473637"/>
    <w:rsid w:val="0047452B"/>
    <w:rsid w:val="00477741"/>
    <w:rsid w:val="00481171"/>
    <w:rsid w:val="00486E9E"/>
    <w:rsid w:val="0049013E"/>
    <w:rsid w:val="00490E6F"/>
    <w:rsid w:val="00491904"/>
    <w:rsid w:val="00493137"/>
    <w:rsid w:val="00496B69"/>
    <w:rsid w:val="004A1E59"/>
    <w:rsid w:val="004A2C29"/>
    <w:rsid w:val="004B0A6D"/>
    <w:rsid w:val="004B1577"/>
    <w:rsid w:val="004B557F"/>
    <w:rsid w:val="004B563B"/>
    <w:rsid w:val="004C1394"/>
    <w:rsid w:val="004C4092"/>
    <w:rsid w:val="004C43D4"/>
    <w:rsid w:val="004C6CF4"/>
    <w:rsid w:val="004C75A6"/>
    <w:rsid w:val="004D255F"/>
    <w:rsid w:val="004E0A9E"/>
    <w:rsid w:val="004E0F93"/>
    <w:rsid w:val="004E5BF9"/>
    <w:rsid w:val="004E6C02"/>
    <w:rsid w:val="004E7D82"/>
    <w:rsid w:val="004F1EAF"/>
    <w:rsid w:val="004F286E"/>
    <w:rsid w:val="00500C23"/>
    <w:rsid w:val="00500DB4"/>
    <w:rsid w:val="00502870"/>
    <w:rsid w:val="00505E60"/>
    <w:rsid w:val="00507057"/>
    <w:rsid w:val="00514207"/>
    <w:rsid w:val="00515B2E"/>
    <w:rsid w:val="00524A51"/>
    <w:rsid w:val="005274BE"/>
    <w:rsid w:val="00534092"/>
    <w:rsid w:val="00536776"/>
    <w:rsid w:val="00541ECA"/>
    <w:rsid w:val="00552AA5"/>
    <w:rsid w:val="00553C20"/>
    <w:rsid w:val="005564CB"/>
    <w:rsid w:val="00564E26"/>
    <w:rsid w:val="00565285"/>
    <w:rsid w:val="005654F5"/>
    <w:rsid w:val="00565F37"/>
    <w:rsid w:val="00566045"/>
    <w:rsid w:val="005661E1"/>
    <w:rsid w:val="00566BD5"/>
    <w:rsid w:val="005676F8"/>
    <w:rsid w:val="00575312"/>
    <w:rsid w:val="00575F93"/>
    <w:rsid w:val="00577401"/>
    <w:rsid w:val="00580132"/>
    <w:rsid w:val="00581D92"/>
    <w:rsid w:val="005835DD"/>
    <w:rsid w:val="005843FE"/>
    <w:rsid w:val="005900F0"/>
    <w:rsid w:val="00594929"/>
    <w:rsid w:val="005978B6"/>
    <w:rsid w:val="005A05EA"/>
    <w:rsid w:val="005A1E94"/>
    <w:rsid w:val="005A2245"/>
    <w:rsid w:val="005B06A4"/>
    <w:rsid w:val="005B1E9B"/>
    <w:rsid w:val="005B646C"/>
    <w:rsid w:val="005B7C0A"/>
    <w:rsid w:val="005C0B01"/>
    <w:rsid w:val="005C0C2C"/>
    <w:rsid w:val="005C0DFD"/>
    <w:rsid w:val="005C160E"/>
    <w:rsid w:val="005C1C15"/>
    <w:rsid w:val="005C321F"/>
    <w:rsid w:val="005C3BEC"/>
    <w:rsid w:val="005C686C"/>
    <w:rsid w:val="005C7E37"/>
    <w:rsid w:val="005D03FC"/>
    <w:rsid w:val="005D06AD"/>
    <w:rsid w:val="005D7058"/>
    <w:rsid w:val="005E34C6"/>
    <w:rsid w:val="005F0281"/>
    <w:rsid w:val="005F02E1"/>
    <w:rsid w:val="005F1447"/>
    <w:rsid w:val="005F23C3"/>
    <w:rsid w:val="005F611C"/>
    <w:rsid w:val="006074ED"/>
    <w:rsid w:val="00612523"/>
    <w:rsid w:val="00612A18"/>
    <w:rsid w:val="00616C79"/>
    <w:rsid w:val="006206D8"/>
    <w:rsid w:val="00620BA9"/>
    <w:rsid w:val="00631C49"/>
    <w:rsid w:val="0063236A"/>
    <w:rsid w:val="00636E74"/>
    <w:rsid w:val="006425FC"/>
    <w:rsid w:val="006433E6"/>
    <w:rsid w:val="00644909"/>
    <w:rsid w:val="00651339"/>
    <w:rsid w:val="006531F3"/>
    <w:rsid w:val="006543A1"/>
    <w:rsid w:val="006660D4"/>
    <w:rsid w:val="00671228"/>
    <w:rsid w:val="0067236F"/>
    <w:rsid w:val="00677662"/>
    <w:rsid w:val="006776FC"/>
    <w:rsid w:val="00684AB9"/>
    <w:rsid w:val="00685904"/>
    <w:rsid w:val="00685A5A"/>
    <w:rsid w:val="00695F03"/>
    <w:rsid w:val="006A0EA6"/>
    <w:rsid w:val="006A3EDF"/>
    <w:rsid w:val="006A783B"/>
    <w:rsid w:val="006A78D7"/>
    <w:rsid w:val="006C1A0B"/>
    <w:rsid w:val="006C1AF1"/>
    <w:rsid w:val="006C24AE"/>
    <w:rsid w:val="006C3D1C"/>
    <w:rsid w:val="006C42D6"/>
    <w:rsid w:val="006C6A1B"/>
    <w:rsid w:val="006C73B8"/>
    <w:rsid w:val="006C7B15"/>
    <w:rsid w:val="006D098F"/>
    <w:rsid w:val="006D24A6"/>
    <w:rsid w:val="006E6359"/>
    <w:rsid w:val="006E6C3B"/>
    <w:rsid w:val="006E7FF2"/>
    <w:rsid w:val="006F02B6"/>
    <w:rsid w:val="006F4E7F"/>
    <w:rsid w:val="006F755A"/>
    <w:rsid w:val="006F7D5F"/>
    <w:rsid w:val="007006DB"/>
    <w:rsid w:val="007043BC"/>
    <w:rsid w:val="00707CA6"/>
    <w:rsid w:val="0071218F"/>
    <w:rsid w:val="00713247"/>
    <w:rsid w:val="00713A34"/>
    <w:rsid w:val="00713B30"/>
    <w:rsid w:val="007145A7"/>
    <w:rsid w:val="00714FF0"/>
    <w:rsid w:val="0072166D"/>
    <w:rsid w:val="00731641"/>
    <w:rsid w:val="00732533"/>
    <w:rsid w:val="00734F2E"/>
    <w:rsid w:val="00735B00"/>
    <w:rsid w:val="007448C9"/>
    <w:rsid w:val="007478A1"/>
    <w:rsid w:val="00751C0C"/>
    <w:rsid w:val="0075276A"/>
    <w:rsid w:val="00753137"/>
    <w:rsid w:val="00771ADF"/>
    <w:rsid w:val="00775B91"/>
    <w:rsid w:val="00777695"/>
    <w:rsid w:val="00782246"/>
    <w:rsid w:val="0079067B"/>
    <w:rsid w:val="007906E8"/>
    <w:rsid w:val="00790F14"/>
    <w:rsid w:val="007929AA"/>
    <w:rsid w:val="007968B2"/>
    <w:rsid w:val="007A1BDF"/>
    <w:rsid w:val="007A2746"/>
    <w:rsid w:val="007A3B6D"/>
    <w:rsid w:val="007B0220"/>
    <w:rsid w:val="007B7DAC"/>
    <w:rsid w:val="007C100A"/>
    <w:rsid w:val="007C20CD"/>
    <w:rsid w:val="007C4180"/>
    <w:rsid w:val="007C6775"/>
    <w:rsid w:val="007D0492"/>
    <w:rsid w:val="007D120B"/>
    <w:rsid w:val="007D1F6D"/>
    <w:rsid w:val="007D3801"/>
    <w:rsid w:val="007D591C"/>
    <w:rsid w:val="007D6DAE"/>
    <w:rsid w:val="007E2D68"/>
    <w:rsid w:val="007E4FA4"/>
    <w:rsid w:val="007F0025"/>
    <w:rsid w:val="007F6DFA"/>
    <w:rsid w:val="007F753C"/>
    <w:rsid w:val="007F7F5E"/>
    <w:rsid w:val="00801B4B"/>
    <w:rsid w:val="00801D8F"/>
    <w:rsid w:val="00802BDC"/>
    <w:rsid w:val="0080479C"/>
    <w:rsid w:val="00805527"/>
    <w:rsid w:val="00807FDC"/>
    <w:rsid w:val="00810121"/>
    <w:rsid w:val="00813CDF"/>
    <w:rsid w:val="00813F04"/>
    <w:rsid w:val="008171E2"/>
    <w:rsid w:val="00823B7A"/>
    <w:rsid w:val="00833025"/>
    <w:rsid w:val="00833586"/>
    <w:rsid w:val="008410C1"/>
    <w:rsid w:val="00843A81"/>
    <w:rsid w:val="008477CC"/>
    <w:rsid w:val="0085281F"/>
    <w:rsid w:val="00852C1B"/>
    <w:rsid w:val="00854820"/>
    <w:rsid w:val="00856973"/>
    <w:rsid w:val="008612C0"/>
    <w:rsid w:val="00861A4D"/>
    <w:rsid w:val="008646BA"/>
    <w:rsid w:val="00865BC4"/>
    <w:rsid w:val="00871976"/>
    <w:rsid w:val="0087319F"/>
    <w:rsid w:val="0087372C"/>
    <w:rsid w:val="00873B1E"/>
    <w:rsid w:val="008761A8"/>
    <w:rsid w:val="00876CE4"/>
    <w:rsid w:val="00885781"/>
    <w:rsid w:val="00887EE2"/>
    <w:rsid w:val="0089253F"/>
    <w:rsid w:val="0089523B"/>
    <w:rsid w:val="00896882"/>
    <w:rsid w:val="008A5CC5"/>
    <w:rsid w:val="008A692A"/>
    <w:rsid w:val="008B3942"/>
    <w:rsid w:val="008B5478"/>
    <w:rsid w:val="008B7AD3"/>
    <w:rsid w:val="008D4AEF"/>
    <w:rsid w:val="008E382F"/>
    <w:rsid w:val="008E6FB3"/>
    <w:rsid w:val="008F0187"/>
    <w:rsid w:val="008F4DA6"/>
    <w:rsid w:val="00902690"/>
    <w:rsid w:val="009034D6"/>
    <w:rsid w:val="00903890"/>
    <w:rsid w:val="00904194"/>
    <w:rsid w:val="009058A7"/>
    <w:rsid w:val="009104FA"/>
    <w:rsid w:val="009122B4"/>
    <w:rsid w:val="009179B7"/>
    <w:rsid w:val="009268EB"/>
    <w:rsid w:val="00926E2C"/>
    <w:rsid w:val="00931131"/>
    <w:rsid w:val="00934B56"/>
    <w:rsid w:val="00936139"/>
    <w:rsid w:val="00945B17"/>
    <w:rsid w:val="00947C49"/>
    <w:rsid w:val="00950EB5"/>
    <w:rsid w:val="00951948"/>
    <w:rsid w:val="00954BF6"/>
    <w:rsid w:val="00960996"/>
    <w:rsid w:val="00960B05"/>
    <w:rsid w:val="00960BBF"/>
    <w:rsid w:val="00975A25"/>
    <w:rsid w:val="0097797C"/>
    <w:rsid w:val="009842D2"/>
    <w:rsid w:val="009977E4"/>
    <w:rsid w:val="00997AEE"/>
    <w:rsid w:val="009A098E"/>
    <w:rsid w:val="009A1C01"/>
    <w:rsid w:val="009A245D"/>
    <w:rsid w:val="009A46C1"/>
    <w:rsid w:val="009A71FB"/>
    <w:rsid w:val="009B4E5D"/>
    <w:rsid w:val="009B64A0"/>
    <w:rsid w:val="009C1A4E"/>
    <w:rsid w:val="009C1F3C"/>
    <w:rsid w:val="009C71CA"/>
    <w:rsid w:val="009D2496"/>
    <w:rsid w:val="009D500B"/>
    <w:rsid w:val="009D634A"/>
    <w:rsid w:val="009F0222"/>
    <w:rsid w:val="009F0C13"/>
    <w:rsid w:val="00A01698"/>
    <w:rsid w:val="00A01B13"/>
    <w:rsid w:val="00A06394"/>
    <w:rsid w:val="00A10C4F"/>
    <w:rsid w:val="00A113DE"/>
    <w:rsid w:val="00A21D7D"/>
    <w:rsid w:val="00A245AF"/>
    <w:rsid w:val="00A248DB"/>
    <w:rsid w:val="00A254E7"/>
    <w:rsid w:val="00A25B09"/>
    <w:rsid w:val="00A26AE9"/>
    <w:rsid w:val="00A36D41"/>
    <w:rsid w:val="00A37084"/>
    <w:rsid w:val="00A41DCA"/>
    <w:rsid w:val="00A44B89"/>
    <w:rsid w:val="00A4756A"/>
    <w:rsid w:val="00A5032F"/>
    <w:rsid w:val="00A515D6"/>
    <w:rsid w:val="00A53875"/>
    <w:rsid w:val="00A5515E"/>
    <w:rsid w:val="00A572D5"/>
    <w:rsid w:val="00A578C5"/>
    <w:rsid w:val="00A61B96"/>
    <w:rsid w:val="00A64A79"/>
    <w:rsid w:val="00A73807"/>
    <w:rsid w:val="00A76B17"/>
    <w:rsid w:val="00A76FF2"/>
    <w:rsid w:val="00A806AF"/>
    <w:rsid w:val="00A813BB"/>
    <w:rsid w:val="00A8431C"/>
    <w:rsid w:val="00A851AC"/>
    <w:rsid w:val="00A85AEB"/>
    <w:rsid w:val="00A871F4"/>
    <w:rsid w:val="00A90E0C"/>
    <w:rsid w:val="00A91E33"/>
    <w:rsid w:val="00A94708"/>
    <w:rsid w:val="00A95471"/>
    <w:rsid w:val="00AA1C5E"/>
    <w:rsid w:val="00AA54CE"/>
    <w:rsid w:val="00AA786D"/>
    <w:rsid w:val="00AB0F03"/>
    <w:rsid w:val="00AB1075"/>
    <w:rsid w:val="00AB1A00"/>
    <w:rsid w:val="00AB30BA"/>
    <w:rsid w:val="00AB59C3"/>
    <w:rsid w:val="00AC1014"/>
    <w:rsid w:val="00AC2CF3"/>
    <w:rsid w:val="00AC68A6"/>
    <w:rsid w:val="00AC71B1"/>
    <w:rsid w:val="00AD348A"/>
    <w:rsid w:val="00AD4161"/>
    <w:rsid w:val="00AD4C75"/>
    <w:rsid w:val="00AD5436"/>
    <w:rsid w:val="00AE5595"/>
    <w:rsid w:val="00AE5F36"/>
    <w:rsid w:val="00AE695C"/>
    <w:rsid w:val="00AF556D"/>
    <w:rsid w:val="00AF6846"/>
    <w:rsid w:val="00B028B9"/>
    <w:rsid w:val="00B0437E"/>
    <w:rsid w:val="00B048E8"/>
    <w:rsid w:val="00B04A9E"/>
    <w:rsid w:val="00B04AB1"/>
    <w:rsid w:val="00B04F39"/>
    <w:rsid w:val="00B12E08"/>
    <w:rsid w:val="00B12E67"/>
    <w:rsid w:val="00B13B00"/>
    <w:rsid w:val="00B13F0F"/>
    <w:rsid w:val="00B14E05"/>
    <w:rsid w:val="00B17685"/>
    <w:rsid w:val="00B17B9A"/>
    <w:rsid w:val="00B2043D"/>
    <w:rsid w:val="00B21785"/>
    <w:rsid w:val="00B244ED"/>
    <w:rsid w:val="00B25FA4"/>
    <w:rsid w:val="00B30D11"/>
    <w:rsid w:val="00B5085F"/>
    <w:rsid w:val="00B53503"/>
    <w:rsid w:val="00B6113C"/>
    <w:rsid w:val="00B6459D"/>
    <w:rsid w:val="00B73E88"/>
    <w:rsid w:val="00B74565"/>
    <w:rsid w:val="00B74AC1"/>
    <w:rsid w:val="00B74BC6"/>
    <w:rsid w:val="00B75C20"/>
    <w:rsid w:val="00B76676"/>
    <w:rsid w:val="00B76AAB"/>
    <w:rsid w:val="00B8080D"/>
    <w:rsid w:val="00B837C5"/>
    <w:rsid w:val="00B8663B"/>
    <w:rsid w:val="00B86830"/>
    <w:rsid w:val="00B9103D"/>
    <w:rsid w:val="00B9108E"/>
    <w:rsid w:val="00B92C5C"/>
    <w:rsid w:val="00B934EC"/>
    <w:rsid w:val="00BB10E7"/>
    <w:rsid w:val="00BB1A16"/>
    <w:rsid w:val="00BB266C"/>
    <w:rsid w:val="00BB58A6"/>
    <w:rsid w:val="00BC303F"/>
    <w:rsid w:val="00BC4FC4"/>
    <w:rsid w:val="00BC6CA3"/>
    <w:rsid w:val="00BD2FED"/>
    <w:rsid w:val="00BD591E"/>
    <w:rsid w:val="00BD5E26"/>
    <w:rsid w:val="00BE49FE"/>
    <w:rsid w:val="00BE6434"/>
    <w:rsid w:val="00BE6A24"/>
    <w:rsid w:val="00BE6B85"/>
    <w:rsid w:val="00BF218D"/>
    <w:rsid w:val="00BF293D"/>
    <w:rsid w:val="00BF2EE7"/>
    <w:rsid w:val="00BF3074"/>
    <w:rsid w:val="00BF4DFF"/>
    <w:rsid w:val="00BF7B6F"/>
    <w:rsid w:val="00BF7C6F"/>
    <w:rsid w:val="00C003CA"/>
    <w:rsid w:val="00C037D2"/>
    <w:rsid w:val="00C1294E"/>
    <w:rsid w:val="00C1718B"/>
    <w:rsid w:val="00C2075E"/>
    <w:rsid w:val="00C22035"/>
    <w:rsid w:val="00C22499"/>
    <w:rsid w:val="00C24994"/>
    <w:rsid w:val="00C263A4"/>
    <w:rsid w:val="00C36FAC"/>
    <w:rsid w:val="00C37CFE"/>
    <w:rsid w:val="00C41D78"/>
    <w:rsid w:val="00C43F3E"/>
    <w:rsid w:val="00C47107"/>
    <w:rsid w:val="00C50323"/>
    <w:rsid w:val="00C508F6"/>
    <w:rsid w:val="00C511B7"/>
    <w:rsid w:val="00C51D9A"/>
    <w:rsid w:val="00C60ED2"/>
    <w:rsid w:val="00C60F0F"/>
    <w:rsid w:val="00C61D8B"/>
    <w:rsid w:val="00C66E36"/>
    <w:rsid w:val="00C7035A"/>
    <w:rsid w:val="00C737DA"/>
    <w:rsid w:val="00C75E0E"/>
    <w:rsid w:val="00C77474"/>
    <w:rsid w:val="00C8147C"/>
    <w:rsid w:val="00C823AA"/>
    <w:rsid w:val="00C8338B"/>
    <w:rsid w:val="00C83553"/>
    <w:rsid w:val="00C86F38"/>
    <w:rsid w:val="00C87734"/>
    <w:rsid w:val="00C9228E"/>
    <w:rsid w:val="00C93110"/>
    <w:rsid w:val="00C93CC2"/>
    <w:rsid w:val="00C97BE9"/>
    <w:rsid w:val="00CA67AB"/>
    <w:rsid w:val="00CB0651"/>
    <w:rsid w:val="00CB3061"/>
    <w:rsid w:val="00CB5609"/>
    <w:rsid w:val="00CB5C26"/>
    <w:rsid w:val="00CB5D51"/>
    <w:rsid w:val="00CC5F60"/>
    <w:rsid w:val="00CC6E7B"/>
    <w:rsid w:val="00CC7BD3"/>
    <w:rsid w:val="00CD24A4"/>
    <w:rsid w:val="00CD3B92"/>
    <w:rsid w:val="00CD487E"/>
    <w:rsid w:val="00CD4DA8"/>
    <w:rsid w:val="00CE3736"/>
    <w:rsid w:val="00CF1E7C"/>
    <w:rsid w:val="00CF6924"/>
    <w:rsid w:val="00D03DBE"/>
    <w:rsid w:val="00D04B81"/>
    <w:rsid w:val="00D05788"/>
    <w:rsid w:val="00D11D89"/>
    <w:rsid w:val="00D11E59"/>
    <w:rsid w:val="00D120B0"/>
    <w:rsid w:val="00D14CAB"/>
    <w:rsid w:val="00D15FA4"/>
    <w:rsid w:val="00D276A4"/>
    <w:rsid w:val="00D31287"/>
    <w:rsid w:val="00D34BE3"/>
    <w:rsid w:val="00D352A1"/>
    <w:rsid w:val="00D378AE"/>
    <w:rsid w:val="00D40468"/>
    <w:rsid w:val="00D40CF4"/>
    <w:rsid w:val="00D44CA9"/>
    <w:rsid w:val="00D469F5"/>
    <w:rsid w:val="00D50F8E"/>
    <w:rsid w:val="00D52E19"/>
    <w:rsid w:val="00D54B0A"/>
    <w:rsid w:val="00D60986"/>
    <w:rsid w:val="00D71304"/>
    <w:rsid w:val="00D7271E"/>
    <w:rsid w:val="00D731B5"/>
    <w:rsid w:val="00D75460"/>
    <w:rsid w:val="00D80335"/>
    <w:rsid w:val="00D82EEE"/>
    <w:rsid w:val="00D866D6"/>
    <w:rsid w:val="00D92271"/>
    <w:rsid w:val="00D95AFB"/>
    <w:rsid w:val="00D95D1C"/>
    <w:rsid w:val="00DA2B58"/>
    <w:rsid w:val="00DA4026"/>
    <w:rsid w:val="00DA634F"/>
    <w:rsid w:val="00DB0BFF"/>
    <w:rsid w:val="00DB11D1"/>
    <w:rsid w:val="00DB27BA"/>
    <w:rsid w:val="00DB46F5"/>
    <w:rsid w:val="00DB499C"/>
    <w:rsid w:val="00DB658C"/>
    <w:rsid w:val="00DC0E3F"/>
    <w:rsid w:val="00DC2284"/>
    <w:rsid w:val="00DD029E"/>
    <w:rsid w:val="00DD26F2"/>
    <w:rsid w:val="00DD2713"/>
    <w:rsid w:val="00DE3ACC"/>
    <w:rsid w:val="00DE4605"/>
    <w:rsid w:val="00DE50C5"/>
    <w:rsid w:val="00DE5C30"/>
    <w:rsid w:val="00DE6C0A"/>
    <w:rsid w:val="00DE7D17"/>
    <w:rsid w:val="00DF3992"/>
    <w:rsid w:val="00DF4B36"/>
    <w:rsid w:val="00DF71E0"/>
    <w:rsid w:val="00E030B8"/>
    <w:rsid w:val="00E033F9"/>
    <w:rsid w:val="00E048B7"/>
    <w:rsid w:val="00E06AFE"/>
    <w:rsid w:val="00E10C98"/>
    <w:rsid w:val="00E152B4"/>
    <w:rsid w:val="00E164C6"/>
    <w:rsid w:val="00E16AA2"/>
    <w:rsid w:val="00E20108"/>
    <w:rsid w:val="00E247BD"/>
    <w:rsid w:val="00E3056C"/>
    <w:rsid w:val="00E44445"/>
    <w:rsid w:val="00E46EE9"/>
    <w:rsid w:val="00E51200"/>
    <w:rsid w:val="00E60B5F"/>
    <w:rsid w:val="00E63F84"/>
    <w:rsid w:val="00E6554B"/>
    <w:rsid w:val="00E71163"/>
    <w:rsid w:val="00E72164"/>
    <w:rsid w:val="00E73201"/>
    <w:rsid w:val="00E74915"/>
    <w:rsid w:val="00E7741E"/>
    <w:rsid w:val="00E80FC3"/>
    <w:rsid w:val="00E92671"/>
    <w:rsid w:val="00E94033"/>
    <w:rsid w:val="00E94058"/>
    <w:rsid w:val="00E955C0"/>
    <w:rsid w:val="00E95CC9"/>
    <w:rsid w:val="00EA1CD1"/>
    <w:rsid w:val="00EA3208"/>
    <w:rsid w:val="00EA36CB"/>
    <w:rsid w:val="00EA571B"/>
    <w:rsid w:val="00EA724B"/>
    <w:rsid w:val="00EB1055"/>
    <w:rsid w:val="00EB2F18"/>
    <w:rsid w:val="00EB659F"/>
    <w:rsid w:val="00EC10A3"/>
    <w:rsid w:val="00EC33FC"/>
    <w:rsid w:val="00EC43FE"/>
    <w:rsid w:val="00EC7A5F"/>
    <w:rsid w:val="00ED2235"/>
    <w:rsid w:val="00ED395E"/>
    <w:rsid w:val="00ED45B7"/>
    <w:rsid w:val="00ED465D"/>
    <w:rsid w:val="00ED526C"/>
    <w:rsid w:val="00ED5C82"/>
    <w:rsid w:val="00EE0353"/>
    <w:rsid w:val="00EE75A6"/>
    <w:rsid w:val="00EF1349"/>
    <w:rsid w:val="00EF5C28"/>
    <w:rsid w:val="00EF79E3"/>
    <w:rsid w:val="00F02323"/>
    <w:rsid w:val="00F0324A"/>
    <w:rsid w:val="00F038D7"/>
    <w:rsid w:val="00F03E27"/>
    <w:rsid w:val="00F04DF1"/>
    <w:rsid w:val="00F07F55"/>
    <w:rsid w:val="00F11B3A"/>
    <w:rsid w:val="00F1215E"/>
    <w:rsid w:val="00F13F45"/>
    <w:rsid w:val="00F23ADB"/>
    <w:rsid w:val="00F261E0"/>
    <w:rsid w:val="00F27D9A"/>
    <w:rsid w:val="00F30500"/>
    <w:rsid w:val="00F30691"/>
    <w:rsid w:val="00F30734"/>
    <w:rsid w:val="00F31620"/>
    <w:rsid w:val="00F3300F"/>
    <w:rsid w:val="00F34FFB"/>
    <w:rsid w:val="00F36273"/>
    <w:rsid w:val="00F3725E"/>
    <w:rsid w:val="00F37968"/>
    <w:rsid w:val="00F4065C"/>
    <w:rsid w:val="00F44DE4"/>
    <w:rsid w:val="00F46475"/>
    <w:rsid w:val="00F4708B"/>
    <w:rsid w:val="00F57A0F"/>
    <w:rsid w:val="00F61734"/>
    <w:rsid w:val="00F61846"/>
    <w:rsid w:val="00F62194"/>
    <w:rsid w:val="00F72D08"/>
    <w:rsid w:val="00F74022"/>
    <w:rsid w:val="00F84C45"/>
    <w:rsid w:val="00F90399"/>
    <w:rsid w:val="00F911AD"/>
    <w:rsid w:val="00F916C3"/>
    <w:rsid w:val="00F91704"/>
    <w:rsid w:val="00F9298F"/>
    <w:rsid w:val="00F93F09"/>
    <w:rsid w:val="00F9634A"/>
    <w:rsid w:val="00FB0D62"/>
    <w:rsid w:val="00FB0D96"/>
    <w:rsid w:val="00FB0E99"/>
    <w:rsid w:val="00FB23F7"/>
    <w:rsid w:val="00FB6C02"/>
    <w:rsid w:val="00FB77B9"/>
    <w:rsid w:val="00FC1D84"/>
    <w:rsid w:val="00FD4BCD"/>
    <w:rsid w:val="00FD67E8"/>
    <w:rsid w:val="00FE0048"/>
    <w:rsid w:val="00FE0BB6"/>
    <w:rsid w:val="00FE1155"/>
    <w:rsid w:val="00FF2BFE"/>
    <w:rsid w:val="00FF40B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A39F4E"/>
  <w15:chartTrackingRefBased/>
  <w15:docId w15:val="{BC9A5680-916B-4516-8F4E-F246E1D563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iPriority="0"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9"/>
    <w:qFormat/>
    <w:rsid w:val="00AF556D"/>
    <w:pPr>
      <w:keepNext/>
      <w:keepLines/>
      <w:spacing w:before="480" w:after="0" w:line="276" w:lineRule="auto"/>
      <w:outlineLvl w:val="0"/>
    </w:pPr>
    <w:rPr>
      <w:rFonts w:asciiTheme="majorHAnsi" w:eastAsiaTheme="majorEastAsia" w:hAnsiTheme="majorHAnsi" w:cstheme="majorBidi"/>
      <w:b/>
      <w:bCs/>
      <w:color w:val="2F5496" w:themeColor="accent1" w:themeShade="BF"/>
      <w:sz w:val="28"/>
      <w:szCs w:val="28"/>
      <w:lang w:val="en-US" w:bidi="en-US"/>
    </w:rPr>
  </w:style>
  <w:style w:type="paragraph" w:styleId="Heading4">
    <w:name w:val="heading 4"/>
    <w:basedOn w:val="Normal"/>
    <w:next w:val="Normal"/>
    <w:link w:val="Heading4Char"/>
    <w:uiPriority w:val="99"/>
    <w:qFormat/>
    <w:rsid w:val="00DD26F2"/>
    <w:pPr>
      <w:keepNext/>
      <w:spacing w:before="240" w:after="60" w:line="240" w:lineRule="auto"/>
      <w:outlineLvl w:val="3"/>
    </w:pPr>
    <w:rPr>
      <w:rFonts w:ascii="Times New Roman" w:eastAsia="Times New Roman" w:hAnsi="Times New Roman" w:cs="Times New Roman"/>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7C20CD"/>
    <w:pPr>
      <w:spacing w:after="0" w:line="240" w:lineRule="auto"/>
    </w:pPr>
  </w:style>
  <w:style w:type="character" w:styleId="Hyperlink">
    <w:name w:val="Hyperlink"/>
    <w:basedOn w:val="DefaultParagraphFont"/>
    <w:uiPriority w:val="99"/>
    <w:unhideWhenUsed/>
    <w:rsid w:val="007C20CD"/>
    <w:rPr>
      <w:color w:val="0000FF"/>
      <w:u w:val="single"/>
    </w:rPr>
  </w:style>
  <w:style w:type="character" w:customStyle="1" w:styleId="hlfld-contribauthor">
    <w:name w:val="hlfld-contribauthor"/>
    <w:basedOn w:val="DefaultParagraphFont"/>
    <w:rsid w:val="0029520B"/>
  </w:style>
  <w:style w:type="character" w:customStyle="1" w:styleId="nlmgiven-names">
    <w:name w:val="nlm_given-names"/>
    <w:basedOn w:val="DefaultParagraphFont"/>
    <w:rsid w:val="0029520B"/>
  </w:style>
  <w:style w:type="character" w:customStyle="1" w:styleId="nlmyear">
    <w:name w:val="nlm_year"/>
    <w:basedOn w:val="DefaultParagraphFont"/>
    <w:rsid w:val="0029520B"/>
  </w:style>
  <w:style w:type="character" w:customStyle="1" w:styleId="nlmpublisher-loc">
    <w:name w:val="nlm_publisher-loc"/>
    <w:basedOn w:val="DefaultParagraphFont"/>
    <w:rsid w:val="0029520B"/>
  </w:style>
  <w:style w:type="character" w:customStyle="1" w:styleId="nlmpublisher-name">
    <w:name w:val="nlm_publisher-name"/>
    <w:basedOn w:val="DefaultParagraphFont"/>
    <w:rsid w:val="0029520B"/>
  </w:style>
  <w:style w:type="character" w:customStyle="1" w:styleId="googlescholar-container">
    <w:name w:val="googlescholar-container"/>
    <w:basedOn w:val="DefaultParagraphFont"/>
    <w:rsid w:val="0029520B"/>
  </w:style>
  <w:style w:type="character" w:customStyle="1" w:styleId="nlmarticle-title">
    <w:name w:val="nlm_article-title"/>
    <w:basedOn w:val="DefaultParagraphFont"/>
    <w:rsid w:val="0029520B"/>
  </w:style>
  <w:style w:type="character" w:customStyle="1" w:styleId="nlmfpage">
    <w:name w:val="nlm_fpage"/>
    <w:basedOn w:val="DefaultParagraphFont"/>
    <w:rsid w:val="0029520B"/>
  </w:style>
  <w:style w:type="character" w:customStyle="1" w:styleId="nlmlpage">
    <w:name w:val="nlm_lpage"/>
    <w:basedOn w:val="DefaultParagraphFont"/>
    <w:rsid w:val="0029520B"/>
  </w:style>
  <w:style w:type="character" w:customStyle="1" w:styleId="xlinks-container">
    <w:name w:val="xlinks-container"/>
    <w:basedOn w:val="DefaultParagraphFont"/>
    <w:rsid w:val="0029520B"/>
  </w:style>
  <w:style w:type="character" w:customStyle="1" w:styleId="nlmpub-id">
    <w:name w:val="nlm_pub-id"/>
    <w:basedOn w:val="DefaultParagraphFont"/>
    <w:rsid w:val="0029520B"/>
  </w:style>
  <w:style w:type="character" w:styleId="FollowedHyperlink">
    <w:name w:val="FollowedHyperlink"/>
    <w:basedOn w:val="DefaultParagraphFont"/>
    <w:uiPriority w:val="99"/>
    <w:semiHidden/>
    <w:unhideWhenUsed/>
    <w:rsid w:val="006A0EA6"/>
    <w:rPr>
      <w:color w:val="954F72" w:themeColor="followedHyperlink"/>
      <w:u w:val="single"/>
    </w:rPr>
  </w:style>
  <w:style w:type="character" w:customStyle="1" w:styleId="ref-lnk">
    <w:name w:val="ref-lnk"/>
    <w:basedOn w:val="DefaultParagraphFont"/>
    <w:rsid w:val="00D31287"/>
  </w:style>
  <w:style w:type="character" w:customStyle="1" w:styleId="ref-overlay">
    <w:name w:val="ref-overlay"/>
    <w:basedOn w:val="DefaultParagraphFont"/>
    <w:rsid w:val="00D31287"/>
  </w:style>
  <w:style w:type="character" w:customStyle="1" w:styleId="reflink-block">
    <w:name w:val="reflink-block"/>
    <w:basedOn w:val="DefaultParagraphFont"/>
    <w:rsid w:val="00D31287"/>
  </w:style>
  <w:style w:type="paragraph" w:styleId="BodyTextIndent">
    <w:name w:val="Body Text Indent"/>
    <w:link w:val="BodyTextIndentChar"/>
    <w:rsid w:val="00C24994"/>
    <w:pPr>
      <w:pBdr>
        <w:top w:val="nil"/>
        <w:left w:val="nil"/>
        <w:bottom w:val="nil"/>
        <w:right w:val="nil"/>
        <w:between w:val="nil"/>
        <w:bar w:val="nil"/>
      </w:pBdr>
      <w:spacing w:before="120" w:after="0" w:line="360" w:lineRule="auto"/>
      <w:ind w:left="3600" w:hanging="3600"/>
      <w:jc w:val="both"/>
    </w:pPr>
    <w:rPr>
      <w:rFonts w:ascii="Arial" w:eastAsia="Arial" w:hAnsi="Arial" w:cs="Arial"/>
      <w:color w:val="000000"/>
      <w:sz w:val="24"/>
      <w:szCs w:val="24"/>
      <w:u w:color="000000"/>
      <w:bdr w:val="nil"/>
      <w:lang w:val="en-US"/>
    </w:rPr>
  </w:style>
  <w:style w:type="character" w:customStyle="1" w:styleId="BodyTextIndentChar">
    <w:name w:val="Body Text Indent Char"/>
    <w:basedOn w:val="DefaultParagraphFont"/>
    <w:link w:val="BodyTextIndent"/>
    <w:rsid w:val="00C24994"/>
    <w:rPr>
      <w:rFonts w:ascii="Arial" w:eastAsia="Arial" w:hAnsi="Arial" w:cs="Arial"/>
      <w:color w:val="000000"/>
      <w:sz w:val="24"/>
      <w:szCs w:val="24"/>
      <w:u w:color="000000"/>
      <w:bdr w:val="nil"/>
      <w:lang w:val="en-US"/>
    </w:rPr>
  </w:style>
  <w:style w:type="paragraph" w:styleId="ListParagraph">
    <w:name w:val="List Paragraph"/>
    <w:basedOn w:val="Normal"/>
    <w:uiPriority w:val="34"/>
    <w:qFormat/>
    <w:rsid w:val="009F0C13"/>
    <w:pPr>
      <w:ind w:left="720"/>
      <w:contextualSpacing/>
    </w:pPr>
  </w:style>
  <w:style w:type="character" w:styleId="CommentReference">
    <w:name w:val="annotation reference"/>
    <w:basedOn w:val="DefaultParagraphFont"/>
    <w:uiPriority w:val="99"/>
    <w:semiHidden/>
    <w:unhideWhenUsed/>
    <w:rsid w:val="00093EC1"/>
    <w:rPr>
      <w:sz w:val="16"/>
      <w:szCs w:val="16"/>
    </w:rPr>
  </w:style>
  <w:style w:type="paragraph" w:styleId="CommentText">
    <w:name w:val="annotation text"/>
    <w:basedOn w:val="Normal"/>
    <w:link w:val="CommentTextChar"/>
    <w:uiPriority w:val="99"/>
    <w:unhideWhenUsed/>
    <w:rsid w:val="00093EC1"/>
    <w:pPr>
      <w:spacing w:line="240" w:lineRule="auto"/>
    </w:pPr>
    <w:rPr>
      <w:sz w:val="20"/>
      <w:szCs w:val="20"/>
    </w:rPr>
  </w:style>
  <w:style w:type="character" w:customStyle="1" w:styleId="CommentTextChar">
    <w:name w:val="Comment Text Char"/>
    <w:basedOn w:val="DefaultParagraphFont"/>
    <w:link w:val="CommentText"/>
    <w:uiPriority w:val="99"/>
    <w:rsid w:val="00093EC1"/>
    <w:rPr>
      <w:sz w:val="20"/>
      <w:szCs w:val="20"/>
    </w:rPr>
  </w:style>
  <w:style w:type="character" w:customStyle="1" w:styleId="css-0">
    <w:name w:val="css-0"/>
    <w:basedOn w:val="DefaultParagraphFont"/>
    <w:rsid w:val="00D60986"/>
  </w:style>
  <w:style w:type="character" w:customStyle="1" w:styleId="css-rh820s">
    <w:name w:val="css-rh820s"/>
    <w:basedOn w:val="DefaultParagraphFont"/>
    <w:rsid w:val="00D60986"/>
  </w:style>
  <w:style w:type="table" w:styleId="TableGrid">
    <w:name w:val="Table Grid"/>
    <w:basedOn w:val="TableNormal"/>
    <w:uiPriority w:val="59"/>
    <w:rsid w:val="002904B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4C1394"/>
    <w:rPr>
      <w:color w:val="605E5C"/>
      <w:shd w:val="clear" w:color="auto" w:fill="E1DFDD"/>
    </w:rPr>
  </w:style>
  <w:style w:type="paragraph" w:styleId="Revision">
    <w:name w:val="Revision"/>
    <w:hidden/>
    <w:uiPriority w:val="99"/>
    <w:semiHidden/>
    <w:rsid w:val="00FB0D96"/>
    <w:pPr>
      <w:spacing w:after="0" w:line="240" w:lineRule="auto"/>
    </w:pPr>
  </w:style>
  <w:style w:type="paragraph" w:styleId="Header">
    <w:name w:val="header"/>
    <w:basedOn w:val="Normal"/>
    <w:link w:val="HeaderChar"/>
    <w:uiPriority w:val="99"/>
    <w:unhideWhenUsed/>
    <w:rsid w:val="00A21D7D"/>
    <w:pPr>
      <w:tabs>
        <w:tab w:val="center" w:pos="4513"/>
        <w:tab w:val="right" w:pos="9026"/>
      </w:tabs>
      <w:spacing w:after="0" w:line="240" w:lineRule="auto"/>
    </w:pPr>
  </w:style>
  <w:style w:type="character" w:customStyle="1" w:styleId="HeaderChar">
    <w:name w:val="Header Char"/>
    <w:basedOn w:val="DefaultParagraphFont"/>
    <w:link w:val="Header"/>
    <w:uiPriority w:val="99"/>
    <w:rsid w:val="00A21D7D"/>
  </w:style>
  <w:style w:type="paragraph" w:styleId="Footer">
    <w:name w:val="footer"/>
    <w:basedOn w:val="Normal"/>
    <w:link w:val="FooterChar"/>
    <w:uiPriority w:val="99"/>
    <w:unhideWhenUsed/>
    <w:rsid w:val="00A21D7D"/>
    <w:pPr>
      <w:tabs>
        <w:tab w:val="center" w:pos="4513"/>
        <w:tab w:val="right" w:pos="9026"/>
      </w:tabs>
      <w:spacing w:after="0" w:line="240" w:lineRule="auto"/>
    </w:pPr>
  </w:style>
  <w:style w:type="character" w:customStyle="1" w:styleId="FooterChar">
    <w:name w:val="Footer Char"/>
    <w:basedOn w:val="DefaultParagraphFont"/>
    <w:link w:val="Footer"/>
    <w:uiPriority w:val="99"/>
    <w:rsid w:val="00A21D7D"/>
  </w:style>
  <w:style w:type="character" w:customStyle="1" w:styleId="Heading1Char">
    <w:name w:val="Heading 1 Char"/>
    <w:basedOn w:val="DefaultParagraphFont"/>
    <w:link w:val="Heading1"/>
    <w:uiPriority w:val="99"/>
    <w:rsid w:val="00AF556D"/>
    <w:rPr>
      <w:rFonts w:asciiTheme="majorHAnsi" w:eastAsiaTheme="majorEastAsia" w:hAnsiTheme="majorHAnsi" w:cstheme="majorBidi"/>
      <w:b/>
      <w:bCs/>
      <w:color w:val="2F5496" w:themeColor="accent1" w:themeShade="BF"/>
      <w:sz w:val="28"/>
      <w:szCs w:val="28"/>
      <w:lang w:val="en-US" w:bidi="en-US"/>
    </w:rPr>
  </w:style>
  <w:style w:type="paragraph" w:styleId="Bibliography">
    <w:name w:val="Bibliography"/>
    <w:basedOn w:val="Normal"/>
    <w:next w:val="Normal"/>
    <w:uiPriority w:val="37"/>
    <w:unhideWhenUsed/>
    <w:rsid w:val="00AF556D"/>
  </w:style>
  <w:style w:type="character" w:styleId="PageNumber">
    <w:name w:val="page number"/>
    <w:basedOn w:val="DefaultParagraphFont"/>
    <w:uiPriority w:val="99"/>
    <w:unhideWhenUsed/>
    <w:rsid w:val="007F7F5E"/>
  </w:style>
  <w:style w:type="paragraph" w:customStyle="1" w:styleId="maintxt">
    <w:name w:val="maintxt"/>
    <w:basedOn w:val="Normal"/>
    <w:rsid w:val="00CD4DA8"/>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rmalWeb">
    <w:name w:val="Normal (Web)"/>
    <w:basedOn w:val="Normal"/>
    <w:uiPriority w:val="99"/>
    <w:unhideWhenUsed/>
    <w:rsid w:val="00102BE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4Char">
    <w:name w:val="Heading 4 Char"/>
    <w:basedOn w:val="DefaultParagraphFont"/>
    <w:link w:val="Heading4"/>
    <w:uiPriority w:val="99"/>
    <w:rsid w:val="00DD26F2"/>
    <w:rPr>
      <w:rFonts w:ascii="Times New Roman" w:eastAsia="Times New Roman" w:hAnsi="Times New Roman" w:cs="Times New Roman"/>
      <w:b/>
      <w:bCs/>
      <w:sz w:val="28"/>
      <w:szCs w:val="28"/>
    </w:rPr>
  </w:style>
  <w:style w:type="paragraph" w:styleId="BodyText2">
    <w:name w:val="Body Text 2"/>
    <w:basedOn w:val="Normal"/>
    <w:link w:val="BodyText2Char"/>
    <w:uiPriority w:val="99"/>
    <w:rsid w:val="00DD26F2"/>
    <w:pPr>
      <w:spacing w:after="0" w:line="240" w:lineRule="auto"/>
      <w:ind w:left="720" w:hanging="720"/>
    </w:pPr>
    <w:rPr>
      <w:rFonts w:ascii="Times New Roman" w:eastAsia="Times New Roman" w:hAnsi="Times New Roman" w:cs="Times New Roman"/>
      <w:b/>
      <w:bCs/>
    </w:rPr>
  </w:style>
  <w:style w:type="character" w:customStyle="1" w:styleId="BodyText2Char">
    <w:name w:val="Body Text 2 Char"/>
    <w:basedOn w:val="DefaultParagraphFont"/>
    <w:link w:val="BodyText2"/>
    <w:uiPriority w:val="99"/>
    <w:rsid w:val="00DD26F2"/>
    <w:rPr>
      <w:rFonts w:ascii="Times New Roman" w:eastAsia="Times New Roman" w:hAnsi="Times New Roman" w:cs="Times New Roman"/>
      <w:b/>
      <w:bCs/>
    </w:rPr>
  </w:style>
  <w:style w:type="paragraph" w:customStyle="1" w:styleId="deannah1">
    <w:name w:val="deannah1"/>
    <w:basedOn w:val="Normal"/>
    <w:uiPriority w:val="99"/>
    <w:rsid w:val="00DD26F2"/>
    <w:pPr>
      <w:keepNext/>
      <w:spacing w:after="240" w:line="240" w:lineRule="auto"/>
    </w:pPr>
    <w:rPr>
      <w:rFonts w:ascii="Times New Roman" w:eastAsia="Times New Roman" w:hAnsi="Times New Roman" w:cs="Times New Roman"/>
      <w:b/>
      <w:bCs/>
      <w:sz w:val="24"/>
      <w:szCs w:val="24"/>
    </w:rPr>
  </w:style>
  <w:style w:type="paragraph" w:styleId="BalloonText">
    <w:name w:val="Balloon Text"/>
    <w:basedOn w:val="Normal"/>
    <w:link w:val="BalloonTextChar"/>
    <w:uiPriority w:val="99"/>
    <w:semiHidden/>
    <w:rsid w:val="00DD26F2"/>
    <w:pPr>
      <w:spacing w:after="0" w:line="240" w:lineRule="auto"/>
    </w:pPr>
    <w:rPr>
      <w:rFonts w:ascii="Tahoma" w:eastAsia="Times New Roman" w:hAnsi="Tahoma" w:cs="Tahoma"/>
      <w:sz w:val="16"/>
      <w:szCs w:val="16"/>
    </w:rPr>
  </w:style>
  <w:style w:type="character" w:customStyle="1" w:styleId="BalloonTextChar">
    <w:name w:val="Balloon Text Char"/>
    <w:basedOn w:val="DefaultParagraphFont"/>
    <w:link w:val="BalloonText"/>
    <w:uiPriority w:val="99"/>
    <w:semiHidden/>
    <w:rsid w:val="00DD26F2"/>
    <w:rPr>
      <w:rFonts w:ascii="Tahoma" w:eastAsia="Times New Roman" w:hAnsi="Tahoma" w:cs="Tahoma"/>
      <w:sz w:val="16"/>
      <w:szCs w:val="16"/>
    </w:rPr>
  </w:style>
  <w:style w:type="character" w:customStyle="1" w:styleId="Hyperlink1">
    <w:name w:val="Hyperlink1"/>
    <w:uiPriority w:val="99"/>
    <w:rsid w:val="00DD26F2"/>
    <w:rPr>
      <w:color w:val="535353"/>
      <w:u w:val="single"/>
      <w:effect w:val="none"/>
    </w:rPr>
  </w:style>
  <w:style w:type="paragraph" w:customStyle="1" w:styleId="NormalWeb1">
    <w:name w:val="Normal (Web)1"/>
    <w:basedOn w:val="Normal"/>
    <w:uiPriority w:val="99"/>
    <w:rsid w:val="00DD26F2"/>
    <w:pPr>
      <w:spacing w:before="100" w:beforeAutospacing="1" w:after="300" w:line="240" w:lineRule="auto"/>
    </w:pPr>
    <w:rPr>
      <w:rFonts w:ascii="Times New Roman" w:eastAsia="Times New Roman" w:hAnsi="Times New Roman" w:cs="Times New Roman"/>
      <w:sz w:val="24"/>
      <w:szCs w:val="24"/>
      <w:lang w:eastAsia="en-GB"/>
    </w:rPr>
  </w:style>
  <w:style w:type="paragraph" w:styleId="CommentSubject">
    <w:name w:val="annotation subject"/>
    <w:basedOn w:val="CommentText"/>
    <w:next w:val="CommentText"/>
    <w:link w:val="CommentSubjectChar"/>
    <w:uiPriority w:val="99"/>
    <w:semiHidden/>
    <w:unhideWhenUsed/>
    <w:rsid w:val="00DD26F2"/>
    <w:pPr>
      <w:spacing w:after="0"/>
    </w:pPr>
    <w:rPr>
      <w:rFonts w:ascii="Times New Roman" w:eastAsia="Times New Roman" w:hAnsi="Times New Roman" w:cs="Times New Roman"/>
      <w:b/>
      <w:bCs/>
    </w:rPr>
  </w:style>
  <w:style w:type="character" w:customStyle="1" w:styleId="CommentSubjectChar">
    <w:name w:val="Comment Subject Char"/>
    <w:basedOn w:val="CommentTextChar"/>
    <w:link w:val="CommentSubject"/>
    <w:uiPriority w:val="99"/>
    <w:semiHidden/>
    <w:rsid w:val="00DD26F2"/>
    <w:rPr>
      <w:rFonts w:ascii="Times New Roman" w:eastAsia="Times New Roman" w:hAnsi="Times New Roman" w:cs="Times New Roman"/>
      <w:b/>
      <w:bCs/>
      <w:sz w:val="20"/>
      <w:szCs w:val="20"/>
    </w:rPr>
  </w:style>
  <w:style w:type="character" w:styleId="Strong">
    <w:name w:val="Strong"/>
    <w:uiPriority w:val="22"/>
    <w:qFormat/>
    <w:rsid w:val="00DD26F2"/>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74669">
      <w:bodyDiv w:val="1"/>
      <w:marLeft w:val="0"/>
      <w:marRight w:val="0"/>
      <w:marTop w:val="0"/>
      <w:marBottom w:val="0"/>
      <w:divBdr>
        <w:top w:val="none" w:sz="0" w:space="0" w:color="auto"/>
        <w:left w:val="none" w:sz="0" w:space="0" w:color="auto"/>
        <w:bottom w:val="none" w:sz="0" w:space="0" w:color="auto"/>
        <w:right w:val="none" w:sz="0" w:space="0" w:color="auto"/>
      </w:divBdr>
    </w:div>
    <w:div w:id="6177894">
      <w:bodyDiv w:val="1"/>
      <w:marLeft w:val="0"/>
      <w:marRight w:val="0"/>
      <w:marTop w:val="0"/>
      <w:marBottom w:val="0"/>
      <w:divBdr>
        <w:top w:val="none" w:sz="0" w:space="0" w:color="auto"/>
        <w:left w:val="none" w:sz="0" w:space="0" w:color="auto"/>
        <w:bottom w:val="none" w:sz="0" w:space="0" w:color="auto"/>
        <w:right w:val="none" w:sz="0" w:space="0" w:color="auto"/>
      </w:divBdr>
    </w:div>
    <w:div w:id="9067035">
      <w:bodyDiv w:val="1"/>
      <w:marLeft w:val="0"/>
      <w:marRight w:val="0"/>
      <w:marTop w:val="0"/>
      <w:marBottom w:val="0"/>
      <w:divBdr>
        <w:top w:val="none" w:sz="0" w:space="0" w:color="auto"/>
        <w:left w:val="none" w:sz="0" w:space="0" w:color="auto"/>
        <w:bottom w:val="none" w:sz="0" w:space="0" w:color="auto"/>
        <w:right w:val="none" w:sz="0" w:space="0" w:color="auto"/>
      </w:divBdr>
    </w:div>
    <w:div w:id="9722495">
      <w:bodyDiv w:val="1"/>
      <w:marLeft w:val="0"/>
      <w:marRight w:val="0"/>
      <w:marTop w:val="0"/>
      <w:marBottom w:val="0"/>
      <w:divBdr>
        <w:top w:val="none" w:sz="0" w:space="0" w:color="auto"/>
        <w:left w:val="none" w:sz="0" w:space="0" w:color="auto"/>
        <w:bottom w:val="none" w:sz="0" w:space="0" w:color="auto"/>
        <w:right w:val="none" w:sz="0" w:space="0" w:color="auto"/>
      </w:divBdr>
    </w:div>
    <w:div w:id="13263075">
      <w:bodyDiv w:val="1"/>
      <w:marLeft w:val="0"/>
      <w:marRight w:val="0"/>
      <w:marTop w:val="0"/>
      <w:marBottom w:val="0"/>
      <w:divBdr>
        <w:top w:val="none" w:sz="0" w:space="0" w:color="auto"/>
        <w:left w:val="none" w:sz="0" w:space="0" w:color="auto"/>
        <w:bottom w:val="none" w:sz="0" w:space="0" w:color="auto"/>
        <w:right w:val="none" w:sz="0" w:space="0" w:color="auto"/>
      </w:divBdr>
    </w:div>
    <w:div w:id="14311489">
      <w:bodyDiv w:val="1"/>
      <w:marLeft w:val="0"/>
      <w:marRight w:val="0"/>
      <w:marTop w:val="0"/>
      <w:marBottom w:val="0"/>
      <w:divBdr>
        <w:top w:val="none" w:sz="0" w:space="0" w:color="auto"/>
        <w:left w:val="none" w:sz="0" w:space="0" w:color="auto"/>
        <w:bottom w:val="none" w:sz="0" w:space="0" w:color="auto"/>
        <w:right w:val="none" w:sz="0" w:space="0" w:color="auto"/>
      </w:divBdr>
    </w:div>
    <w:div w:id="17506221">
      <w:bodyDiv w:val="1"/>
      <w:marLeft w:val="0"/>
      <w:marRight w:val="0"/>
      <w:marTop w:val="0"/>
      <w:marBottom w:val="0"/>
      <w:divBdr>
        <w:top w:val="none" w:sz="0" w:space="0" w:color="auto"/>
        <w:left w:val="none" w:sz="0" w:space="0" w:color="auto"/>
        <w:bottom w:val="none" w:sz="0" w:space="0" w:color="auto"/>
        <w:right w:val="none" w:sz="0" w:space="0" w:color="auto"/>
      </w:divBdr>
    </w:div>
    <w:div w:id="23598638">
      <w:bodyDiv w:val="1"/>
      <w:marLeft w:val="0"/>
      <w:marRight w:val="0"/>
      <w:marTop w:val="0"/>
      <w:marBottom w:val="0"/>
      <w:divBdr>
        <w:top w:val="none" w:sz="0" w:space="0" w:color="auto"/>
        <w:left w:val="none" w:sz="0" w:space="0" w:color="auto"/>
        <w:bottom w:val="none" w:sz="0" w:space="0" w:color="auto"/>
        <w:right w:val="none" w:sz="0" w:space="0" w:color="auto"/>
      </w:divBdr>
    </w:div>
    <w:div w:id="23869762">
      <w:bodyDiv w:val="1"/>
      <w:marLeft w:val="0"/>
      <w:marRight w:val="0"/>
      <w:marTop w:val="0"/>
      <w:marBottom w:val="0"/>
      <w:divBdr>
        <w:top w:val="none" w:sz="0" w:space="0" w:color="auto"/>
        <w:left w:val="none" w:sz="0" w:space="0" w:color="auto"/>
        <w:bottom w:val="none" w:sz="0" w:space="0" w:color="auto"/>
        <w:right w:val="none" w:sz="0" w:space="0" w:color="auto"/>
      </w:divBdr>
    </w:div>
    <w:div w:id="48304932">
      <w:bodyDiv w:val="1"/>
      <w:marLeft w:val="0"/>
      <w:marRight w:val="0"/>
      <w:marTop w:val="0"/>
      <w:marBottom w:val="0"/>
      <w:divBdr>
        <w:top w:val="none" w:sz="0" w:space="0" w:color="auto"/>
        <w:left w:val="none" w:sz="0" w:space="0" w:color="auto"/>
        <w:bottom w:val="none" w:sz="0" w:space="0" w:color="auto"/>
        <w:right w:val="none" w:sz="0" w:space="0" w:color="auto"/>
      </w:divBdr>
    </w:div>
    <w:div w:id="48964570">
      <w:bodyDiv w:val="1"/>
      <w:marLeft w:val="0"/>
      <w:marRight w:val="0"/>
      <w:marTop w:val="0"/>
      <w:marBottom w:val="0"/>
      <w:divBdr>
        <w:top w:val="none" w:sz="0" w:space="0" w:color="auto"/>
        <w:left w:val="none" w:sz="0" w:space="0" w:color="auto"/>
        <w:bottom w:val="none" w:sz="0" w:space="0" w:color="auto"/>
        <w:right w:val="none" w:sz="0" w:space="0" w:color="auto"/>
      </w:divBdr>
    </w:div>
    <w:div w:id="56562159">
      <w:bodyDiv w:val="1"/>
      <w:marLeft w:val="0"/>
      <w:marRight w:val="0"/>
      <w:marTop w:val="0"/>
      <w:marBottom w:val="0"/>
      <w:divBdr>
        <w:top w:val="none" w:sz="0" w:space="0" w:color="auto"/>
        <w:left w:val="none" w:sz="0" w:space="0" w:color="auto"/>
        <w:bottom w:val="none" w:sz="0" w:space="0" w:color="auto"/>
        <w:right w:val="none" w:sz="0" w:space="0" w:color="auto"/>
      </w:divBdr>
    </w:div>
    <w:div w:id="61410115">
      <w:bodyDiv w:val="1"/>
      <w:marLeft w:val="0"/>
      <w:marRight w:val="0"/>
      <w:marTop w:val="0"/>
      <w:marBottom w:val="0"/>
      <w:divBdr>
        <w:top w:val="none" w:sz="0" w:space="0" w:color="auto"/>
        <w:left w:val="none" w:sz="0" w:space="0" w:color="auto"/>
        <w:bottom w:val="none" w:sz="0" w:space="0" w:color="auto"/>
        <w:right w:val="none" w:sz="0" w:space="0" w:color="auto"/>
      </w:divBdr>
    </w:div>
    <w:div w:id="63308753">
      <w:bodyDiv w:val="1"/>
      <w:marLeft w:val="0"/>
      <w:marRight w:val="0"/>
      <w:marTop w:val="0"/>
      <w:marBottom w:val="0"/>
      <w:divBdr>
        <w:top w:val="none" w:sz="0" w:space="0" w:color="auto"/>
        <w:left w:val="none" w:sz="0" w:space="0" w:color="auto"/>
        <w:bottom w:val="none" w:sz="0" w:space="0" w:color="auto"/>
        <w:right w:val="none" w:sz="0" w:space="0" w:color="auto"/>
      </w:divBdr>
    </w:div>
    <w:div w:id="68431372">
      <w:bodyDiv w:val="1"/>
      <w:marLeft w:val="0"/>
      <w:marRight w:val="0"/>
      <w:marTop w:val="0"/>
      <w:marBottom w:val="0"/>
      <w:divBdr>
        <w:top w:val="none" w:sz="0" w:space="0" w:color="auto"/>
        <w:left w:val="none" w:sz="0" w:space="0" w:color="auto"/>
        <w:bottom w:val="none" w:sz="0" w:space="0" w:color="auto"/>
        <w:right w:val="none" w:sz="0" w:space="0" w:color="auto"/>
      </w:divBdr>
    </w:div>
    <w:div w:id="77407404">
      <w:bodyDiv w:val="1"/>
      <w:marLeft w:val="0"/>
      <w:marRight w:val="0"/>
      <w:marTop w:val="0"/>
      <w:marBottom w:val="0"/>
      <w:divBdr>
        <w:top w:val="none" w:sz="0" w:space="0" w:color="auto"/>
        <w:left w:val="none" w:sz="0" w:space="0" w:color="auto"/>
        <w:bottom w:val="none" w:sz="0" w:space="0" w:color="auto"/>
        <w:right w:val="none" w:sz="0" w:space="0" w:color="auto"/>
      </w:divBdr>
    </w:div>
    <w:div w:id="83304493">
      <w:bodyDiv w:val="1"/>
      <w:marLeft w:val="0"/>
      <w:marRight w:val="0"/>
      <w:marTop w:val="0"/>
      <w:marBottom w:val="0"/>
      <w:divBdr>
        <w:top w:val="none" w:sz="0" w:space="0" w:color="auto"/>
        <w:left w:val="none" w:sz="0" w:space="0" w:color="auto"/>
        <w:bottom w:val="none" w:sz="0" w:space="0" w:color="auto"/>
        <w:right w:val="none" w:sz="0" w:space="0" w:color="auto"/>
      </w:divBdr>
    </w:div>
    <w:div w:id="89006270">
      <w:bodyDiv w:val="1"/>
      <w:marLeft w:val="0"/>
      <w:marRight w:val="0"/>
      <w:marTop w:val="0"/>
      <w:marBottom w:val="0"/>
      <w:divBdr>
        <w:top w:val="none" w:sz="0" w:space="0" w:color="auto"/>
        <w:left w:val="none" w:sz="0" w:space="0" w:color="auto"/>
        <w:bottom w:val="none" w:sz="0" w:space="0" w:color="auto"/>
        <w:right w:val="none" w:sz="0" w:space="0" w:color="auto"/>
      </w:divBdr>
    </w:div>
    <w:div w:id="102578797">
      <w:bodyDiv w:val="1"/>
      <w:marLeft w:val="0"/>
      <w:marRight w:val="0"/>
      <w:marTop w:val="0"/>
      <w:marBottom w:val="0"/>
      <w:divBdr>
        <w:top w:val="none" w:sz="0" w:space="0" w:color="auto"/>
        <w:left w:val="none" w:sz="0" w:space="0" w:color="auto"/>
        <w:bottom w:val="none" w:sz="0" w:space="0" w:color="auto"/>
        <w:right w:val="none" w:sz="0" w:space="0" w:color="auto"/>
      </w:divBdr>
    </w:div>
    <w:div w:id="106969981">
      <w:bodyDiv w:val="1"/>
      <w:marLeft w:val="0"/>
      <w:marRight w:val="0"/>
      <w:marTop w:val="0"/>
      <w:marBottom w:val="0"/>
      <w:divBdr>
        <w:top w:val="none" w:sz="0" w:space="0" w:color="auto"/>
        <w:left w:val="none" w:sz="0" w:space="0" w:color="auto"/>
        <w:bottom w:val="none" w:sz="0" w:space="0" w:color="auto"/>
        <w:right w:val="none" w:sz="0" w:space="0" w:color="auto"/>
      </w:divBdr>
    </w:div>
    <w:div w:id="107816666">
      <w:bodyDiv w:val="1"/>
      <w:marLeft w:val="0"/>
      <w:marRight w:val="0"/>
      <w:marTop w:val="0"/>
      <w:marBottom w:val="0"/>
      <w:divBdr>
        <w:top w:val="none" w:sz="0" w:space="0" w:color="auto"/>
        <w:left w:val="none" w:sz="0" w:space="0" w:color="auto"/>
        <w:bottom w:val="none" w:sz="0" w:space="0" w:color="auto"/>
        <w:right w:val="none" w:sz="0" w:space="0" w:color="auto"/>
      </w:divBdr>
    </w:div>
    <w:div w:id="115224343">
      <w:bodyDiv w:val="1"/>
      <w:marLeft w:val="0"/>
      <w:marRight w:val="0"/>
      <w:marTop w:val="0"/>
      <w:marBottom w:val="0"/>
      <w:divBdr>
        <w:top w:val="none" w:sz="0" w:space="0" w:color="auto"/>
        <w:left w:val="none" w:sz="0" w:space="0" w:color="auto"/>
        <w:bottom w:val="none" w:sz="0" w:space="0" w:color="auto"/>
        <w:right w:val="none" w:sz="0" w:space="0" w:color="auto"/>
      </w:divBdr>
    </w:div>
    <w:div w:id="135952445">
      <w:bodyDiv w:val="1"/>
      <w:marLeft w:val="0"/>
      <w:marRight w:val="0"/>
      <w:marTop w:val="0"/>
      <w:marBottom w:val="0"/>
      <w:divBdr>
        <w:top w:val="none" w:sz="0" w:space="0" w:color="auto"/>
        <w:left w:val="none" w:sz="0" w:space="0" w:color="auto"/>
        <w:bottom w:val="none" w:sz="0" w:space="0" w:color="auto"/>
        <w:right w:val="none" w:sz="0" w:space="0" w:color="auto"/>
      </w:divBdr>
    </w:div>
    <w:div w:id="136537524">
      <w:bodyDiv w:val="1"/>
      <w:marLeft w:val="0"/>
      <w:marRight w:val="0"/>
      <w:marTop w:val="0"/>
      <w:marBottom w:val="0"/>
      <w:divBdr>
        <w:top w:val="none" w:sz="0" w:space="0" w:color="auto"/>
        <w:left w:val="none" w:sz="0" w:space="0" w:color="auto"/>
        <w:bottom w:val="none" w:sz="0" w:space="0" w:color="auto"/>
        <w:right w:val="none" w:sz="0" w:space="0" w:color="auto"/>
      </w:divBdr>
    </w:div>
    <w:div w:id="169957326">
      <w:bodyDiv w:val="1"/>
      <w:marLeft w:val="0"/>
      <w:marRight w:val="0"/>
      <w:marTop w:val="0"/>
      <w:marBottom w:val="0"/>
      <w:divBdr>
        <w:top w:val="none" w:sz="0" w:space="0" w:color="auto"/>
        <w:left w:val="none" w:sz="0" w:space="0" w:color="auto"/>
        <w:bottom w:val="none" w:sz="0" w:space="0" w:color="auto"/>
        <w:right w:val="none" w:sz="0" w:space="0" w:color="auto"/>
      </w:divBdr>
    </w:div>
    <w:div w:id="172038435">
      <w:bodyDiv w:val="1"/>
      <w:marLeft w:val="0"/>
      <w:marRight w:val="0"/>
      <w:marTop w:val="0"/>
      <w:marBottom w:val="0"/>
      <w:divBdr>
        <w:top w:val="none" w:sz="0" w:space="0" w:color="auto"/>
        <w:left w:val="none" w:sz="0" w:space="0" w:color="auto"/>
        <w:bottom w:val="none" w:sz="0" w:space="0" w:color="auto"/>
        <w:right w:val="none" w:sz="0" w:space="0" w:color="auto"/>
      </w:divBdr>
    </w:div>
    <w:div w:id="179511849">
      <w:bodyDiv w:val="1"/>
      <w:marLeft w:val="0"/>
      <w:marRight w:val="0"/>
      <w:marTop w:val="0"/>
      <w:marBottom w:val="0"/>
      <w:divBdr>
        <w:top w:val="none" w:sz="0" w:space="0" w:color="auto"/>
        <w:left w:val="none" w:sz="0" w:space="0" w:color="auto"/>
        <w:bottom w:val="none" w:sz="0" w:space="0" w:color="auto"/>
        <w:right w:val="none" w:sz="0" w:space="0" w:color="auto"/>
      </w:divBdr>
    </w:div>
    <w:div w:id="195971060">
      <w:bodyDiv w:val="1"/>
      <w:marLeft w:val="0"/>
      <w:marRight w:val="0"/>
      <w:marTop w:val="0"/>
      <w:marBottom w:val="0"/>
      <w:divBdr>
        <w:top w:val="none" w:sz="0" w:space="0" w:color="auto"/>
        <w:left w:val="none" w:sz="0" w:space="0" w:color="auto"/>
        <w:bottom w:val="none" w:sz="0" w:space="0" w:color="auto"/>
        <w:right w:val="none" w:sz="0" w:space="0" w:color="auto"/>
      </w:divBdr>
    </w:div>
    <w:div w:id="204487649">
      <w:bodyDiv w:val="1"/>
      <w:marLeft w:val="0"/>
      <w:marRight w:val="0"/>
      <w:marTop w:val="0"/>
      <w:marBottom w:val="0"/>
      <w:divBdr>
        <w:top w:val="none" w:sz="0" w:space="0" w:color="auto"/>
        <w:left w:val="none" w:sz="0" w:space="0" w:color="auto"/>
        <w:bottom w:val="none" w:sz="0" w:space="0" w:color="auto"/>
        <w:right w:val="none" w:sz="0" w:space="0" w:color="auto"/>
      </w:divBdr>
    </w:div>
    <w:div w:id="211234417">
      <w:bodyDiv w:val="1"/>
      <w:marLeft w:val="0"/>
      <w:marRight w:val="0"/>
      <w:marTop w:val="0"/>
      <w:marBottom w:val="0"/>
      <w:divBdr>
        <w:top w:val="none" w:sz="0" w:space="0" w:color="auto"/>
        <w:left w:val="none" w:sz="0" w:space="0" w:color="auto"/>
        <w:bottom w:val="none" w:sz="0" w:space="0" w:color="auto"/>
        <w:right w:val="none" w:sz="0" w:space="0" w:color="auto"/>
      </w:divBdr>
    </w:div>
    <w:div w:id="223566352">
      <w:bodyDiv w:val="1"/>
      <w:marLeft w:val="0"/>
      <w:marRight w:val="0"/>
      <w:marTop w:val="0"/>
      <w:marBottom w:val="0"/>
      <w:divBdr>
        <w:top w:val="none" w:sz="0" w:space="0" w:color="auto"/>
        <w:left w:val="none" w:sz="0" w:space="0" w:color="auto"/>
        <w:bottom w:val="none" w:sz="0" w:space="0" w:color="auto"/>
        <w:right w:val="none" w:sz="0" w:space="0" w:color="auto"/>
      </w:divBdr>
    </w:div>
    <w:div w:id="226382443">
      <w:bodyDiv w:val="1"/>
      <w:marLeft w:val="0"/>
      <w:marRight w:val="0"/>
      <w:marTop w:val="0"/>
      <w:marBottom w:val="0"/>
      <w:divBdr>
        <w:top w:val="none" w:sz="0" w:space="0" w:color="auto"/>
        <w:left w:val="none" w:sz="0" w:space="0" w:color="auto"/>
        <w:bottom w:val="none" w:sz="0" w:space="0" w:color="auto"/>
        <w:right w:val="none" w:sz="0" w:space="0" w:color="auto"/>
      </w:divBdr>
    </w:div>
    <w:div w:id="243297387">
      <w:bodyDiv w:val="1"/>
      <w:marLeft w:val="0"/>
      <w:marRight w:val="0"/>
      <w:marTop w:val="0"/>
      <w:marBottom w:val="0"/>
      <w:divBdr>
        <w:top w:val="none" w:sz="0" w:space="0" w:color="auto"/>
        <w:left w:val="none" w:sz="0" w:space="0" w:color="auto"/>
        <w:bottom w:val="none" w:sz="0" w:space="0" w:color="auto"/>
        <w:right w:val="none" w:sz="0" w:space="0" w:color="auto"/>
      </w:divBdr>
    </w:div>
    <w:div w:id="244921420">
      <w:bodyDiv w:val="1"/>
      <w:marLeft w:val="0"/>
      <w:marRight w:val="0"/>
      <w:marTop w:val="0"/>
      <w:marBottom w:val="0"/>
      <w:divBdr>
        <w:top w:val="none" w:sz="0" w:space="0" w:color="auto"/>
        <w:left w:val="none" w:sz="0" w:space="0" w:color="auto"/>
        <w:bottom w:val="none" w:sz="0" w:space="0" w:color="auto"/>
        <w:right w:val="none" w:sz="0" w:space="0" w:color="auto"/>
      </w:divBdr>
    </w:div>
    <w:div w:id="256333578">
      <w:bodyDiv w:val="1"/>
      <w:marLeft w:val="0"/>
      <w:marRight w:val="0"/>
      <w:marTop w:val="0"/>
      <w:marBottom w:val="0"/>
      <w:divBdr>
        <w:top w:val="none" w:sz="0" w:space="0" w:color="auto"/>
        <w:left w:val="none" w:sz="0" w:space="0" w:color="auto"/>
        <w:bottom w:val="none" w:sz="0" w:space="0" w:color="auto"/>
        <w:right w:val="none" w:sz="0" w:space="0" w:color="auto"/>
      </w:divBdr>
    </w:div>
    <w:div w:id="257950296">
      <w:bodyDiv w:val="1"/>
      <w:marLeft w:val="0"/>
      <w:marRight w:val="0"/>
      <w:marTop w:val="0"/>
      <w:marBottom w:val="0"/>
      <w:divBdr>
        <w:top w:val="none" w:sz="0" w:space="0" w:color="auto"/>
        <w:left w:val="none" w:sz="0" w:space="0" w:color="auto"/>
        <w:bottom w:val="none" w:sz="0" w:space="0" w:color="auto"/>
        <w:right w:val="none" w:sz="0" w:space="0" w:color="auto"/>
      </w:divBdr>
    </w:div>
    <w:div w:id="258174833">
      <w:bodyDiv w:val="1"/>
      <w:marLeft w:val="0"/>
      <w:marRight w:val="0"/>
      <w:marTop w:val="0"/>
      <w:marBottom w:val="0"/>
      <w:divBdr>
        <w:top w:val="none" w:sz="0" w:space="0" w:color="auto"/>
        <w:left w:val="none" w:sz="0" w:space="0" w:color="auto"/>
        <w:bottom w:val="none" w:sz="0" w:space="0" w:color="auto"/>
        <w:right w:val="none" w:sz="0" w:space="0" w:color="auto"/>
      </w:divBdr>
    </w:div>
    <w:div w:id="263267516">
      <w:bodyDiv w:val="1"/>
      <w:marLeft w:val="0"/>
      <w:marRight w:val="0"/>
      <w:marTop w:val="0"/>
      <w:marBottom w:val="0"/>
      <w:divBdr>
        <w:top w:val="none" w:sz="0" w:space="0" w:color="auto"/>
        <w:left w:val="none" w:sz="0" w:space="0" w:color="auto"/>
        <w:bottom w:val="none" w:sz="0" w:space="0" w:color="auto"/>
        <w:right w:val="none" w:sz="0" w:space="0" w:color="auto"/>
      </w:divBdr>
    </w:div>
    <w:div w:id="267809016">
      <w:bodyDiv w:val="1"/>
      <w:marLeft w:val="0"/>
      <w:marRight w:val="0"/>
      <w:marTop w:val="0"/>
      <w:marBottom w:val="0"/>
      <w:divBdr>
        <w:top w:val="none" w:sz="0" w:space="0" w:color="auto"/>
        <w:left w:val="none" w:sz="0" w:space="0" w:color="auto"/>
        <w:bottom w:val="none" w:sz="0" w:space="0" w:color="auto"/>
        <w:right w:val="none" w:sz="0" w:space="0" w:color="auto"/>
      </w:divBdr>
    </w:div>
    <w:div w:id="274361586">
      <w:bodyDiv w:val="1"/>
      <w:marLeft w:val="0"/>
      <w:marRight w:val="0"/>
      <w:marTop w:val="0"/>
      <w:marBottom w:val="0"/>
      <w:divBdr>
        <w:top w:val="none" w:sz="0" w:space="0" w:color="auto"/>
        <w:left w:val="none" w:sz="0" w:space="0" w:color="auto"/>
        <w:bottom w:val="none" w:sz="0" w:space="0" w:color="auto"/>
        <w:right w:val="none" w:sz="0" w:space="0" w:color="auto"/>
      </w:divBdr>
    </w:div>
    <w:div w:id="280769498">
      <w:bodyDiv w:val="1"/>
      <w:marLeft w:val="0"/>
      <w:marRight w:val="0"/>
      <w:marTop w:val="0"/>
      <w:marBottom w:val="0"/>
      <w:divBdr>
        <w:top w:val="none" w:sz="0" w:space="0" w:color="auto"/>
        <w:left w:val="none" w:sz="0" w:space="0" w:color="auto"/>
        <w:bottom w:val="none" w:sz="0" w:space="0" w:color="auto"/>
        <w:right w:val="none" w:sz="0" w:space="0" w:color="auto"/>
      </w:divBdr>
    </w:div>
    <w:div w:id="280838952">
      <w:bodyDiv w:val="1"/>
      <w:marLeft w:val="0"/>
      <w:marRight w:val="0"/>
      <w:marTop w:val="0"/>
      <w:marBottom w:val="0"/>
      <w:divBdr>
        <w:top w:val="none" w:sz="0" w:space="0" w:color="auto"/>
        <w:left w:val="none" w:sz="0" w:space="0" w:color="auto"/>
        <w:bottom w:val="none" w:sz="0" w:space="0" w:color="auto"/>
        <w:right w:val="none" w:sz="0" w:space="0" w:color="auto"/>
      </w:divBdr>
    </w:div>
    <w:div w:id="283931202">
      <w:bodyDiv w:val="1"/>
      <w:marLeft w:val="0"/>
      <w:marRight w:val="0"/>
      <w:marTop w:val="0"/>
      <w:marBottom w:val="0"/>
      <w:divBdr>
        <w:top w:val="none" w:sz="0" w:space="0" w:color="auto"/>
        <w:left w:val="none" w:sz="0" w:space="0" w:color="auto"/>
        <w:bottom w:val="none" w:sz="0" w:space="0" w:color="auto"/>
        <w:right w:val="none" w:sz="0" w:space="0" w:color="auto"/>
      </w:divBdr>
    </w:div>
    <w:div w:id="284194640">
      <w:bodyDiv w:val="1"/>
      <w:marLeft w:val="0"/>
      <w:marRight w:val="0"/>
      <w:marTop w:val="0"/>
      <w:marBottom w:val="0"/>
      <w:divBdr>
        <w:top w:val="none" w:sz="0" w:space="0" w:color="auto"/>
        <w:left w:val="none" w:sz="0" w:space="0" w:color="auto"/>
        <w:bottom w:val="none" w:sz="0" w:space="0" w:color="auto"/>
        <w:right w:val="none" w:sz="0" w:space="0" w:color="auto"/>
      </w:divBdr>
    </w:div>
    <w:div w:id="289475457">
      <w:bodyDiv w:val="1"/>
      <w:marLeft w:val="0"/>
      <w:marRight w:val="0"/>
      <w:marTop w:val="0"/>
      <w:marBottom w:val="0"/>
      <w:divBdr>
        <w:top w:val="none" w:sz="0" w:space="0" w:color="auto"/>
        <w:left w:val="none" w:sz="0" w:space="0" w:color="auto"/>
        <w:bottom w:val="none" w:sz="0" w:space="0" w:color="auto"/>
        <w:right w:val="none" w:sz="0" w:space="0" w:color="auto"/>
      </w:divBdr>
    </w:div>
    <w:div w:id="297346376">
      <w:bodyDiv w:val="1"/>
      <w:marLeft w:val="0"/>
      <w:marRight w:val="0"/>
      <w:marTop w:val="0"/>
      <w:marBottom w:val="0"/>
      <w:divBdr>
        <w:top w:val="none" w:sz="0" w:space="0" w:color="auto"/>
        <w:left w:val="none" w:sz="0" w:space="0" w:color="auto"/>
        <w:bottom w:val="none" w:sz="0" w:space="0" w:color="auto"/>
        <w:right w:val="none" w:sz="0" w:space="0" w:color="auto"/>
      </w:divBdr>
    </w:div>
    <w:div w:id="297347878">
      <w:bodyDiv w:val="1"/>
      <w:marLeft w:val="0"/>
      <w:marRight w:val="0"/>
      <w:marTop w:val="0"/>
      <w:marBottom w:val="0"/>
      <w:divBdr>
        <w:top w:val="none" w:sz="0" w:space="0" w:color="auto"/>
        <w:left w:val="none" w:sz="0" w:space="0" w:color="auto"/>
        <w:bottom w:val="none" w:sz="0" w:space="0" w:color="auto"/>
        <w:right w:val="none" w:sz="0" w:space="0" w:color="auto"/>
      </w:divBdr>
    </w:div>
    <w:div w:id="300694456">
      <w:bodyDiv w:val="1"/>
      <w:marLeft w:val="0"/>
      <w:marRight w:val="0"/>
      <w:marTop w:val="0"/>
      <w:marBottom w:val="0"/>
      <w:divBdr>
        <w:top w:val="none" w:sz="0" w:space="0" w:color="auto"/>
        <w:left w:val="none" w:sz="0" w:space="0" w:color="auto"/>
        <w:bottom w:val="none" w:sz="0" w:space="0" w:color="auto"/>
        <w:right w:val="none" w:sz="0" w:space="0" w:color="auto"/>
      </w:divBdr>
    </w:div>
    <w:div w:id="347100111">
      <w:bodyDiv w:val="1"/>
      <w:marLeft w:val="0"/>
      <w:marRight w:val="0"/>
      <w:marTop w:val="0"/>
      <w:marBottom w:val="0"/>
      <w:divBdr>
        <w:top w:val="none" w:sz="0" w:space="0" w:color="auto"/>
        <w:left w:val="none" w:sz="0" w:space="0" w:color="auto"/>
        <w:bottom w:val="none" w:sz="0" w:space="0" w:color="auto"/>
        <w:right w:val="none" w:sz="0" w:space="0" w:color="auto"/>
      </w:divBdr>
    </w:div>
    <w:div w:id="353851522">
      <w:bodyDiv w:val="1"/>
      <w:marLeft w:val="0"/>
      <w:marRight w:val="0"/>
      <w:marTop w:val="0"/>
      <w:marBottom w:val="0"/>
      <w:divBdr>
        <w:top w:val="none" w:sz="0" w:space="0" w:color="auto"/>
        <w:left w:val="none" w:sz="0" w:space="0" w:color="auto"/>
        <w:bottom w:val="none" w:sz="0" w:space="0" w:color="auto"/>
        <w:right w:val="none" w:sz="0" w:space="0" w:color="auto"/>
      </w:divBdr>
    </w:div>
    <w:div w:id="384648630">
      <w:bodyDiv w:val="1"/>
      <w:marLeft w:val="0"/>
      <w:marRight w:val="0"/>
      <w:marTop w:val="0"/>
      <w:marBottom w:val="0"/>
      <w:divBdr>
        <w:top w:val="none" w:sz="0" w:space="0" w:color="auto"/>
        <w:left w:val="none" w:sz="0" w:space="0" w:color="auto"/>
        <w:bottom w:val="none" w:sz="0" w:space="0" w:color="auto"/>
        <w:right w:val="none" w:sz="0" w:space="0" w:color="auto"/>
      </w:divBdr>
    </w:div>
    <w:div w:id="384959959">
      <w:bodyDiv w:val="1"/>
      <w:marLeft w:val="0"/>
      <w:marRight w:val="0"/>
      <w:marTop w:val="0"/>
      <w:marBottom w:val="0"/>
      <w:divBdr>
        <w:top w:val="none" w:sz="0" w:space="0" w:color="auto"/>
        <w:left w:val="none" w:sz="0" w:space="0" w:color="auto"/>
        <w:bottom w:val="none" w:sz="0" w:space="0" w:color="auto"/>
        <w:right w:val="none" w:sz="0" w:space="0" w:color="auto"/>
      </w:divBdr>
    </w:div>
    <w:div w:id="385644144">
      <w:bodyDiv w:val="1"/>
      <w:marLeft w:val="0"/>
      <w:marRight w:val="0"/>
      <w:marTop w:val="0"/>
      <w:marBottom w:val="0"/>
      <w:divBdr>
        <w:top w:val="none" w:sz="0" w:space="0" w:color="auto"/>
        <w:left w:val="none" w:sz="0" w:space="0" w:color="auto"/>
        <w:bottom w:val="none" w:sz="0" w:space="0" w:color="auto"/>
        <w:right w:val="none" w:sz="0" w:space="0" w:color="auto"/>
      </w:divBdr>
    </w:div>
    <w:div w:id="407843794">
      <w:bodyDiv w:val="1"/>
      <w:marLeft w:val="0"/>
      <w:marRight w:val="0"/>
      <w:marTop w:val="0"/>
      <w:marBottom w:val="0"/>
      <w:divBdr>
        <w:top w:val="none" w:sz="0" w:space="0" w:color="auto"/>
        <w:left w:val="none" w:sz="0" w:space="0" w:color="auto"/>
        <w:bottom w:val="none" w:sz="0" w:space="0" w:color="auto"/>
        <w:right w:val="none" w:sz="0" w:space="0" w:color="auto"/>
      </w:divBdr>
    </w:div>
    <w:div w:id="411317482">
      <w:bodyDiv w:val="1"/>
      <w:marLeft w:val="0"/>
      <w:marRight w:val="0"/>
      <w:marTop w:val="0"/>
      <w:marBottom w:val="0"/>
      <w:divBdr>
        <w:top w:val="none" w:sz="0" w:space="0" w:color="auto"/>
        <w:left w:val="none" w:sz="0" w:space="0" w:color="auto"/>
        <w:bottom w:val="none" w:sz="0" w:space="0" w:color="auto"/>
        <w:right w:val="none" w:sz="0" w:space="0" w:color="auto"/>
      </w:divBdr>
    </w:div>
    <w:div w:id="425659060">
      <w:bodyDiv w:val="1"/>
      <w:marLeft w:val="0"/>
      <w:marRight w:val="0"/>
      <w:marTop w:val="0"/>
      <w:marBottom w:val="0"/>
      <w:divBdr>
        <w:top w:val="none" w:sz="0" w:space="0" w:color="auto"/>
        <w:left w:val="none" w:sz="0" w:space="0" w:color="auto"/>
        <w:bottom w:val="none" w:sz="0" w:space="0" w:color="auto"/>
        <w:right w:val="none" w:sz="0" w:space="0" w:color="auto"/>
      </w:divBdr>
    </w:div>
    <w:div w:id="428695392">
      <w:bodyDiv w:val="1"/>
      <w:marLeft w:val="0"/>
      <w:marRight w:val="0"/>
      <w:marTop w:val="0"/>
      <w:marBottom w:val="0"/>
      <w:divBdr>
        <w:top w:val="none" w:sz="0" w:space="0" w:color="auto"/>
        <w:left w:val="none" w:sz="0" w:space="0" w:color="auto"/>
        <w:bottom w:val="none" w:sz="0" w:space="0" w:color="auto"/>
        <w:right w:val="none" w:sz="0" w:space="0" w:color="auto"/>
      </w:divBdr>
    </w:div>
    <w:div w:id="439371781">
      <w:bodyDiv w:val="1"/>
      <w:marLeft w:val="0"/>
      <w:marRight w:val="0"/>
      <w:marTop w:val="0"/>
      <w:marBottom w:val="0"/>
      <w:divBdr>
        <w:top w:val="none" w:sz="0" w:space="0" w:color="auto"/>
        <w:left w:val="none" w:sz="0" w:space="0" w:color="auto"/>
        <w:bottom w:val="none" w:sz="0" w:space="0" w:color="auto"/>
        <w:right w:val="none" w:sz="0" w:space="0" w:color="auto"/>
      </w:divBdr>
    </w:div>
    <w:div w:id="451291125">
      <w:bodyDiv w:val="1"/>
      <w:marLeft w:val="0"/>
      <w:marRight w:val="0"/>
      <w:marTop w:val="0"/>
      <w:marBottom w:val="0"/>
      <w:divBdr>
        <w:top w:val="none" w:sz="0" w:space="0" w:color="auto"/>
        <w:left w:val="none" w:sz="0" w:space="0" w:color="auto"/>
        <w:bottom w:val="none" w:sz="0" w:space="0" w:color="auto"/>
        <w:right w:val="none" w:sz="0" w:space="0" w:color="auto"/>
      </w:divBdr>
    </w:div>
    <w:div w:id="456339603">
      <w:bodyDiv w:val="1"/>
      <w:marLeft w:val="0"/>
      <w:marRight w:val="0"/>
      <w:marTop w:val="0"/>
      <w:marBottom w:val="0"/>
      <w:divBdr>
        <w:top w:val="none" w:sz="0" w:space="0" w:color="auto"/>
        <w:left w:val="none" w:sz="0" w:space="0" w:color="auto"/>
        <w:bottom w:val="none" w:sz="0" w:space="0" w:color="auto"/>
        <w:right w:val="none" w:sz="0" w:space="0" w:color="auto"/>
      </w:divBdr>
    </w:div>
    <w:div w:id="463543072">
      <w:bodyDiv w:val="1"/>
      <w:marLeft w:val="0"/>
      <w:marRight w:val="0"/>
      <w:marTop w:val="0"/>
      <w:marBottom w:val="0"/>
      <w:divBdr>
        <w:top w:val="none" w:sz="0" w:space="0" w:color="auto"/>
        <w:left w:val="none" w:sz="0" w:space="0" w:color="auto"/>
        <w:bottom w:val="none" w:sz="0" w:space="0" w:color="auto"/>
        <w:right w:val="none" w:sz="0" w:space="0" w:color="auto"/>
      </w:divBdr>
      <w:divsChild>
        <w:div w:id="369917925">
          <w:marLeft w:val="0"/>
          <w:marRight w:val="0"/>
          <w:marTop w:val="0"/>
          <w:marBottom w:val="0"/>
          <w:divBdr>
            <w:top w:val="none" w:sz="0" w:space="0" w:color="auto"/>
            <w:left w:val="none" w:sz="0" w:space="0" w:color="auto"/>
            <w:bottom w:val="none" w:sz="0" w:space="0" w:color="auto"/>
            <w:right w:val="none" w:sz="0" w:space="0" w:color="auto"/>
          </w:divBdr>
          <w:divsChild>
            <w:div w:id="813256146">
              <w:marLeft w:val="0"/>
              <w:marRight w:val="0"/>
              <w:marTop w:val="0"/>
              <w:marBottom w:val="0"/>
              <w:divBdr>
                <w:top w:val="none" w:sz="0" w:space="0" w:color="auto"/>
                <w:left w:val="none" w:sz="0" w:space="0" w:color="auto"/>
                <w:bottom w:val="none" w:sz="0" w:space="0" w:color="auto"/>
                <w:right w:val="none" w:sz="0" w:space="0" w:color="auto"/>
              </w:divBdr>
              <w:divsChild>
                <w:div w:id="1267930682">
                  <w:marLeft w:val="0"/>
                  <w:marRight w:val="0"/>
                  <w:marTop w:val="0"/>
                  <w:marBottom w:val="0"/>
                  <w:divBdr>
                    <w:top w:val="none" w:sz="0" w:space="0" w:color="auto"/>
                    <w:left w:val="none" w:sz="0" w:space="0" w:color="auto"/>
                    <w:bottom w:val="none" w:sz="0" w:space="0" w:color="auto"/>
                    <w:right w:val="none" w:sz="0" w:space="0" w:color="auto"/>
                  </w:divBdr>
                  <w:divsChild>
                    <w:div w:id="1117870398">
                      <w:marLeft w:val="0"/>
                      <w:marRight w:val="0"/>
                      <w:marTop w:val="0"/>
                      <w:marBottom w:val="0"/>
                      <w:divBdr>
                        <w:top w:val="none" w:sz="0" w:space="0" w:color="auto"/>
                        <w:left w:val="none" w:sz="0" w:space="0" w:color="auto"/>
                        <w:bottom w:val="none" w:sz="0" w:space="0" w:color="auto"/>
                        <w:right w:val="none" w:sz="0" w:space="0" w:color="auto"/>
                      </w:divBdr>
                    </w:div>
                  </w:divsChild>
                </w:div>
                <w:div w:id="869143627">
                  <w:marLeft w:val="0"/>
                  <w:marRight w:val="0"/>
                  <w:marTop w:val="0"/>
                  <w:marBottom w:val="0"/>
                  <w:divBdr>
                    <w:top w:val="none" w:sz="0" w:space="0" w:color="auto"/>
                    <w:left w:val="none" w:sz="0" w:space="0" w:color="auto"/>
                    <w:bottom w:val="none" w:sz="0" w:space="0" w:color="auto"/>
                    <w:right w:val="none" w:sz="0" w:space="0" w:color="auto"/>
                  </w:divBdr>
                  <w:divsChild>
                    <w:div w:id="1215777962">
                      <w:marLeft w:val="0"/>
                      <w:marRight w:val="0"/>
                      <w:marTop w:val="0"/>
                      <w:marBottom w:val="0"/>
                      <w:divBdr>
                        <w:top w:val="none" w:sz="0" w:space="0" w:color="auto"/>
                        <w:left w:val="none" w:sz="0" w:space="0" w:color="auto"/>
                        <w:bottom w:val="none" w:sz="0" w:space="0" w:color="auto"/>
                        <w:right w:val="none" w:sz="0" w:space="0" w:color="auto"/>
                      </w:divBdr>
                    </w:div>
                  </w:divsChild>
                </w:div>
                <w:div w:id="395981697">
                  <w:marLeft w:val="0"/>
                  <w:marRight w:val="0"/>
                  <w:marTop w:val="0"/>
                  <w:marBottom w:val="0"/>
                  <w:divBdr>
                    <w:top w:val="none" w:sz="0" w:space="0" w:color="auto"/>
                    <w:left w:val="none" w:sz="0" w:space="0" w:color="auto"/>
                    <w:bottom w:val="none" w:sz="0" w:space="0" w:color="auto"/>
                    <w:right w:val="none" w:sz="0" w:space="0" w:color="auto"/>
                  </w:divBdr>
                  <w:divsChild>
                    <w:div w:id="250359602">
                      <w:marLeft w:val="0"/>
                      <w:marRight w:val="0"/>
                      <w:marTop w:val="0"/>
                      <w:marBottom w:val="0"/>
                      <w:divBdr>
                        <w:top w:val="none" w:sz="0" w:space="0" w:color="auto"/>
                        <w:left w:val="none" w:sz="0" w:space="0" w:color="auto"/>
                        <w:bottom w:val="none" w:sz="0" w:space="0" w:color="auto"/>
                        <w:right w:val="none" w:sz="0" w:space="0" w:color="auto"/>
                      </w:divBdr>
                    </w:div>
                  </w:divsChild>
                </w:div>
                <w:div w:id="1731801066">
                  <w:marLeft w:val="0"/>
                  <w:marRight w:val="0"/>
                  <w:marTop w:val="0"/>
                  <w:marBottom w:val="0"/>
                  <w:divBdr>
                    <w:top w:val="none" w:sz="0" w:space="0" w:color="auto"/>
                    <w:left w:val="none" w:sz="0" w:space="0" w:color="auto"/>
                    <w:bottom w:val="none" w:sz="0" w:space="0" w:color="auto"/>
                    <w:right w:val="none" w:sz="0" w:space="0" w:color="auto"/>
                  </w:divBdr>
                  <w:divsChild>
                    <w:div w:id="20417103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75997066">
      <w:bodyDiv w:val="1"/>
      <w:marLeft w:val="0"/>
      <w:marRight w:val="0"/>
      <w:marTop w:val="0"/>
      <w:marBottom w:val="0"/>
      <w:divBdr>
        <w:top w:val="none" w:sz="0" w:space="0" w:color="auto"/>
        <w:left w:val="none" w:sz="0" w:space="0" w:color="auto"/>
        <w:bottom w:val="none" w:sz="0" w:space="0" w:color="auto"/>
        <w:right w:val="none" w:sz="0" w:space="0" w:color="auto"/>
      </w:divBdr>
    </w:div>
    <w:div w:id="482507678">
      <w:bodyDiv w:val="1"/>
      <w:marLeft w:val="0"/>
      <w:marRight w:val="0"/>
      <w:marTop w:val="0"/>
      <w:marBottom w:val="0"/>
      <w:divBdr>
        <w:top w:val="none" w:sz="0" w:space="0" w:color="auto"/>
        <w:left w:val="none" w:sz="0" w:space="0" w:color="auto"/>
        <w:bottom w:val="none" w:sz="0" w:space="0" w:color="auto"/>
        <w:right w:val="none" w:sz="0" w:space="0" w:color="auto"/>
      </w:divBdr>
    </w:div>
    <w:div w:id="484975466">
      <w:bodyDiv w:val="1"/>
      <w:marLeft w:val="0"/>
      <w:marRight w:val="0"/>
      <w:marTop w:val="0"/>
      <w:marBottom w:val="0"/>
      <w:divBdr>
        <w:top w:val="none" w:sz="0" w:space="0" w:color="auto"/>
        <w:left w:val="none" w:sz="0" w:space="0" w:color="auto"/>
        <w:bottom w:val="none" w:sz="0" w:space="0" w:color="auto"/>
        <w:right w:val="none" w:sz="0" w:space="0" w:color="auto"/>
      </w:divBdr>
    </w:div>
    <w:div w:id="491142373">
      <w:bodyDiv w:val="1"/>
      <w:marLeft w:val="0"/>
      <w:marRight w:val="0"/>
      <w:marTop w:val="0"/>
      <w:marBottom w:val="0"/>
      <w:divBdr>
        <w:top w:val="none" w:sz="0" w:space="0" w:color="auto"/>
        <w:left w:val="none" w:sz="0" w:space="0" w:color="auto"/>
        <w:bottom w:val="none" w:sz="0" w:space="0" w:color="auto"/>
        <w:right w:val="none" w:sz="0" w:space="0" w:color="auto"/>
      </w:divBdr>
    </w:div>
    <w:div w:id="498353459">
      <w:bodyDiv w:val="1"/>
      <w:marLeft w:val="0"/>
      <w:marRight w:val="0"/>
      <w:marTop w:val="0"/>
      <w:marBottom w:val="0"/>
      <w:divBdr>
        <w:top w:val="none" w:sz="0" w:space="0" w:color="auto"/>
        <w:left w:val="none" w:sz="0" w:space="0" w:color="auto"/>
        <w:bottom w:val="none" w:sz="0" w:space="0" w:color="auto"/>
        <w:right w:val="none" w:sz="0" w:space="0" w:color="auto"/>
      </w:divBdr>
    </w:div>
    <w:div w:id="508372996">
      <w:bodyDiv w:val="1"/>
      <w:marLeft w:val="0"/>
      <w:marRight w:val="0"/>
      <w:marTop w:val="0"/>
      <w:marBottom w:val="0"/>
      <w:divBdr>
        <w:top w:val="none" w:sz="0" w:space="0" w:color="auto"/>
        <w:left w:val="none" w:sz="0" w:space="0" w:color="auto"/>
        <w:bottom w:val="none" w:sz="0" w:space="0" w:color="auto"/>
        <w:right w:val="none" w:sz="0" w:space="0" w:color="auto"/>
      </w:divBdr>
    </w:div>
    <w:div w:id="512037753">
      <w:bodyDiv w:val="1"/>
      <w:marLeft w:val="0"/>
      <w:marRight w:val="0"/>
      <w:marTop w:val="0"/>
      <w:marBottom w:val="0"/>
      <w:divBdr>
        <w:top w:val="none" w:sz="0" w:space="0" w:color="auto"/>
        <w:left w:val="none" w:sz="0" w:space="0" w:color="auto"/>
        <w:bottom w:val="none" w:sz="0" w:space="0" w:color="auto"/>
        <w:right w:val="none" w:sz="0" w:space="0" w:color="auto"/>
      </w:divBdr>
    </w:div>
    <w:div w:id="513032416">
      <w:bodyDiv w:val="1"/>
      <w:marLeft w:val="0"/>
      <w:marRight w:val="0"/>
      <w:marTop w:val="0"/>
      <w:marBottom w:val="0"/>
      <w:divBdr>
        <w:top w:val="none" w:sz="0" w:space="0" w:color="auto"/>
        <w:left w:val="none" w:sz="0" w:space="0" w:color="auto"/>
        <w:bottom w:val="none" w:sz="0" w:space="0" w:color="auto"/>
        <w:right w:val="none" w:sz="0" w:space="0" w:color="auto"/>
      </w:divBdr>
    </w:div>
    <w:div w:id="514538914">
      <w:bodyDiv w:val="1"/>
      <w:marLeft w:val="0"/>
      <w:marRight w:val="0"/>
      <w:marTop w:val="0"/>
      <w:marBottom w:val="0"/>
      <w:divBdr>
        <w:top w:val="none" w:sz="0" w:space="0" w:color="auto"/>
        <w:left w:val="none" w:sz="0" w:space="0" w:color="auto"/>
        <w:bottom w:val="none" w:sz="0" w:space="0" w:color="auto"/>
        <w:right w:val="none" w:sz="0" w:space="0" w:color="auto"/>
      </w:divBdr>
    </w:div>
    <w:div w:id="519591674">
      <w:bodyDiv w:val="1"/>
      <w:marLeft w:val="0"/>
      <w:marRight w:val="0"/>
      <w:marTop w:val="0"/>
      <w:marBottom w:val="0"/>
      <w:divBdr>
        <w:top w:val="none" w:sz="0" w:space="0" w:color="auto"/>
        <w:left w:val="none" w:sz="0" w:space="0" w:color="auto"/>
        <w:bottom w:val="none" w:sz="0" w:space="0" w:color="auto"/>
        <w:right w:val="none" w:sz="0" w:space="0" w:color="auto"/>
      </w:divBdr>
    </w:div>
    <w:div w:id="520165085">
      <w:bodyDiv w:val="1"/>
      <w:marLeft w:val="0"/>
      <w:marRight w:val="0"/>
      <w:marTop w:val="0"/>
      <w:marBottom w:val="0"/>
      <w:divBdr>
        <w:top w:val="none" w:sz="0" w:space="0" w:color="auto"/>
        <w:left w:val="none" w:sz="0" w:space="0" w:color="auto"/>
        <w:bottom w:val="none" w:sz="0" w:space="0" w:color="auto"/>
        <w:right w:val="none" w:sz="0" w:space="0" w:color="auto"/>
      </w:divBdr>
    </w:div>
    <w:div w:id="526601592">
      <w:bodyDiv w:val="1"/>
      <w:marLeft w:val="0"/>
      <w:marRight w:val="0"/>
      <w:marTop w:val="0"/>
      <w:marBottom w:val="0"/>
      <w:divBdr>
        <w:top w:val="none" w:sz="0" w:space="0" w:color="auto"/>
        <w:left w:val="none" w:sz="0" w:space="0" w:color="auto"/>
        <w:bottom w:val="none" w:sz="0" w:space="0" w:color="auto"/>
        <w:right w:val="none" w:sz="0" w:space="0" w:color="auto"/>
      </w:divBdr>
    </w:div>
    <w:div w:id="532111901">
      <w:bodyDiv w:val="1"/>
      <w:marLeft w:val="0"/>
      <w:marRight w:val="0"/>
      <w:marTop w:val="0"/>
      <w:marBottom w:val="0"/>
      <w:divBdr>
        <w:top w:val="none" w:sz="0" w:space="0" w:color="auto"/>
        <w:left w:val="none" w:sz="0" w:space="0" w:color="auto"/>
        <w:bottom w:val="none" w:sz="0" w:space="0" w:color="auto"/>
        <w:right w:val="none" w:sz="0" w:space="0" w:color="auto"/>
      </w:divBdr>
    </w:div>
    <w:div w:id="533470776">
      <w:bodyDiv w:val="1"/>
      <w:marLeft w:val="0"/>
      <w:marRight w:val="0"/>
      <w:marTop w:val="0"/>
      <w:marBottom w:val="0"/>
      <w:divBdr>
        <w:top w:val="none" w:sz="0" w:space="0" w:color="auto"/>
        <w:left w:val="none" w:sz="0" w:space="0" w:color="auto"/>
        <w:bottom w:val="none" w:sz="0" w:space="0" w:color="auto"/>
        <w:right w:val="none" w:sz="0" w:space="0" w:color="auto"/>
      </w:divBdr>
    </w:div>
    <w:div w:id="543060336">
      <w:bodyDiv w:val="1"/>
      <w:marLeft w:val="0"/>
      <w:marRight w:val="0"/>
      <w:marTop w:val="0"/>
      <w:marBottom w:val="0"/>
      <w:divBdr>
        <w:top w:val="none" w:sz="0" w:space="0" w:color="auto"/>
        <w:left w:val="none" w:sz="0" w:space="0" w:color="auto"/>
        <w:bottom w:val="none" w:sz="0" w:space="0" w:color="auto"/>
        <w:right w:val="none" w:sz="0" w:space="0" w:color="auto"/>
      </w:divBdr>
    </w:div>
    <w:div w:id="554970206">
      <w:bodyDiv w:val="1"/>
      <w:marLeft w:val="0"/>
      <w:marRight w:val="0"/>
      <w:marTop w:val="0"/>
      <w:marBottom w:val="0"/>
      <w:divBdr>
        <w:top w:val="none" w:sz="0" w:space="0" w:color="auto"/>
        <w:left w:val="none" w:sz="0" w:space="0" w:color="auto"/>
        <w:bottom w:val="none" w:sz="0" w:space="0" w:color="auto"/>
        <w:right w:val="none" w:sz="0" w:space="0" w:color="auto"/>
      </w:divBdr>
    </w:div>
    <w:div w:id="562718805">
      <w:bodyDiv w:val="1"/>
      <w:marLeft w:val="0"/>
      <w:marRight w:val="0"/>
      <w:marTop w:val="0"/>
      <w:marBottom w:val="0"/>
      <w:divBdr>
        <w:top w:val="none" w:sz="0" w:space="0" w:color="auto"/>
        <w:left w:val="none" w:sz="0" w:space="0" w:color="auto"/>
        <w:bottom w:val="none" w:sz="0" w:space="0" w:color="auto"/>
        <w:right w:val="none" w:sz="0" w:space="0" w:color="auto"/>
      </w:divBdr>
    </w:div>
    <w:div w:id="566578485">
      <w:bodyDiv w:val="1"/>
      <w:marLeft w:val="0"/>
      <w:marRight w:val="0"/>
      <w:marTop w:val="0"/>
      <w:marBottom w:val="0"/>
      <w:divBdr>
        <w:top w:val="none" w:sz="0" w:space="0" w:color="auto"/>
        <w:left w:val="none" w:sz="0" w:space="0" w:color="auto"/>
        <w:bottom w:val="none" w:sz="0" w:space="0" w:color="auto"/>
        <w:right w:val="none" w:sz="0" w:space="0" w:color="auto"/>
      </w:divBdr>
    </w:div>
    <w:div w:id="574899082">
      <w:bodyDiv w:val="1"/>
      <w:marLeft w:val="0"/>
      <w:marRight w:val="0"/>
      <w:marTop w:val="0"/>
      <w:marBottom w:val="0"/>
      <w:divBdr>
        <w:top w:val="none" w:sz="0" w:space="0" w:color="auto"/>
        <w:left w:val="none" w:sz="0" w:space="0" w:color="auto"/>
        <w:bottom w:val="none" w:sz="0" w:space="0" w:color="auto"/>
        <w:right w:val="none" w:sz="0" w:space="0" w:color="auto"/>
      </w:divBdr>
    </w:div>
    <w:div w:id="576747415">
      <w:bodyDiv w:val="1"/>
      <w:marLeft w:val="0"/>
      <w:marRight w:val="0"/>
      <w:marTop w:val="0"/>
      <w:marBottom w:val="0"/>
      <w:divBdr>
        <w:top w:val="none" w:sz="0" w:space="0" w:color="auto"/>
        <w:left w:val="none" w:sz="0" w:space="0" w:color="auto"/>
        <w:bottom w:val="none" w:sz="0" w:space="0" w:color="auto"/>
        <w:right w:val="none" w:sz="0" w:space="0" w:color="auto"/>
      </w:divBdr>
    </w:div>
    <w:div w:id="580990785">
      <w:bodyDiv w:val="1"/>
      <w:marLeft w:val="0"/>
      <w:marRight w:val="0"/>
      <w:marTop w:val="0"/>
      <w:marBottom w:val="0"/>
      <w:divBdr>
        <w:top w:val="none" w:sz="0" w:space="0" w:color="auto"/>
        <w:left w:val="none" w:sz="0" w:space="0" w:color="auto"/>
        <w:bottom w:val="none" w:sz="0" w:space="0" w:color="auto"/>
        <w:right w:val="none" w:sz="0" w:space="0" w:color="auto"/>
      </w:divBdr>
    </w:div>
    <w:div w:id="586840929">
      <w:bodyDiv w:val="1"/>
      <w:marLeft w:val="0"/>
      <w:marRight w:val="0"/>
      <w:marTop w:val="0"/>
      <w:marBottom w:val="0"/>
      <w:divBdr>
        <w:top w:val="none" w:sz="0" w:space="0" w:color="auto"/>
        <w:left w:val="none" w:sz="0" w:space="0" w:color="auto"/>
        <w:bottom w:val="none" w:sz="0" w:space="0" w:color="auto"/>
        <w:right w:val="none" w:sz="0" w:space="0" w:color="auto"/>
      </w:divBdr>
    </w:div>
    <w:div w:id="589507719">
      <w:bodyDiv w:val="1"/>
      <w:marLeft w:val="0"/>
      <w:marRight w:val="0"/>
      <w:marTop w:val="0"/>
      <w:marBottom w:val="0"/>
      <w:divBdr>
        <w:top w:val="none" w:sz="0" w:space="0" w:color="auto"/>
        <w:left w:val="none" w:sz="0" w:space="0" w:color="auto"/>
        <w:bottom w:val="none" w:sz="0" w:space="0" w:color="auto"/>
        <w:right w:val="none" w:sz="0" w:space="0" w:color="auto"/>
      </w:divBdr>
    </w:div>
    <w:div w:id="598872166">
      <w:bodyDiv w:val="1"/>
      <w:marLeft w:val="0"/>
      <w:marRight w:val="0"/>
      <w:marTop w:val="0"/>
      <w:marBottom w:val="0"/>
      <w:divBdr>
        <w:top w:val="none" w:sz="0" w:space="0" w:color="auto"/>
        <w:left w:val="none" w:sz="0" w:space="0" w:color="auto"/>
        <w:bottom w:val="none" w:sz="0" w:space="0" w:color="auto"/>
        <w:right w:val="none" w:sz="0" w:space="0" w:color="auto"/>
      </w:divBdr>
    </w:div>
    <w:div w:id="602959706">
      <w:bodyDiv w:val="1"/>
      <w:marLeft w:val="0"/>
      <w:marRight w:val="0"/>
      <w:marTop w:val="0"/>
      <w:marBottom w:val="0"/>
      <w:divBdr>
        <w:top w:val="none" w:sz="0" w:space="0" w:color="auto"/>
        <w:left w:val="none" w:sz="0" w:space="0" w:color="auto"/>
        <w:bottom w:val="none" w:sz="0" w:space="0" w:color="auto"/>
        <w:right w:val="none" w:sz="0" w:space="0" w:color="auto"/>
      </w:divBdr>
    </w:div>
    <w:div w:id="603927106">
      <w:bodyDiv w:val="1"/>
      <w:marLeft w:val="0"/>
      <w:marRight w:val="0"/>
      <w:marTop w:val="0"/>
      <w:marBottom w:val="0"/>
      <w:divBdr>
        <w:top w:val="none" w:sz="0" w:space="0" w:color="auto"/>
        <w:left w:val="none" w:sz="0" w:space="0" w:color="auto"/>
        <w:bottom w:val="none" w:sz="0" w:space="0" w:color="auto"/>
        <w:right w:val="none" w:sz="0" w:space="0" w:color="auto"/>
      </w:divBdr>
    </w:div>
    <w:div w:id="623540869">
      <w:bodyDiv w:val="1"/>
      <w:marLeft w:val="0"/>
      <w:marRight w:val="0"/>
      <w:marTop w:val="0"/>
      <w:marBottom w:val="0"/>
      <w:divBdr>
        <w:top w:val="none" w:sz="0" w:space="0" w:color="auto"/>
        <w:left w:val="none" w:sz="0" w:space="0" w:color="auto"/>
        <w:bottom w:val="none" w:sz="0" w:space="0" w:color="auto"/>
        <w:right w:val="none" w:sz="0" w:space="0" w:color="auto"/>
      </w:divBdr>
      <w:divsChild>
        <w:div w:id="699430581">
          <w:marLeft w:val="0"/>
          <w:marRight w:val="0"/>
          <w:marTop w:val="0"/>
          <w:marBottom w:val="0"/>
          <w:divBdr>
            <w:top w:val="none" w:sz="0" w:space="0" w:color="auto"/>
            <w:left w:val="none" w:sz="0" w:space="0" w:color="auto"/>
            <w:bottom w:val="none" w:sz="0" w:space="0" w:color="auto"/>
            <w:right w:val="none" w:sz="0" w:space="0" w:color="auto"/>
          </w:divBdr>
          <w:divsChild>
            <w:div w:id="147869412">
              <w:marLeft w:val="0"/>
              <w:marRight w:val="0"/>
              <w:marTop w:val="0"/>
              <w:marBottom w:val="0"/>
              <w:divBdr>
                <w:top w:val="none" w:sz="0" w:space="0" w:color="auto"/>
                <w:left w:val="none" w:sz="0" w:space="0" w:color="auto"/>
                <w:bottom w:val="none" w:sz="0" w:space="0" w:color="auto"/>
                <w:right w:val="none" w:sz="0" w:space="0" w:color="auto"/>
              </w:divBdr>
              <w:divsChild>
                <w:div w:id="365567568">
                  <w:marLeft w:val="0"/>
                  <w:marRight w:val="0"/>
                  <w:marTop w:val="0"/>
                  <w:marBottom w:val="0"/>
                  <w:divBdr>
                    <w:top w:val="none" w:sz="0" w:space="0" w:color="auto"/>
                    <w:left w:val="none" w:sz="0" w:space="0" w:color="auto"/>
                    <w:bottom w:val="none" w:sz="0" w:space="0" w:color="auto"/>
                    <w:right w:val="none" w:sz="0" w:space="0" w:color="auto"/>
                  </w:divBdr>
                  <w:divsChild>
                    <w:div w:id="1976249918">
                      <w:marLeft w:val="0"/>
                      <w:marRight w:val="0"/>
                      <w:marTop w:val="0"/>
                      <w:marBottom w:val="0"/>
                      <w:divBdr>
                        <w:top w:val="none" w:sz="0" w:space="0" w:color="auto"/>
                        <w:left w:val="none" w:sz="0" w:space="0" w:color="auto"/>
                        <w:bottom w:val="none" w:sz="0" w:space="0" w:color="auto"/>
                        <w:right w:val="none" w:sz="0" w:space="0" w:color="auto"/>
                      </w:divBdr>
                    </w:div>
                  </w:divsChild>
                </w:div>
                <w:div w:id="2011327637">
                  <w:marLeft w:val="0"/>
                  <w:marRight w:val="0"/>
                  <w:marTop w:val="0"/>
                  <w:marBottom w:val="0"/>
                  <w:divBdr>
                    <w:top w:val="none" w:sz="0" w:space="0" w:color="auto"/>
                    <w:left w:val="none" w:sz="0" w:space="0" w:color="auto"/>
                    <w:bottom w:val="none" w:sz="0" w:space="0" w:color="auto"/>
                    <w:right w:val="none" w:sz="0" w:space="0" w:color="auto"/>
                  </w:divBdr>
                  <w:divsChild>
                    <w:div w:id="1802117489">
                      <w:marLeft w:val="0"/>
                      <w:marRight w:val="0"/>
                      <w:marTop w:val="0"/>
                      <w:marBottom w:val="0"/>
                      <w:divBdr>
                        <w:top w:val="none" w:sz="0" w:space="0" w:color="auto"/>
                        <w:left w:val="none" w:sz="0" w:space="0" w:color="auto"/>
                        <w:bottom w:val="none" w:sz="0" w:space="0" w:color="auto"/>
                        <w:right w:val="none" w:sz="0" w:space="0" w:color="auto"/>
                      </w:divBdr>
                    </w:div>
                  </w:divsChild>
                </w:div>
                <w:div w:id="1575626343">
                  <w:marLeft w:val="0"/>
                  <w:marRight w:val="0"/>
                  <w:marTop w:val="0"/>
                  <w:marBottom w:val="0"/>
                  <w:divBdr>
                    <w:top w:val="none" w:sz="0" w:space="0" w:color="auto"/>
                    <w:left w:val="none" w:sz="0" w:space="0" w:color="auto"/>
                    <w:bottom w:val="none" w:sz="0" w:space="0" w:color="auto"/>
                    <w:right w:val="none" w:sz="0" w:space="0" w:color="auto"/>
                  </w:divBdr>
                  <w:divsChild>
                    <w:div w:id="757752481">
                      <w:marLeft w:val="0"/>
                      <w:marRight w:val="0"/>
                      <w:marTop w:val="0"/>
                      <w:marBottom w:val="0"/>
                      <w:divBdr>
                        <w:top w:val="none" w:sz="0" w:space="0" w:color="auto"/>
                        <w:left w:val="none" w:sz="0" w:space="0" w:color="auto"/>
                        <w:bottom w:val="none" w:sz="0" w:space="0" w:color="auto"/>
                        <w:right w:val="none" w:sz="0" w:space="0" w:color="auto"/>
                      </w:divBdr>
                    </w:div>
                  </w:divsChild>
                </w:div>
                <w:div w:id="720399665">
                  <w:marLeft w:val="0"/>
                  <w:marRight w:val="0"/>
                  <w:marTop w:val="0"/>
                  <w:marBottom w:val="0"/>
                  <w:divBdr>
                    <w:top w:val="none" w:sz="0" w:space="0" w:color="auto"/>
                    <w:left w:val="none" w:sz="0" w:space="0" w:color="auto"/>
                    <w:bottom w:val="none" w:sz="0" w:space="0" w:color="auto"/>
                    <w:right w:val="none" w:sz="0" w:space="0" w:color="auto"/>
                  </w:divBdr>
                  <w:divsChild>
                    <w:div w:id="14738651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27509801">
      <w:bodyDiv w:val="1"/>
      <w:marLeft w:val="0"/>
      <w:marRight w:val="0"/>
      <w:marTop w:val="0"/>
      <w:marBottom w:val="0"/>
      <w:divBdr>
        <w:top w:val="none" w:sz="0" w:space="0" w:color="auto"/>
        <w:left w:val="none" w:sz="0" w:space="0" w:color="auto"/>
        <w:bottom w:val="none" w:sz="0" w:space="0" w:color="auto"/>
        <w:right w:val="none" w:sz="0" w:space="0" w:color="auto"/>
      </w:divBdr>
    </w:div>
    <w:div w:id="630405307">
      <w:bodyDiv w:val="1"/>
      <w:marLeft w:val="0"/>
      <w:marRight w:val="0"/>
      <w:marTop w:val="0"/>
      <w:marBottom w:val="0"/>
      <w:divBdr>
        <w:top w:val="none" w:sz="0" w:space="0" w:color="auto"/>
        <w:left w:val="none" w:sz="0" w:space="0" w:color="auto"/>
        <w:bottom w:val="none" w:sz="0" w:space="0" w:color="auto"/>
        <w:right w:val="none" w:sz="0" w:space="0" w:color="auto"/>
      </w:divBdr>
    </w:div>
    <w:div w:id="635254546">
      <w:bodyDiv w:val="1"/>
      <w:marLeft w:val="0"/>
      <w:marRight w:val="0"/>
      <w:marTop w:val="0"/>
      <w:marBottom w:val="0"/>
      <w:divBdr>
        <w:top w:val="none" w:sz="0" w:space="0" w:color="auto"/>
        <w:left w:val="none" w:sz="0" w:space="0" w:color="auto"/>
        <w:bottom w:val="none" w:sz="0" w:space="0" w:color="auto"/>
        <w:right w:val="none" w:sz="0" w:space="0" w:color="auto"/>
      </w:divBdr>
    </w:div>
    <w:div w:id="637102104">
      <w:bodyDiv w:val="1"/>
      <w:marLeft w:val="0"/>
      <w:marRight w:val="0"/>
      <w:marTop w:val="0"/>
      <w:marBottom w:val="0"/>
      <w:divBdr>
        <w:top w:val="none" w:sz="0" w:space="0" w:color="auto"/>
        <w:left w:val="none" w:sz="0" w:space="0" w:color="auto"/>
        <w:bottom w:val="none" w:sz="0" w:space="0" w:color="auto"/>
        <w:right w:val="none" w:sz="0" w:space="0" w:color="auto"/>
      </w:divBdr>
    </w:div>
    <w:div w:id="640502714">
      <w:bodyDiv w:val="1"/>
      <w:marLeft w:val="0"/>
      <w:marRight w:val="0"/>
      <w:marTop w:val="0"/>
      <w:marBottom w:val="0"/>
      <w:divBdr>
        <w:top w:val="none" w:sz="0" w:space="0" w:color="auto"/>
        <w:left w:val="none" w:sz="0" w:space="0" w:color="auto"/>
        <w:bottom w:val="none" w:sz="0" w:space="0" w:color="auto"/>
        <w:right w:val="none" w:sz="0" w:space="0" w:color="auto"/>
      </w:divBdr>
    </w:div>
    <w:div w:id="643244288">
      <w:bodyDiv w:val="1"/>
      <w:marLeft w:val="0"/>
      <w:marRight w:val="0"/>
      <w:marTop w:val="0"/>
      <w:marBottom w:val="0"/>
      <w:divBdr>
        <w:top w:val="none" w:sz="0" w:space="0" w:color="auto"/>
        <w:left w:val="none" w:sz="0" w:space="0" w:color="auto"/>
        <w:bottom w:val="none" w:sz="0" w:space="0" w:color="auto"/>
        <w:right w:val="none" w:sz="0" w:space="0" w:color="auto"/>
      </w:divBdr>
    </w:div>
    <w:div w:id="656419995">
      <w:bodyDiv w:val="1"/>
      <w:marLeft w:val="0"/>
      <w:marRight w:val="0"/>
      <w:marTop w:val="0"/>
      <w:marBottom w:val="0"/>
      <w:divBdr>
        <w:top w:val="none" w:sz="0" w:space="0" w:color="auto"/>
        <w:left w:val="none" w:sz="0" w:space="0" w:color="auto"/>
        <w:bottom w:val="none" w:sz="0" w:space="0" w:color="auto"/>
        <w:right w:val="none" w:sz="0" w:space="0" w:color="auto"/>
      </w:divBdr>
    </w:div>
    <w:div w:id="658535506">
      <w:bodyDiv w:val="1"/>
      <w:marLeft w:val="0"/>
      <w:marRight w:val="0"/>
      <w:marTop w:val="0"/>
      <w:marBottom w:val="0"/>
      <w:divBdr>
        <w:top w:val="none" w:sz="0" w:space="0" w:color="auto"/>
        <w:left w:val="none" w:sz="0" w:space="0" w:color="auto"/>
        <w:bottom w:val="none" w:sz="0" w:space="0" w:color="auto"/>
        <w:right w:val="none" w:sz="0" w:space="0" w:color="auto"/>
      </w:divBdr>
    </w:div>
    <w:div w:id="658852338">
      <w:bodyDiv w:val="1"/>
      <w:marLeft w:val="0"/>
      <w:marRight w:val="0"/>
      <w:marTop w:val="0"/>
      <w:marBottom w:val="0"/>
      <w:divBdr>
        <w:top w:val="none" w:sz="0" w:space="0" w:color="auto"/>
        <w:left w:val="none" w:sz="0" w:space="0" w:color="auto"/>
        <w:bottom w:val="none" w:sz="0" w:space="0" w:color="auto"/>
        <w:right w:val="none" w:sz="0" w:space="0" w:color="auto"/>
      </w:divBdr>
    </w:div>
    <w:div w:id="664823070">
      <w:bodyDiv w:val="1"/>
      <w:marLeft w:val="0"/>
      <w:marRight w:val="0"/>
      <w:marTop w:val="0"/>
      <w:marBottom w:val="0"/>
      <w:divBdr>
        <w:top w:val="none" w:sz="0" w:space="0" w:color="auto"/>
        <w:left w:val="none" w:sz="0" w:space="0" w:color="auto"/>
        <w:bottom w:val="none" w:sz="0" w:space="0" w:color="auto"/>
        <w:right w:val="none" w:sz="0" w:space="0" w:color="auto"/>
      </w:divBdr>
    </w:div>
    <w:div w:id="666326949">
      <w:bodyDiv w:val="1"/>
      <w:marLeft w:val="0"/>
      <w:marRight w:val="0"/>
      <w:marTop w:val="0"/>
      <w:marBottom w:val="0"/>
      <w:divBdr>
        <w:top w:val="none" w:sz="0" w:space="0" w:color="auto"/>
        <w:left w:val="none" w:sz="0" w:space="0" w:color="auto"/>
        <w:bottom w:val="none" w:sz="0" w:space="0" w:color="auto"/>
        <w:right w:val="none" w:sz="0" w:space="0" w:color="auto"/>
      </w:divBdr>
    </w:div>
    <w:div w:id="669411163">
      <w:bodyDiv w:val="1"/>
      <w:marLeft w:val="0"/>
      <w:marRight w:val="0"/>
      <w:marTop w:val="0"/>
      <w:marBottom w:val="0"/>
      <w:divBdr>
        <w:top w:val="none" w:sz="0" w:space="0" w:color="auto"/>
        <w:left w:val="none" w:sz="0" w:space="0" w:color="auto"/>
        <w:bottom w:val="none" w:sz="0" w:space="0" w:color="auto"/>
        <w:right w:val="none" w:sz="0" w:space="0" w:color="auto"/>
      </w:divBdr>
    </w:div>
    <w:div w:id="670446660">
      <w:bodyDiv w:val="1"/>
      <w:marLeft w:val="0"/>
      <w:marRight w:val="0"/>
      <w:marTop w:val="0"/>
      <w:marBottom w:val="0"/>
      <w:divBdr>
        <w:top w:val="none" w:sz="0" w:space="0" w:color="auto"/>
        <w:left w:val="none" w:sz="0" w:space="0" w:color="auto"/>
        <w:bottom w:val="none" w:sz="0" w:space="0" w:color="auto"/>
        <w:right w:val="none" w:sz="0" w:space="0" w:color="auto"/>
      </w:divBdr>
    </w:div>
    <w:div w:id="721292683">
      <w:bodyDiv w:val="1"/>
      <w:marLeft w:val="0"/>
      <w:marRight w:val="0"/>
      <w:marTop w:val="0"/>
      <w:marBottom w:val="0"/>
      <w:divBdr>
        <w:top w:val="none" w:sz="0" w:space="0" w:color="auto"/>
        <w:left w:val="none" w:sz="0" w:space="0" w:color="auto"/>
        <w:bottom w:val="none" w:sz="0" w:space="0" w:color="auto"/>
        <w:right w:val="none" w:sz="0" w:space="0" w:color="auto"/>
      </w:divBdr>
    </w:div>
    <w:div w:id="728847809">
      <w:bodyDiv w:val="1"/>
      <w:marLeft w:val="0"/>
      <w:marRight w:val="0"/>
      <w:marTop w:val="0"/>
      <w:marBottom w:val="0"/>
      <w:divBdr>
        <w:top w:val="none" w:sz="0" w:space="0" w:color="auto"/>
        <w:left w:val="none" w:sz="0" w:space="0" w:color="auto"/>
        <w:bottom w:val="none" w:sz="0" w:space="0" w:color="auto"/>
        <w:right w:val="none" w:sz="0" w:space="0" w:color="auto"/>
      </w:divBdr>
    </w:div>
    <w:div w:id="752091780">
      <w:bodyDiv w:val="1"/>
      <w:marLeft w:val="0"/>
      <w:marRight w:val="0"/>
      <w:marTop w:val="0"/>
      <w:marBottom w:val="0"/>
      <w:divBdr>
        <w:top w:val="none" w:sz="0" w:space="0" w:color="auto"/>
        <w:left w:val="none" w:sz="0" w:space="0" w:color="auto"/>
        <w:bottom w:val="none" w:sz="0" w:space="0" w:color="auto"/>
        <w:right w:val="none" w:sz="0" w:space="0" w:color="auto"/>
      </w:divBdr>
    </w:div>
    <w:div w:id="752162738">
      <w:bodyDiv w:val="1"/>
      <w:marLeft w:val="0"/>
      <w:marRight w:val="0"/>
      <w:marTop w:val="0"/>
      <w:marBottom w:val="0"/>
      <w:divBdr>
        <w:top w:val="none" w:sz="0" w:space="0" w:color="auto"/>
        <w:left w:val="none" w:sz="0" w:space="0" w:color="auto"/>
        <w:bottom w:val="none" w:sz="0" w:space="0" w:color="auto"/>
        <w:right w:val="none" w:sz="0" w:space="0" w:color="auto"/>
      </w:divBdr>
    </w:div>
    <w:div w:id="764225205">
      <w:bodyDiv w:val="1"/>
      <w:marLeft w:val="0"/>
      <w:marRight w:val="0"/>
      <w:marTop w:val="0"/>
      <w:marBottom w:val="0"/>
      <w:divBdr>
        <w:top w:val="none" w:sz="0" w:space="0" w:color="auto"/>
        <w:left w:val="none" w:sz="0" w:space="0" w:color="auto"/>
        <w:bottom w:val="none" w:sz="0" w:space="0" w:color="auto"/>
        <w:right w:val="none" w:sz="0" w:space="0" w:color="auto"/>
      </w:divBdr>
    </w:div>
    <w:div w:id="773591553">
      <w:bodyDiv w:val="1"/>
      <w:marLeft w:val="0"/>
      <w:marRight w:val="0"/>
      <w:marTop w:val="0"/>
      <w:marBottom w:val="0"/>
      <w:divBdr>
        <w:top w:val="none" w:sz="0" w:space="0" w:color="auto"/>
        <w:left w:val="none" w:sz="0" w:space="0" w:color="auto"/>
        <w:bottom w:val="none" w:sz="0" w:space="0" w:color="auto"/>
        <w:right w:val="none" w:sz="0" w:space="0" w:color="auto"/>
      </w:divBdr>
    </w:div>
    <w:div w:id="779643922">
      <w:bodyDiv w:val="1"/>
      <w:marLeft w:val="0"/>
      <w:marRight w:val="0"/>
      <w:marTop w:val="0"/>
      <w:marBottom w:val="0"/>
      <w:divBdr>
        <w:top w:val="none" w:sz="0" w:space="0" w:color="auto"/>
        <w:left w:val="none" w:sz="0" w:space="0" w:color="auto"/>
        <w:bottom w:val="none" w:sz="0" w:space="0" w:color="auto"/>
        <w:right w:val="none" w:sz="0" w:space="0" w:color="auto"/>
      </w:divBdr>
    </w:div>
    <w:div w:id="781613343">
      <w:bodyDiv w:val="1"/>
      <w:marLeft w:val="0"/>
      <w:marRight w:val="0"/>
      <w:marTop w:val="0"/>
      <w:marBottom w:val="0"/>
      <w:divBdr>
        <w:top w:val="none" w:sz="0" w:space="0" w:color="auto"/>
        <w:left w:val="none" w:sz="0" w:space="0" w:color="auto"/>
        <w:bottom w:val="none" w:sz="0" w:space="0" w:color="auto"/>
        <w:right w:val="none" w:sz="0" w:space="0" w:color="auto"/>
      </w:divBdr>
    </w:div>
    <w:div w:id="786581080">
      <w:bodyDiv w:val="1"/>
      <w:marLeft w:val="0"/>
      <w:marRight w:val="0"/>
      <w:marTop w:val="0"/>
      <w:marBottom w:val="0"/>
      <w:divBdr>
        <w:top w:val="none" w:sz="0" w:space="0" w:color="auto"/>
        <w:left w:val="none" w:sz="0" w:space="0" w:color="auto"/>
        <w:bottom w:val="none" w:sz="0" w:space="0" w:color="auto"/>
        <w:right w:val="none" w:sz="0" w:space="0" w:color="auto"/>
      </w:divBdr>
    </w:div>
    <w:div w:id="792595813">
      <w:bodyDiv w:val="1"/>
      <w:marLeft w:val="0"/>
      <w:marRight w:val="0"/>
      <w:marTop w:val="0"/>
      <w:marBottom w:val="0"/>
      <w:divBdr>
        <w:top w:val="none" w:sz="0" w:space="0" w:color="auto"/>
        <w:left w:val="none" w:sz="0" w:space="0" w:color="auto"/>
        <w:bottom w:val="none" w:sz="0" w:space="0" w:color="auto"/>
        <w:right w:val="none" w:sz="0" w:space="0" w:color="auto"/>
      </w:divBdr>
      <w:divsChild>
        <w:div w:id="2126852057">
          <w:marLeft w:val="0"/>
          <w:marRight w:val="0"/>
          <w:marTop w:val="0"/>
          <w:marBottom w:val="0"/>
          <w:divBdr>
            <w:top w:val="none" w:sz="0" w:space="0" w:color="auto"/>
            <w:left w:val="none" w:sz="0" w:space="0" w:color="auto"/>
            <w:bottom w:val="none" w:sz="0" w:space="0" w:color="auto"/>
            <w:right w:val="none" w:sz="0" w:space="0" w:color="auto"/>
          </w:divBdr>
          <w:divsChild>
            <w:div w:id="789514144">
              <w:marLeft w:val="0"/>
              <w:marRight w:val="0"/>
              <w:marTop w:val="0"/>
              <w:marBottom w:val="0"/>
              <w:divBdr>
                <w:top w:val="none" w:sz="0" w:space="0" w:color="auto"/>
                <w:left w:val="none" w:sz="0" w:space="0" w:color="auto"/>
                <w:bottom w:val="none" w:sz="0" w:space="0" w:color="auto"/>
                <w:right w:val="none" w:sz="0" w:space="0" w:color="auto"/>
              </w:divBdr>
              <w:divsChild>
                <w:div w:id="5774460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01388268">
      <w:bodyDiv w:val="1"/>
      <w:marLeft w:val="0"/>
      <w:marRight w:val="0"/>
      <w:marTop w:val="0"/>
      <w:marBottom w:val="0"/>
      <w:divBdr>
        <w:top w:val="none" w:sz="0" w:space="0" w:color="auto"/>
        <w:left w:val="none" w:sz="0" w:space="0" w:color="auto"/>
        <w:bottom w:val="none" w:sz="0" w:space="0" w:color="auto"/>
        <w:right w:val="none" w:sz="0" w:space="0" w:color="auto"/>
      </w:divBdr>
    </w:div>
    <w:div w:id="815680034">
      <w:bodyDiv w:val="1"/>
      <w:marLeft w:val="0"/>
      <w:marRight w:val="0"/>
      <w:marTop w:val="0"/>
      <w:marBottom w:val="0"/>
      <w:divBdr>
        <w:top w:val="none" w:sz="0" w:space="0" w:color="auto"/>
        <w:left w:val="none" w:sz="0" w:space="0" w:color="auto"/>
        <w:bottom w:val="none" w:sz="0" w:space="0" w:color="auto"/>
        <w:right w:val="none" w:sz="0" w:space="0" w:color="auto"/>
      </w:divBdr>
    </w:div>
    <w:div w:id="820923001">
      <w:bodyDiv w:val="1"/>
      <w:marLeft w:val="0"/>
      <w:marRight w:val="0"/>
      <w:marTop w:val="0"/>
      <w:marBottom w:val="0"/>
      <w:divBdr>
        <w:top w:val="none" w:sz="0" w:space="0" w:color="auto"/>
        <w:left w:val="none" w:sz="0" w:space="0" w:color="auto"/>
        <w:bottom w:val="none" w:sz="0" w:space="0" w:color="auto"/>
        <w:right w:val="none" w:sz="0" w:space="0" w:color="auto"/>
      </w:divBdr>
    </w:div>
    <w:div w:id="823280741">
      <w:bodyDiv w:val="1"/>
      <w:marLeft w:val="0"/>
      <w:marRight w:val="0"/>
      <w:marTop w:val="0"/>
      <w:marBottom w:val="0"/>
      <w:divBdr>
        <w:top w:val="none" w:sz="0" w:space="0" w:color="auto"/>
        <w:left w:val="none" w:sz="0" w:space="0" w:color="auto"/>
        <w:bottom w:val="none" w:sz="0" w:space="0" w:color="auto"/>
        <w:right w:val="none" w:sz="0" w:space="0" w:color="auto"/>
      </w:divBdr>
    </w:div>
    <w:div w:id="825046373">
      <w:bodyDiv w:val="1"/>
      <w:marLeft w:val="0"/>
      <w:marRight w:val="0"/>
      <w:marTop w:val="0"/>
      <w:marBottom w:val="0"/>
      <w:divBdr>
        <w:top w:val="none" w:sz="0" w:space="0" w:color="auto"/>
        <w:left w:val="none" w:sz="0" w:space="0" w:color="auto"/>
        <w:bottom w:val="none" w:sz="0" w:space="0" w:color="auto"/>
        <w:right w:val="none" w:sz="0" w:space="0" w:color="auto"/>
      </w:divBdr>
    </w:div>
    <w:div w:id="832530936">
      <w:bodyDiv w:val="1"/>
      <w:marLeft w:val="0"/>
      <w:marRight w:val="0"/>
      <w:marTop w:val="0"/>
      <w:marBottom w:val="0"/>
      <w:divBdr>
        <w:top w:val="none" w:sz="0" w:space="0" w:color="auto"/>
        <w:left w:val="none" w:sz="0" w:space="0" w:color="auto"/>
        <w:bottom w:val="none" w:sz="0" w:space="0" w:color="auto"/>
        <w:right w:val="none" w:sz="0" w:space="0" w:color="auto"/>
      </w:divBdr>
    </w:div>
    <w:div w:id="850990575">
      <w:bodyDiv w:val="1"/>
      <w:marLeft w:val="0"/>
      <w:marRight w:val="0"/>
      <w:marTop w:val="0"/>
      <w:marBottom w:val="0"/>
      <w:divBdr>
        <w:top w:val="none" w:sz="0" w:space="0" w:color="auto"/>
        <w:left w:val="none" w:sz="0" w:space="0" w:color="auto"/>
        <w:bottom w:val="none" w:sz="0" w:space="0" w:color="auto"/>
        <w:right w:val="none" w:sz="0" w:space="0" w:color="auto"/>
      </w:divBdr>
    </w:div>
    <w:div w:id="853953994">
      <w:bodyDiv w:val="1"/>
      <w:marLeft w:val="0"/>
      <w:marRight w:val="0"/>
      <w:marTop w:val="0"/>
      <w:marBottom w:val="0"/>
      <w:divBdr>
        <w:top w:val="none" w:sz="0" w:space="0" w:color="auto"/>
        <w:left w:val="none" w:sz="0" w:space="0" w:color="auto"/>
        <w:bottom w:val="none" w:sz="0" w:space="0" w:color="auto"/>
        <w:right w:val="none" w:sz="0" w:space="0" w:color="auto"/>
      </w:divBdr>
    </w:div>
    <w:div w:id="863131273">
      <w:bodyDiv w:val="1"/>
      <w:marLeft w:val="0"/>
      <w:marRight w:val="0"/>
      <w:marTop w:val="0"/>
      <w:marBottom w:val="0"/>
      <w:divBdr>
        <w:top w:val="none" w:sz="0" w:space="0" w:color="auto"/>
        <w:left w:val="none" w:sz="0" w:space="0" w:color="auto"/>
        <w:bottom w:val="none" w:sz="0" w:space="0" w:color="auto"/>
        <w:right w:val="none" w:sz="0" w:space="0" w:color="auto"/>
      </w:divBdr>
    </w:div>
    <w:div w:id="864292903">
      <w:bodyDiv w:val="1"/>
      <w:marLeft w:val="0"/>
      <w:marRight w:val="0"/>
      <w:marTop w:val="0"/>
      <w:marBottom w:val="0"/>
      <w:divBdr>
        <w:top w:val="none" w:sz="0" w:space="0" w:color="auto"/>
        <w:left w:val="none" w:sz="0" w:space="0" w:color="auto"/>
        <w:bottom w:val="none" w:sz="0" w:space="0" w:color="auto"/>
        <w:right w:val="none" w:sz="0" w:space="0" w:color="auto"/>
      </w:divBdr>
    </w:div>
    <w:div w:id="876741989">
      <w:bodyDiv w:val="1"/>
      <w:marLeft w:val="0"/>
      <w:marRight w:val="0"/>
      <w:marTop w:val="0"/>
      <w:marBottom w:val="0"/>
      <w:divBdr>
        <w:top w:val="none" w:sz="0" w:space="0" w:color="auto"/>
        <w:left w:val="none" w:sz="0" w:space="0" w:color="auto"/>
        <w:bottom w:val="none" w:sz="0" w:space="0" w:color="auto"/>
        <w:right w:val="none" w:sz="0" w:space="0" w:color="auto"/>
      </w:divBdr>
    </w:div>
    <w:div w:id="877350034">
      <w:bodyDiv w:val="1"/>
      <w:marLeft w:val="0"/>
      <w:marRight w:val="0"/>
      <w:marTop w:val="0"/>
      <w:marBottom w:val="0"/>
      <w:divBdr>
        <w:top w:val="none" w:sz="0" w:space="0" w:color="auto"/>
        <w:left w:val="none" w:sz="0" w:space="0" w:color="auto"/>
        <w:bottom w:val="none" w:sz="0" w:space="0" w:color="auto"/>
        <w:right w:val="none" w:sz="0" w:space="0" w:color="auto"/>
      </w:divBdr>
    </w:div>
    <w:div w:id="896747963">
      <w:bodyDiv w:val="1"/>
      <w:marLeft w:val="0"/>
      <w:marRight w:val="0"/>
      <w:marTop w:val="0"/>
      <w:marBottom w:val="0"/>
      <w:divBdr>
        <w:top w:val="none" w:sz="0" w:space="0" w:color="auto"/>
        <w:left w:val="none" w:sz="0" w:space="0" w:color="auto"/>
        <w:bottom w:val="none" w:sz="0" w:space="0" w:color="auto"/>
        <w:right w:val="none" w:sz="0" w:space="0" w:color="auto"/>
      </w:divBdr>
    </w:div>
    <w:div w:id="898977243">
      <w:bodyDiv w:val="1"/>
      <w:marLeft w:val="0"/>
      <w:marRight w:val="0"/>
      <w:marTop w:val="0"/>
      <w:marBottom w:val="0"/>
      <w:divBdr>
        <w:top w:val="none" w:sz="0" w:space="0" w:color="auto"/>
        <w:left w:val="none" w:sz="0" w:space="0" w:color="auto"/>
        <w:bottom w:val="none" w:sz="0" w:space="0" w:color="auto"/>
        <w:right w:val="none" w:sz="0" w:space="0" w:color="auto"/>
      </w:divBdr>
    </w:div>
    <w:div w:id="906303747">
      <w:bodyDiv w:val="1"/>
      <w:marLeft w:val="0"/>
      <w:marRight w:val="0"/>
      <w:marTop w:val="0"/>
      <w:marBottom w:val="0"/>
      <w:divBdr>
        <w:top w:val="none" w:sz="0" w:space="0" w:color="auto"/>
        <w:left w:val="none" w:sz="0" w:space="0" w:color="auto"/>
        <w:bottom w:val="none" w:sz="0" w:space="0" w:color="auto"/>
        <w:right w:val="none" w:sz="0" w:space="0" w:color="auto"/>
      </w:divBdr>
    </w:div>
    <w:div w:id="911278871">
      <w:bodyDiv w:val="1"/>
      <w:marLeft w:val="0"/>
      <w:marRight w:val="0"/>
      <w:marTop w:val="0"/>
      <w:marBottom w:val="0"/>
      <w:divBdr>
        <w:top w:val="none" w:sz="0" w:space="0" w:color="auto"/>
        <w:left w:val="none" w:sz="0" w:space="0" w:color="auto"/>
        <w:bottom w:val="none" w:sz="0" w:space="0" w:color="auto"/>
        <w:right w:val="none" w:sz="0" w:space="0" w:color="auto"/>
      </w:divBdr>
    </w:div>
    <w:div w:id="917054956">
      <w:bodyDiv w:val="1"/>
      <w:marLeft w:val="0"/>
      <w:marRight w:val="0"/>
      <w:marTop w:val="0"/>
      <w:marBottom w:val="0"/>
      <w:divBdr>
        <w:top w:val="none" w:sz="0" w:space="0" w:color="auto"/>
        <w:left w:val="none" w:sz="0" w:space="0" w:color="auto"/>
        <w:bottom w:val="none" w:sz="0" w:space="0" w:color="auto"/>
        <w:right w:val="none" w:sz="0" w:space="0" w:color="auto"/>
      </w:divBdr>
      <w:divsChild>
        <w:div w:id="1573083483">
          <w:marLeft w:val="0"/>
          <w:marRight w:val="0"/>
          <w:marTop w:val="0"/>
          <w:marBottom w:val="0"/>
          <w:divBdr>
            <w:top w:val="none" w:sz="0" w:space="0" w:color="auto"/>
            <w:left w:val="none" w:sz="0" w:space="0" w:color="auto"/>
            <w:bottom w:val="none" w:sz="0" w:space="0" w:color="auto"/>
            <w:right w:val="none" w:sz="0" w:space="0" w:color="auto"/>
          </w:divBdr>
          <w:divsChild>
            <w:div w:id="216169379">
              <w:marLeft w:val="0"/>
              <w:marRight w:val="0"/>
              <w:marTop w:val="0"/>
              <w:marBottom w:val="0"/>
              <w:divBdr>
                <w:top w:val="none" w:sz="0" w:space="0" w:color="auto"/>
                <w:left w:val="none" w:sz="0" w:space="0" w:color="auto"/>
                <w:bottom w:val="none" w:sz="0" w:space="0" w:color="auto"/>
                <w:right w:val="none" w:sz="0" w:space="0" w:color="auto"/>
              </w:divBdr>
              <w:divsChild>
                <w:div w:id="1592157538">
                  <w:marLeft w:val="0"/>
                  <w:marRight w:val="0"/>
                  <w:marTop w:val="0"/>
                  <w:marBottom w:val="0"/>
                  <w:divBdr>
                    <w:top w:val="none" w:sz="0" w:space="0" w:color="auto"/>
                    <w:left w:val="none" w:sz="0" w:space="0" w:color="auto"/>
                    <w:bottom w:val="none" w:sz="0" w:space="0" w:color="auto"/>
                    <w:right w:val="none" w:sz="0" w:space="0" w:color="auto"/>
                  </w:divBdr>
                  <w:divsChild>
                    <w:div w:id="11470909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59908012">
              <w:marLeft w:val="0"/>
              <w:marRight w:val="0"/>
              <w:marTop w:val="0"/>
              <w:marBottom w:val="0"/>
              <w:divBdr>
                <w:top w:val="none" w:sz="0" w:space="0" w:color="auto"/>
                <w:left w:val="none" w:sz="0" w:space="0" w:color="auto"/>
                <w:bottom w:val="none" w:sz="0" w:space="0" w:color="auto"/>
                <w:right w:val="none" w:sz="0" w:space="0" w:color="auto"/>
              </w:divBdr>
              <w:divsChild>
                <w:div w:id="11788150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87256817">
          <w:marLeft w:val="0"/>
          <w:marRight w:val="0"/>
          <w:marTop w:val="0"/>
          <w:marBottom w:val="0"/>
          <w:divBdr>
            <w:top w:val="none" w:sz="0" w:space="0" w:color="auto"/>
            <w:left w:val="none" w:sz="0" w:space="0" w:color="auto"/>
            <w:bottom w:val="none" w:sz="0" w:space="0" w:color="auto"/>
            <w:right w:val="none" w:sz="0" w:space="0" w:color="auto"/>
          </w:divBdr>
          <w:divsChild>
            <w:div w:id="855270666">
              <w:marLeft w:val="0"/>
              <w:marRight w:val="0"/>
              <w:marTop w:val="0"/>
              <w:marBottom w:val="0"/>
              <w:divBdr>
                <w:top w:val="none" w:sz="0" w:space="0" w:color="auto"/>
                <w:left w:val="none" w:sz="0" w:space="0" w:color="auto"/>
                <w:bottom w:val="none" w:sz="0" w:space="0" w:color="auto"/>
                <w:right w:val="none" w:sz="0" w:space="0" w:color="auto"/>
              </w:divBdr>
              <w:divsChild>
                <w:div w:id="766269127">
                  <w:marLeft w:val="0"/>
                  <w:marRight w:val="0"/>
                  <w:marTop w:val="0"/>
                  <w:marBottom w:val="0"/>
                  <w:divBdr>
                    <w:top w:val="none" w:sz="0" w:space="0" w:color="auto"/>
                    <w:left w:val="none" w:sz="0" w:space="0" w:color="auto"/>
                    <w:bottom w:val="none" w:sz="0" w:space="0" w:color="auto"/>
                    <w:right w:val="none" w:sz="0" w:space="0" w:color="auto"/>
                  </w:divBdr>
                </w:div>
              </w:divsChild>
            </w:div>
            <w:div w:id="811874482">
              <w:marLeft w:val="0"/>
              <w:marRight w:val="0"/>
              <w:marTop w:val="0"/>
              <w:marBottom w:val="0"/>
              <w:divBdr>
                <w:top w:val="none" w:sz="0" w:space="0" w:color="auto"/>
                <w:left w:val="none" w:sz="0" w:space="0" w:color="auto"/>
                <w:bottom w:val="none" w:sz="0" w:space="0" w:color="auto"/>
                <w:right w:val="none" w:sz="0" w:space="0" w:color="auto"/>
              </w:divBdr>
              <w:divsChild>
                <w:div w:id="103695378">
                  <w:marLeft w:val="0"/>
                  <w:marRight w:val="0"/>
                  <w:marTop w:val="0"/>
                  <w:marBottom w:val="0"/>
                  <w:divBdr>
                    <w:top w:val="none" w:sz="0" w:space="0" w:color="auto"/>
                    <w:left w:val="none" w:sz="0" w:space="0" w:color="auto"/>
                    <w:bottom w:val="none" w:sz="0" w:space="0" w:color="auto"/>
                    <w:right w:val="none" w:sz="0" w:space="0" w:color="auto"/>
                  </w:divBdr>
                  <w:divsChild>
                    <w:div w:id="1617785791">
                      <w:marLeft w:val="0"/>
                      <w:marRight w:val="0"/>
                      <w:marTop w:val="0"/>
                      <w:marBottom w:val="0"/>
                      <w:divBdr>
                        <w:top w:val="none" w:sz="0" w:space="0" w:color="auto"/>
                        <w:left w:val="none" w:sz="0" w:space="0" w:color="auto"/>
                        <w:bottom w:val="none" w:sz="0" w:space="0" w:color="auto"/>
                        <w:right w:val="none" w:sz="0" w:space="0" w:color="auto"/>
                      </w:divBdr>
                    </w:div>
                  </w:divsChild>
                </w:div>
                <w:div w:id="1243611364">
                  <w:marLeft w:val="0"/>
                  <w:marRight w:val="0"/>
                  <w:marTop w:val="0"/>
                  <w:marBottom w:val="0"/>
                  <w:divBdr>
                    <w:top w:val="none" w:sz="0" w:space="0" w:color="auto"/>
                    <w:left w:val="none" w:sz="0" w:space="0" w:color="auto"/>
                    <w:bottom w:val="none" w:sz="0" w:space="0" w:color="auto"/>
                    <w:right w:val="none" w:sz="0" w:space="0" w:color="auto"/>
                  </w:divBdr>
                  <w:divsChild>
                    <w:div w:id="107698941">
                      <w:marLeft w:val="0"/>
                      <w:marRight w:val="0"/>
                      <w:marTop w:val="0"/>
                      <w:marBottom w:val="0"/>
                      <w:divBdr>
                        <w:top w:val="none" w:sz="0" w:space="0" w:color="auto"/>
                        <w:left w:val="none" w:sz="0" w:space="0" w:color="auto"/>
                        <w:bottom w:val="none" w:sz="0" w:space="0" w:color="auto"/>
                        <w:right w:val="none" w:sz="0" w:space="0" w:color="auto"/>
                      </w:divBdr>
                    </w:div>
                  </w:divsChild>
                </w:div>
                <w:div w:id="1379934612">
                  <w:marLeft w:val="0"/>
                  <w:marRight w:val="0"/>
                  <w:marTop w:val="0"/>
                  <w:marBottom w:val="0"/>
                  <w:divBdr>
                    <w:top w:val="none" w:sz="0" w:space="0" w:color="auto"/>
                    <w:left w:val="none" w:sz="0" w:space="0" w:color="auto"/>
                    <w:bottom w:val="none" w:sz="0" w:space="0" w:color="auto"/>
                    <w:right w:val="none" w:sz="0" w:space="0" w:color="auto"/>
                  </w:divBdr>
                  <w:divsChild>
                    <w:div w:id="995838803">
                      <w:marLeft w:val="0"/>
                      <w:marRight w:val="0"/>
                      <w:marTop w:val="0"/>
                      <w:marBottom w:val="0"/>
                      <w:divBdr>
                        <w:top w:val="none" w:sz="0" w:space="0" w:color="auto"/>
                        <w:left w:val="none" w:sz="0" w:space="0" w:color="auto"/>
                        <w:bottom w:val="none" w:sz="0" w:space="0" w:color="auto"/>
                        <w:right w:val="none" w:sz="0" w:space="0" w:color="auto"/>
                      </w:divBdr>
                    </w:div>
                  </w:divsChild>
                </w:div>
                <w:div w:id="871259901">
                  <w:marLeft w:val="0"/>
                  <w:marRight w:val="0"/>
                  <w:marTop w:val="0"/>
                  <w:marBottom w:val="0"/>
                  <w:divBdr>
                    <w:top w:val="none" w:sz="0" w:space="0" w:color="auto"/>
                    <w:left w:val="none" w:sz="0" w:space="0" w:color="auto"/>
                    <w:bottom w:val="none" w:sz="0" w:space="0" w:color="auto"/>
                    <w:right w:val="none" w:sz="0" w:space="0" w:color="auto"/>
                  </w:divBdr>
                  <w:divsChild>
                    <w:div w:id="1258372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36034502">
              <w:marLeft w:val="0"/>
              <w:marRight w:val="0"/>
              <w:marTop w:val="0"/>
              <w:marBottom w:val="0"/>
              <w:divBdr>
                <w:top w:val="none" w:sz="0" w:space="0" w:color="auto"/>
                <w:left w:val="none" w:sz="0" w:space="0" w:color="auto"/>
                <w:bottom w:val="none" w:sz="0" w:space="0" w:color="auto"/>
                <w:right w:val="none" w:sz="0" w:space="0" w:color="auto"/>
              </w:divBdr>
              <w:divsChild>
                <w:div w:id="6997467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90231271">
          <w:marLeft w:val="0"/>
          <w:marRight w:val="0"/>
          <w:marTop w:val="0"/>
          <w:marBottom w:val="0"/>
          <w:divBdr>
            <w:top w:val="none" w:sz="0" w:space="0" w:color="auto"/>
            <w:left w:val="none" w:sz="0" w:space="0" w:color="auto"/>
            <w:bottom w:val="none" w:sz="0" w:space="0" w:color="auto"/>
            <w:right w:val="none" w:sz="0" w:space="0" w:color="auto"/>
          </w:divBdr>
          <w:divsChild>
            <w:div w:id="730814388">
              <w:marLeft w:val="0"/>
              <w:marRight w:val="0"/>
              <w:marTop w:val="0"/>
              <w:marBottom w:val="0"/>
              <w:divBdr>
                <w:top w:val="none" w:sz="0" w:space="0" w:color="auto"/>
                <w:left w:val="none" w:sz="0" w:space="0" w:color="auto"/>
                <w:bottom w:val="none" w:sz="0" w:space="0" w:color="auto"/>
                <w:right w:val="none" w:sz="0" w:space="0" w:color="auto"/>
              </w:divBdr>
              <w:divsChild>
                <w:div w:id="819467400">
                  <w:marLeft w:val="0"/>
                  <w:marRight w:val="0"/>
                  <w:marTop w:val="0"/>
                  <w:marBottom w:val="0"/>
                  <w:divBdr>
                    <w:top w:val="none" w:sz="0" w:space="0" w:color="auto"/>
                    <w:left w:val="none" w:sz="0" w:space="0" w:color="auto"/>
                    <w:bottom w:val="none" w:sz="0" w:space="0" w:color="auto"/>
                    <w:right w:val="none" w:sz="0" w:space="0" w:color="auto"/>
                  </w:divBdr>
                </w:div>
              </w:divsChild>
            </w:div>
            <w:div w:id="1847547911">
              <w:marLeft w:val="0"/>
              <w:marRight w:val="0"/>
              <w:marTop w:val="0"/>
              <w:marBottom w:val="0"/>
              <w:divBdr>
                <w:top w:val="none" w:sz="0" w:space="0" w:color="auto"/>
                <w:left w:val="none" w:sz="0" w:space="0" w:color="auto"/>
                <w:bottom w:val="none" w:sz="0" w:space="0" w:color="auto"/>
                <w:right w:val="none" w:sz="0" w:space="0" w:color="auto"/>
              </w:divBdr>
              <w:divsChild>
                <w:div w:id="1954825233">
                  <w:marLeft w:val="0"/>
                  <w:marRight w:val="0"/>
                  <w:marTop w:val="0"/>
                  <w:marBottom w:val="0"/>
                  <w:divBdr>
                    <w:top w:val="none" w:sz="0" w:space="0" w:color="auto"/>
                    <w:left w:val="none" w:sz="0" w:space="0" w:color="auto"/>
                    <w:bottom w:val="none" w:sz="0" w:space="0" w:color="auto"/>
                    <w:right w:val="none" w:sz="0" w:space="0" w:color="auto"/>
                  </w:divBdr>
                  <w:divsChild>
                    <w:div w:id="9835805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76436882">
              <w:marLeft w:val="0"/>
              <w:marRight w:val="0"/>
              <w:marTop w:val="0"/>
              <w:marBottom w:val="0"/>
              <w:divBdr>
                <w:top w:val="none" w:sz="0" w:space="0" w:color="auto"/>
                <w:left w:val="none" w:sz="0" w:space="0" w:color="auto"/>
                <w:bottom w:val="none" w:sz="0" w:space="0" w:color="auto"/>
                <w:right w:val="none" w:sz="0" w:space="0" w:color="auto"/>
              </w:divBdr>
              <w:divsChild>
                <w:div w:id="8239290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39363924">
          <w:marLeft w:val="0"/>
          <w:marRight w:val="0"/>
          <w:marTop w:val="0"/>
          <w:marBottom w:val="0"/>
          <w:divBdr>
            <w:top w:val="none" w:sz="0" w:space="0" w:color="auto"/>
            <w:left w:val="none" w:sz="0" w:space="0" w:color="auto"/>
            <w:bottom w:val="none" w:sz="0" w:space="0" w:color="auto"/>
            <w:right w:val="none" w:sz="0" w:space="0" w:color="auto"/>
          </w:divBdr>
          <w:divsChild>
            <w:div w:id="1077173514">
              <w:marLeft w:val="0"/>
              <w:marRight w:val="0"/>
              <w:marTop w:val="0"/>
              <w:marBottom w:val="0"/>
              <w:divBdr>
                <w:top w:val="none" w:sz="0" w:space="0" w:color="auto"/>
                <w:left w:val="none" w:sz="0" w:space="0" w:color="auto"/>
                <w:bottom w:val="none" w:sz="0" w:space="0" w:color="auto"/>
                <w:right w:val="none" w:sz="0" w:space="0" w:color="auto"/>
              </w:divBdr>
              <w:divsChild>
                <w:div w:id="1745298840">
                  <w:marLeft w:val="0"/>
                  <w:marRight w:val="0"/>
                  <w:marTop w:val="0"/>
                  <w:marBottom w:val="0"/>
                  <w:divBdr>
                    <w:top w:val="none" w:sz="0" w:space="0" w:color="auto"/>
                    <w:left w:val="none" w:sz="0" w:space="0" w:color="auto"/>
                    <w:bottom w:val="none" w:sz="0" w:space="0" w:color="auto"/>
                    <w:right w:val="none" w:sz="0" w:space="0" w:color="auto"/>
                  </w:divBdr>
                </w:div>
              </w:divsChild>
            </w:div>
            <w:div w:id="1651784579">
              <w:marLeft w:val="0"/>
              <w:marRight w:val="0"/>
              <w:marTop w:val="0"/>
              <w:marBottom w:val="0"/>
              <w:divBdr>
                <w:top w:val="none" w:sz="0" w:space="0" w:color="auto"/>
                <w:left w:val="none" w:sz="0" w:space="0" w:color="auto"/>
                <w:bottom w:val="none" w:sz="0" w:space="0" w:color="auto"/>
                <w:right w:val="none" w:sz="0" w:space="0" w:color="auto"/>
              </w:divBdr>
              <w:divsChild>
                <w:div w:id="450784266">
                  <w:marLeft w:val="0"/>
                  <w:marRight w:val="0"/>
                  <w:marTop w:val="0"/>
                  <w:marBottom w:val="0"/>
                  <w:divBdr>
                    <w:top w:val="none" w:sz="0" w:space="0" w:color="auto"/>
                    <w:left w:val="none" w:sz="0" w:space="0" w:color="auto"/>
                    <w:bottom w:val="none" w:sz="0" w:space="0" w:color="auto"/>
                    <w:right w:val="none" w:sz="0" w:space="0" w:color="auto"/>
                  </w:divBdr>
                  <w:divsChild>
                    <w:div w:id="16512089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16093819">
              <w:marLeft w:val="0"/>
              <w:marRight w:val="0"/>
              <w:marTop w:val="0"/>
              <w:marBottom w:val="0"/>
              <w:divBdr>
                <w:top w:val="none" w:sz="0" w:space="0" w:color="auto"/>
                <w:left w:val="none" w:sz="0" w:space="0" w:color="auto"/>
                <w:bottom w:val="none" w:sz="0" w:space="0" w:color="auto"/>
                <w:right w:val="none" w:sz="0" w:space="0" w:color="auto"/>
              </w:divBdr>
              <w:divsChild>
                <w:div w:id="10088240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7921273">
          <w:marLeft w:val="0"/>
          <w:marRight w:val="0"/>
          <w:marTop w:val="0"/>
          <w:marBottom w:val="0"/>
          <w:divBdr>
            <w:top w:val="none" w:sz="0" w:space="0" w:color="auto"/>
            <w:left w:val="none" w:sz="0" w:space="0" w:color="auto"/>
            <w:bottom w:val="none" w:sz="0" w:space="0" w:color="auto"/>
            <w:right w:val="none" w:sz="0" w:space="0" w:color="auto"/>
          </w:divBdr>
          <w:divsChild>
            <w:div w:id="1849320714">
              <w:marLeft w:val="0"/>
              <w:marRight w:val="0"/>
              <w:marTop w:val="0"/>
              <w:marBottom w:val="0"/>
              <w:divBdr>
                <w:top w:val="none" w:sz="0" w:space="0" w:color="auto"/>
                <w:left w:val="none" w:sz="0" w:space="0" w:color="auto"/>
                <w:bottom w:val="none" w:sz="0" w:space="0" w:color="auto"/>
                <w:right w:val="none" w:sz="0" w:space="0" w:color="auto"/>
              </w:divBdr>
              <w:divsChild>
                <w:div w:id="24451283">
                  <w:marLeft w:val="0"/>
                  <w:marRight w:val="0"/>
                  <w:marTop w:val="0"/>
                  <w:marBottom w:val="0"/>
                  <w:divBdr>
                    <w:top w:val="none" w:sz="0" w:space="0" w:color="auto"/>
                    <w:left w:val="none" w:sz="0" w:space="0" w:color="auto"/>
                    <w:bottom w:val="none" w:sz="0" w:space="0" w:color="auto"/>
                    <w:right w:val="none" w:sz="0" w:space="0" w:color="auto"/>
                  </w:divBdr>
                </w:div>
              </w:divsChild>
            </w:div>
            <w:div w:id="596135124">
              <w:marLeft w:val="0"/>
              <w:marRight w:val="0"/>
              <w:marTop w:val="0"/>
              <w:marBottom w:val="0"/>
              <w:divBdr>
                <w:top w:val="none" w:sz="0" w:space="0" w:color="auto"/>
                <w:left w:val="none" w:sz="0" w:space="0" w:color="auto"/>
                <w:bottom w:val="none" w:sz="0" w:space="0" w:color="auto"/>
                <w:right w:val="none" w:sz="0" w:space="0" w:color="auto"/>
              </w:divBdr>
              <w:divsChild>
                <w:div w:id="1108353344">
                  <w:marLeft w:val="0"/>
                  <w:marRight w:val="0"/>
                  <w:marTop w:val="0"/>
                  <w:marBottom w:val="0"/>
                  <w:divBdr>
                    <w:top w:val="none" w:sz="0" w:space="0" w:color="auto"/>
                    <w:left w:val="none" w:sz="0" w:space="0" w:color="auto"/>
                    <w:bottom w:val="none" w:sz="0" w:space="0" w:color="auto"/>
                    <w:right w:val="none" w:sz="0" w:space="0" w:color="auto"/>
                  </w:divBdr>
                  <w:divsChild>
                    <w:div w:id="16542625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89296678">
              <w:marLeft w:val="0"/>
              <w:marRight w:val="0"/>
              <w:marTop w:val="0"/>
              <w:marBottom w:val="0"/>
              <w:divBdr>
                <w:top w:val="none" w:sz="0" w:space="0" w:color="auto"/>
                <w:left w:val="none" w:sz="0" w:space="0" w:color="auto"/>
                <w:bottom w:val="none" w:sz="0" w:space="0" w:color="auto"/>
                <w:right w:val="none" w:sz="0" w:space="0" w:color="auto"/>
              </w:divBdr>
              <w:divsChild>
                <w:div w:id="20140627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87665567">
          <w:marLeft w:val="0"/>
          <w:marRight w:val="0"/>
          <w:marTop w:val="0"/>
          <w:marBottom w:val="0"/>
          <w:divBdr>
            <w:top w:val="none" w:sz="0" w:space="0" w:color="auto"/>
            <w:left w:val="none" w:sz="0" w:space="0" w:color="auto"/>
            <w:bottom w:val="none" w:sz="0" w:space="0" w:color="auto"/>
            <w:right w:val="none" w:sz="0" w:space="0" w:color="auto"/>
          </w:divBdr>
          <w:divsChild>
            <w:div w:id="617487639">
              <w:marLeft w:val="0"/>
              <w:marRight w:val="0"/>
              <w:marTop w:val="0"/>
              <w:marBottom w:val="0"/>
              <w:divBdr>
                <w:top w:val="none" w:sz="0" w:space="0" w:color="auto"/>
                <w:left w:val="none" w:sz="0" w:space="0" w:color="auto"/>
                <w:bottom w:val="none" w:sz="0" w:space="0" w:color="auto"/>
                <w:right w:val="none" w:sz="0" w:space="0" w:color="auto"/>
              </w:divBdr>
              <w:divsChild>
                <w:div w:id="923339037">
                  <w:marLeft w:val="0"/>
                  <w:marRight w:val="0"/>
                  <w:marTop w:val="0"/>
                  <w:marBottom w:val="0"/>
                  <w:divBdr>
                    <w:top w:val="none" w:sz="0" w:space="0" w:color="auto"/>
                    <w:left w:val="none" w:sz="0" w:space="0" w:color="auto"/>
                    <w:bottom w:val="none" w:sz="0" w:space="0" w:color="auto"/>
                    <w:right w:val="none" w:sz="0" w:space="0" w:color="auto"/>
                  </w:divBdr>
                </w:div>
              </w:divsChild>
            </w:div>
            <w:div w:id="366761722">
              <w:marLeft w:val="0"/>
              <w:marRight w:val="0"/>
              <w:marTop w:val="0"/>
              <w:marBottom w:val="0"/>
              <w:divBdr>
                <w:top w:val="none" w:sz="0" w:space="0" w:color="auto"/>
                <w:left w:val="none" w:sz="0" w:space="0" w:color="auto"/>
                <w:bottom w:val="none" w:sz="0" w:space="0" w:color="auto"/>
                <w:right w:val="none" w:sz="0" w:space="0" w:color="auto"/>
              </w:divBdr>
              <w:divsChild>
                <w:div w:id="1782453293">
                  <w:marLeft w:val="0"/>
                  <w:marRight w:val="0"/>
                  <w:marTop w:val="0"/>
                  <w:marBottom w:val="0"/>
                  <w:divBdr>
                    <w:top w:val="none" w:sz="0" w:space="0" w:color="auto"/>
                    <w:left w:val="none" w:sz="0" w:space="0" w:color="auto"/>
                    <w:bottom w:val="none" w:sz="0" w:space="0" w:color="auto"/>
                    <w:right w:val="none" w:sz="0" w:space="0" w:color="auto"/>
                  </w:divBdr>
                  <w:divsChild>
                    <w:div w:id="504214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73190977">
              <w:marLeft w:val="0"/>
              <w:marRight w:val="0"/>
              <w:marTop w:val="0"/>
              <w:marBottom w:val="0"/>
              <w:divBdr>
                <w:top w:val="none" w:sz="0" w:space="0" w:color="auto"/>
                <w:left w:val="none" w:sz="0" w:space="0" w:color="auto"/>
                <w:bottom w:val="none" w:sz="0" w:space="0" w:color="auto"/>
                <w:right w:val="none" w:sz="0" w:space="0" w:color="auto"/>
              </w:divBdr>
              <w:divsChild>
                <w:div w:id="11527141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79732665">
          <w:marLeft w:val="0"/>
          <w:marRight w:val="0"/>
          <w:marTop w:val="0"/>
          <w:marBottom w:val="0"/>
          <w:divBdr>
            <w:top w:val="none" w:sz="0" w:space="0" w:color="auto"/>
            <w:left w:val="none" w:sz="0" w:space="0" w:color="auto"/>
            <w:bottom w:val="none" w:sz="0" w:space="0" w:color="auto"/>
            <w:right w:val="none" w:sz="0" w:space="0" w:color="auto"/>
          </w:divBdr>
          <w:divsChild>
            <w:div w:id="1905948687">
              <w:marLeft w:val="0"/>
              <w:marRight w:val="0"/>
              <w:marTop w:val="0"/>
              <w:marBottom w:val="0"/>
              <w:divBdr>
                <w:top w:val="none" w:sz="0" w:space="0" w:color="auto"/>
                <w:left w:val="none" w:sz="0" w:space="0" w:color="auto"/>
                <w:bottom w:val="none" w:sz="0" w:space="0" w:color="auto"/>
                <w:right w:val="none" w:sz="0" w:space="0" w:color="auto"/>
              </w:divBdr>
              <w:divsChild>
                <w:div w:id="225993925">
                  <w:marLeft w:val="0"/>
                  <w:marRight w:val="0"/>
                  <w:marTop w:val="0"/>
                  <w:marBottom w:val="0"/>
                  <w:divBdr>
                    <w:top w:val="none" w:sz="0" w:space="0" w:color="auto"/>
                    <w:left w:val="none" w:sz="0" w:space="0" w:color="auto"/>
                    <w:bottom w:val="none" w:sz="0" w:space="0" w:color="auto"/>
                    <w:right w:val="none" w:sz="0" w:space="0" w:color="auto"/>
                  </w:divBdr>
                </w:div>
              </w:divsChild>
            </w:div>
            <w:div w:id="306520366">
              <w:marLeft w:val="0"/>
              <w:marRight w:val="0"/>
              <w:marTop w:val="0"/>
              <w:marBottom w:val="0"/>
              <w:divBdr>
                <w:top w:val="none" w:sz="0" w:space="0" w:color="auto"/>
                <w:left w:val="none" w:sz="0" w:space="0" w:color="auto"/>
                <w:bottom w:val="none" w:sz="0" w:space="0" w:color="auto"/>
                <w:right w:val="none" w:sz="0" w:space="0" w:color="auto"/>
              </w:divBdr>
              <w:divsChild>
                <w:div w:id="1303847608">
                  <w:marLeft w:val="0"/>
                  <w:marRight w:val="0"/>
                  <w:marTop w:val="0"/>
                  <w:marBottom w:val="0"/>
                  <w:divBdr>
                    <w:top w:val="none" w:sz="0" w:space="0" w:color="auto"/>
                    <w:left w:val="none" w:sz="0" w:space="0" w:color="auto"/>
                    <w:bottom w:val="none" w:sz="0" w:space="0" w:color="auto"/>
                    <w:right w:val="none" w:sz="0" w:space="0" w:color="auto"/>
                  </w:divBdr>
                  <w:divsChild>
                    <w:div w:id="1923489042">
                      <w:marLeft w:val="0"/>
                      <w:marRight w:val="0"/>
                      <w:marTop w:val="0"/>
                      <w:marBottom w:val="0"/>
                      <w:divBdr>
                        <w:top w:val="none" w:sz="0" w:space="0" w:color="auto"/>
                        <w:left w:val="none" w:sz="0" w:space="0" w:color="auto"/>
                        <w:bottom w:val="none" w:sz="0" w:space="0" w:color="auto"/>
                        <w:right w:val="none" w:sz="0" w:space="0" w:color="auto"/>
                      </w:divBdr>
                    </w:div>
                  </w:divsChild>
                </w:div>
                <w:div w:id="1144352643">
                  <w:marLeft w:val="0"/>
                  <w:marRight w:val="0"/>
                  <w:marTop w:val="0"/>
                  <w:marBottom w:val="0"/>
                  <w:divBdr>
                    <w:top w:val="none" w:sz="0" w:space="0" w:color="auto"/>
                    <w:left w:val="none" w:sz="0" w:space="0" w:color="auto"/>
                    <w:bottom w:val="none" w:sz="0" w:space="0" w:color="auto"/>
                    <w:right w:val="none" w:sz="0" w:space="0" w:color="auto"/>
                  </w:divBdr>
                  <w:divsChild>
                    <w:div w:id="21421921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1724857">
              <w:marLeft w:val="0"/>
              <w:marRight w:val="0"/>
              <w:marTop w:val="0"/>
              <w:marBottom w:val="0"/>
              <w:divBdr>
                <w:top w:val="none" w:sz="0" w:space="0" w:color="auto"/>
                <w:left w:val="none" w:sz="0" w:space="0" w:color="auto"/>
                <w:bottom w:val="none" w:sz="0" w:space="0" w:color="auto"/>
                <w:right w:val="none" w:sz="0" w:space="0" w:color="auto"/>
              </w:divBdr>
              <w:divsChild>
                <w:div w:id="18361914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95602576">
          <w:marLeft w:val="0"/>
          <w:marRight w:val="0"/>
          <w:marTop w:val="0"/>
          <w:marBottom w:val="0"/>
          <w:divBdr>
            <w:top w:val="none" w:sz="0" w:space="0" w:color="auto"/>
            <w:left w:val="none" w:sz="0" w:space="0" w:color="auto"/>
            <w:bottom w:val="none" w:sz="0" w:space="0" w:color="auto"/>
            <w:right w:val="none" w:sz="0" w:space="0" w:color="auto"/>
          </w:divBdr>
          <w:divsChild>
            <w:div w:id="1698890317">
              <w:marLeft w:val="0"/>
              <w:marRight w:val="0"/>
              <w:marTop w:val="0"/>
              <w:marBottom w:val="0"/>
              <w:divBdr>
                <w:top w:val="none" w:sz="0" w:space="0" w:color="auto"/>
                <w:left w:val="none" w:sz="0" w:space="0" w:color="auto"/>
                <w:bottom w:val="none" w:sz="0" w:space="0" w:color="auto"/>
                <w:right w:val="none" w:sz="0" w:space="0" w:color="auto"/>
              </w:divBdr>
              <w:divsChild>
                <w:div w:id="810635259">
                  <w:marLeft w:val="0"/>
                  <w:marRight w:val="0"/>
                  <w:marTop w:val="0"/>
                  <w:marBottom w:val="0"/>
                  <w:divBdr>
                    <w:top w:val="none" w:sz="0" w:space="0" w:color="auto"/>
                    <w:left w:val="none" w:sz="0" w:space="0" w:color="auto"/>
                    <w:bottom w:val="none" w:sz="0" w:space="0" w:color="auto"/>
                    <w:right w:val="none" w:sz="0" w:space="0" w:color="auto"/>
                  </w:divBdr>
                </w:div>
              </w:divsChild>
            </w:div>
            <w:div w:id="120268445">
              <w:marLeft w:val="0"/>
              <w:marRight w:val="0"/>
              <w:marTop w:val="0"/>
              <w:marBottom w:val="0"/>
              <w:divBdr>
                <w:top w:val="none" w:sz="0" w:space="0" w:color="auto"/>
                <w:left w:val="none" w:sz="0" w:space="0" w:color="auto"/>
                <w:bottom w:val="none" w:sz="0" w:space="0" w:color="auto"/>
                <w:right w:val="none" w:sz="0" w:space="0" w:color="auto"/>
              </w:divBdr>
              <w:divsChild>
                <w:div w:id="1207393">
                  <w:marLeft w:val="0"/>
                  <w:marRight w:val="0"/>
                  <w:marTop w:val="0"/>
                  <w:marBottom w:val="0"/>
                  <w:divBdr>
                    <w:top w:val="none" w:sz="0" w:space="0" w:color="auto"/>
                    <w:left w:val="none" w:sz="0" w:space="0" w:color="auto"/>
                    <w:bottom w:val="none" w:sz="0" w:space="0" w:color="auto"/>
                    <w:right w:val="none" w:sz="0" w:space="0" w:color="auto"/>
                  </w:divBdr>
                  <w:divsChild>
                    <w:div w:id="1551772054">
                      <w:marLeft w:val="0"/>
                      <w:marRight w:val="0"/>
                      <w:marTop w:val="0"/>
                      <w:marBottom w:val="0"/>
                      <w:divBdr>
                        <w:top w:val="none" w:sz="0" w:space="0" w:color="auto"/>
                        <w:left w:val="none" w:sz="0" w:space="0" w:color="auto"/>
                        <w:bottom w:val="none" w:sz="0" w:space="0" w:color="auto"/>
                        <w:right w:val="none" w:sz="0" w:space="0" w:color="auto"/>
                      </w:divBdr>
                    </w:div>
                  </w:divsChild>
                </w:div>
                <w:div w:id="1711609336">
                  <w:marLeft w:val="0"/>
                  <w:marRight w:val="0"/>
                  <w:marTop w:val="0"/>
                  <w:marBottom w:val="0"/>
                  <w:divBdr>
                    <w:top w:val="none" w:sz="0" w:space="0" w:color="auto"/>
                    <w:left w:val="none" w:sz="0" w:space="0" w:color="auto"/>
                    <w:bottom w:val="none" w:sz="0" w:space="0" w:color="auto"/>
                    <w:right w:val="none" w:sz="0" w:space="0" w:color="auto"/>
                  </w:divBdr>
                  <w:divsChild>
                    <w:div w:id="1820879118">
                      <w:marLeft w:val="0"/>
                      <w:marRight w:val="0"/>
                      <w:marTop w:val="0"/>
                      <w:marBottom w:val="0"/>
                      <w:divBdr>
                        <w:top w:val="none" w:sz="0" w:space="0" w:color="auto"/>
                        <w:left w:val="none" w:sz="0" w:space="0" w:color="auto"/>
                        <w:bottom w:val="none" w:sz="0" w:space="0" w:color="auto"/>
                        <w:right w:val="none" w:sz="0" w:space="0" w:color="auto"/>
                      </w:divBdr>
                    </w:div>
                  </w:divsChild>
                </w:div>
                <w:div w:id="1298224456">
                  <w:marLeft w:val="0"/>
                  <w:marRight w:val="0"/>
                  <w:marTop w:val="0"/>
                  <w:marBottom w:val="0"/>
                  <w:divBdr>
                    <w:top w:val="none" w:sz="0" w:space="0" w:color="auto"/>
                    <w:left w:val="none" w:sz="0" w:space="0" w:color="auto"/>
                    <w:bottom w:val="none" w:sz="0" w:space="0" w:color="auto"/>
                    <w:right w:val="none" w:sz="0" w:space="0" w:color="auto"/>
                  </w:divBdr>
                  <w:divsChild>
                    <w:div w:id="1750887036">
                      <w:marLeft w:val="0"/>
                      <w:marRight w:val="0"/>
                      <w:marTop w:val="0"/>
                      <w:marBottom w:val="0"/>
                      <w:divBdr>
                        <w:top w:val="none" w:sz="0" w:space="0" w:color="auto"/>
                        <w:left w:val="none" w:sz="0" w:space="0" w:color="auto"/>
                        <w:bottom w:val="none" w:sz="0" w:space="0" w:color="auto"/>
                        <w:right w:val="none" w:sz="0" w:space="0" w:color="auto"/>
                      </w:divBdr>
                    </w:div>
                  </w:divsChild>
                </w:div>
                <w:div w:id="1808166031">
                  <w:marLeft w:val="0"/>
                  <w:marRight w:val="0"/>
                  <w:marTop w:val="0"/>
                  <w:marBottom w:val="0"/>
                  <w:divBdr>
                    <w:top w:val="none" w:sz="0" w:space="0" w:color="auto"/>
                    <w:left w:val="none" w:sz="0" w:space="0" w:color="auto"/>
                    <w:bottom w:val="none" w:sz="0" w:space="0" w:color="auto"/>
                    <w:right w:val="none" w:sz="0" w:space="0" w:color="auto"/>
                  </w:divBdr>
                  <w:divsChild>
                    <w:div w:id="1575162851">
                      <w:marLeft w:val="0"/>
                      <w:marRight w:val="0"/>
                      <w:marTop w:val="0"/>
                      <w:marBottom w:val="0"/>
                      <w:divBdr>
                        <w:top w:val="none" w:sz="0" w:space="0" w:color="auto"/>
                        <w:left w:val="none" w:sz="0" w:space="0" w:color="auto"/>
                        <w:bottom w:val="none" w:sz="0" w:space="0" w:color="auto"/>
                        <w:right w:val="none" w:sz="0" w:space="0" w:color="auto"/>
                      </w:divBdr>
                    </w:div>
                  </w:divsChild>
                </w:div>
                <w:div w:id="431627728">
                  <w:marLeft w:val="0"/>
                  <w:marRight w:val="0"/>
                  <w:marTop w:val="0"/>
                  <w:marBottom w:val="0"/>
                  <w:divBdr>
                    <w:top w:val="none" w:sz="0" w:space="0" w:color="auto"/>
                    <w:left w:val="none" w:sz="0" w:space="0" w:color="auto"/>
                    <w:bottom w:val="none" w:sz="0" w:space="0" w:color="auto"/>
                    <w:right w:val="none" w:sz="0" w:space="0" w:color="auto"/>
                  </w:divBdr>
                  <w:divsChild>
                    <w:div w:id="1142425898">
                      <w:marLeft w:val="0"/>
                      <w:marRight w:val="0"/>
                      <w:marTop w:val="0"/>
                      <w:marBottom w:val="0"/>
                      <w:divBdr>
                        <w:top w:val="none" w:sz="0" w:space="0" w:color="auto"/>
                        <w:left w:val="none" w:sz="0" w:space="0" w:color="auto"/>
                        <w:bottom w:val="none" w:sz="0" w:space="0" w:color="auto"/>
                        <w:right w:val="none" w:sz="0" w:space="0" w:color="auto"/>
                      </w:divBdr>
                    </w:div>
                  </w:divsChild>
                </w:div>
                <w:div w:id="591821343">
                  <w:marLeft w:val="0"/>
                  <w:marRight w:val="0"/>
                  <w:marTop w:val="0"/>
                  <w:marBottom w:val="0"/>
                  <w:divBdr>
                    <w:top w:val="none" w:sz="0" w:space="0" w:color="auto"/>
                    <w:left w:val="none" w:sz="0" w:space="0" w:color="auto"/>
                    <w:bottom w:val="none" w:sz="0" w:space="0" w:color="auto"/>
                    <w:right w:val="none" w:sz="0" w:space="0" w:color="auto"/>
                  </w:divBdr>
                  <w:divsChild>
                    <w:div w:id="1209755689">
                      <w:marLeft w:val="0"/>
                      <w:marRight w:val="0"/>
                      <w:marTop w:val="0"/>
                      <w:marBottom w:val="0"/>
                      <w:divBdr>
                        <w:top w:val="none" w:sz="0" w:space="0" w:color="auto"/>
                        <w:left w:val="none" w:sz="0" w:space="0" w:color="auto"/>
                        <w:bottom w:val="none" w:sz="0" w:space="0" w:color="auto"/>
                        <w:right w:val="none" w:sz="0" w:space="0" w:color="auto"/>
                      </w:divBdr>
                    </w:div>
                  </w:divsChild>
                </w:div>
                <w:div w:id="285503716">
                  <w:marLeft w:val="0"/>
                  <w:marRight w:val="0"/>
                  <w:marTop w:val="0"/>
                  <w:marBottom w:val="0"/>
                  <w:divBdr>
                    <w:top w:val="none" w:sz="0" w:space="0" w:color="auto"/>
                    <w:left w:val="none" w:sz="0" w:space="0" w:color="auto"/>
                    <w:bottom w:val="none" w:sz="0" w:space="0" w:color="auto"/>
                    <w:right w:val="none" w:sz="0" w:space="0" w:color="auto"/>
                  </w:divBdr>
                  <w:divsChild>
                    <w:div w:id="4720666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47942143">
              <w:marLeft w:val="0"/>
              <w:marRight w:val="0"/>
              <w:marTop w:val="0"/>
              <w:marBottom w:val="0"/>
              <w:divBdr>
                <w:top w:val="none" w:sz="0" w:space="0" w:color="auto"/>
                <w:left w:val="none" w:sz="0" w:space="0" w:color="auto"/>
                <w:bottom w:val="none" w:sz="0" w:space="0" w:color="auto"/>
                <w:right w:val="none" w:sz="0" w:space="0" w:color="auto"/>
              </w:divBdr>
              <w:divsChild>
                <w:div w:id="15975202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90644506">
          <w:marLeft w:val="0"/>
          <w:marRight w:val="0"/>
          <w:marTop w:val="0"/>
          <w:marBottom w:val="0"/>
          <w:divBdr>
            <w:top w:val="none" w:sz="0" w:space="0" w:color="auto"/>
            <w:left w:val="none" w:sz="0" w:space="0" w:color="auto"/>
            <w:bottom w:val="none" w:sz="0" w:space="0" w:color="auto"/>
            <w:right w:val="none" w:sz="0" w:space="0" w:color="auto"/>
          </w:divBdr>
          <w:divsChild>
            <w:div w:id="848787189">
              <w:marLeft w:val="0"/>
              <w:marRight w:val="0"/>
              <w:marTop w:val="0"/>
              <w:marBottom w:val="0"/>
              <w:divBdr>
                <w:top w:val="none" w:sz="0" w:space="0" w:color="auto"/>
                <w:left w:val="none" w:sz="0" w:space="0" w:color="auto"/>
                <w:bottom w:val="none" w:sz="0" w:space="0" w:color="auto"/>
                <w:right w:val="none" w:sz="0" w:space="0" w:color="auto"/>
              </w:divBdr>
              <w:divsChild>
                <w:div w:id="100227997">
                  <w:marLeft w:val="0"/>
                  <w:marRight w:val="0"/>
                  <w:marTop w:val="0"/>
                  <w:marBottom w:val="0"/>
                  <w:divBdr>
                    <w:top w:val="none" w:sz="0" w:space="0" w:color="auto"/>
                    <w:left w:val="none" w:sz="0" w:space="0" w:color="auto"/>
                    <w:bottom w:val="none" w:sz="0" w:space="0" w:color="auto"/>
                    <w:right w:val="none" w:sz="0" w:space="0" w:color="auto"/>
                  </w:divBdr>
                </w:div>
              </w:divsChild>
            </w:div>
            <w:div w:id="62795549">
              <w:marLeft w:val="0"/>
              <w:marRight w:val="0"/>
              <w:marTop w:val="0"/>
              <w:marBottom w:val="0"/>
              <w:divBdr>
                <w:top w:val="none" w:sz="0" w:space="0" w:color="auto"/>
                <w:left w:val="none" w:sz="0" w:space="0" w:color="auto"/>
                <w:bottom w:val="none" w:sz="0" w:space="0" w:color="auto"/>
                <w:right w:val="none" w:sz="0" w:space="0" w:color="auto"/>
              </w:divBdr>
              <w:divsChild>
                <w:div w:id="309675980">
                  <w:marLeft w:val="0"/>
                  <w:marRight w:val="0"/>
                  <w:marTop w:val="0"/>
                  <w:marBottom w:val="0"/>
                  <w:divBdr>
                    <w:top w:val="none" w:sz="0" w:space="0" w:color="auto"/>
                    <w:left w:val="none" w:sz="0" w:space="0" w:color="auto"/>
                    <w:bottom w:val="none" w:sz="0" w:space="0" w:color="auto"/>
                    <w:right w:val="none" w:sz="0" w:space="0" w:color="auto"/>
                  </w:divBdr>
                  <w:divsChild>
                    <w:div w:id="7821107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29160107">
              <w:marLeft w:val="0"/>
              <w:marRight w:val="0"/>
              <w:marTop w:val="0"/>
              <w:marBottom w:val="0"/>
              <w:divBdr>
                <w:top w:val="none" w:sz="0" w:space="0" w:color="auto"/>
                <w:left w:val="none" w:sz="0" w:space="0" w:color="auto"/>
                <w:bottom w:val="none" w:sz="0" w:space="0" w:color="auto"/>
                <w:right w:val="none" w:sz="0" w:space="0" w:color="auto"/>
              </w:divBdr>
              <w:divsChild>
                <w:div w:id="97677059">
                  <w:marLeft w:val="0"/>
                  <w:marRight w:val="0"/>
                  <w:marTop w:val="0"/>
                  <w:marBottom w:val="0"/>
                  <w:divBdr>
                    <w:top w:val="none" w:sz="0" w:space="0" w:color="auto"/>
                    <w:left w:val="none" w:sz="0" w:space="0" w:color="auto"/>
                    <w:bottom w:val="none" w:sz="0" w:space="0" w:color="auto"/>
                    <w:right w:val="none" w:sz="0" w:space="0" w:color="auto"/>
                  </w:divBdr>
                  <w:divsChild>
                    <w:div w:id="20841794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19146045">
      <w:bodyDiv w:val="1"/>
      <w:marLeft w:val="0"/>
      <w:marRight w:val="0"/>
      <w:marTop w:val="0"/>
      <w:marBottom w:val="0"/>
      <w:divBdr>
        <w:top w:val="none" w:sz="0" w:space="0" w:color="auto"/>
        <w:left w:val="none" w:sz="0" w:space="0" w:color="auto"/>
        <w:bottom w:val="none" w:sz="0" w:space="0" w:color="auto"/>
        <w:right w:val="none" w:sz="0" w:space="0" w:color="auto"/>
      </w:divBdr>
    </w:div>
    <w:div w:id="919824452">
      <w:bodyDiv w:val="1"/>
      <w:marLeft w:val="0"/>
      <w:marRight w:val="0"/>
      <w:marTop w:val="0"/>
      <w:marBottom w:val="0"/>
      <w:divBdr>
        <w:top w:val="none" w:sz="0" w:space="0" w:color="auto"/>
        <w:left w:val="none" w:sz="0" w:space="0" w:color="auto"/>
        <w:bottom w:val="none" w:sz="0" w:space="0" w:color="auto"/>
        <w:right w:val="none" w:sz="0" w:space="0" w:color="auto"/>
      </w:divBdr>
    </w:div>
    <w:div w:id="929394551">
      <w:bodyDiv w:val="1"/>
      <w:marLeft w:val="0"/>
      <w:marRight w:val="0"/>
      <w:marTop w:val="0"/>
      <w:marBottom w:val="0"/>
      <w:divBdr>
        <w:top w:val="none" w:sz="0" w:space="0" w:color="auto"/>
        <w:left w:val="none" w:sz="0" w:space="0" w:color="auto"/>
        <w:bottom w:val="none" w:sz="0" w:space="0" w:color="auto"/>
        <w:right w:val="none" w:sz="0" w:space="0" w:color="auto"/>
      </w:divBdr>
    </w:div>
    <w:div w:id="936408033">
      <w:bodyDiv w:val="1"/>
      <w:marLeft w:val="0"/>
      <w:marRight w:val="0"/>
      <w:marTop w:val="0"/>
      <w:marBottom w:val="0"/>
      <w:divBdr>
        <w:top w:val="none" w:sz="0" w:space="0" w:color="auto"/>
        <w:left w:val="none" w:sz="0" w:space="0" w:color="auto"/>
        <w:bottom w:val="none" w:sz="0" w:space="0" w:color="auto"/>
        <w:right w:val="none" w:sz="0" w:space="0" w:color="auto"/>
      </w:divBdr>
    </w:div>
    <w:div w:id="940912372">
      <w:bodyDiv w:val="1"/>
      <w:marLeft w:val="0"/>
      <w:marRight w:val="0"/>
      <w:marTop w:val="0"/>
      <w:marBottom w:val="0"/>
      <w:divBdr>
        <w:top w:val="none" w:sz="0" w:space="0" w:color="auto"/>
        <w:left w:val="none" w:sz="0" w:space="0" w:color="auto"/>
        <w:bottom w:val="none" w:sz="0" w:space="0" w:color="auto"/>
        <w:right w:val="none" w:sz="0" w:space="0" w:color="auto"/>
      </w:divBdr>
    </w:div>
    <w:div w:id="944458960">
      <w:bodyDiv w:val="1"/>
      <w:marLeft w:val="0"/>
      <w:marRight w:val="0"/>
      <w:marTop w:val="0"/>
      <w:marBottom w:val="0"/>
      <w:divBdr>
        <w:top w:val="none" w:sz="0" w:space="0" w:color="auto"/>
        <w:left w:val="none" w:sz="0" w:space="0" w:color="auto"/>
        <w:bottom w:val="none" w:sz="0" w:space="0" w:color="auto"/>
        <w:right w:val="none" w:sz="0" w:space="0" w:color="auto"/>
      </w:divBdr>
    </w:div>
    <w:div w:id="956838642">
      <w:bodyDiv w:val="1"/>
      <w:marLeft w:val="0"/>
      <w:marRight w:val="0"/>
      <w:marTop w:val="0"/>
      <w:marBottom w:val="0"/>
      <w:divBdr>
        <w:top w:val="none" w:sz="0" w:space="0" w:color="auto"/>
        <w:left w:val="none" w:sz="0" w:space="0" w:color="auto"/>
        <w:bottom w:val="none" w:sz="0" w:space="0" w:color="auto"/>
        <w:right w:val="none" w:sz="0" w:space="0" w:color="auto"/>
      </w:divBdr>
      <w:divsChild>
        <w:div w:id="2056613057">
          <w:marLeft w:val="547"/>
          <w:marRight w:val="0"/>
          <w:marTop w:val="0"/>
          <w:marBottom w:val="0"/>
          <w:divBdr>
            <w:top w:val="none" w:sz="0" w:space="0" w:color="auto"/>
            <w:left w:val="none" w:sz="0" w:space="0" w:color="auto"/>
            <w:bottom w:val="none" w:sz="0" w:space="0" w:color="auto"/>
            <w:right w:val="none" w:sz="0" w:space="0" w:color="auto"/>
          </w:divBdr>
        </w:div>
        <w:div w:id="1586919230">
          <w:marLeft w:val="547"/>
          <w:marRight w:val="0"/>
          <w:marTop w:val="0"/>
          <w:marBottom w:val="0"/>
          <w:divBdr>
            <w:top w:val="none" w:sz="0" w:space="0" w:color="auto"/>
            <w:left w:val="none" w:sz="0" w:space="0" w:color="auto"/>
            <w:bottom w:val="none" w:sz="0" w:space="0" w:color="auto"/>
            <w:right w:val="none" w:sz="0" w:space="0" w:color="auto"/>
          </w:divBdr>
        </w:div>
      </w:divsChild>
    </w:div>
    <w:div w:id="963316541">
      <w:bodyDiv w:val="1"/>
      <w:marLeft w:val="0"/>
      <w:marRight w:val="0"/>
      <w:marTop w:val="0"/>
      <w:marBottom w:val="0"/>
      <w:divBdr>
        <w:top w:val="none" w:sz="0" w:space="0" w:color="auto"/>
        <w:left w:val="none" w:sz="0" w:space="0" w:color="auto"/>
        <w:bottom w:val="none" w:sz="0" w:space="0" w:color="auto"/>
        <w:right w:val="none" w:sz="0" w:space="0" w:color="auto"/>
      </w:divBdr>
    </w:div>
    <w:div w:id="970747655">
      <w:bodyDiv w:val="1"/>
      <w:marLeft w:val="0"/>
      <w:marRight w:val="0"/>
      <w:marTop w:val="0"/>
      <w:marBottom w:val="0"/>
      <w:divBdr>
        <w:top w:val="none" w:sz="0" w:space="0" w:color="auto"/>
        <w:left w:val="none" w:sz="0" w:space="0" w:color="auto"/>
        <w:bottom w:val="none" w:sz="0" w:space="0" w:color="auto"/>
        <w:right w:val="none" w:sz="0" w:space="0" w:color="auto"/>
      </w:divBdr>
    </w:div>
    <w:div w:id="971401414">
      <w:bodyDiv w:val="1"/>
      <w:marLeft w:val="0"/>
      <w:marRight w:val="0"/>
      <w:marTop w:val="0"/>
      <w:marBottom w:val="0"/>
      <w:divBdr>
        <w:top w:val="none" w:sz="0" w:space="0" w:color="auto"/>
        <w:left w:val="none" w:sz="0" w:space="0" w:color="auto"/>
        <w:bottom w:val="none" w:sz="0" w:space="0" w:color="auto"/>
        <w:right w:val="none" w:sz="0" w:space="0" w:color="auto"/>
      </w:divBdr>
    </w:div>
    <w:div w:id="988901963">
      <w:bodyDiv w:val="1"/>
      <w:marLeft w:val="0"/>
      <w:marRight w:val="0"/>
      <w:marTop w:val="0"/>
      <w:marBottom w:val="0"/>
      <w:divBdr>
        <w:top w:val="none" w:sz="0" w:space="0" w:color="auto"/>
        <w:left w:val="none" w:sz="0" w:space="0" w:color="auto"/>
        <w:bottom w:val="none" w:sz="0" w:space="0" w:color="auto"/>
        <w:right w:val="none" w:sz="0" w:space="0" w:color="auto"/>
      </w:divBdr>
    </w:div>
    <w:div w:id="988904609">
      <w:bodyDiv w:val="1"/>
      <w:marLeft w:val="0"/>
      <w:marRight w:val="0"/>
      <w:marTop w:val="0"/>
      <w:marBottom w:val="0"/>
      <w:divBdr>
        <w:top w:val="none" w:sz="0" w:space="0" w:color="auto"/>
        <w:left w:val="none" w:sz="0" w:space="0" w:color="auto"/>
        <w:bottom w:val="none" w:sz="0" w:space="0" w:color="auto"/>
        <w:right w:val="none" w:sz="0" w:space="0" w:color="auto"/>
      </w:divBdr>
    </w:div>
    <w:div w:id="991060115">
      <w:bodyDiv w:val="1"/>
      <w:marLeft w:val="0"/>
      <w:marRight w:val="0"/>
      <w:marTop w:val="0"/>
      <w:marBottom w:val="0"/>
      <w:divBdr>
        <w:top w:val="none" w:sz="0" w:space="0" w:color="auto"/>
        <w:left w:val="none" w:sz="0" w:space="0" w:color="auto"/>
        <w:bottom w:val="none" w:sz="0" w:space="0" w:color="auto"/>
        <w:right w:val="none" w:sz="0" w:space="0" w:color="auto"/>
      </w:divBdr>
    </w:div>
    <w:div w:id="1003508797">
      <w:bodyDiv w:val="1"/>
      <w:marLeft w:val="0"/>
      <w:marRight w:val="0"/>
      <w:marTop w:val="0"/>
      <w:marBottom w:val="0"/>
      <w:divBdr>
        <w:top w:val="none" w:sz="0" w:space="0" w:color="auto"/>
        <w:left w:val="none" w:sz="0" w:space="0" w:color="auto"/>
        <w:bottom w:val="none" w:sz="0" w:space="0" w:color="auto"/>
        <w:right w:val="none" w:sz="0" w:space="0" w:color="auto"/>
      </w:divBdr>
    </w:div>
    <w:div w:id="1006245500">
      <w:bodyDiv w:val="1"/>
      <w:marLeft w:val="0"/>
      <w:marRight w:val="0"/>
      <w:marTop w:val="0"/>
      <w:marBottom w:val="0"/>
      <w:divBdr>
        <w:top w:val="none" w:sz="0" w:space="0" w:color="auto"/>
        <w:left w:val="none" w:sz="0" w:space="0" w:color="auto"/>
        <w:bottom w:val="none" w:sz="0" w:space="0" w:color="auto"/>
        <w:right w:val="none" w:sz="0" w:space="0" w:color="auto"/>
      </w:divBdr>
    </w:div>
    <w:div w:id="1022361721">
      <w:bodyDiv w:val="1"/>
      <w:marLeft w:val="0"/>
      <w:marRight w:val="0"/>
      <w:marTop w:val="0"/>
      <w:marBottom w:val="0"/>
      <w:divBdr>
        <w:top w:val="none" w:sz="0" w:space="0" w:color="auto"/>
        <w:left w:val="none" w:sz="0" w:space="0" w:color="auto"/>
        <w:bottom w:val="none" w:sz="0" w:space="0" w:color="auto"/>
        <w:right w:val="none" w:sz="0" w:space="0" w:color="auto"/>
      </w:divBdr>
      <w:divsChild>
        <w:div w:id="2099016023">
          <w:marLeft w:val="547"/>
          <w:marRight w:val="0"/>
          <w:marTop w:val="0"/>
          <w:marBottom w:val="0"/>
          <w:divBdr>
            <w:top w:val="none" w:sz="0" w:space="0" w:color="auto"/>
            <w:left w:val="none" w:sz="0" w:space="0" w:color="auto"/>
            <w:bottom w:val="none" w:sz="0" w:space="0" w:color="auto"/>
            <w:right w:val="none" w:sz="0" w:space="0" w:color="auto"/>
          </w:divBdr>
        </w:div>
      </w:divsChild>
    </w:div>
    <w:div w:id="1037388953">
      <w:bodyDiv w:val="1"/>
      <w:marLeft w:val="0"/>
      <w:marRight w:val="0"/>
      <w:marTop w:val="0"/>
      <w:marBottom w:val="0"/>
      <w:divBdr>
        <w:top w:val="none" w:sz="0" w:space="0" w:color="auto"/>
        <w:left w:val="none" w:sz="0" w:space="0" w:color="auto"/>
        <w:bottom w:val="none" w:sz="0" w:space="0" w:color="auto"/>
        <w:right w:val="none" w:sz="0" w:space="0" w:color="auto"/>
      </w:divBdr>
    </w:div>
    <w:div w:id="1038624575">
      <w:bodyDiv w:val="1"/>
      <w:marLeft w:val="0"/>
      <w:marRight w:val="0"/>
      <w:marTop w:val="0"/>
      <w:marBottom w:val="0"/>
      <w:divBdr>
        <w:top w:val="none" w:sz="0" w:space="0" w:color="auto"/>
        <w:left w:val="none" w:sz="0" w:space="0" w:color="auto"/>
        <w:bottom w:val="none" w:sz="0" w:space="0" w:color="auto"/>
        <w:right w:val="none" w:sz="0" w:space="0" w:color="auto"/>
      </w:divBdr>
    </w:div>
    <w:div w:id="1056666286">
      <w:bodyDiv w:val="1"/>
      <w:marLeft w:val="0"/>
      <w:marRight w:val="0"/>
      <w:marTop w:val="0"/>
      <w:marBottom w:val="0"/>
      <w:divBdr>
        <w:top w:val="none" w:sz="0" w:space="0" w:color="auto"/>
        <w:left w:val="none" w:sz="0" w:space="0" w:color="auto"/>
        <w:bottom w:val="none" w:sz="0" w:space="0" w:color="auto"/>
        <w:right w:val="none" w:sz="0" w:space="0" w:color="auto"/>
      </w:divBdr>
    </w:div>
    <w:div w:id="1060061732">
      <w:bodyDiv w:val="1"/>
      <w:marLeft w:val="0"/>
      <w:marRight w:val="0"/>
      <w:marTop w:val="0"/>
      <w:marBottom w:val="0"/>
      <w:divBdr>
        <w:top w:val="none" w:sz="0" w:space="0" w:color="auto"/>
        <w:left w:val="none" w:sz="0" w:space="0" w:color="auto"/>
        <w:bottom w:val="none" w:sz="0" w:space="0" w:color="auto"/>
        <w:right w:val="none" w:sz="0" w:space="0" w:color="auto"/>
      </w:divBdr>
    </w:div>
    <w:div w:id="1061251389">
      <w:bodyDiv w:val="1"/>
      <w:marLeft w:val="0"/>
      <w:marRight w:val="0"/>
      <w:marTop w:val="0"/>
      <w:marBottom w:val="0"/>
      <w:divBdr>
        <w:top w:val="none" w:sz="0" w:space="0" w:color="auto"/>
        <w:left w:val="none" w:sz="0" w:space="0" w:color="auto"/>
        <w:bottom w:val="none" w:sz="0" w:space="0" w:color="auto"/>
        <w:right w:val="none" w:sz="0" w:space="0" w:color="auto"/>
      </w:divBdr>
    </w:div>
    <w:div w:id="1066957599">
      <w:bodyDiv w:val="1"/>
      <w:marLeft w:val="0"/>
      <w:marRight w:val="0"/>
      <w:marTop w:val="0"/>
      <w:marBottom w:val="0"/>
      <w:divBdr>
        <w:top w:val="none" w:sz="0" w:space="0" w:color="auto"/>
        <w:left w:val="none" w:sz="0" w:space="0" w:color="auto"/>
        <w:bottom w:val="none" w:sz="0" w:space="0" w:color="auto"/>
        <w:right w:val="none" w:sz="0" w:space="0" w:color="auto"/>
      </w:divBdr>
    </w:div>
    <w:div w:id="1071268760">
      <w:bodyDiv w:val="1"/>
      <w:marLeft w:val="0"/>
      <w:marRight w:val="0"/>
      <w:marTop w:val="0"/>
      <w:marBottom w:val="0"/>
      <w:divBdr>
        <w:top w:val="none" w:sz="0" w:space="0" w:color="auto"/>
        <w:left w:val="none" w:sz="0" w:space="0" w:color="auto"/>
        <w:bottom w:val="none" w:sz="0" w:space="0" w:color="auto"/>
        <w:right w:val="none" w:sz="0" w:space="0" w:color="auto"/>
      </w:divBdr>
    </w:div>
    <w:div w:id="1071931275">
      <w:bodyDiv w:val="1"/>
      <w:marLeft w:val="0"/>
      <w:marRight w:val="0"/>
      <w:marTop w:val="0"/>
      <w:marBottom w:val="0"/>
      <w:divBdr>
        <w:top w:val="none" w:sz="0" w:space="0" w:color="auto"/>
        <w:left w:val="none" w:sz="0" w:space="0" w:color="auto"/>
        <w:bottom w:val="none" w:sz="0" w:space="0" w:color="auto"/>
        <w:right w:val="none" w:sz="0" w:space="0" w:color="auto"/>
      </w:divBdr>
    </w:div>
    <w:div w:id="1072583444">
      <w:bodyDiv w:val="1"/>
      <w:marLeft w:val="0"/>
      <w:marRight w:val="0"/>
      <w:marTop w:val="0"/>
      <w:marBottom w:val="0"/>
      <w:divBdr>
        <w:top w:val="none" w:sz="0" w:space="0" w:color="auto"/>
        <w:left w:val="none" w:sz="0" w:space="0" w:color="auto"/>
        <w:bottom w:val="none" w:sz="0" w:space="0" w:color="auto"/>
        <w:right w:val="none" w:sz="0" w:space="0" w:color="auto"/>
      </w:divBdr>
    </w:div>
    <w:div w:id="1082139256">
      <w:bodyDiv w:val="1"/>
      <w:marLeft w:val="0"/>
      <w:marRight w:val="0"/>
      <w:marTop w:val="0"/>
      <w:marBottom w:val="0"/>
      <w:divBdr>
        <w:top w:val="none" w:sz="0" w:space="0" w:color="auto"/>
        <w:left w:val="none" w:sz="0" w:space="0" w:color="auto"/>
        <w:bottom w:val="none" w:sz="0" w:space="0" w:color="auto"/>
        <w:right w:val="none" w:sz="0" w:space="0" w:color="auto"/>
      </w:divBdr>
    </w:div>
    <w:div w:id="1086997387">
      <w:bodyDiv w:val="1"/>
      <w:marLeft w:val="0"/>
      <w:marRight w:val="0"/>
      <w:marTop w:val="0"/>
      <w:marBottom w:val="0"/>
      <w:divBdr>
        <w:top w:val="none" w:sz="0" w:space="0" w:color="auto"/>
        <w:left w:val="none" w:sz="0" w:space="0" w:color="auto"/>
        <w:bottom w:val="none" w:sz="0" w:space="0" w:color="auto"/>
        <w:right w:val="none" w:sz="0" w:space="0" w:color="auto"/>
      </w:divBdr>
    </w:div>
    <w:div w:id="1104499797">
      <w:bodyDiv w:val="1"/>
      <w:marLeft w:val="0"/>
      <w:marRight w:val="0"/>
      <w:marTop w:val="0"/>
      <w:marBottom w:val="0"/>
      <w:divBdr>
        <w:top w:val="none" w:sz="0" w:space="0" w:color="auto"/>
        <w:left w:val="none" w:sz="0" w:space="0" w:color="auto"/>
        <w:bottom w:val="none" w:sz="0" w:space="0" w:color="auto"/>
        <w:right w:val="none" w:sz="0" w:space="0" w:color="auto"/>
      </w:divBdr>
    </w:div>
    <w:div w:id="1109813013">
      <w:bodyDiv w:val="1"/>
      <w:marLeft w:val="0"/>
      <w:marRight w:val="0"/>
      <w:marTop w:val="0"/>
      <w:marBottom w:val="0"/>
      <w:divBdr>
        <w:top w:val="none" w:sz="0" w:space="0" w:color="auto"/>
        <w:left w:val="none" w:sz="0" w:space="0" w:color="auto"/>
        <w:bottom w:val="none" w:sz="0" w:space="0" w:color="auto"/>
        <w:right w:val="none" w:sz="0" w:space="0" w:color="auto"/>
      </w:divBdr>
    </w:div>
    <w:div w:id="1109927893">
      <w:bodyDiv w:val="1"/>
      <w:marLeft w:val="0"/>
      <w:marRight w:val="0"/>
      <w:marTop w:val="0"/>
      <w:marBottom w:val="0"/>
      <w:divBdr>
        <w:top w:val="none" w:sz="0" w:space="0" w:color="auto"/>
        <w:left w:val="none" w:sz="0" w:space="0" w:color="auto"/>
        <w:bottom w:val="none" w:sz="0" w:space="0" w:color="auto"/>
        <w:right w:val="none" w:sz="0" w:space="0" w:color="auto"/>
      </w:divBdr>
    </w:div>
    <w:div w:id="1117918021">
      <w:bodyDiv w:val="1"/>
      <w:marLeft w:val="0"/>
      <w:marRight w:val="0"/>
      <w:marTop w:val="0"/>
      <w:marBottom w:val="0"/>
      <w:divBdr>
        <w:top w:val="none" w:sz="0" w:space="0" w:color="auto"/>
        <w:left w:val="none" w:sz="0" w:space="0" w:color="auto"/>
        <w:bottom w:val="none" w:sz="0" w:space="0" w:color="auto"/>
        <w:right w:val="none" w:sz="0" w:space="0" w:color="auto"/>
      </w:divBdr>
      <w:divsChild>
        <w:div w:id="59065880">
          <w:marLeft w:val="547"/>
          <w:marRight w:val="0"/>
          <w:marTop w:val="0"/>
          <w:marBottom w:val="0"/>
          <w:divBdr>
            <w:top w:val="none" w:sz="0" w:space="0" w:color="auto"/>
            <w:left w:val="none" w:sz="0" w:space="0" w:color="auto"/>
            <w:bottom w:val="none" w:sz="0" w:space="0" w:color="auto"/>
            <w:right w:val="none" w:sz="0" w:space="0" w:color="auto"/>
          </w:divBdr>
        </w:div>
        <w:div w:id="804544707">
          <w:marLeft w:val="547"/>
          <w:marRight w:val="0"/>
          <w:marTop w:val="0"/>
          <w:marBottom w:val="0"/>
          <w:divBdr>
            <w:top w:val="none" w:sz="0" w:space="0" w:color="auto"/>
            <w:left w:val="none" w:sz="0" w:space="0" w:color="auto"/>
            <w:bottom w:val="none" w:sz="0" w:space="0" w:color="auto"/>
            <w:right w:val="none" w:sz="0" w:space="0" w:color="auto"/>
          </w:divBdr>
        </w:div>
      </w:divsChild>
    </w:div>
    <w:div w:id="1122268584">
      <w:bodyDiv w:val="1"/>
      <w:marLeft w:val="0"/>
      <w:marRight w:val="0"/>
      <w:marTop w:val="0"/>
      <w:marBottom w:val="0"/>
      <w:divBdr>
        <w:top w:val="none" w:sz="0" w:space="0" w:color="auto"/>
        <w:left w:val="none" w:sz="0" w:space="0" w:color="auto"/>
        <w:bottom w:val="none" w:sz="0" w:space="0" w:color="auto"/>
        <w:right w:val="none" w:sz="0" w:space="0" w:color="auto"/>
      </w:divBdr>
    </w:div>
    <w:div w:id="1134441834">
      <w:bodyDiv w:val="1"/>
      <w:marLeft w:val="0"/>
      <w:marRight w:val="0"/>
      <w:marTop w:val="0"/>
      <w:marBottom w:val="0"/>
      <w:divBdr>
        <w:top w:val="none" w:sz="0" w:space="0" w:color="auto"/>
        <w:left w:val="none" w:sz="0" w:space="0" w:color="auto"/>
        <w:bottom w:val="none" w:sz="0" w:space="0" w:color="auto"/>
        <w:right w:val="none" w:sz="0" w:space="0" w:color="auto"/>
      </w:divBdr>
    </w:div>
    <w:div w:id="1137068963">
      <w:bodyDiv w:val="1"/>
      <w:marLeft w:val="0"/>
      <w:marRight w:val="0"/>
      <w:marTop w:val="0"/>
      <w:marBottom w:val="0"/>
      <w:divBdr>
        <w:top w:val="none" w:sz="0" w:space="0" w:color="auto"/>
        <w:left w:val="none" w:sz="0" w:space="0" w:color="auto"/>
        <w:bottom w:val="none" w:sz="0" w:space="0" w:color="auto"/>
        <w:right w:val="none" w:sz="0" w:space="0" w:color="auto"/>
      </w:divBdr>
    </w:div>
    <w:div w:id="1147893641">
      <w:bodyDiv w:val="1"/>
      <w:marLeft w:val="0"/>
      <w:marRight w:val="0"/>
      <w:marTop w:val="0"/>
      <w:marBottom w:val="0"/>
      <w:divBdr>
        <w:top w:val="none" w:sz="0" w:space="0" w:color="auto"/>
        <w:left w:val="none" w:sz="0" w:space="0" w:color="auto"/>
        <w:bottom w:val="none" w:sz="0" w:space="0" w:color="auto"/>
        <w:right w:val="none" w:sz="0" w:space="0" w:color="auto"/>
      </w:divBdr>
    </w:div>
    <w:div w:id="1148667339">
      <w:bodyDiv w:val="1"/>
      <w:marLeft w:val="0"/>
      <w:marRight w:val="0"/>
      <w:marTop w:val="0"/>
      <w:marBottom w:val="0"/>
      <w:divBdr>
        <w:top w:val="none" w:sz="0" w:space="0" w:color="auto"/>
        <w:left w:val="none" w:sz="0" w:space="0" w:color="auto"/>
        <w:bottom w:val="none" w:sz="0" w:space="0" w:color="auto"/>
        <w:right w:val="none" w:sz="0" w:space="0" w:color="auto"/>
      </w:divBdr>
    </w:div>
    <w:div w:id="1157651064">
      <w:bodyDiv w:val="1"/>
      <w:marLeft w:val="0"/>
      <w:marRight w:val="0"/>
      <w:marTop w:val="0"/>
      <w:marBottom w:val="0"/>
      <w:divBdr>
        <w:top w:val="none" w:sz="0" w:space="0" w:color="auto"/>
        <w:left w:val="none" w:sz="0" w:space="0" w:color="auto"/>
        <w:bottom w:val="none" w:sz="0" w:space="0" w:color="auto"/>
        <w:right w:val="none" w:sz="0" w:space="0" w:color="auto"/>
      </w:divBdr>
    </w:div>
    <w:div w:id="1161655823">
      <w:bodyDiv w:val="1"/>
      <w:marLeft w:val="0"/>
      <w:marRight w:val="0"/>
      <w:marTop w:val="0"/>
      <w:marBottom w:val="0"/>
      <w:divBdr>
        <w:top w:val="none" w:sz="0" w:space="0" w:color="auto"/>
        <w:left w:val="none" w:sz="0" w:space="0" w:color="auto"/>
        <w:bottom w:val="none" w:sz="0" w:space="0" w:color="auto"/>
        <w:right w:val="none" w:sz="0" w:space="0" w:color="auto"/>
      </w:divBdr>
    </w:div>
    <w:div w:id="1162769785">
      <w:bodyDiv w:val="1"/>
      <w:marLeft w:val="0"/>
      <w:marRight w:val="0"/>
      <w:marTop w:val="0"/>
      <w:marBottom w:val="0"/>
      <w:divBdr>
        <w:top w:val="none" w:sz="0" w:space="0" w:color="auto"/>
        <w:left w:val="none" w:sz="0" w:space="0" w:color="auto"/>
        <w:bottom w:val="none" w:sz="0" w:space="0" w:color="auto"/>
        <w:right w:val="none" w:sz="0" w:space="0" w:color="auto"/>
      </w:divBdr>
    </w:div>
    <w:div w:id="1164738255">
      <w:bodyDiv w:val="1"/>
      <w:marLeft w:val="0"/>
      <w:marRight w:val="0"/>
      <w:marTop w:val="0"/>
      <w:marBottom w:val="0"/>
      <w:divBdr>
        <w:top w:val="none" w:sz="0" w:space="0" w:color="auto"/>
        <w:left w:val="none" w:sz="0" w:space="0" w:color="auto"/>
        <w:bottom w:val="none" w:sz="0" w:space="0" w:color="auto"/>
        <w:right w:val="none" w:sz="0" w:space="0" w:color="auto"/>
      </w:divBdr>
    </w:div>
    <w:div w:id="1170363618">
      <w:bodyDiv w:val="1"/>
      <w:marLeft w:val="0"/>
      <w:marRight w:val="0"/>
      <w:marTop w:val="0"/>
      <w:marBottom w:val="0"/>
      <w:divBdr>
        <w:top w:val="none" w:sz="0" w:space="0" w:color="auto"/>
        <w:left w:val="none" w:sz="0" w:space="0" w:color="auto"/>
        <w:bottom w:val="none" w:sz="0" w:space="0" w:color="auto"/>
        <w:right w:val="none" w:sz="0" w:space="0" w:color="auto"/>
      </w:divBdr>
    </w:div>
    <w:div w:id="1181966747">
      <w:bodyDiv w:val="1"/>
      <w:marLeft w:val="0"/>
      <w:marRight w:val="0"/>
      <w:marTop w:val="0"/>
      <w:marBottom w:val="0"/>
      <w:divBdr>
        <w:top w:val="none" w:sz="0" w:space="0" w:color="auto"/>
        <w:left w:val="none" w:sz="0" w:space="0" w:color="auto"/>
        <w:bottom w:val="none" w:sz="0" w:space="0" w:color="auto"/>
        <w:right w:val="none" w:sz="0" w:space="0" w:color="auto"/>
      </w:divBdr>
    </w:div>
    <w:div w:id="1202403596">
      <w:bodyDiv w:val="1"/>
      <w:marLeft w:val="0"/>
      <w:marRight w:val="0"/>
      <w:marTop w:val="0"/>
      <w:marBottom w:val="0"/>
      <w:divBdr>
        <w:top w:val="none" w:sz="0" w:space="0" w:color="auto"/>
        <w:left w:val="none" w:sz="0" w:space="0" w:color="auto"/>
        <w:bottom w:val="none" w:sz="0" w:space="0" w:color="auto"/>
        <w:right w:val="none" w:sz="0" w:space="0" w:color="auto"/>
      </w:divBdr>
    </w:div>
    <w:div w:id="1215508214">
      <w:bodyDiv w:val="1"/>
      <w:marLeft w:val="0"/>
      <w:marRight w:val="0"/>
      <w:marTop w:val="0"/>
      <w:marBottom w:val="0"/>
      <w:divBdr>
        <w:top w:val="none" w:sz="0" w:space="0" w:color="auto"/>
        <w:left w:val="none" w:sz="0" w:space="0" w:color="auto"/>
        <w:bottom w:val="none" w:sz="0" w:space="0" w:color="auto"/>
        <w:right w:val="none" w:sz="0" w:space="0" w:color="auto"/>
      </w:divBdr>
    </w:div>
    <w:div w:id="1216550299">
      <w:bodyDiv w:val="1"/>
      <w:marLeft w:val="0"/>
      <w:marRight w:val="0"/>
      <w:marTop w:val="0"/>
      <w:marBottom w:val="0"/>
      <w:divBdr>
        <w:top w:val="none" w:sz="0" w:space="0" w:color="auto"/>
        <w:left w:val="none" w:sz="0" w:space="0" w:color="auto"/>
        <w:bottom w:val="none" w:sz="0" w:space="0" w:color="auto"/>
        <w:right w:val="none" w:sz="0" w:space="0" w:color="auto"/>
      </w:divBdr>
    </w:div>
    <w:div w:id="1225071104">
      <w:bodyDiv w:val="1"/>
      <w:marLeft w:val="0"/>
      <w:marRight w:val="0"/>
      <w:marTop w:val="0"/>
      <w:marBottom w:val="0"/>
      <w:divBdr>
        <w:top w:val="none" w:sz="0" w:space="0" w:color="auto"/>
        <w:left w:val="none" w:sz="0" w:space="0" w:color="auto"/>
        <w:bottom w:val="none" w:sz="0" w:space="0" w:color="auto"/>
        <w:right w:val="none" w:sz="0" w:space="0" w:color="auto"/>
      </w:divBdr>
    </w:div>
    <w:div w:id="1238176573">
      <w:bodyDiv w:val="1"/>
      <w:marLeft w:val="0"/>
      <w:marRight w:val="0"/>
      <w:marTop w:val="0"/>
      <w:marBottom w:val="0"/>
      <w:divBdr>
        <w:top w:val="none" w:sz="0" w:space="0" w:color="auto"/>
        <w:left w:val="none" w:sz="0" w:space="0" w:color="auto"/>
        <w:bottom w:val="none" w:sz="0" w:space="0" w:color="auto"/>
        <w:right w:val="none" w:sz="0" w:space="0" w:color="auto"/>
      </w:divBdr>
    </w:div>
    <w:div w:id="1254053051">
      <w:bodyDiv w:val="1"/>
      <w:marLeft w:val="0"/>
      <w:marRight w:val="0"/>
      <w:marTop w:val="0"/>
      <w:marBottom w:val="0"/>
      <w:divBdr>
        <w:top w:val="none" w:sz="0" w:space="0" w:color="auto"/>
        <w:left w:val="none" w:sz="0" w:space="0" w:color="auto"/>
        <w:bottom w:val="none" w:sz="0" w:space="0" w:color="auto"/>
        <w:right w:val="none" w:sz="0" w:space="0" w:color="auto"/>
      </w:divBdr>
    </w:div>
    <w:div w:id="1254901451">
      <w:bodyDiv w:val="1"/>
      <w:marLeft w:val="0"/>
      <w:marRight w:val="0"/>
      <w:marTop w:val="0"/>
      <w:marBottom w:val="0"/>
      <w:divBdr>
        <w:top w:val="none" w:sz="0" w:space="0" w:color="auto"/>
        <w:left w:val="none" w:sz="0" w:space="0" w:color="auto"/>
        <w:bottom w:val="none" w:sz="0" w:space="0" w:color="auto"/>
        <w:right w:val="none" w:sz="0" w:space="0" w:color="auto"/>
      </w:divBdr>
    </w:div>
    <w:div w:id="1260022612">
      <w:bodyDiv w:val="1"/>
      <w:marLeft w:val="0"/>
      <w:marRight w:val="0"/>
      <w:marTop w:val="0"/>
      <w:marBottom w:val="0"/>
      <w:divBdr>
        <w:top w:val="none" w:sz="0" w:space="0" w:color="auto"/>
        <w:left w:val="none" w:sz="0" w:space="0" w:color="auto"/>
        <w:bottom w:val="none" w:sz="0" w:space="0" w:color="auto"/>
        <w:right w:val="none" w:sz="0" w:space="0" w:color="auto"/>
      </w:divBdr>
    </w:div>
    <w:div w:id="1262639692">
      <w:bodyDiv w:val="1"/>
      <w:marLeft w:val="0"/>
      <w:marRight w:val="0"/>
      <w:marTop w:val="0"/>
      <w:marBottom w:val="0"/>
      <w:divBdr>
        <w:top w:val="none" w:sz="0" w:space="0" w:color="auto"/>
        <w:left w:val="none" w:sz="0" w:space="0" w:color="auto"/>
        <w:bottom w:val="none" w:sz="0" w:space="0" w:color="auto"/>
        <w:right w:val="none" w:sz="0" w:space="0" w:color="auto"/>
      </w:divBdr>
    </w:div>
    <w:div w:id="1279796980">
      <w:bodyDiv w:val="1"/>
      <w:marLeft w:val="0"/>
      <w:marRight w:val="0"/>
      <w:marTop w:val="0"/>
      <w:marBottom w:val="0"/>
      <w:divBdr>
        <w:top w:val="none" w:sz="0" w:space="0" w:color="auto"/>
        <w:left w:val="none" w:sz="0" w:space="0" w:color="auto"/>
        <w:bottom w:val="none" w:sz="0" w:space="0" w:color="auto"/>
        <w:right w:val="none" w:sz="0" w:space="0" w:color="auto"/>
      </w:divBdr>
    </w:div>
    <w:div w:id="1286307062">
      <w:bodyDiv w:val="1"/>
      <w:marLeft w:val="0"/>
      <w:marRight w:val="0"/>
      <w:marTop w:val="0"/>
      <w:marBottom w:val="0"/>
      <w:divBdr>
        <w:top w:val="none" w:sz="0" w:space="0" w:color="auto"/>
        <w:left w:val="none" w:sz="0" w:space="0" w:color="auto"/>
        <w:bottom w:val="none" w:sz="0" w:space="0" w:color="auto"/>
        <w:right w:val="none" w:sz="0" w:space="0" w:color="auto"/>
      </w:divBdr>
    </w:div>
    <w:div w:id="1286422077">
      <w:bodyDiv w:val="1"/>
      <w:marLeft w:val="0"/>
      <w:marRight w:val="0"/>
      <w:marTop w:val="0"/>
      <w:marBottom w:val="0"/>
      <w:divBdr>
        <w:top w:val="none" w:sz="0" w:space="0" w:color="auto"/>
        <w:left w:val="none" w:sz="0" w:space="0" w:color="auto"/>
        <w:bottom w:val="none" w:sz="0" w:space="0" w:color="auto"/>
        <w:right w:val="none" w:sz="0" w:space="0" w:color="auto"/>
      </w:divBdr>
    </w:div>
    <w:div w:id="1297177989">
      <w:bodyDiv w:val="1"/>
      <w:marLeft w:val="0"/>
      <w:marRight w:val="0"/>
      <w:marTop w:val="0"/>
      <w:marBottom w:val="0"/>
      <w:divBdr>
        <w:top w:val="none" w:sz="0" w:space="0" w:color="auto"/>
        <w:left w:val="none" w:sz="0" w:space="0" w:color="auto"/>
        <w:bottom w:val="none" w:sz="0" w:space="0" w:color="auto"/>
        <w:right w:val="none" w:sz="0" w:space="0" w:color="auto"/>
      </w:divBdr>
    </w:div>
    <w:div w:id="1306157727">
      <w:bodyDiv w:val="1"/>
      <w:marLeft w:val="0"/>
      <w:marRight w:val="0"/>
      <w:marTop w:val="0"/>
      <w:marBottom w:val="0"/>
      <w:divBdr>
        <w:top w:val="none" w:sz="0" w:space="0" w:color="auto"/>
        <w:left w:val="none" w:sz="0" w:space="0" w:color="auto"/>
        <w:bottom w:val="none" w:sz="0" w:space="0" w:color="auto"/>
        <w:right w:val="none" w:sz="0" w:space="0" w:color="auto"/>
      </w:divBdr>
    </w:div>
    <w:div w:id="1308053173">
      <w:bodyDiv w:val="1"/>
      <w:marLeft w:val="0"/>
      <w:marRight w:val="0"/>
      <w:marTop w:val="0"/>
      <w:marBottom w:val="0"/>
      <w:divBdr>
        <w:top w:val="none" w:sz="0" w:space="0" w:color="auto"/>
        <w:left w:val="none" w:sz="0" w:space="0" w:color="auto"/>
        <w:bottom w:val="none" w:sz="0" w:space="0" w:color="auto"/>
        <w:right w:val="none" w:sz="0" w:space="0" w:color="auto"/>
      </w:divBdr>
    </w:div>
    <w:div w:id="1312557276">
      <w:bodyDiv w:val="1"/>
      <w:marLeft w:val="0"/>
      <w:marRight w:val="0"/>
      <w:marTop w:val="0"/>
      <w:marBottom w:val="0"/>
      <w:divBdr>
        <w:top w:val="none" w:sz="0" w:space="0" w:color="auto"/>
        <w:left w:val="none" w:sz="0" w:space="0" w:color="auto"/>
        <w:bottom w:val="none" w:sz="0" w:space="0" w:color="auto"/>
        <w:right w:val="none" w:sz="0" w:space="0" w:color="auto"/>
      </w:divBdr>
    </w:div>
    <w:div w:id="1317880721">
      <w:bodyDiv w:val="1"/>
      <w:marLeft w:val="0"/>
      <w:marRight w:val="0"/>
      <w:marTop w:val="0"/>
      <w:marBottom w:val="0"/>
      <w:divBdr>
        <w:top w:val="none" w:sz="0" w:space="0" w:color="auto"/>
        <w:left w:val="none" w:sz="0" w:space="0" w:color="auto"/>
        <w:bottom w:val="none" w:sz="0" w:space="0" w:color="auto"/>
        <w:right w:val="none" w:sz="0" w:space="0" w:color="auto"/>
      </w:divBdr>
    </w:div>
    <w:div w:id="1323385832">
      <w:bodyDiv w:val="1"/>
      <w:marLeft w:val="0"/>
      <w:marRight w:val="0"/>
      <w:marTop w:val="0"/>
      <w:marBottom w:val="0"/>
      <w:divBdr>
        <w:top w:val="none" w:sz="0" w:space="0" w:color="auto"/>
        <w:left w:val="none" w:sz="0" w:space="0" w:color="auto"/>
        <w:bottom w:val="none" w:sz="0" w:space="0" w:color="auto"/>
        <w:right w:val="none" w:sz="0" w:space="0" w:color="auto"/>
      </w:divBdr>
    </w:div>
    <w:div w:id="1329794804">
      <w:bodyDiv w:val="1"/>
      <w:marLeft w:val="0"/>
      <w:marRight w:val="0"/>
      <w:marTop w:val="0"/>
      <w:marBottom w:val="0"/>
      <w:divBdr>
        <w:top w:val="none" w:sz="0" w:space="0" w:color="auto"/>
        <w:left w:val="none" w:sz="0" w:space="0" w:color="auto"/>
        <w:bottom w:val="none" w:sz="0" w:space="0" w:color="auto"/>
        <w:right w:val="none" w:sz="0" w:space="0" w:color="auto"/>
      </w:divBdr>
    </w:div>
    <w:div w:id="1355422970">
      <w:bodyDiv w:val="1"/>
      <w:marLeft w:val="0"/>
      <w:marRight w:val="0"/>
      <w:marTop w:val="0"/>
      <w:marBottom w:val="0"/>
      <w:divBdr>
        <w:top w:val="none" w:sz="0" w:space="0" w:color="auto"/>
        <w:left w:val="none" w:sz="0" w:space="0" w:color="auto"/>
        <w:bottom w:val="none" w:sz="0" w:space="0" w:color="auto"/>
        <w:right w:val="none" w:sz="0" w:space="0" w:color="auto"/>
      </w:divBdr>
    </w:div>
    <w:div w:id="1357345279">
      <w:bodyDiv w:val="1"/>
      <w:marLeft w:val="0"/>
      <w:marRight w:val="0"/>
      <w:marTop w:val="0"/>
      <w:marBottom w:val="0"/>
      <w:divBdr>
        <w:top w:val="none" w:sz="0" w:space="0" w:color="auto"/>
        <w:left w:val="none" w:sz="0" w:space="0" w:color="auto"/>
        <w:bottom w:val="none" w:sz="0" w:space="0" w:color="auto"/>
        <w:right w:val="none" w:sz="0" w:space="0" w:color="auto"/>
      </w:divBdr>
    </w:div>
    <w:div w:id="1362824057">
      <w:bodyDiv w:val="1"/>
      <w:marLeft w:val="0"/>
      <w:marRight w:val="0"/>
      <w:marTop w:val="0"/>
      <w:marBottom w:val="0"/>
      <w:divBdr>
        <w:top w:val="none" w:sz="0" w:space="0" w:color="auto"/>
        <w:left w:val="none" w:sz="0" w:space="0" w:color="auto"/>
        <w:bottom w:val="none" w:sz="0" w:space="0" w:color="auto"/>
        <w:right w:val="none" w:sz="0" w:space="0" w:color="auto"/>
      </w:divBdr>
    </w:div>
    <w:div w:id="1377194370">
      <w:bodyDiv w:val="1"/>
      <w:marLeft w:val="0"/>
      <w:marRight w:val="0"/>
      <w:marTop w:val="0"/>
      <w:marBottom w:val="0"/>
      <w:divBdr>
        <w:top w:val="none" w:sz="0" w:space="0" w:color="auto"/>
        <w:left w:val="none" w:sz="0" w:space="0" w:color="auto"/>
        <w:bottom w:val="none" w:sz="0" w:space="0" w:color="auto"/>
        <w:right w:val="none" w:sz="0" w:space="0" w:color="auto"/>
      </w:divBdr>
    </w:div>
    <w:div w:id="1396665901">
      <w:bodyDiv w:val="1"/>
      <w:marLeft w:val="0"/>
      <w:marRight w:val="0"/>
      <w:marTop w:val="0"/>
      <w:marBottom w:val="0"/>
      <w:divBdr>
        <w:top w:val="none" w:sz="0" w:space="0" w:color="auto"/>
        <w:left w:val="none" w:sz="0" w:space="0" w:color="auto"/>
        <w:bottom w:val="none" w:sz="0" w:space="0" w:color="auto"/>
        <w:right w:val="none" w:sz="0" w:space="0" w:color="auto"/>
      </w:divBdr>
    </w:div>
    <w:div w:id="1400637573">
      <w:bodyDiv w:val="1"/>
      <w:marLeft w:val="0"/>
      <w:marRight w:val="0"/>
      <w:marTop w:val="0"/>
      <w:marBottom w:val="0"/>
      <w:divBdr>
        <w:top w:val="none" w:sz="0" w:space="0" w:color="auto"/>
        <w:left w:val="none" w:sz="0" w:space="0" w:color="auto"/>
        <w:bottom w:val="none" w:sz="0" w:space="0" w:color="auto"/>
        <w:right w:val="none" w:sz="0" w:space="0" w:color="auto"/>
      </w:divBdr>
    </w:div>
    <w:div w:id="1403794593">
      <w:bodyDiv w:val="1"/>
      <w:marLeft w:val="0"/>
      <w:marRight w:val="0"/>
      <w:marTop w:val="0"/>
      <w:marBottom w:val="0"/>
      <w:divBdr>
        <w:top w:val="none" w:sz="0" w:space="0" w:color="auto"/>
        <w:left w:val="none" w:sz="0" w:space="0" w:color="auto"/>
        <w:bottom w:val="none" w:sz="0" w:space="0" w:color="auto"/>
        <w:right w:val="none" w:sz="0" w:space="0" w:color="auto"/>
      </w:divBdr>
    </w:div>
    <w:div w:id="1403866407">
      <w:bodyDiv w:val="1"/>
      <w:marLeft w:val="0"/>
      <w:marRight w:val="0"/>
      <w:marTop w:val="0"/>
      <w:marBottom w:val="0"/>
      <w:divBdr>
        <w:top w:val="none" w:sz="0" w:space="0" w:color="auto"/>
        <w:left w:val="none" w:sz="0" w:space="0" w:color="auto"/>
        <w:bottom w:val="none" w:sz="0" w:space="0" w:color="auto"/>
        <w:right w:val="none" w:sz="0" w:space="0" w:color="auto"/>
      </w:divBdr>
    </w:div>
    <w:div w:id="1407265409">
      <w:bodyDiv w:val="1"/>
      <w:marLeft w:val="0"/>
      <w:marRight w:val="0"/>
      <w:marTop w:val="0"/>
      <w:marBottom w:val="0"/>
      <w:divBdr>
        <w:top w:val="none" w:sz="0" w:space="0" w:color="auto"/>
        <w:left w:val="none" w:sz="0" w:space="0" w:color="auto"/>
        <w:bottom w:val="none" w:sz="0" w:space="0" w:color="auto"/>
        <w:right w:val="none" w:sz="0" w:space="0" w:color="auto"/>
      </w:divBdr>
    </w:div>
    <w:div w:id="1423526478">
      <w:bodyDiv w:val="1"/>
      <w:marLeft w:val="0"/>
      <w:marRight w:val="0"/>
      <w:marTop w:val="0"/>
      <w:marBottom w:val="0"/>
      <w:divBdr>
        <w:top w:val="none" w:sz="0" w:space="0" w:color="auto"/>
        <w:left w:val="none" w:sz="0" w:space="0" w:color="auto"/>
        <w:bottom w:val="none" w:sz="0" w:space="0" w:color="auto"/>
        <w:right w:val="none" w:sz="0" w:space="0" w:color="auto"/>
      </w:divBdr>
    </w:div>
    <w:div w:id="1434400158">
      <w:bodyDiv w:val="1"/>
      <w:marLeft w:val="0"/>
      <w:marRight w:val="0"/>
      <w:marTop w:val="0"/>
      <w:marBottom w:val="0"/>
      <w:divBdr>
        <w:top w:val="none" w:sz="0" w:space="0" w:color="auto"/>
        <w:left w:val="none" w:sz="0" w:space="0" w:color="auto"/>
        <w:bottom w:val="none" w:sz="0" w:space="0" w:color="auto"/>
        <w:right w:val="none" w:sz="0" w:space="0" w:color="auto"/>
      </w:divBdr>
    </w:div>
    <w:div w:id="1437360568">
      <w:bodyDiv w:val="1"/>
      <w:marLeft w:val="0"/>
      <w:marRight w:val="0"/>
      <w:marTop w:val="0"/>
      <w:marBottom w:val="0"/>
      <w:divBdr>
        <w:top w:val="none" w:sz="0" w:space="0" w:color="auto"/>
        <w:left w:val="none" w:sz="0" w:space="0" w:color="auto"/>
        <w:bottom w:val="none" w:sz="0" w:space="0" w:color="auto"/>
        <w:right w:val="none" w:sz="0" w:space="0" w:color="auto"/>
      </w:divBdr>
    </w:div>
    <w:div w:id="1454252225">
      <w:bodyDiv w:val="1"/>
      <w:marLeft w:val="0"/>
      <w:marRight w:val="0"/>
      <w:marTop w:val="0"/>
      <w:marBottom w:val="0"/>
      <w:divBdr>
        <w:top w:val="none" w:sz="0" w:space="0" w:color="auto"/>
        <w:left w:val="none" w:sz="0" w:space="0" w:color="auto"/>
        <w:bottom w:val="none" w:sz="0" w:space="0" w:color="auto"/>
        <w:right w:val="none" w:sz="0" w:space="0" w:color="auto"/>
      </w:divBdr>
    </w:div>
    <w:div w:id="1468627402">
      <w:bodyDiv w:val="1"/>
      <w:marLeft w:val="0"/>
      <w:marRight w:val="0"/>
      <w:marTop w:val="0"/>
      <w:marBottom w:val="0"/>
      <w:divBdr>
        <w:top w:val="none" w:sz="0" w:space="0" w:color="auto"/>
        <w:left w:val="none" w:sz="0" w:space="0" w:color="auto"/>
        <w:bottom w:val="none" w:sz="0" w:space="0" w:color="auto"/>
        <w:right w:val="none" w:sz="0" w:space="0" w:color="auto"/>
      </w:divBdr>
    </w:div>
    <w:div w:id="1493595106">
      <w:bodyDiv w:val="1"/>
      <w:marLeft w:val="0"/>
      <w:marRight w:val="0"/>
      <w:marTop w:val="0"/>
      <w:marBottom w:val="0"/>
      <w:divBdr>
        <w:top w:val="none" w:sz="0" w:space="0" w:color="auto"/>
        <w:left w:val="none" w:sz="0" w:space="0" w:color="auto"/>
        <w:bottom w:val="none" w:sz="0" w:space="0" w:color="auto"/>
        <w:right w:val="none" w:sz="0" w:space="0" w:color="auto"/>
      </w:divBdr>
    </w:div>
    <w:div w:id="1495955499">
      <w:bodyDiv w:val="1"/>
      <w:marLeft w:val="0"/>
      <w:marRight w:val="0"/>
      <w:marTop w:val="0"/>
      <w:marBottom w:val="0"/>
      <w:divBdr>
        <w:top w:val="none" w:sz="0" w:space="0" w:color="auto"/>
        <w:left w:val="none" w:sz="0" w:space="0" w:color="auto"/>
        <w:bottom w:val="none" w:sz="0" w:space="0" w:color="auto"/>
        <w:right w:val="none" w:sz="0" w:space="0" w:color="auto"/>
      </w:divBdr>
    </w:div>
    <w:div w:id="1498112797">
      <w:bodyDiv w:val="1"/>
      <w:marLeft w:val="0"/>
      <w:marRight w:val="0"/>
      <w:marTop w:val="0"/>
      <w:marBottom w:val="0"/>
      <w:divBdr>
        <w:top w:val="none" w:sz="0" w:space="0" w:color="auto"/>
        <w:left w:val="none" w:sz="0" w:space="0" w:color="auto"/>
        <w:bottom w:val="none" w:sz="0" w:space="0" w:color="auto"/>
        <w:right w:val="none" w:sz="0" w:space="0" w:color="auto"/>
      </w:divBdr>
    </w:div>
    <w:div w:id="1509950835">
      <w:bodyDiv w:val="1"/>
      <w:marLeft w:val="0"/>
      <w:marRight w:val="0"/>
      <w:marTop w:val="0"/>
      <w:marBottom w:val="0"/>
      <w:divBdr>
        <w:top w:val="none" w:sz="0" w:space="0" w:color="auto"/>
        <w:left w:val="none" w:sz="0" w:space="0" w:color="auto"/>
        <w:bottom w:val="none" w:sz="0" w:space="0" w:color="auto"/>
        <w:right w:val="none" w:sz="0" w:space="0" w:color="auto"/>
      </w:divBdr>
    </w:div>
    <w:div w:id="1515072268">
      <w:bodyDiv w:val="1"/>
      <w:marLeft w:val="0"/>
      <w:marRight w:val="0"/>
      <w:marTop w:val="0"/>
      <w:marBottom w:val="0"/>
      <w:divBdr>
        <w:top w:val="none" w:sz="0" w:space="0" w:color="auto"/>
        <w:left w:val="none" w:sz="0" w:space="0" w:color="auto"/>
        <w:bottom w:val="none" w:sz="0" w:space="0" w:color="auto"/>
        <w:right w:val="none" w:sz="0" w:space="0" w:color="auto"/>
      </w:divBdr>
    </w:div>
    <w:div w:id="1530872551">
      <w:bodyDiv w:val="1"/>
      <w:marLeft w:val="0"/>
      <w:marRight w:val="0"/>
      <w:marTop w:val="0"/>
      <w:marBottom w:val="0"/>
      <w:divBdr>
        <w:top w:val="none" w:sz="0" w:space="0" w:color="auto"/>
        <w:left w:val="none" w:sz="0" w:space="0" w:color="auto"/>
        <w:bottom w:val="none" w:sz="0" w:space="0" w:color="auto"/>
        <w:right w:val="none" w:sz="0" w:space="0" w:color="auto"/>
      </w:divBdr>
    </w:div>
    <w:div w:id="1532379394">
      <w:bodyDiv w:val="1"/>
      <w:marLeft w:val="0"/>
      <w:marRight w:val="0"/>
      <w:marTop w:val="0"/>
      <w:marBottom w:val="0"/>
      <w:divBdr>
        <w:top w:val="none" w:sz="0" w:space="0" w:color="auto"/>
        <w:left w:val="none" w:sz="0" w:space="0" w:color="auto"/>
        <w:bottom w:val="none" w:sz="0" w:space="0" w:color="auto"/>
        <w:right w:val="none" w:sz="0" w:space="0" w:color="auto"/>
      </w:divBdr>
    </w:div>
    <w:div w:id="1536889082">
      <w:bodyDiv w:val="1"/>
      <w:marLeft w:val="0"/>
      <w:marRight w:val="0"/>
      <w:marTop w:val="0"/>
      <w:marBottom w:val="0"/>
      <w:divBdr>
        <w:top w:val="none" w:sz="0" w:space="0" w:color="auto"/>
        <w:left w:val="none" w:sz="0" w:space="0" w:color="auto"/>
        <w:bottom w:val="none" w:sz="0" w:space="0" w:color="auto"/>
        <w:right w:val="none" w:sz="0" w:space="0" w:color="auto"/>
      </w:divBdr>
    </w:div>
    <w:div w:id="1566379266">
      <w:bodyDiv w:val="1"/>
      <w:marLeft w:val="0"/>
      <w:marRight w:val="0"/>
      <w:marTop w:val="0"/>
      <w:marBottom w:val="0"/>
      <w:divBdr>
        <w:top w:val="none" w:sz="0" w:space="0" w:color="auto"/>
        <w:left w:val="none" w:sz="0" w:space="0" w:color="auto"/>
        <w:bottom w:val="none" w:sz="0" w:space="0" w:color="auto"/>
        <w:right w:val="none" w:sz="0" w:space="0" w:color="auto"/>
      </w:divBdr>
    </w:div>
    <w:div w:id="1570576106">
      <w:bodyDiv w:val="1"/>
      <w:marLeft w:val="0"/>
      <w:marRight w:val="0"/>
      <w:marTop w:val="0"/>
      <w:marBottom w:val="0"/>
      <w:divBdr>
        <w:top w:val="none" w:sz="0" w:space="0" w:color="auto"/>
        <w:left w:val="none" w:sz="0" w:space="0" w:color="auto"/>
        <w:bottom w:val="none" w:sz="0" w:space="0" w:color="auto"/>
        <w:right w:val="none" w:sz="0" w:space="0" w:color="auto"/>
      </w:divBdr>
    </w:div>
    <w:div w:id="1570576512">
      <w:bodyDiv w:val="1"/>
      <w:marLeft w:val="0"/>
      <w:marRight w:val="0"/>
      <w:marTop w:val="0"/>
      <w:marBottom w:val="0"/>
      <w:divBdr>
        <w:top w:val="none" w:sz="0" w:space="0" w:color="auto"/>
        <w:left w:val="none" w:sz="0" w:space="0" w:color="auto"/>
        <w:bottom w:val="none" w:sz="0" w:space="0" w:color="auto"/>
        <w:right w:val="none" w:sz="0" w:space="0" w:color="auto"/>
      </w:divBdr>
    </w:div>
    <w:div w:id="1587302109">
      <w:bodyDiv w:val="1"/>
      <w:marLeft w:val="0"/>
      <w:marRight w:val="0"/>
      <w:marTop w:val="0"/>
      <w:marBottom w:val="0"/>
      <w:divBdr>
        <w:top w:val="none" w:sz="0" w:space="0" w:color="auto"/>
        <w:left w:val="none" w:sz="0" w:space="0" w:color="auto"/>
        <w:bottom w:val="none" w:sz="0" w:space="0" w:color="auto"/>
        <w:right w:val="none" w:sz="0" w:space="0" w:color="auto"/>
      </w:divBdr>
    </w:div>
    <w:div w:id="1590582679">
      <w:bodyDiv w:val="1"/>
      <w:marLeft w:val="0"/>
      <w:marRight w:val="0"/>
      <w:marTop w:val="0"/>
      <w:marBottom w:val="0"/>
      <w:divBdr>
        <w:top w:val="none" w:sz="0" w:space="0" w:color="auto"/>
        <w:left w:val="none" w:sz="0" w:space="0" w:color="auto"/>
        <w:bottom w:val="none" w:sz="0" w:space="0" w:color="auto"/>
        <w:right w:val="none" w:sz="0" w:space="0" w:color="auto"/>
      </w:divBdr>
    </w:div>
    <w:div w:id="1595867962">
      <w:bodyDiv w:val="1"/>
      <w:marLeft w:val="0"/>
      <w:marRight w:val="0"/>
      <w:marTop w:val="0"/>
      <w:marBottom w:val="0"/>
      <w:divBdr>
        <w:top w:val="none" w:sz="0" w:space="0" w:color="auto"/>
        <w:left w:val="none" w:sz="0" w:space="0" w:color="auto"/>
        <w:bottom w:val="none" w:sz="0" w:space="0" w:color="auto"/>
        <w:right w:val="none" w:sz="0" w:space="0" w:color="auto"/>
      </w:divBdr>
    </w:div>
    <w:div w:id="1598950365">
      <w:bodyDiv w:val="1"/>
      <w:marLeft w:val="0"/>
      <w:marRight w:val="0"/>
      <w:marTop w:val="0"/>
      <w:marBottom w:val="0"/>
      <w:divBdr>
        <w:top w:val="none" w:sz="0" w:space="0" w:color="auto"/>
        <w:left w:val="none" w:sz="0" w:space="0" w:color="auto"/>
        <w:bottom w:val="none" w:sz="0" w:space="0" w:color="auto"/>
        <w:right w:val="none" w:sz="0" w:space="0" w:color="auto"/>
      </w:divBdr>
    </w:div>
    <w:div w:id="1605843193">
      <w:bodyDiv w:val="1"/>
      <w:marLeft w:val="0"/>
      <w:marRight w:val="0"/>
      <w:marTop w:val="0"/>
      <w:marBottom w:val="0"/>
      <w:divBdr>
        <w:top w:val="none" w:sz="0" w:space="0" w:color="auto"/>
        <w:left w:val="none" w:sz="0" w:space="0" w:color="auto"/>
        <w:bottom w:val="none" w:sz="0" w:space="0" w:color="auto"/>
        <w:right w:val="none" w:sz="0" w:space="0" w:color="auto"/>
      </w:divBdr>
    </w:div>
    <w:div w:id="1620799863">
      <w:bodyDiv w:val="1"/>
      <w:marLeft w:val="0"/>
      <w:marRight w:val="0"/>
      <w:marTop w:val="0"/>
      <w:marBottom w:val="0"/>
      <w:divBdr>
        <w:top w:val="none" w:sz="0" w:space="0" w:color="auto"/>
        <w:left w:val="none" w:sz="0" w:space="0" w:color="auto"/>
        <w:bottom w:val="none" w:sz="0" w:space="0" w:color="auto"/>
        <w:right w:val="none" w:sz="0" w:space="0" w:color="auto"/>
      </w:divBdr>
    </w:div>
    <w:div w:id="1643924067">
      <w:bodyDiv w:val="1"/>
      <w:marLeft w:val="0"/>
      <w:marRight w:val="0"/>
      <w:marTop w:val="0"/>
      <w:marBottom w:val="0"/>
      <w:divBdr>
        <w:top w:val="none" w:sz="0" w:space="0" w:color="auto"/>
        <w:left w:val="none" w:sz="0" w:space="0" w:color="auto"/>
        <w:bottom w:val="none" w:sz="0" w:space="0" w:color="auto"/>
        <w:right w:val="none" w:sz="0" w:space="0" w:color="auto"/>
      </w:divBdr>
    </w:div>
    <w:div w:id="1644119143">
      <w:bodyDiv w:val="1"/>
      <w:marLeft w:val="0"/>
      <w:marRight w:val="0"/>
      <w:marTop w:val="0"/>
      <w:marBottom w:val="0"/>
      <w:divBdr>
        <w:top w:val="none" w:sz="0" w:space="0" w:color="auto"/>
        <w:left w:val="none" w:sz="0" w:space="0" w:color="auto"/>
        <w:bottom w:val="none" w:sz="0" w:space="0" w:color="auto"/>
        <w:right w:val="none" w:sz="0" w:space="0" w:color="auto"/>
      </w:divBdr>
    </w:div>
    <w:div w:id="1649826267">
      <w:bodyDiv w:val="1"/>
      <w:marLeft w:val="0"/>
      <w:marRight w:val="0"/>
      <w:marTop w:val="0"/>
      <w:marBottom w:val="0"/>
      <w:divBdr>
        <w:top w:val="none" w:sz="0" w:space="0" w:color="auto"/>
        <w:left w:val="none" w:sz="0" w:space="0" w:color="auto"/>
        <w:bottom w:val="none" w:sz="0" w:space="0" w:color="auto"/>
        <w:right w:val="none" w:sz="0" w:space="0" w:color="auto"/>
      </w:divBdr>
    </w:div>
    <w:div w:id="1659381488">
      <w:bodyDiv w:val="1"/>
      <w:marLeft w:val="0"/>
      <w:marRight w:val="0"/>
      <w:marTop w:val="0"/>
      <w:marBottom w:val="0"/>
      <w:divBdr>
        <w:top w:val="none" w:sz="0" w:space="0" w:color="auto"/>
        <w:left w:val="none" w:sz="0" w:space="0" w:color="auto"/>
        <w:bottom w:val="none" w:sz="0" w:space="0" w:color="auto"/>
        <w:right w:val="none" w:sz="0" w:space="0" w:color="auto"/>
      </w:divBdr>
    </w:div>
    <w:div w:id="1660302855">
      <w:bodyDiv w:val="1"/>
      <w:marLeft w:val="0"/>
      <w:marRight w:val="0"/>
      <w:marTop w:val="0"/>
      <w:marBottom w:val="0"/>
      <w:divBdr>
        <w:top w:val="none" w:sz="0" w:space="0" w:color="auto"/>
        <w:left w:val="none" w:sz="0" w:space="0" w:color="auto"/>
        <w:bottom w:val="none" w:sz="0" w:space="0" w:color="auto"/>
        <w:right w:val="none" w:sz="0" w:space="0" w:color="auto"/>
      </w:divBdr>
    </w:div>
    <w:div w:id="1682855892">
      <w:bodyDiv w:val="1"/>
      <w:marLeft w:val="0"/>
      <w:marRight w:val="0"/>
      <w:marTop w:val="0"/>
      <w:marBottom w:val="0"/>
      <w:divBdr>
        <w:top w:val="none" w:sz="0" w:space="0" w:color="auto"/>
        <w:left w:val="none" w:sz="0" w:space="0" w:color="auto"/>
        <w:bottom w:val="none" w:sz="0" w:space="0" w:color="auto"/>
        <w:right w:val="none" w:sz="0" w:space="0" w:color="auto"/>
      </w:divBdr>
    </w:div>
    <w:div w:id="1695573943">
      <w:bodyDiv w:val="1"/>
      <w:marLeft w:val="0"/>
      <w:marRight w:val="0"/>
      <w:marTop w:val="0"/>
      <w:marBottom w:val="0"/>
      <w:divBdr>
        <w:top w:val="none" w:sz="0" w:space="0" w:color="auto"/>
        <w:left w:val="none" w:sz="0" w:space="0" w:color="auto"/>
        <w:bottom w:val="none" w:sz="0" w:space="0" w:color="auto"/>
        <w:right w:val="none" w:sz="0" w:space="0" w:color="auto"/>
      </w:divBdr>
    </w:div>
    <w:div w:id="1703628439">
      <w:bodyDiv w:val="1"/>
      <w:marLeft w:val="0"/>
      <w:marRight w:val="0"/>
      <w:marTop w:val="0"/>
      <w:marBottom w:val="0"/>
      <w:divBdr>
        <w:top w:val="none" w:sz="0" w:space="0" w:color="auto"/>
        <w:left w:val="none" w:sz="0" w:space="0" w:color="auto"/>
        <w:bottom w:val="none" w:sz="0" w:space="0" w:color="auto"/>
        <w:right w:val="none" w:sz="0" w:space="0" w:color="auto"/>
      </w:divBdr>
    </w:div>
    <w:div w:id="1715233476">
      <w:bodyDiv w:val="1"/>
      <w:marLeft w:val="0"/>
      <w:marRight w:val="0"/>
      <w:marTop w:val="0"/>
      <w:marBottom w:val="0"/>
      <w:divBdr>
        <w:top w:val="none" w:sz="0" w:space="0" w:color="auto"/>
        <w:left w:val="none" w:sz="0" w:space="0" w:color="auto"/>
        <w:bottom w:val="none" w:sz="0" w:space="0" w:color="auto"/>
        <w:right w:val="none" w:sz="0" w:space="0" w:color="auto"/>
      </w:divBdr>
    </w:div>
    <w:div w:id="1716155312">
      <w:bodyDiv w:val="1"/>
      <w:marLeft w:val="0"/>
      <w:marRight w:val="0"/>
      <w:marTop w:val="0"/>
      <w:marBottom w:val="0"/>
      <w:divBdr>
        <w:top w:val="none" w:sz="0" w:space="0" w:color="auto"/>
        <w:left w:val="none" w:sz="0" w:space="0" w:color="auto"/>
        <w:bottom w:val="none" w:sz="0" w:space="0" w:color="auto"/>
        <w:right w:val="none" w:sz="0" w:space="0" w:color="auto"/>
      </w:divBdr>
    </w:div>
    <w:div w:id="1716852535">
      <w:bodyDiv w:val="1"/>
      <w:marLeft w:val="0"/>
      <w:marRight w:val="0"/>
      <w:marTop w:val="0"/>
      <w:marBottom w:val="0"/>
      <w:divBdr>
        <w:top w:val="none" w:sz="0" w:space="0" w:color="auto"/>
        <w:left w:val="none" w:sz="0" w:space="0" w:color="auto"/>
        <w:bottom w:val="none" w:sz="0" w:space="0" w:color="auto"/>
        <w:right w:val="none" w:sz="0" w:space="0" w:color="auto"/>
      </w:divBdr>
    </w:div>
    <w:div w:id="1729113183">
      <w:bodyDiv w:val="1"/>
      <w:marLeft w:val="0"/>
      <w:marRight w:val="0"/>
      <w:marTop w:val="0"/>
      <w:marBottom w:val="0"/>
      <w:divBdr>
        <w:top w:val="none" w:sz="0" w:space="0" w:color="auto"/>
        <w:left w:val="none" w:sz="0" w:space="0" w:color="auto"/>
        <w:bottom w:val="none" w:sz="0" w:space="0" w:color="auto"/>
        <w:right w:val="none" w:sz="0" w:space="0" w:color="auto"/>
      </w:divBdr>
    </w:div>
    <w:div w:id="1737818479">
      <w:bodyDiv w:val="1"/>
      <w:marLeft w:val="0"/>
      <w:marRight w:val="0"/>
      <w:marTop w:val="0"/>
      <w:marBottom w:val="0"/>
      <w:divBdr>
        <w:top w:val="none" w:sz="0" w:space="0" w:color="auto"/>
        <w:left w:val="none" w:sz="0" w:space="0" w:color="auto"/>
        <w:bottom w:val="none" w:sz="0" w:space="0" w:color="auto"/>
        <w:right w:val="none" w:sz="0" w:space="0" w:color="auto"/>
      </w:divBdr>
    </w:div>
    <w:div w:id="1740900914">
      <w:bodyDiv w:val="1"/>
      <w:marLeft w:val="0"/>
      <w:marRight w:val="0"/>
      <w:marTop w:val="0"/>
      <w:marBottom w:val="0"/>
      <w:divBdr>
        <w:top w:val="none" w:sz="0" w:space="0" w:color="auto"/>
        <w:left w:val="none" w:sz="0" w:space="0" w:color="auto"/>
        <w:bottom w:val="none" w:sz="0" w:space="0" w:color="auto"/>
        <w:right w:val="none" w:sz="0" w:space="0" w:color="auto"/>
      </w:divBdr>
    </w:div>
    <w:div w:id="1762991276">
      <w:bodyDiv w:val="1"/>
      <w:marLeft w:val="0"/>
      <w:marRight w:val="0"/>
      <w:marTop w:val="0"/>
      <w:marBottom w:val="0"/>
      <w:divBdr>
        <w:top w:val="none" w:sz="0" w:space="0" w:color="auto"/>
        <w:left w:val="none" w:sz="0" w:space="0" w:color="auto"/>
        <w:bottom w:val="none" w:sz="0" w:space="0" w:color="auto"/>
        <w:right w:val="none" w:sz="0" w:space="0" w:color="auto"/>
      </w:divBdr>
    </w:div>
    <w:div w:id="1770468555">
      <w:bodyDiv w:val="1"/>
      <w:marLeft w:val="0"/>
      <w:marRight w:val="0"/>
      <w:marTop w:val="0"/>
      <w:marBottom w:val="0"/>
      <w:divBdr>
        <w:top w:val="none" w:sz="0" w:space="0" w:color="auto"/>
        <w:left w:val="none" w:sz="0" w:space="0" w:color="auto"/>
        <w:bottom w:val="none" w:sz="0" w:space="0" w:color="auto"/>
        <w:right w:val="none" w:sz="0" w:space="0" w:color="auto"/>
      </w:divBdr>
    </w:div>
    <w:div w:id="1777870333">
      <w:bodyDiv w:val="1"/>
      <w:marLeft w:val="0"/>
      <w:marRight w:val="0"/>
      <w:marTop w:val="0"/>
      <w:marBottom w:val="0"/>
      <w:divBdr>
        <w:top w:val="none" w:sz="0" w:space="0" w:color="auto"/>
        <w:left w:val="none" w:sz="0" w:space="0" w:color="auto"/>
        <w:bottom w:val="none" w:sz="0" w:space="0" w:color="auto"/>
        <w:right w:val="none" w:sz="0" w:space="0" w:color="auto"/>
      </w:divBdr>
    </w:div>
    <w:div w:id="1777945645">
      <w:bodyDiv w:val="1"/>
      <w:marLeft w:val="0"/>
      <w:marRight w:val="0"/>
      <w:marTop w:val="0"/>
      <w:marBottom w:val="0"/>
      <w:divBdr>
        <w:top w:val="none" w:sz="0" w:space="0" w:color="auto"/>
        <w:left w:val="none" w:sz="0" w:space="0" w:color="auto"/>
        <w:bottom w:val="none" w:sz="0" w:space="0" w:color="auto"/>
        <w:right w:val="none" w:sz="0" w:space="0" w:color="auto"/>
      </w:divBdr>
    </w:div>
    <w:div w:id="1807043222">
      <w:bodyDiv w:val="1"/>
      <w:marLeft w:val="0"/>
      <w:marRight w:val="0"/>
      <w:marTop w:val="0"/>
      <w:marBottom w:val="0"/>
      <w:divBdr>
        <w:top w:val="none" w:sz="0" w:space="0" w:color="auto"/>
        <w:left w:val="none" w:sz="0" w:space="0" w:color="auto"/>
        <w:bottom w:val="none" w:sz="0" w:space="0" w:color="auto"/>
        <w:right w:val="none" w:sz="0" w:space="0" w:color="auto"/>
      </w:divBdr>
    </w:div>
    <w:div w:id="1808427154">
      <w:bodyDiv w:val="1"/>
      <w:marLeft w:val="0"/>
      <w:marRight w:val="0"/>
      <w:marTop w:val="0"/>
      <w:marBottom w:val="0"/>
      <w:divBdr>
        <w:top w:val="none" w:sz="0" w:space="0" w:color="auto"/>
        <w:left w:val="none" w:sz="0" w:space="0" w:color="auto"/>
        <w:bottom w:val="none" w:sz="0" w:space="0" w:color="auto"/>
        <w:right w:val="none" w:sz="0" w:space="0" w:color="auto"/>
      </w:divBdr>
    </w:div>
    <w:div w:id="1819570815">
      <w:bodyDiv w:val="1"/>
      <w:marLeft w:val="0"/>
      <w:marRight w:val="0"/>
      <w:marTop w:val="0"/>
      <w:marBottom w:val="0"/>
      <w:divBdr>
        <w:top w:val="none" w:sz="0" w:space="0" w:color="auto"/>
        <w:left w:val="none" w:sz="0" w:space="0" w:color="auto"/>
        <w:bottom w:val="none" w:sz="0" w:space="0" w:color="auto"/>
        <w:right w:val="none" w:sz="0" w:space="0" w:color="auto"/>
      </w:divBdr>
    </w:div>
    <w:div w:id="1833520076">
      <w:bodyDiv w:val="1"/>
      <w:marLeft w:val="0"/>
      <w:marRight w:val="0"/>
      <w:marTop w:val="0"/>
      <w:marBottom w:val="0"/>
      <w:divBdr>
        <w:top w:val="none" w:sz="0" w:space="0" w:color="auto"/>
        <w:left w:val="none" w:sz="0" w:space="0" w:color="auto"/>
        <w:bottom w:val="none" w:sz="0" w:space="0" w:color="auto"/>
        <w:right w:val="none" w:sz="0" w:space="0" w:color="auto"/>
      </w:divBdr>
    </w:div>
    <w:div w:id="1844587476">
      <w:bodyDiv w:val="1"/>
      <w:marLeft w:val="0"/>
      <w:marRight w:val="0"/>
      <w:marTop w:val="0"/>
      <w:marBottom w:val="0"/>
      <w:divBdr>
        <w:top w:val="none" w:sz="0" w:space="0" w:color="auto"/>
        <w:left w:val="none" w:sz="0" w:space="0" w:color="auto"/>
        <w:bottom w:val="none" w:sz="0" w:space="0" w:color="auto"/>
        <w:right w:val="none" w:sz="0" w:space="0" w:color="auto"/>
      </w:divBdr>
    </w:div>
    <w:div w:id="1860972366">
      <w:bodyDiv w:val="1"/>
      <w:marLeft w:val="0"/>
      <w:marRight w:val="0"/>
      <w:marTop w:val="0"/>
      <w:marBottom w:val="0"/>
      <w:divBdr>
        <w:top w:val="none" w:sz="0" w:space="0" w:color="auto"/>
        <w:left w:val="none" w:sz="0" w:space="0" w:color="auto"/>
        <w:bottom w:val="none" w:sz="0" w:space="0" w:color="auto"/>
        <w:right w:val="none" w:sz="0" w:space="0" w:color="auto"/>
      </w:divBdr>
    </w:div>
    <w:div w:id="1865710057">
      <w:bodyDiv w:val="1"/>
      <w:marLeft w:val="0"/>
      <w:marRight w:val="0"/>
      <w:marTop w:val="0"/>
      <w:marBottom w:val="0"/>
      <w:divBdr>
        <w:top w:val="none" w:sz="0" w:space="0" w:color="auto"/>
        <w:left w:val="none" w:sz="0" w:space="0" w:color="auto"/>
        <w:bottom w:val="none" w:sz="0" w:space="0" w:color="auto"/>
        <w:right w:val="none" w:sz="0" w:space="0" w:color="auto"/>
      </w:divBdr>
    </w:div>
    <w:div w:id="1865946555">
      <w:bodyDiv w:val="1"/>
      <w:marLeft w:val="0"/>
      <w:marRight w:val="0"/>
      <w:marTop w:val="0"/>
      <w:marBottom w:val="0"/>
      <w:divBdr>
        <w:top w:val="none" w:sz="0" w:space="0" w:color="auto"/>
        <w:left w:val="none" w:sz="0" w:space="0" w:color="auto"/>
        <w:bottom w:val="none" w:sz="0" w:space="0" w:color="auto"/>
        <w:right w:val="none" w:sz="0" w:space="0" w:color="auto"/>
      </w:divBdr>
    </w:div>
    <w:div w:id="1866166969">
      <w:bodyDiv w:val="1"/>
      <w:marLeft w:val="0"/>
      <w:marRight w:val="0"/>
      <w:marTop w:val="0"/>
      <w:marBottom w:val="0"/>
      <w:divBdr>
        <w:top w:val="none" w:sz="0" w:space="0" w:color="auto"/>
        <w:left w:val="none" w:sz="0" w:space="0" w:color="auto"/>
        <w:bottom w:val="none" w:sz="0" w:space="0" w:color="auto"/>
        <w:right w:val="none" w:sz="0" w:space="0" w:color="auto"/>
      </w:divBdr>
    </w:div>
    <w:div w:id="1870220352">
      <w:bodyDiv w:val="1"/>
      <w:marLeft w:val="0"/>
      <w:marRight w:val="0"/>
      <w:marTop w:val="0"/>
      <w:marBottom w:val="0"/>
      <w:divBdr>
        <w:top w:val="none" w:sz="0" w:space="0" w:color="auto"/>
        <w:left w:val="none" w:sz="0" w:space="0" w:color="auto"/>
        <w:bottom w:val="none" w:sz="0" w:space="0" w:color="auto"/>
        <w:right w:val="none" w:sz="0" w:space="0" w:color="auto"/>
      </w:divBdr>
    </w:div>
    <w:div w:id="1882016325">
      <w:bodyDiv w:val="1"/>
      <w:marLeft w:val="0"/>
      <w:marRight w:val="0"/>
      <w:marTop w:val="0"/>
      <w:marBottom w:val="0"/>
      <w:divBdr>
        <w:top w:val="none" w:sz="0" w:space="0" w:color="auto"/>
        <w:left w:val="none" w:sz="0" w:space="0" w:color="auto"/>
        <w:bottom w:val="none" w:sz="0" w:space="0" w:color="auto"/>
        <w:right w:val="none" w:sz="0" w:space="0" w:color="auto"/>
      </w:divBdr>
    </w:div>
    <w:div w:id="1886984737">
      <w:bodyDiv w:val="1"/>
      <w:marLeft w:val="0"/>
      <w:marRight w:val="0"/>
      <w:marTop w:val="0"/>
      <w:marBottom w:val="0"/>
      <w:divBdr>
        <w:top w:val="none" w:sz="0" w:space="0" w:color="auto"/>
        <w:left w:val="none" w:sz="0" w:space="0" w:color="auto"/>
        <w:bottom w:val="none" w:sz="0" w:space="0" w:color="auto"/>
        <w:right w:val="none" w:sz="0" w:space="0" w:color="auto"/>
      </w:divBdr>
    </w:div>
    <w:div w:id="1894657893">
      <w:bodyDiv w:val="1"/>
      <w:marLeft w:val="0"/>
      <w:marRight w:val="0"/>
      <w:marTop w:val="0"/>
      <w:marBottom w:val="0"/>
      <w:divBdr>
        <w:top w:val="none" w:sz="0" w:space="0" w:color="auto"/>
        <w:left w:val="none" w:sz="0" w:space="0" w:color="auto"/>
        <w:bottom w:val="none" w:sz="0" w:space="0" w:color="auto"/>
        <w:right w:val="none" w:sz="0" w:space="0" w:color="auto"/>
      </w:divBdr>
    </w:div>
    <w:div w:id="1902594986">
      <w:bodyDiv w:val="1"/>
      <w:marLeft w:val="0"/>
      <w:marRight w:val="0"/>
      <w:marTop w:val="0"/>
      <w:marBottom w:val="0"/>
      <w:divBdr>
        <w:top w:val="none" w:sz="0" w:space="0" w:color="auto"/>
        <w:left w:val="none" w:sz="0" w:space="0" w:color="auto"/>
        <w:bottom w:val="none" w:sz="0" w:space="0" w:color="auto"/>
        <w:right w:val="none" w:sz="0" w:space="0" w:color="auto"/>
      </w:divBdr>
    </w:div>
    <w:div w:id="1908762779">
      <w:bodyDiv w:val="1"/>
      <w:marLeft w:val="0"/>
      <w:marRight w:val="0"/>
      <w:marTop w:val="0"/>
      <w:marBottom w:val="0"/>
      <w:divBdr>
        <w:top w:val="none" w:sz="0" w:space="0" w:color="auto"/>
        <w:left w:val="none" w:sz="0" w:space="0" w:color="auto"/>
        <w:bottom w:val="none" w:sz="0" w:space="0" w:color="auto"/>
        <w:right w:val="none" w:sz="0" w:space="0" w:color="auto"/>
      </w:divBdr>
    </w:div>
    <w:div w:id="1910729258">
      <w:bodyDiv w:val="1"/>
      <w:marLeft w:val="0"/>
      <w:marRight w:val="0"/>
      <w:marTop w:val="0"/>
      <w:marBottom w:val="0"/>
      <w:divBdr>
        <w:top w:val="none" w:sz="0" w:space="0" w:color="auto"/>
        <w:left w:val="none" w:sz="0" w:space="0" w:color="auto"/>
        <w:bottom w:val="none" w:sz="0" w:space="0" w:color="auto"/>
        <w:right w:val="none" w:sz="0" w:space="0" w:color="auto"/>
      </w:divBdr>
    </w:div>
    <w:div w:id="1912424716">
      <w:bodyDiv w:val="1"/>
      <w:marLeft w:val="0"/>
      <w:marRight w:val="0"/>
      <w:marTop w:val="0"/>
      <w:marBottom w:val="0"/>
      <w:divBdr>
        <w:top w:val="none" w:sz="0" w:space="0" w:color="auto"/>
        <w:left w:val="none" w:sz="0" w:space="0" w:color="auto"/>
        <w:bottom w:val="none" w:sz="0" w:space="0" w:color="auto"/>
        <w:right w:val="none" w:sz="0" w:space="0" w:color="auto"/>
      </w:divBdr>
    </w:div>
    <w:div w:id="1949653144">
      <w:bodyDiv w:val="1"/>
      <w:marLeft w:val="0"/>
      <w:marRight w:val="0"/>
      <w:marTop w:val="0"/>
      <w:marBottom w:val="0"/>
      <w:divBdr>
        <w:top w:val="none" w:sz="0" w:space="0" w:color="auto"/>
        <w:left w:val="none" w:sz="0" w:space="0" w:color="auto"/>
        <w:bottom w:val="none" w:sz="0" w:space="0" w:color="auto"/>
        <w:right w:val="none" w:sz="0" w:space="0" w:color="auto"/>
      </w:divBdr>
    </w:div>
    <w:div w:id="1992366163">
      <w:bodyDiv w:val="1"/>
      <w:marLeft w:val="0"/>
      <w:marRight w:val="0"/>
      <w:marTop w:val="0"/>
      <w:marBottom w:val="0"/>
      <w:divBdr>
        <w:top w:val="none" w:sz="0" w:space="0" w:color="auto"/>
        <w:left w:val="none" w:sz="0" w:space="0" w:color="auto"/>
        <w:bottom w:val="none" w:sz="0" w:space="0" w:color="auto"/>
        <w:right w:val="none" w:sz="0" w:space="0" w:color="auto"/>
      </w:divBdr>
    </w:div>
    <w:div w:id="2002730848">
      <w:bodyDiv w:val="1"/>
      <w:marLeft w:val="0"/>
      <w:marRight w:val="0"/>
      <w:marTop w:val="0"/>
      <w:marBottom w:val="0"/>
      <w:divBdr>
        <w:top w:val="none" w:sz="0" w:space="0" w:color="auto"/>
        <w:left w:val="none" w:sz="0" w:space="0" w:color="auto"/>
        <w:bottom w:val="none" w:sz="0" w:space="0" w:color="auto"/>
        <w:right w:val="none" w:sz="0" w:space="0" w:color="auto"/>
      </w:divBdr>
    </w:div>
    <w:div w:id="2012634112">
      <w:bodyDiv w:val="1"/>
      <w:marLeft w:val="0"/>
      <w:marRight w:val="0"/>
      <w:marTop w:val="0"/>
      <w:marBottom w:val="0"/>
      <w:divBdr>
        <w:top w:val="none" w:sz="0" w:space="0" w:color="auto"/>
        <w:left w:val="none" w:sz="0" w:space="0" w:color="auto"/>
        <w:bottom w:val="none" w:sz="0" w:space="0" w:color="auto"/>
        <w:right w:val="none" w:sz="0" w:space="0" w:color="auto"/>
      </w:divBdr>
    </w:div>
    <w:div w:id="2018607093">
      <w:bodyDiv w:val="1"/>
      <w:marLeft w:val="0"/>
      <w:marRight w:val="0"/>
      <w:marTop w:val="0"/>
      <w:marBottom w:val="0"/>
      <w:divBdr>
        <w:top w:val="none" w:sz="0" w:space="0" w:color="auto"/>
        <w:left w:val="none" w:sz="0" w:space="0" w:color="auto"/>
        <w:bottom w:val="none" w:sz="0" w:space="0" w:color="auto"/>
        <w:right w:val="none" w:sz="0" w:space="0" w:color="auto"/>
      </w:divBdr>
    </w:div>
    <w:div w:id="2028821568">
      <w:bodyDiv w:val="1"/>
      <w:marLeft w:val="0"/>
      <w:marRight w:val="0"/>
      <w:marTop w:val="0"/>
      <w:marBottom w:val="0"/>
      <w:divBdr>
        <w:top w:val="none" w:sz="0" w:space="0" w:color="auto"/>
        <w:left w:val="none" w:sz="0" w:space="0" w:color="auto"/>
        <w:bottom w:val="none" w:sz="0" w:space="0" w:color="auto"/>
        <w:right w:val="none" w:sz="0" w:space="0" w:color="auto"/>
      </w:divBdr>
    </w:div>
    <w:div w:id="2033727018">
      <w:bodyDiv w:val="1"/>
      <w:marLeft w:val="0"/>
      <w:marRight w:val="0"/>
      <w:marTop w:val="0"/>
      <w:marBottom w:val="0"/>
      <w:divBdr>
        <w:top w:val="none" w:sz="0" w:space="0" w:color="auto"/>
        <w:left w:val="none" w:sz="0" w:space="0" w:color="auto"/>
        <w:bottom w:val="none" w:sz="0" w:space="0" w:color="auto"/>
        <w:right w:val="none" w:sz="0" w:space="0" w:color="auto"/>
      </w:divBdr>
    </w:div>
    <w:div w:id="2042657418">
      <w:bodyDiv w:val="1"/>
      <w:marLeft w:val="0"/>
      <w:marRight w:val="0"/>
      <w:marTop w:val="0"/>
      <w:marBottom w:val="0"/>
      <w:divBdr>
        <w:top w:val="none" w:sz="0" w:space="0" w:color="auto"/>
        <w:left w:val="none" w:sz="0" w:space="0" w:color="auto"/>
        <w:bottom w:val="none" w:sz="0" w:space="0" w:color="auto"/>
        <w:right w:val="none" w:sz="0" w:space="0" w:color="auto"/>
      </w:divBdr>
    </w:div>
    <w:div w:id="2042854371">
      <w:bodyDiv w:val="1"/>
      <w:marLeft w:val="0"/>
      <w:marRight w:val="0"/>
      <w:marTop w:val="0"/>
      <w:marBottom w:val="0"/>
      <w:divBdr>
        <w:top w:val="none" w:sz="0" w:space="0" w:color="auto"/>
        <w:left w:val="none" w:sz="0" w:space="0" w:color="auto"/>
        <w:bottom w:val="none" w:sz="0" w:space="0" w:color="auto"/>
        <w:right w:val="none" w:sz="0" w:space="0" w:color="auto"/>
      </w:divBdr>
    </w:div>
    <w:div w:id="2043171585">
      <w:bodyDiv w:val="1"/>
      <w:marLeft w:val="0"/>
      <w:marRight w:val="0"/>
      <w:marTop w:val="0"/>
      <w:marBottom w:val="0"/>
      <w:divBdr>
        <w:top w:val="none" w:sz="0" w:space="0" w:color="auto"/>
        <w:left w:val="none" w:sz="0" w:space="0" w:color="auto"/>
        <w:bottom w:val="none" w:sz="0" w:space="0" w:color="auto"/>
        <w:right w:val="none" w:sz="0" w:space="0" w:color="auto"/>
      </w:divBdr>
    </w:div>
    <w:div w:id="2053143005">
      <w:bodyDiv w:val="1"/>
      <w:marLeft w:val="0"/>
      <w:marRight w:val="0"/>
      <w:marTop w:val="0"/>
      <w:marBottom w:val="0"/>
      <w:divBdr>
        <w:top w:val="none" w:sz="0" w:space="0" w:color="auto"/>
        <w:left w:val="none" w:sz="0" w:space="0" w:color="auto"/>
        <w:bottom w:val="none" w:sz="0" w:space="0" w:color="auto"/>
        <w:right w:val="none" w:sz="0" w:space="0" w:color="auto"/>
      </w:divBdr>
    </w:div>
    <w:div w:id="2071876446">
      <w:bodyDiv w:val="1"/>
      <w:marLeft w:val="0"/>
      <w:marRight w:val="0"/>
      <w:marTop w:val="0"/>
      <w:marBottom w:val="0"/>
      <w:divBdr>
        <w:top w:val="none" w:sz="0" w:space="0" w:color="auto"/>
        <w:left w:val="none" w:sz="0" w:space="0" w:color="auto"/>
        <w:bottom w:val="none" w:sz="0" w:space="0" w:color="auto"/>
        <w:right w:val="none" w:sz="0" w:space="0" w:color="auto"/>
      </w:divBdr>
    </w:div>
    <w:div w:id="2081436239">
      <w:bodyDiv w:val="1"/>
      <w:marLeft w:val="0"/>
      <w:marRight w:val="0"/>
      <w:marTop w:val="0"/>
      <w:marBottom w:val="0"/>
      <w:divBdr>
        <w:top w:val="none" w:sz="0" w:space="0" w:color="auto"/>
        <w:left w:val="none" w:sz="0" w:space="0" w:color="auto"/>
        <w:bottom w:val="none" w:sz="0" w:space="0" w:color="auto"/>
        <w:right w:val="none" w:sz="0" w:space="0" w:color="auto"/>
      </w:divBdr>
    </w:div>
    <w:div w:id="2100715065">
      <w:bodyDiv w:val="1"/>
      <w:marLeft w:val="0"/>
      <w:marRight w:val="0"/>
      <w:marTop w:val="0"/>
      <w:marBottom w:val="0"/>
      <w:divBdr>
        <w:top w:val="none" w:sz="0" w:space="0" w:color="auto"/>
        <w:left w:val="none" w:sz="0" w:space="0" w:color="auto"/>
        <w:bottom w:val="none" w:sz="0" w:space="0" w:color="auto"/>
        <w:right w:val="none" w:sz="0" w:space="0" w:color="auto"/>
      </w:divBdr>
    </w:div>
    <w:div w:id="2106073760">
      <w:bodyDiv w:val="1"/>
      <w:marLeft w:val="0"/>
      <w:marRight w:val="0"/>
      <w:marTop w:val="0"/>
      <w:marBottom w:val="0"/>
      <w:divBdr>
        <w:top w:val="none" w:sz="0" w:space="0" w:color="auto"/>
        <w:left w:val="none" w:sz="0" w:space="0" w:color="auto"/>
        <w:bottom w:val="none" w:sz="0" w:space="0" w:color="auto"/>
        <w:right w:val="none" w:sz="0" w:space="0" w:color="auto"/>
      </w:divBdr>
    </w:div>
    <w:div w:id="2119720173">
      <w:bodyDiv w:val="1"/>
      <w:marLeft w:val="0"/>
      <w:marRight w:val="0"/>
      <w:marTop w:val="0"/>
      <w:marBottom w:val="0"/>
      <w:divBdr>
        <w:top w:val="none" w:sz="0" w:space="0" w:color="auto"/>
        <w:left w:val="none" w:sz="0" w:space="0" w:color="auto"/>
        <w:bottom w:val="none" w:sz="0" w:space="0" w:color="auto"/>
        <w:right w:val="none" w:sz="0" w:space="0" w:color="auto"/>
      </w:divBdr>
    </w:div>
    <w:div w:id="21217601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sewaleseas.org.uk/our-services/professional-learning/" TargetMode="External"/><Relationship Id="rId18" Type="http://schemas.openxmlformats.org/officeDocument/2006/relationships/hyperlink" Target="https://www.naht.org.uk/News/Latest-comments/News/ArtMID/556/ArticleID/1180/NAHT-Cymru-survey-Pupils-and-staff-would-benefit-from-more-time-before-new-curriculum-rollout" TargetMode="External"/><Relationship Id="rId26" Type="http://schemas.openxmlformats.org/officeDocument/2006/relationships/hyperlink" Target="https://www.gov.wales/schools-learning-organisations-slo-overview" TargetMode="External"/><Relationship Id="rId39" Type="http://schemas.openxmlformats.org/officeDocument/2006/relationships/image" Target="media/image8.emf"/><Relationship Id="rId21" Type="http://schemas.openxmlformats.org/officeDocument/2006/relationships/hyperlink" Target="https://www.oecd.org/education/teachers-professional-learning-study/" TargetMode="External"/><Relationship Id="rId34" Type="http://schemas.openxmlformats.org/officeDocument/2006/relationships/image" Target="media/image3.emf"/><Relationship Id="rId42" Type="http://schemas.openxmlformats.org/officeDocument/2006/relationships/package" Target="embeddings/Microsoft_Word_Document.docx"/><Relationship Id="rId47"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bera.ac.uk/publication/case-studies-in-educational-research" TargetMode="External"/><Relationship Id="rId29" Type="http://schemas.openxmlformats.org/officeDocument/2006/relationships/hyperlink" Target="https://hwb.gov.wales/professional-development/national-professional-learning-entitlement/national-professional-learning-entitlement/"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cem.org/blog/serious-critiques-of-meta-analysis-and-effect-size-researched-2018" TargetMode="External"/><Relationship Id="rId24" Type="http://schemas.openxmlformats.org/officeDocument/2006/relationships/hyperlink" Target="https://spice-spotlight.scot/2020/01/06/rics/" TargetMode="External"/><Relationship Id="rId32" Type="http://schemas.openxmlformats.org/officeDocument/2006/relationships/image" Target="media/image1.emf"/><Relationship Id="rId37" Type="http://schemas.openxmlformats.org/officeDocument/2006/relationships/image" Target="media/image6.emf"/><Relationship Id="rId40" Type="http://schemas.openxmlformats.org/officeDocument/2006/relationships/image" Target="media/image9.emf"/><Relationship Id="rId45"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hyperlink" Target="https://welsheducationmatters.wordpress.com/2023/03/20/bringing-law-and-order-to-the-wild-west-why-validation-is-key-to-curriculum-coherence/" TargetMode="External"/><Relationship Id="rId23" Type="http://schemas.openxmlformats.org/officeDocument/2006/relationships/hyperlink" Target="https://education.gov.scot/resources/a-national-model-of-professional-learning/" TargetMode="External"/><Relationship Id="rId28" Type="http://schemas.openxmlformats.org/officeDocument/2006/relationships/hyperlink" Target="https://hwb.gov.wales/curriculum-for-wales/national-network-for-curriculum-implementation/" TargetMode="External"/><Relationship Id="rId36" Type="http://schemas.openxmlformats.org/officeDocument/2006/relationships/image" Target="media/image5.emf"/><Relationship Id="rId10" Type="http://schemas.openxmlformats.org/officeDocument/2006/relationships/hyperlink" Target="file:///C:/Users/nhage/Downloads/Elaborating_a_model_of_teacher_professional_growth.pdf" TargetMode="External"/><Relationship Id="rId19" Type="http://schemas.openxmlformats.org/officeDocument/2006/relationships/hyperlink" Target="https://www.edutopia.org/article/keys-successful-professional-learning/" TargetMode="External"/><Relationship Id="rId31" Type="http://schemas.openxmlformats.org/officeDocument/2006/relationships/hyperlink" Target="https://hwb.gov.wales/professional-development/national-professional-enquiry-project" TargetMode="External"/><Relationship Id="rId44"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doi.org/10.1080/00131881.2017.1310418" TargetMode="External"/><Relationship Id="rId14" Type="http://schemas.openxmlformats.org/officeDocument/2006/relationships/hyperlink" Target="https://educationendowmentfoundation.org.uk/" TargetMode="External"/><Relationship Id="rId22" Type="http://schemas.openxmlformats.org/officeDocument/2006/relationships/hyperlink" Target="https://sewaleseas.org.uk/wp-content/uploads/2022/01/Benefits-and-Programme-overview-English.pdf" TargetMode="External"/><Relationship Id="rId27" Type="http://schemas.openxmlformats.org/officeDocument/2006/relationships/hyperlink" Target="https://hwb.gov.wales/curriculum-for-wales/introduction/" TargetMode="External"/><Relationship Id="rId30" Type="http://schemas.openxmlformats.org/officeDocument/2006/relationships/hyperlink" Target="https://www.gov.wales/national-strategy-educational-research-and-enquiry-nsere-vision-document-html" TargetMode="External"/><Relationship Id="rId35" Type="http://schemas.openxmlformats.org/officeDocument/2006/relationships/image" Target="media/image4.emf"/><Relationship Id="rId43" Type="http://schemas.openxmlformats.org/officeDocument/2006/relationships/header" Target="header1.xml"/><Relationship Id="rId8" Type="http://schemas.openxmlformats.org/officeDocument/2006/relationships/hyperlink" Target="https://www.bera.ac.uk/researchers-resources/publications/ethical-guidelines-for-educational-research-2018" TargetMode="External"/><Relationship Id="rId3" Type="http://schemas.openxmlformats.org/officeDocument/2006/relationships/styles" Target="styles.xml"/><Relationship Id="rId12" Type="http://schemas.openxmlformats.org/officeDocument/2006/relationships/hyperlink" Target="https://www.cscjes.org.uk/self-improving-system" TargetMode="External"/><Relationship Id="rId17" Type="http://schemas.openxmlformats.org/officeDocument/2006/relationships/hyperlink" Target="https://visible-learning.org/hattie-ranking-influences-effect-sizes-learning-achievement/" TargetMode="External"/><Relationship Id="rId25" Type="http://schemas.openxmlformats.org/officeDocument/2006/relationships/hyperlink" Target="https://robertslavinsblog.wordpress.com/2018/06/21/john-hattie-is-wrong/" TargetMode="External"/><Relationship Id="rId33" Type="http://schemas.openxmlformats.org/officeDocument/2006/relationships/image" Target="media/image2.emf"/><Relationship Id="rId38" Type="http://schemas.openxmlformats.org/officeDocument/2006/relationships/image" Target="media/image7.emf"/><Relationship Id="rId46" Type="http://schemas.openxmlformats.org/officeDocument/2006/relationships/fontTable" Target="fontTable.xml"/><Relationship Id="rId20" Type="http://schemas.openxmlformats.org/officeDocument/2006/relationships/hyperlink" Target="https://education.nsw.gov.au/teaching-and-learning/professional-learning/high-impact-professional-learning/what-is-hipl" TargetMode="External"/><Relationship Id="rId41" Type="http://schemas.openxmlformats.org/officeDocument/2006/relationships/image" Target="media/image10.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Sch83</b:Tag>
    <b:SourceType>Book</b:SourceType>
    <b:Guid>{378E4564-C20F-4607-9CE8-D5BA75B3343C}</b:Guid>
    <b:Author>
      <b:Author>
        <b:NameList>
          <b:Person>
            <b:Last>Schon</b:Last>
            <b:First>D</b:First>
          </b:Person>
        </b:NameList>
      </b:Author>
    </b:Author>
    <b:Title>The Reflective Practitioner: How Professionals Think In Action</b:Title>
    <b:Year>1983</b:Year>
    <b:City>London</b:City>
    <b:Publisher>Basic Books</b:Publisher>
    <b:RefOrder>36</b:RefOrder>
  </b:Source>
  <b:Source>
    <b:Tag>Bro87</b:Tag>
    <b:SourceType>Book</b:SourceType>
    <b:Guid>{1A2DFBF0-79A7-473C-A660-AD1A558651E8}</b:Guid>
    <b:Author>
      <b:Author>
        <b:NameList>
          <b:Person>
            <b:Last>Brookfield</b:Last>
            <b:First>S.D</b:First>
          </b:Person>
        </b:NameList>
      </b:Author>
    </b:Author>
    <b:Title>Developing Critical Thinkers: Challenging Adults to Explore Alternative ways of Thinking and Acting.</b:Title>
    <b:Year>1987</b:Year>
    <b:City>Buckingham</b:City>
    <b:Publisher>Open University Press</b:Publisher>
    <b:RefOrder>24</b:RefOrder>
  </b:Source>
  <b:Source>
    <b:Tag>Kil10</b:Tag>
    <b:SourceType>BookSection</b:SourceType>
    <b:Guid>{2B18FA9E-22EB-40CD-B4F9-1B05DF2EFF48}</b:Guid>
    <b:Title>Introduction and Overview</b:Title>
    <b:Year>2010</b:Year>
    <b:City>London</b:City>
    <b:Publisher>Routledge</b:Publisher>
    <b:Author>
      <b:Author>
        <b:NameList>
          <b:Person>
            <b:Last>Kilminster</b:Last>
            <b:First>S</b:First>
          </b:Person>
          <b:Person>
            <b:Last>Zukas</b:Last>
            <b:First>M</b:First>
          </b:Person>
          <b:Person>
            <b:Last>Bradbury</b:Last>
            <b:First>H</b:First>
          </b:Person>
          <b:Person>
            <b:Last>Frost</b:Last>
            <b:First>N.</b:First>
          </b:Person>
        </b:NameList>
      </b:Author>
      <b:BookAuthor>
        <b:NameList>
          <b:Person>
            <b:Last>Bradbury</b:Last>
            <b:First>H</b:First>
          </b:Person>
          <b:Person>
            <b:Last>Frost</b:Last>
            <b:First>N</b:First>
          </b:Person>
          <b:Person>
            <b:Last>Kilminster</b:Last>
            <b:First>S</b:First>
          </b:Person>
          <b:Person>
            <b:Last>Zukas</b:Last>
            <b:First>M</b:First>
          </b:Person>
        </b:NameList>
      </b:BookAuthor>
    </b:Author>
    <b:BookTitle>Beyond Reflective Practice. New approaches to Professional Lifelong Learning</b:BookTitle>
    <b:Pages>2-3</b:Pages>
    <b:RefOrder>37</b:RefOrder>
  </b:Source>
  <b:Source>
    <b:Tag>Fur05</b:Tag>
    <b:SourceType>JournalArticle</b:SourceType>
    <b:Guid>{9AF91B95-FC02-4F62-A6EA-1822288E8186}</b:Guid>
    <b:Title>New Labour and teacher education: The end of an era</b:Title>
    <b:Year>2005</b:Year>
    <b:Pages>119-134</b:Pages>
    <b:Author>
      <b:Author>
        <b:NameList>
          <b:Person>
            <b:Last>Furlong</b:Last>
            <b:First>J</b:First>
          </b:Person>
        </b:NameList>
      </b:Author>
    </b:Author>
    <b:JournalName>Oxford Review of Education</b:JournalName>
    <b:Volume>31</b:Volume>
    <b:Issue>1</b:Issue>
    <b:RefOrder>38</b:RefOrder>
  </b:Source>
  <b:Source>
    <b:Tag>Wes10</b:Tag>
    <b:SourceType>BookSection</b:SourceType>
    <b:Guid>{D110BE55-1342-4B10-9F1B-138E85410B5F}</b:Guid>
    <b:Title>Really reflexive practice</b:Title>
    <b:Year>2010</b:Year>
    <b:Pages>66-82</b:Pages>
    <b:Author>
      <b:Author>
        <b:NameList>
          <b:Person>
            <b:Last>West</b:Last>
            <b:First>L</b:First>
          </b:Person>
        </b:NameList>
      </b:Author>
      <b:BookAuthor>
        <b:NameList>
          <b:Person>
            <b:Last>Bradbury</b:Last>
            <b:First>H</b:First>
          </b:Person>
          <b:Person>
            <b:Last>Frost</b:Last>
            <b:First>N</b:First>
          </b:Person>
          <b:Person>
            <b:Last>Kilminster</b:Last>
            <b:First>S</b:First>
          </b:Person>
          <b:Person>
            <b:Last>Zukas</b:Last>
            <b:First>M</b:First>
          </b:Person>
        </b:NameList>
      </b:BookAuthor>
    </b:Author>
    <b:BookTitle>Beyond Reflective Practice: New approaches to professional lefelong learning</b:BookTitle>
    <b:City>London</b:City>
    <b:Publisher>Routledge</b:Publisher>
    <b:RefOrder>39</b:RefOrder>
  </b:Source>
  <b:Source>
    <b:Tag>Cro05</b:Tag>
    <b:SourceType>JournalArticle</b:SourceType>
    <b:Guid>{7CD79683-1001-44E3-A601-44E13623A5F1}</b:Guid>
    <b:Title>Co-teaching in higher education</b:Title>
    <b:Year>2005</b:Year>
    <b:Pages>491-506</b:Pages>
    <b:Author>
      <b:Author>
        <b:NameList>
          <b:Person>
            <b:Last>Crow</b:Last>
            <b:First>J</b:First>
          </b:Person>
          <b:Person>
            <b:Last>Smith</b:Last>
            <b:First>L</b:First>
          </b:Person>
        </b:NameList>
      </b:Author>
    </b:Author>
    <b:JournalName>Reflective Practice</b:JournalName>
    <b:Volume>6</b:Volume>
    <b:Issue>4</b:Issue>
    <b:RefOrder>40</b:RefOrder>
  </b:Source>
  <b:Source>
    <b:Tag>Kni10</b:Tag>
    <b:SourceType>BookSection</b:SourceType>
    <b:Guid>{497E4EDE-7953-4C0A-8259-44F01D4BD896}</b:Guid>
    <b:Title>"It's all right for you two, you obviously like eachother.' Recognising challenges in pursuing collaborative professional learning through team teaching.</b:Title>
    <b:Year>2010</b:Year>
    <b:Pages>96-103</b:Pages>
    <b:Author>
      <b:Author>
        <b:NameList>
          <b:Person>
            <b:Last>Knights</b:Last>
            <b:First>S</b:First>
          </b:Person>
          <b:Person>
            <b:Last>Meyer</b:Last>
            <b:First>L</b:First>
          </b:Person>
          <b:Person>
            <b:Last>Sampson</b:Last>
            <b:First>J</b:First>
          </b:Person>
        </b:NameList>
      </b:Author>
      <b:BookAuthor>
        <b:NameList>
          <b:Person>
            <b:Last>Bradbury</b:Last>
            <b:First>H</b:First>
          </b:Person>
          <b:Person>
            <b:Last>Frost</b:Last>
            <b:First>N</b:First>
          </b:Person>
          <b:Person>
            <b:Last>Kilminster</b:Last>
            <b:First>S</b:First>
          </b:Person>
          <b:Person>
            <b:Last>Zukas</b:Last>
            <b:First>M</b:First>
          </b:Person>
        </b:NameList>
      </b:BookAuthor>
    </b:Author>
    <b:BookTitle>Beyond Reflective Practice: New approaches to professional lifelong learning</b:BookTitle>
    <b:City>London</b:City>
    <b:Publisher>Routledge</b:Publisher>
    <b:RefOrder>41</b:RefOrder>
  </b:Source>
  <b:Source>
    <b:Tag>Har92</b:Tag>
    <b:SourceType>BookSection</b:SourceType>
    <b:Guid>{D8E153AD-957B-496D-A083-EBA015D06CAF}</b:Guid>
    <b:Title>Cultures of teaching: a focus for change</b:Title>
    <b:BookTitle>Understanding Teacher Development</b:BookTitle>
    <b:Year>1992</b:Year>
    <b:Pages>216-240</b:Pages>
    <b:City>London</b:City>
    <b:Publisher>Cassell</b:Publisher>
    <b:Author>
      <b:Author>
        <b:NameList>
          <b:Person>
            <b:Last>Hargreaves</b:Last>
            <b:First>A</b:First>
          </b:Person>
        </b:NameList>
      </b:Author>
      <b:BookAuthor>
        <b:NameList>
          <b:Person>
            <b:Last>Hargreaves</b:Last>
            <b:First>A</b:First>
          </b:Person>
          <b:Person>
            <b:Last>Fullan</b:Last>
            <b:First>M.G</b:First>
          </b:Person>
        </b:NameList>
      </b:BookAuthor>
    </b:Author>
    <b:RefOrder>28</b:RefOrder>
  </b:Source>
  <b:Source>
    <b:Tag>Gov20</b:Tag>
    <b:SourceType>Report</b:SourceType>
    <b:Guid>{3650275C-2F87-487C-A5E3-996F791EE911}</b:Guid>
    <b:Title>Education in Wales: Our National Mission. Update October 2020</b:Title>
    <b:Year>2020</b:Year>
    <b:City>Cardiff</b:City>
    <b:Publisher>Welsh Government</b:Publisher>
    <b:Author>
      <b:Author>
        <b:NameList>
          <b:Person>
            <b:Last>Government</b:Last>
            <b:First>Welsh</b:First>
          </b:Person>
        </b:NameList>
      </b:Author>
    </b:Author>
    <b:YearAccessed>2022</b:YearAccessed>
    <b:MonthAccessed>June</b:MonthAccessed>
    <b:DayAccessed>1st</b:DayAccessed>
    <b:URL>https://gov.wales/sites/default/files/publications/2020-10/education-in-Wales-our-national-mission-update-october-2020.pdf</b:URL>
    <b:RefOrder>42</b:RefOrder>
  </b:Source>
  <b:Source>
    <b:Tag>Meg07</b:Tag>
    <b:SourceType>Book</b:SourceType>
    <b:Guid>{7360A193-B505-4D57-86BF-E86931E40810}</b:Guid>
    <b:Title>Continuing Professional Development</b:Title>
    <b:Year>2007</b:Year>
    <b:Publisher>Chartered Institute of Personnel and Development</b:Publisher>
    <b:City>London</b:City>
    <b:Author>
      <b:Author>
        <b:NameList>
          <b:Person>
            <b:Last>Megginson</b:Last>
            <b:First>D</b:First>
          </b:Person>
          <b:Person>
            <b:Last>Whitaker</b:Last>
            <b:First>V</b:First>
          </b:Person>
        </b:NameList>
      </b:Author>
    </b:Author>
    <b:Edition>2</b:Edition>
    <b:RefOrder>43</b:RefOrder>
  </b:Source>
  <b:Source>
    <b:Tag>Sca11</b:Tag>
    <b:SourceType>Book</b:SourceType>
    <b:Guid>{4109DB16-9F54-49EB-9CD3-4EFC64B38AAE}</b:Guid>
    <b:Author>
      <b:Author>
        <b:NameList>
          <b:Person>
            <b:Last>Scales</b:Last>
            <b:First>P</b:First>
          </b:Person>
          <b:Person>
            <b:Last>Pickering</b:Last>
            <b:First>J</b:First>
          </b:Person>
          <b:Person>
            <b:Last>Senior</b:Last>
            <b:First>L</b:First>
          </b:Person>
          <b:Person>
            <b:Last>Headley</b:Last>
            <b:First>K</b:First>
          </b:Person>
          <b:Person>
            <b:Last>Garner</b:Last>
            <b:First>P</b:First>
          </b:Person>
          <b:Person>
            <b:Last>Boulton</b:Last>
            <b:First>H</b:First>
          </b:Person>
        </b:NameList>
      </b:Author>
    </b:Author>
    <b:Title>Continuing Profesional Development in the Lifelong learning Sector</b:Title>
    <b:Year>2011</b:Year>
    <b:City>Maidenhead</b:City>
    <b:Publisher>Open University Press</b:Publisher>
    <b:RefOrder>11</b:RefOrder>
  </b:Source>
  <b:Source>
    <b:Tag>Tim11</b:Tag>
    <b:SourceType>Book</b:SourceType>
    <b:Guid>{60C98809-7745-4349-A9CB-931642A9C075}</b:Guid>
    <b:Title>Realizing The Power Of Professional Learning</b:Title>
    <b:Year>2011</b:Year>
    <b:Author>
      <b:Author>
        <b:NameList>
          <b:Person>
            <b:Last>Timperley</b:Last>
            <b:First>H</b:First>
          </b:Person>
        </b:NameList>
      </b:Author>
    </b:Author>
    <b:Publisher>McGraw-Hill Education </b:Publisher>
    <b:RefOrder>44</b:RefOrder>
  </b:Source>
  <b:Source>
    <b:Tag>Cla02</b:Tag>
    <b:SourceType>JournalArticle</b:SourceType>
    <b:Guid>{38718800-03DF-401E-823E-B89B96408008}</b:Guid>
    <b:Title>Elaborating a model of teacher professional growth. Teaching and Teacher Education</b:Title>
    <b:Year>2002</b:Year>
    <b:Publisher>Elsevier</b:Publisher>
    <b:Author>
      <b:Author>
        <b:NameList>
          <b:Person>
            <b:Last>Clarke</b:Last>
            <b:First>D</b:First>
          </b:Person>
          <b:Person>
            <b:Last>Hollingsworth</b:Last>
            <b:First>H</b:First>
          </b:Person>
        </b:NameList>
      </b:Author>
    </b:Author>
    <b:JournalName>Teaching and Teacher Education</b:JournalName>
    <b:Pages>947-967</b:Pages>
    <b:URL>file:///C:/Users/nhage/Downloads/Elaborating_a_model_of_teacher_professional_growth.pdf </b:URL>
    <b:RefOrder>45</b:RefOrder>
  </b:Source>
  <b:Source>
    <b:Tag>OEC22</b:Tag>
    <b:SourceType>InternetSite</b:SourceType>
    <b:Guid>{42A86789-898D-4EAE-A4CE-9EC3E67074E1}</b:Guid>
    <b:Title>Teachers Professional Learning Study</b:Title>
    <b:Year>2022</b:Year>
    <b:Author>
      <b:Author>
        <b:NameList>
          <b:Person>
            <b:Last>OECD</b:Last>
          </b:Person>
        </b:NameList>
      </b:Author>
    </b:Author>
    <b:InternetSiteTitle>OECD</b:InternetSiteTitle>
    <b:URL>https://www.oecd.org/education/teachers-professional-learning-study/</b:URL>
    <b:RefOrder>46</b:RefOrder>
  </b:Source>
  <b:Source>
    <b:Tag>OEC21</b:Tag>
    <b:SourceType>ArticleInAPeriodical</b:SourceType>
    <b:Guid>{4FF8859E-C4C8-4C6B-BC75-5B20C6E624FB}</b:Guid>
    <b:Title>Teachers’ Professional Learning Study: Diagnostic report for Wales</b:Title>
    <b:InternetSiteTitle>OECD</b:InternetSiteTitle>
    <b:Year>2021</b:Year>
    <b:URL>https://www.oecd-ilibrary.org/education/teachers-professional-learning-study-diagnostic-report-for-wales_caf912c7-en;jsessionid=IlfAwV7CJcP3PKrNfE7rLdeb.ip-10-240-5-16</b:URL>
    <b:Author>
      <b:Author>
        <b:NameList>
          <b:Person>
            <b:Last>OECD</b:Last>
          </b:Person>
        </b:NameList>
      </b:Author>
    </b:Author>
    <b:Publisher>OECD Publishing </b:Publisher>
    <b:City>Paris</b:City>
    <b:PeriodicalTitle>OECD Education Policy Perspectives</b:PeriodicalTitle>
    <b:Edition>33</b:Edition>
    <b:RefOrder>47</b:RefOrder>
  </b:Source>
  <b:Source>
    <b:Tag>Est21</b:Tag>
    <b:SourceType>Misc</b:SourceType>
    <b:Guid>{D8095D86-4BAA-4756-A97C-BB956C9F7165}</b:Guid>
    <b:Title>Building on strengths and removing barriers: preparing for Curriculum for Wales</b:Title>
    <b:Year>2021</b:Year>
    <b:Month>July</b:Month>
    <b:Author>
      <b:Author>
        <b:Corporate>Estyn</b:Corporate>
      </b:Author>
    </b:Author>
    <b:PublicationTitle>Estyn Thematic Review</b:PublicationTitle>
    <b:Publisher>Estyn</b:Publisher>
    <b:RefOrder>48</b:RefOrder>
  </b:Source>
  <b:Source>
    <b:Tag>Est22</b:Tag>
    <b:SourceType>Report</b:SourceType>
    <b:Guid>{152F6D86-41E4-4615-A99E-0F221435F3B1}</b:Guid>
    <b:Author>
      <b:Author>
        <b:Corporate>Estyn</b:Corporate>
      </b:Author>
    </b:Author>
    <b:Title>How are the Regional Consortia and Local Authorities supporting schools?</b:Title>
    <b:PublicationTitle>Thematic Report</b:PublicationTitle>
    <b:Year>2022</b:Year>
    <b:Month>March </b:Month>
    <b:Day>24</b:Day>
    <b:City>Cardiff</b:City>
    <b:Publisher>Estyn</b:Publisher>
    <b:RefOrder>27</b:RefOrder>
  </b:Source>
  <b:Source>
    <b:Tag>Placeholder1</b:Tag>
    <b:SourceType>JournalArticle</b:SourceType>
    <b:Guid>{088B4229-4C8F-4F3D-8621-7CC2D32D4DCF}</b:Guid>
    <b:Title>Elaborating a model of teacher professional growth. Teaching and Teacher Education</b:Title>
    <b:Year>2002</b:Year>
    <b:Publisher>Elsevier</b:Publisher>
    <b:Author>
      <b:Author>
        <b:NameList>
          <b:Person>
            <b:Last>Clarke</b:Last>
            <b:First>D</b:First>
          </b:Person>
          <b:Person>
            <b:Last>Hollingsworth</b:Last>
            <b:First>H</b:First>
          </b:Person>
        </b:NameList>
      </b:Author>
    </b:Author>
    <b:JournalName>Teaching and Teacher Education</b:JournalName>
    <b:Pages>947-967</b:Pages>
    <b:RefOrder>49</b:RefOrder>
  </b:Source>
  <b:Source>
    <b:Tag>Wel22</b:Tag>
    <b:SourceType>InternetSite</b:SourceType>
    <b:Guid>{5F08E50B-3111-4130-BB43-F6868E8B79CF}</b:Guid>
    <b:Title>National Network for Curriculum Implementation</b:Title>
    <b:Year>2022</b:Year>
    <b:Author>
      <b:Author>
        <b:NameList>
          <b:Person>
            <b:Last>Government</b:Last>
            <b:First>Welsh</b:First>
          </b:Person>
        </b:NameList>
      </b:Author>
    </b:Author>
    <b:InternetSiteTitle>Hwb</b:InternetSiteTitle>
    <b:URL>https://hwb.gov.wales/curriculum-for-wales/national-network-for-curriculum-implementation/</b:URL>
    <b:RefOrder>50</b:RefOrder>
  </b:Source>
  <b:Source>
    <b:Tag>Edu</b:Tag>
    <b:SourceType>InternetSite</b:SourceType>
    <b:Guid>{335CC1CE-7CF9-41DE-9F10-8E74256E4C51}</b:Guid>
    <b:Author>
      <b:Author>
        <b:Corporate>Education Achievement Service</b:Corporate>
      </b:Author>
    </b:Author>
    <b:Title>Professional Learning: Leadership and Teaching</b:Title>
    <b:InternetSiteTitle>Education Achievement Service</b:InternetSiteTitle>
    <b:URL>https://sewaleseas.org.uk/our-services/professional-learning/</b:URL>
    <b:Year>2022</b:Year>
    <b:RefOrder>51</b:RefOrder>
  </b:Source>
  <b:Source>
    <b:Tag>NSW22</b:Tag>
    <b:SourceType>InternetSite</b:SourceType>
    <b:Guid>{5709B51B-4615-4F9B-8D95-A0FAEFEFE3A6}</b:Guid>
    <b:Author>
      <b:Author>
        <b:Corporate>NSW Education </b:Corporate>
      </b:Author>
    </b:Author>
    <b:Title>What is high impact professional learning?</b:Title>
    <b:InternetSiteTitle>NSW Education</b:InternetSiteTitle>
    <b:Year>2022</b:Year>
    <b:URL>https://education.nsw.gov.au/teaching-and-learning/professional-learning/high-impact-professional-learning/what-is-hipl#:~:text=The%20High%20Impact%20Professional%20Learning%20%28HIPL%29%20model%20is,elements%20of%20the%20High%20Impact%20Professional%20Le</b:URL>
    <b:RefOrder>52</b:RefOrder>
  </b:Source>
  <b:Source>
    <b:Tag>Ber20</b:Tag>
    <b:SourceType>JournalArticle</b:SourceType>
    <b:Guid>{02CC0097-70EB-4065-BBC3-ACB8B42E36C7}</b:Guid>
    <b:Title>Teachers’ professional learning when building a research-based education: context-specific, collaborative and teacher-driven professional development</b:Title>
    <b:Year>2020</b:Year>
    <b:Author>
      <b:Author>
        <b:NameList>
          <b:Person>
            <b:Last>Bergmark</b:Last>
            <b:First>U</b:First>
          </b:Person>
        </b:NameList>
      </b:Author>
    </b:Author>
    <b:JournalName>Professional Development in Education</b:JournalName>
    <b:DOI>DOI: 10.1080/19415257.2020.1827011</b:DOI>
    <b:RefOrder>53</b:RefOrder>
  </b:Source>
  <b:Source>
    <b:Tag>Ste14</b:Tag>
    <b:SourceType>JournalArticle</b:SourceType>
    <b:Guid>{04654301-9F6C-4746-9EDC-D896DE8C9FFC}</b:Guid>
    <b:Author>
      <b:Author>
        <b:NameList>
          <b:Person>
            <b:Last>Stewart</b:Last>
            <b:First>C</b:First>
          </b:Person>
        </b:NameList>
      </b:Author>
    </b:Author>
    <b:Title>Transforming Professional Development to Professional Learning</b:Title>
    <b:JournalName>Journal of Adult Education</b:JournalName>
    <b:Year>2014</b:Year>
    <b:Pages>28-33</b:Pages>
    <b:Volume>43</b:Volume>
    <b:Issue>1</b:Issue>
    <b:RefOrder>54</b:RefOrder>
  </b:Source>
  <b:Source>
    <b:Tag>Tim08</b:Tag>
    <b:SourceType>ArticleInAPeriodical</b:SourceType>
    <b:Guid>{411B179B-3819-4CB5-927C-447FF11B0B81}</b:Guid>
    <b:Title>Teacher professional learning and development.</b:Title>
    <b:Year>2008</b:Year>
    <b:Author>
      <b:Author>
        <b:NameList>
          <b:Person>
            <b:Last>Timperley</b:Last>
            <b:First>H</b:First>
          </b:Person>
        </b:NameList>
      </b:Author>
    </b:Author>
    <b:Publisher>International Scademy of Education</b:Publisher>
    <b:URL>https://citeseerx.ist.psu.edu/viewdoc/download?doi=10.1.1.524.3566&amp;rep=rep1&amp;type=pdf</b:URL>
    <b:PeriodicalTitle>Education Practices Series 18</b:PeriodicalTitle>
    <b:RefOrder>55</b:RefOrder>
  </b:Source>
  <b:Source>
    <b:Tag>Col17</b:Tag>
    <b:SourceType>JournalArticle</b:SourceType>
    <b:Guid>{236A38A5-D365-4533-AA02-04045EFC604D}</b:Guid>
    <b:Title>Considering a Twitter-Based Professional Learning Network in Literacy Education</b:Title>
    <b:Year>2017</b:Year>
    <b:Pages>5-25</b:Pages>
    <b:Author>
      <b:Author>
        <b:NameList>
          <b:Person>
            <b:Last>Colwell</b:Last>
            <b:First>J</b:First>
          </b:Person>
          <b:Person>
            <b:Last>Hutchinson</b:Last>
            <b:First>A</b:First>
          </b:Person>
        </b:NameList>
      </b:Author>
    </b:Author>
    <b:JournalName>Literacy Research and Instruction</b:JournalName>
    <b:RefOrder>56</b:RefOrder>
  </b:Source>
  <b:Source>
    <b:Tag>Tra19</b:Tag>
    <b:SourceType>JournalArticle</b:SourceType>
    <b:Guid>{FDCE9579-8E0E-4AA5-A00B-AA7CEB4E65FF}</b:Guid>
    <b:Author>
      <b:Author>
        <b:NameList>
          <b:Person>
            <b:Last>Trabona</b:Last>
            <b:First>K</b:First>
          </b:Person>
          <b:Person>
            <b:Last>Taylor</b:Last>
            <b:First>M</b:First>
          </b:Person>
          <b:Person>
            <b:Last>Klein</b:Last>
            <b:First>E</b:First>
          </b:Person>
          <b:Person>
            <b:Last>Munakata</b:Last>
            <b:First>M</b:First>
          </b:Person>
          <b:Person>
            <b:Last>Rahman</b:Last>
            <b:First>Z</b:First>
          </b:Person>
        </b:NameList>
      </b:Author>
    </b:Author>
    <b:Title>Collaborative professional learning: cultivating science teacher leaders through vertical communities of practice</b:Title>
    <b:JournalName>Professional Development in Education</b:JournalName>
    <b:Year>2019</b:Year>
    <b:Pages>472-487</b:Pages>
    <b:RefOrder>57</b:RefOrder>
  </b:Source>
  <b:Source>
    <b:Tag>Don15</b:Tag>
    <b:SourceType>Report</b:SourceType>
    <b:Guid>{B60284CD-CC61-BE4F-882D-901027748E83}</b:Guid>
    <b:Author>
      <b:Author>
        <b:NameList>
          <b:Person>
            <b:Last>Donaldson</b:Last>
            <b:First>G</b:First>
          </b:Person>
        </b:NameList>
      </b:Author>
    </b:Author>
    <b:Title>Successful futures: Independent review of curriculum and assessment arrangements in Wales.</b:Title>
    <b:City>Cardiff, Wales.</b:City>
    <b:Publisher>Crown</b:Publisher>
    <b:Year>2015</b:Year>
    <b:RefOrder>58</b:RefOrder>
  </b:Source>
  <b:Source>
    <b:Tag>Don152</b:Tag>
    <b:SourceType>Report</b:SourceType>
    <b:Guid>{DD924DF2-4665-2D4C-BF55-ABF5C1E7F5CC}</b:Guid>
    <b:Author>
      <b:Author>
        <b:NameList>
          <b:Person>
            <b:Last>Donaldson</b:Last>
            <b:First>G</b:First>
          </b:Person>
        </b:NameList>
      </b:Author>
    </b:Author>
    <b:Title>Successful futures: Independent review of curriculum and assessment arrangements in Wales. </b:Title>
    <b:Publisher>Crown</b:Publisher>
    <b:City>Cardiff, Wales</b:City>
    <b:Year>2015</b:Year>
    <b:RefOrder>59</b:RefOrder>
  </b:Source>
  <b:Source xmlns:b="http://schemas.openxmlformats.org/officeDocument/2006/bibliography">
    <b:Tag>Don151</b:Tag>
    <b:SourceType>Report</b:SourceType>
    <b:Guid>{857B6D7E-4672-8C4B-8EA4-79F91BBBE1BD}</b:Guid>
    <b:Author>
      <b:Author>
        <b:NameList>
          <b:Person>
            <b:Last>Donaldson</b:Last>
            <b:First>G</b:First>
          </b:Person>
        </b:NameList>
      </b:Author>
    </b:Author>
    <b:Title>Donaldson G (2015) Successful futures: Independent review of curriculum and assessment arrangements in Wales. </b:Title>
    <b:Publisher>Crown</b:Publisher>
    <b:City>Cardiff, Wales</b:City>
    <b:Year>2015</b:Year>
    <b:RefOrder>60</b:RefOrder>
  </b:Source>
  <b:Source>
    <b:Tag>Dau07</b:Tag>
    <b:SourceType>JournalArticle</b:SourceType>
    <b:Guid>{266AEDA2-69FA-AF47-8A0F-E744550560CF}</b:Guid>
    <b:Author>
      <b:Author>
        <b:NameList>
          <b:Person>
            <b:Last>Daugherty</b:Last>
            <b:First>R</b:First>
          </b:Person>
        </b:NameList>
      </b:Author>
    </b:Author>
    <b:Title>National Curriculum Assessment in Wales: Evidence-informed Policy?</b:Title>
    <b:Year>2007</b:Year>
    <b:JournalName>The Welsh Journal of Education</b:JournalName>
    <b:Pages>69-84</b:Pages>
    <b:Volume>14</b:Volume>
    <b:RefOrder>61</b:RefOrder>
  </b:Source>
  <b:Source>
    <b:Tag>Ree07</b:Tag>
    <b:SourceType>JournalArticle</b:SourceType>
    <b:Guid>{5AD05142-E92D-5946-80CB-F8AD9B4557DF}</b:Guid>
    <b:Author>
      <b:Author>
        <b:NameList>
          <b:Person>
            <b:Last>Rees</b:Last>
            <b:First>G.</b:First>
          </b:Person>
        </b:NameList>
      </b:Author>
    </b:Author>
    <b:Title>The Impacts of Parliamentary Devolution on Education Policy in Wales</b:Title>
    <b:JournalName>Wales Journal of Education</b:JournalName>
    <b:Year>2007</b:Year>
    <b:Pages>8-20</b:Pages>
    <b:Volume>14</b:Volume>
    <b:Issue>1</b:Issue>
    <b:RefOrder>6</b:RefOrder>
  </b:Source>
  <b:Source>
    <b:Tag>Mor02</b:Tag>
    <b:SourceType>Misc</b:SourceType>
    <b:Guid>{C164D0EB-25C2-D948-9E76-8E86C107FD87}</b:Guid>
    <b:Title>Speech to the National Centre for Public Policy Swansea</b:Title>
    <b:Year>2002</b:Year>
    <b:Author>
      <b:Author>
        <b:NameList>
          <b:Person>
            <b:Last>Morgan</b:Last>
            <b:First>R</b:First>
          </b:Person>
        </b:NameList>
      </b:Author>
    </b:Author>
    <b:Month>December</b:Month>
    <b:Day>11</b:Day>
    <b:City>Swansea</b:City>
    <b:Medium>Speech</b:Medium>
    <b:Comments>Accessed on 8/5/2023 here: https://www.sochealth.co.uk/the-socialist-health-association/sha-country-and-branch-organisation/sha-wales/clear-red-water/</b:Comments>
    <b:RefOrder>62</b:RefOrder>
  </b:Source>
  <b:Source>
    <b:Tag>Gov01</b:Tag>
    <b:SourceType>Report</b:SourceType>
    <b:Guid>{2D81035C-53EF-854E-832E-7404B9390E1D}</b:Guid>
    <b:Author>
      <b:Author>
        <b:NameList>
          <b:Person>
            <b:Last>Government</b:Last>
            <b:First>Welsh</b:First>
            <b:Middle>Assembly</b:Middle>
          </b:Person>
        </b:NameList>
      </b:Author>
    </b:Author>
    <b:Title>The Learning Country</b:Title>
    <b:Year>2001</b:Year>
    <b:City>Cardiff</b:City>
    <b:Publisher>Welsh Assembly Givernmenbt </b:Publisher>
    <b:RefOrder>63</b:RefOrder>
  </b:Source>
  <b:Source>
    <b:Tag>OEC14</b:Tag>
    <b:SourceType>Report</b:SourceType>
    <b:Guid>{70012656-8947-F74A-8E07-F251A7DA4C42}</b:Guid>
    <b:Author>
      <b:Author>
        <b:NameList>
          <b:Person>
            <b:Last>OECD</b:Last>
          </b:Person>
        </b:NameList>
      </b:Author>
    </b:Author>
    <b:Title> Improving Schools in Wales: An OECD Perspective </b:Title>
    <b:Publisher>OECD</b:Publisher>
    <b:City>Paris</b:City>
    <b:Year>2014</b:Year>
    <b:RefOrder>64</b:RefOrder>
  </b:Source>
  <b:Source>
    <b:Tag>Smi16</b:Tag>
    <b:SourceType>BookSection</b:SourceType>
    <b:Guid>{769100A9-49CA-7A41-89D4-D7598762CED9}</b:Guid>
    <b:Author>
      <b:Author>
        <b:NameList>
          <b:Person>
            <b:Last>Smith</b:Last>
            <b:First>K</b:First>
          </b:Person>
        </b:NameList>
      </b:Author>
      <b:BookAuthor>
        <b:NameList>
          <b:Person>
            <b:Last>Smith</b:Last>
            <b:First>K</b:First>
          </b:Person>
        </b:NameList>
      </b:BookAuthor>
    </b:Author>
    <b:Title>The Curriculum Cymreig </b:Title>
    <b:Publisher>Palgrave </b:Publisher>
    <b:City>London</b:City>
    <b:Year>2016</b:Year>
    <b:BookTitle>Curriculum, Culture and Citizenship Education in Wales </b:BookTitle>
    <b:Pages>35-44</b:Pages>
    <b:RefOrder>65</b:RefOrder>
  </b:Source>
  <b:Source>
    <b:Tag>Nat21</b:Tag>
    <b:SourceType>DocumentFromInternetSite</b:SourceType>
    <b:Guid>{18A3F82F-89F1-2D48-BEC1-43002DCFB83A}</b:Guid>
    <b:Title>NAHT Cymru survey: Pupils and staff would benefit from more time before new curriculum rollout</b:Title>
    <b:Year>2021</b:Year>
    <b:Author>
      <b:Author>
        <b:NameList>
          <b:Person>
            <b:Last>Headteachers</b:Last>
            <b:First>National</b:First>
            <b:Middle>Association of</b:Middle>
          </b:Person>
        </b:NameList>
      </b:Author>
    </b:Author>
    <b:InternetSiteTitle>NAHT The School Leader's Union</b:InternetSiteTitle>
    <b:URL>https://www.naht.org.uk/News/Latest-comments/News/ArtMID/556/ArticleID/1180/NAHT-Cymru-survey-Pupils-and-staff-would-benefit-from-more-time-before-new-curriculum-rollout</b:URL>
    <b:Month>August</b:Month>
    <b:Day>21</b:Day>
    <b:RefOrder>66</b:RefOrder>
  </b:Source>
  <b:Source>
    <b:Tag>Mil21</b:Tag>
    <b:SourceType>Misc</b:SourceType>
    <b:Guid>{1F159784-9B5F-C144-BB4E-599DB9033FDF}</b:Guid>
    <b:Title>More support to press on with curriculum reform</b:Title>
    <b:Year>2021</b:Year>
    <b:Month>July</b:Month>
    <b:Day>6</b:Day>
    <b:Author>
      <b:Author>
        <b:NameList>
          <b:Person>
            <b:Last>Miles</b:Last>
            <b:First>J</b:First>
          </b:Person>
        </b:NameList>
      </b:Author>
    </b:Author>
    <b:City>Cardiff</b:City>
    <b:StateProvince>Wales</b:StateProvince>
    <b:Publisher>Welsh Government </b:Publisher>
    <b:Comments>https://www.gov.wales/more-support-press-curriculum-reform</b:Comments>
    <b:RefOrder>10</b:RefOrder>
  </b:Source>
  <b:Source>
    <b:Tag>Nat17</b:Tag>
    <b:SourceType>Report</b:SourceType>
    <b:Guid>{01FFFB76-B27C-0E4B-8FAA-3A3CEB3BAE9A}</b:Guid>
    <b:Author>
      <b:Author>
        <b:Corporate>National Assembly for Wales Children, Young People and Educaion Committee</b:Corporate>
      </b:Author>
    </b:Author>
    <b:Title>Report on the Teachers’ Professional Learning and Education inquiry</b:Title>
    <b:Year>2017</b:Year>
    <b:Month>December</b:Month>
    <b:City>Cardiff</b:City>
    <b:Publisher>National Assembly for Wales</b:Publisher>
    <b:RefOrder>67</b:RefOrder>
  </b:Source>
  <b:Source>
    <b:Tag>Edu21</b:Tag>
    <b:SourceType>Report</b:SourceType>
    <b:Guid>{26A74340-1BE3-EB44-8A11-E09C2F9F7FCD}</b:Guid>
    <b:Author>
      <b:Author>
        <b:Corporate>Education Endowment Foundation</b:Corporate>
      </b:Author>
    </b:Author>
    <b:Title>Effective Professional Development</b:Title>
    <b:City>London</b:City>
    <b:Publisher>Education Endowment Foundation</b:Publisher>
    <b:Year>2021</b:Year>
    <b:RefOrder>68</b:RefOrder>
  </b:Source>
  <b:Source>
    <b:Tag>Rob20</b:Tag>
    <b:SourceType>Report</b:SourceType>
    <b:Guid>{1B5D0CEB-3490-F042-8331-CF97825B26D2}</b:Guid>
    <b:Author>
      <b:Author>
        <b:NameList>
          <b:Person>
            <b:Last>Singleton</b:Last>
            <b:First>Rob</b:First>
            <b:Middle>Coe C.J. Rauch Stuart Kime Dan</b:Middle>
          </b:Person>
        </b:NameList>
      </b:Author>
    </b:Author>
    <b:Title>Great Teaching Toolkit: Evidence Review</b:Title>
    <b:Publisher>Cambridge Assessment </b:Publisher>
    <b:City>Cambridge</b:City>
    <b:Year>2020</b:Year>
    <b:RefOrder>69</b:RefOrder>
  </b:Source>
  <b:Source>
    <b:Tag>Wil16</b:Tag>
    <b:SourceType>Report</b:SourceType>
    <b:Guid>{1E9F9051-2B2B-3A40-8F12-6DF93FEBFCEE}</b:Guid>
    <b:Author>
      <b:Author>
        <b:NameList>
          <b:Person>
            <b:Last>Wiliam</b:Last>
            <b:First>D.</b:First>
          </b:Person>
        </b:NameList>
      </b:Author>
    </b:Author>
    <b:Title>Leadership for Teacher Learning: Creating a Culture Where All Teachers Improve So That All Students Succeed</b:Title>
    <b:Publisher>Learning Sciences International</b:Publisher>
    <b:City>West Palm Beach, Florida.</b:City>
    <b:Year>2016</b:Year>
    <b:RefOrder>70</b:RefOrder>
  </b:Source>
  <b:Source>
    <b:Tag>Dar17</b:Tag>
    <b:SourceType>Report</b:SourceType>
    <b:Guid>{BB2B8C98-4679-3549-A8ED-DDC283DBF8CF}</b:Guid>
    <b:Author>
      <b:Author>
        <b:NameList>
          <b:Person>
            <b:Last>Darling-Hammond</b:Last>
            <b:First>L.</b:First>
          </b:Person>
          <b:Person>
            <b:Last>Hyler</b:Last>
            <b:First>M.</b:First>
          </b:Person>
          <b:Person>
            <b:Last>Gardner</b:Last>
            <b:First>M.</b:First>
          </b:Person>
          <b:Person>
            <b:Last>Espinoza</b:Last>
            <b:First>D.</b:First>
          </b:Person>
        </b:NameList>
      </b:Author>
    </b:Author>
    <b:Title>Effective Teacher Professional Development</b:Title>
    <b:Publisher>Learning policy Institute</b:Publisher>
    <b:Year>2017</b:Year>
    <b:RefOrder>71</b:RefOrder>
  </b:Source>
  <b:Source>
    <b:Tag>Too15</b:Tag>
    <b:SourceType>JournalArticle</b:SourceType>
    <b:Guid>{11D29CE9-E80D-EB48-879F-76DFC6FDBB38}</b:Guid>
    <b:Title>Teachers’ professional agency in contradictory times</b:Title>
    <b:Year>2015</b:Year>
    <b:Author>
      <b:Author>
        <b:NameList>
          <b:Person>
            <b:Last>Toom</b:Last>
            <b:First>A.</b:First>
          </b:Person>
          <b:Person>
            <b:Last>Pyhältö</b:Last>
            <b:First>K.</b:First>
          </b:Person>
          <b:Person>
            <b:Last>O’Connell Rust</b:Last>
            <b:First>F.</b:First>
          </b:Person>
        </b:NameList>
      </b:Author>
    </b:Author>
    <b:JournalName>Teachers and Teaching</b:JournalName>
    <b:Pages>615-623</b:Pages>
    <b:Volume>21</b:Volume>
    <b:Issue>6</b:Issue>
    <b:RefOrder>72</b:RefOrder>
  </b:Source>
  <b:Source>
    <b:Tag>Pri16</b:Tag>
    <b:SourceType>Book</b:SourceType>
    <b:Guid>{A67B37E3-D832-1544-BCD2-9E19457516AA}</b:Guid>
    <b:Author>
      <b:Author>
        <b:NameList>
          <b:Person>
            <b:Last>Priestley</b:Last>
            <b:First>M.</b:First>
          </b:Person>
          <b:Person>
            <b:Last>Biesta</b:Last>
            <b:First>G.</b:First>
          </b:Person>
          <b:Person>
            <b:Last>Robinson</b:Last>
            <b:First>S.</b:First>
          </b:Person>
        </b:NameList>
      </b:Author>
    </b:Author>
    <b:Title>Teacher Agency: An Ecological Approach</b:Title>
    <b:Year>2016</b:Year>
    <b:City>London</b:City>
    <b:Publisher>Bloomsbury</b:Publisher>
    <b:RefOrder>73</b:RefOrder>
  </b:Source>
  <b:Source>
    <b:Tag>Tho23</b:Tag>
    <b:SourceType>Report</b:SourceType>
    <b:Guid>{B0085D94-4B41-5A49-B17F-90F39ABF86D8}</b:Guid>
    <b:Author>
      <b:Author>
        <b:NameList>
          <b:Person>
            <b:Last>Thomas</b:Last>
            <b:First>H</b:First>
          </b:Person>
          <b:Person>
            <b:Last>Duggan</b:Last>
            <b:First>B</b:First>
          </b:Person>
          <b:Person>
            <b:Last>McAlister-Wilson</b:Last>
            <b:First>S</b:First>
          </b:Person>
          <b:Person>
            <b:Last>Roberts</b:Last>
            <b:First>L</b:First>
          </b:Person>
          <b:Person>
            <b:Last>Sinnema</b:Last>
            <b:First>C</b:First>
          </b:Person>
          <b:Person>
            <b:Last>ColeJones</b:Last>
            <b:First>N</b:First>
          </b:Person>
          <b:Person>
            <b:Last>Glover</b:Last>
            <b:First>A</b:First>
          </b:Person>
        </b:NameList>
      </b:Author>
    </b:Author>
    <b:Title>Research with schools on the early implementation of Curriculum for Wales: Wave 1 report.</b:Title>
    <b:City>Cardiff</b:City>
    <b:Publisher>Welsh Government</b:Publisher>
    <b:Year>2023</b:Year>
    <b:RefOrder>31</b:RefOrder>
  </b:Source>
  <b:Source>
    <b:Tag>Scu21</b:Tag>
    <b:SourceType>Report</b:SourceType>
    <b:Guid>{A886ECB4-799A-2E4F-BF10-FF0058857E48}</b:Guid>
    <b:Author>
      <b:Author>
        <b:NameList>
          <b:Person>
            <b:Last>Scutt</b:Last>
            <b:First>C.,</b:First>
            <b:Middle>Harrison, S.</b:Middle>
          </b:Person>
        </b:NameList>
      </b:Author>
    </b:Author>
    <b:Title>Teacher CPD: International Trends, Opportunities and Challenges</b:Title>
    <b:Publisher>Chartered College of Teaching. John Catt Educational</b:Publisher>
    <b:City>London</b:City>
    <b:Year>2021</b:Year>
    <b:RefOrder>74</b:RefOrder>
  </b:Source>
  <b:Source>
    <b:Tag>Wen10</b:Tag>
    <b:SourceType>BookSection</b:SourceType>
    <b:Guid>{68CB2374-2D26-1E41-8948-10C792181B8B}</b:Guid>
    <b:Author>
      <b:Author>
        <b:NameList>
          <b:Person>
            <b:Last>Wenger</b:Last>
            <b:First>E</b:First>
          </b:Person>
        </b:NameList>
      </b:Author>
      <b:BookAuthor>
        <b:NameList>
          <b:Person>
            <b:Last>Blackmore</b:Last>
            <b:First>C</b:First>
            <b:Middle>(Ed)</b:Middle>
          </b:Person>
        </b:NameList>
      </b:BookAuthor>
    </b:Author>
    <b:Title>Communities of Practice and social learning systems: The career of a concept. </b:Title>
    <b:Publisher>Springer Verlag and the Open University,</b:Publisher>
    <b:City>London</b:City>
    <b:Year>2010</b:Year>
    <b:BookTitle>Social Learning Systems and Communities of Practice</b:BookTitle>
    <b:Pages>179-198</b:Pages>
    <b:RefOrder>75</b:RefOrder>
  </b:Source>
  <b:Source>
    <b:Tag>Pyr17</b:Tag>
    <b:SourceType>JournalArticle</b:SourceType>
    <b:Guid>{BEB5BC5B-DFC2-4B47-B79C-0C0D315FD09C}</b:Guid>
    <b:Author>
      <b:Author>
        <b:NameList>
          <b:Person>
            <b:Last>Pyrko</b:Last>
            <b:First>I.,</b:First>
            <b:Middle>Dörfler, V., &amp; Eden, C</b:Middle>
          </b:Person>
        </b:NameList>
      </b:Author>
    </b:Author>
    <b:Title>Thinking together: What makes Communities of Practice work?</b:Title>
    <b:Year>2017</b:Year>
    <b:Pages>389-409</b:Pages>
    <b:JournalName>Human Relations</b:JournalName>
    <b:Volume>70</b:Volume>
    <b:Issue>4</b:Issue>
    <b:RefOrder>76</b:RefOrder>
  </b:Source>
  <b:Source>
    <b:Tag>TIM11</b:Tag>
    <b:SourceType>Book</b:SourceType>
    <b:Guid>{8AAEAD58-3E02-6947-B459-76D7AD306F02}</b:Guid>
    <b:Author>
      <b:Author>
        <b:NameList>
          <b:Person>
            <b:Last>TIMPERLEY</b:Last>
            <b:First>H.</b:First>
          </b:Person>
        </b:NameList>
      </b:Author>
    </b:Author>
    <b:Title>Realising the power of professional learning.</b:Title>
    <b:Year>2011</b:Year>
    <b:City>Oxford</b:City>
    <b:Publisher>Oxford University press</b:Publisher>
    <b:RefOrder>77</b:RefOrder>
  </b:Source>
  <b:Source>
    <b:Tag>Wen101</b:Tag>
    <b:SourceType>BookSection</b:SourceType>
    <b:Guid>{94FA0284-FA92-ED4B-849C-4A165A10140B}</b:Guid>
    <b:Author>
      <b:Author>
        <b:NameList>
          <b:Person>
            <b:Last>Wenger</b:Last>
            <b:First>E.</b:First>
          </b:Person>
        </b:NameList>
      </b:Author>
      <b:BookAuthor>
        <b:NameList>
          <b:Person>
            <b:Last>Blackmore</b:Last>
            <b:First>C</b:First>
            <b:Middle>(Eds)</b:Middle>
          </b:Person>
        </b:NameList>
      </b:BookAuthor>
    </b:Author>
    <b:Title>Communities of Practice and Social Learning Systems: the career of a concept. </b:Title>
    <b:City>London</b:City>
    <b:Publisher>Springer</b:Publisher>
    <b:Year>2010</b:Year>
    <b:BookTitle>Social Learning Systems and Communities of Practice</b:BookTitle>
    <b:RefOrder>78</b:RefOrder>
  </b:Source>
  <b:Source>
    <b:Tag>Pyr16</b:Tag>
    <b:SourceType>JournalArticle</b:SourceType>
    <b:Guid>{8213EFD1-3A9D-5A4F-B616-D719FF53FF61}</b:Guid>
    <b:Title>Thinking together: What makes Communities of Practice work?</b:Title>
    <b:Year>2016</b:Year>
    <b:Author>
      <b:Author>
        <b:NameList>
          <b:Person>
            <b:Last>Pyrko</b:Last>
            <b:First>I.,</b:First>
            <b:Middle>Dorfler, V., Eden, C.</b:Middle>
          </b:Person>
        </b:NameList>
      </b:Author>
    </b:Author>
    <b:JournalName>Human Relations</b:JournalName>
    <b:Volume>70</b:Volume>
    <b:Issue>4</b:Issue>
    <b:RefOrder>79</b:RefOrder>
  </b:Source>
  <b:Source>
    <b:Tag>Coh18</b:Tag>
    <b:SourceType>Book</b:SourceType>
    <b:Guid>{FEDF5112-0405-4940-A568-0C75F25BFD93}</b:Guid>
    <b:Author>
      <b:Author>
        <b:NameList>
          <b:Person>
            <b:Last>Cohen</b:Last>
            <b:First>L.,</b:First>
            <b:Middle>Manion, L. and Morrison, K.</b:Middle>
          </b:Person>
        </b:NameList>
      </b:Author>
    </b:Author>
    <b:Title>Research Methods in Education</b:Title>
    <b:Year>2018</b:Year>
    <b:City>Abingdon</b:City>
    <b:Publisher>Routledge</b:Publisher>
    <b:RefOrder>80</b:RefOrder>
  </b:Source>
  <b:Source>
    <b:Tag>Pri15</b:Tag>
    <b:SourceType>Book</b:SourceType>
    <b:Guid>{80FF06B2-1245-9643-8E98-5D2765C0A5BE}</b:Guid>
    <b:Author>
      <b:Author>
        <b:NameList>
          <b:Person>
            <b:Last>Pring</b:Last>
            <b:First>R.</b:First>
          </b:Person>
        </b:NameList>
      </b:Author>
    </b:Author>
    <b:Title>Philosophy of Educational Research</b:Title>
    <b:City>London</b:City>
    <b:Publisher>Bloomsbury Academic</b:Publisher>
    <b:Year>2015</b:Year>
    <b:Volume>3</b:Volume>
    <b:RefOrder>81</b:RefOrder>
  </b:Source>
  <b:Source>
    <b:Tag>Cre11</b:Tag>
    <b:SourceType>Book</b:SourceType>
    <b:Guid>{6533B385-D6FD-E247-9A4D-984AE18F17E2}</b:Guid>
    <b:Author>
      <b:Author>
        <b:NameList>
          <b:Person>
            <b:Last>Creswell</b:Last>
            <b:First>J.</b:First>
            <b:Middle>W., and Plano Clark, V. l.</b:Middle>
          </b:Person>
        </b:NameList>
      </b:Author>
    </b:Author>
    <b:Title>Designing and conducting Mixed Methods Research. 2nd edn </b:Title>
    <b:City>Thousand Oaks, California.</b:City>
    <b:Publisher>Sage</b:Publisher>
    <b:Year>2011</b:Year>
    <b:RefOrder>82</b:RefOrder>
  </b:Source>
  <b:Source>
    <b:Tag>Cre14</b:Tag>
    <b:SourceType>BookSection</b:SourceType>
    <b:Guid>{76B27759-5E78-714D-992D-BDE89D1A08DE}</b:Guid>
    <b:Author>
      <b:Author>
        <b:NameList>
          <b:Person>
            <b:Last>Creswell</b:Last>
            <b:First>J.W.</b:First>
          </b:Person>
        </b:NameList>
      </b:Author>
    </b:Author>
    <b:Title>Research design: qualitative, quantitative, and mixed methods approaches</b:Title>
    <b:City>Thousand Oaks, California</b:City>
    <b:Publisher>Sage</b:Publisher>
    <b:Year>2014</b:Year>
    <b:Pages>3-23</b:Pages>
    <b:RefOrder>83</b:RefOrder>
  </b:Source>
  <b:Source>
    <b:Tag>Sco14</b:Tag>
    <b:SourceType>BookSection</b:SourceType>
    <b:Guid>{64B8E207-2211-1145-B87F-C92BD237C23F}</b:Guid>
    <b:Title>Mixed-Methods Research in Education: Exploring Students' Response to a Focused Feedback Initiative</b:Title>
    <b:BookTitle>SAGE Research Methods Cases. </b:BookTitle>
    <b:Publisher>SAGE</b:Publisher>
    <b:Year>2014</b:Year>
    <b:Pages>pp 19 to 24. </b:Pages>
    <b:Author>
      <b:Author>
        <b:NameList>
          <b:Person>
            <b:Last>Scoles</b:Last>
            <b:First>J.,</b:First>
            <b:Middle>Huxham, M., McArthur, J.</b:Middle>
          </b:Person>
        </b:NameList>
      </b:Author>
    </b:Author>
    <b:RefOrder>84</b:RefOrder>
  </b:Source>
  <b:Source>
    <b:Tag>Lik32</b:Tag>
    <b:SourceType>Book</b:SourceType>
    <b:Guid>{47B5716E-6D77-8044-A652-00179FF8B04F}</b:Guid>
    <b:Title>A Technique for the Measurement of Attitudes. </b:Title>
    <b:City>New York</b:City>
    <b:Publisher>Columbia University Press. </b:Publisher>
    <b:Year>1932</b:Year>
    <b:Author>
      <b:Author>
        <b:NameList>
          <b:Person>
            <b:Last>Likert</b:Last>
            <b:First>R.</b:First>
          </b:Person>
        </b:NameList>
      </b:Author>
    </b:Author>
    <b:RefOrder>35</b:RefOrder>
  </b:Source>
  <b:Source>
    <b:Tag>Kro10</b:Tag>
    <b:SourceType>BookSection</b:SourceType>
    <b:Guid>{DD75A195-8A09-F84B-9B76-74AD295B8B3F}</b:Guid>
    <b:Title> Question and questionnaire design</b:Title>
    <b:City>Bingley, UK </b:City>
    <b:Publisher>Emerald Group Publishing Ltd</b:Publisher>
    <b:Year>2010</b:Year>
    <b:Author>
      <b:Author>
        <b:NameList>
          <b:Person>
            <b:Last>Krosnick</b:Last>
            <b:First>J</b:First>
            <b:Middle>A. and Presser, S.</b:Middle>
          </b:Person>
        </b:NameList>
      </b:Author>
      <b:BookAuthor>
        <b:NameList>
          <b:Person>
            <b:Last>(eds)</b:Last>
            <b:First>P.V</b:First>
            <b:Middle>Marsden and J.V. Wright</b:Middle>
          </b:Person>
        </b:NameList>
      </b:BookAuthor>
    </b:Author>
    <b:BookTitle>Handbook of Survey Research.</b:BookTitle>
    <b:Pages>263-313</b:Pages>
    <b:RefOrder>85</b:RefOrder>
  </b:Source>
  <b:Source>
    <b:Tag>Tho17</b:Tag>
    <b:SourceType>Book</b:SourceType>
    <b:Guid>{E5BE4B67-0CFE-1F4D-AE7A-D2AC851100F4}</b:Guid>
    <b:Title>How to do your research project. A Guide for students.</b:Title>
    <b:City>London</b:City>
    <b:Publisher>SAGE</b:Publisher>
    <b:Year>2017</b:Year>
    <b:Author>
      <b:Author>
        <b:NameList>
          <b:Person>
            <b:Last>Thomas</b:Last>
            <b:First>G.</b:First>
          </b:Person>
        </b:NameList>
      </b:Author>
    </b:Author>
    <b:Edition>3</b:Edition>
    <b:RefOrder>86</b:RefOrder>
  </b:Source>
  <b:Source>
    <b:Tag>Bri18</b:Tag>
    <b:SourceType>ElectronicSource</b:SourceType>
    <b:Guid>{7EE8DC9B-8F66-E443-B26B-AE16854904B2}</b:Guid>
    <b:Title>Ethical guidelines for educational research. </b:Title>
    <b:Year>2018</b:Year>
    <b:Author>
      <b:Author>
        <b:NameList>
          <b:Person>
            <b:Last>(BERA)</b:Last>
            <b:First>British</b:First>
            <b:Middle>Educational Research Association</b:Middle>
          </b:Person>
        </b:NameList>
      </b:Author>
    </b:Author>
    <b:Edition>4th</b:Edition>
    <b:RefOrder>87</b:RefOrder>
  </b:Source>
  <b:Source>
    <b:Tag>Ham11</b:Tag>
    <b:SourceType>DocumentFromInternetSite</b:SourceType>
    <b:Guid>{201C43A2-684A-7048-8573-56A0B21A73A9}</b:Guid>
    <b:Author>
      <b:Author>
        <b:NameList>
          <b:Person>
            <b:Last>Hamilton</b:Last>
            <b:First>L.</b:First>
          </b:Person>
        </b:NameList>
      </b:Author>
      <b:ProducerName>
        <b:NameList>
          <b:Person>
            <b:Last>BERA</b:Last>
          </b:Person>
        </b:NameList>
      </b:ProducerName>
    </b:Author>
    <b:Title>Case studies in educational research. British Educational Research Association on-line resource.</b:Title>
    <b:Year>2011</b:Year>
    <b:URL>https://www.bera.ac.uk/publication/case-studies-in-educational-research</b:URL>
    <b:RefOrder>34</b:RefOrder>
  </b:Source>
  <b:Source>
    <b:Tag>Tho231</b:Tag>
    <b:SourceType>Report</b:SourceType>
    <b:Guid>{878363B0-7C95-F64C-A0F9-FB5BB5B78A2C}</b:Guid>
    <b:Title>Research with schools on the early implementation of Curriculum for Wales: Wave 1 report</b:Title>
    <b:Year>2023</b:Year>
    <b:Author>
      <b:Author>
        <b:NameList>
          <b:Person>
            <b:Last>Thomas</b:Last>
            <b:First>H</b:First>
          </b:Person>
          <b:Person>
            <b:Last>Duggan</b:Last>
            <b:First>B</b:First>
          </b:Person>
          <b:Person>
            <b:Last>McAlister-Wilson</b:Last>
            <b:First>S</b:First>
          </b:Person>
          <b:Person>
            <b:Last>Roberts</b:Last>
            <b:First>L</b:First>
          </b:Person>
          <b:Person>
            <b:Last>Sinnema</b:Last>
            <b:First>C</b:First>
          </b:Person>
          <b:Person>
            <b:Last>ColeJones</b:Last>
            <b:First>N</b:First>
          </b:Person>
          <b:Person>
            <b:Last>Glover</b:Last>
            <b:First>A</b:First>
          </b:Person>
        </b:NameList>
      </b:Author>
    </b:Author>
    <b:Publisher>Welsh Government </b:Publisher>
    <b:City>Cardiff</b:City>
    <b:RefOrder>88</b:RefOrder>
  </b:Source>
  <b:Source>
    <b:Tag>Yaz15</b:Tag>
    <b:SourceType>JournalArticle</b:SourceType>
    <b:Guid>{5135D8EC-5308-1A45-8053-55DFCA8CC84F}</b:Guid>
    <b:Author>
      <b:Author>
        <b:NameList>
          <b:Person>
            <b:Last>Yazan</b:Last>
            <b:First>B</b:First>
          </b:Person>
        </b:NameList>
      </b:Author>
    </b:Author>
    <b:Title>Three Approaches to Case Study Methods in Education: Yin, Merriam, and Stake</b:Title>
    <b:Year>2015</b:Year>
    <b:JournalName>Qualitative Report</b:JournalName>
    <b:Pages>134-152</b:Pages>
    <b:RefOrder>33</b:RefOrder>
  </b:Source>
  <b:Source>
    <b:Tag>Yin02</b:Tag>
    <b:SourceType>Book</b:SourceType>
    <b:Guid>{14433C07-F236-FD48-AFAE-589649E19E8A}</b:Guid>
    <b:Title>Case study research: Design and methods. </b:Title>
    <b:Year>2002</b:Year>
    <b:Author>
      <b:Author>
        <b:NameList>
          <b:Person>
            <b:Last>Yin</b:Last>
            <b:First>R.</b:First>
            <b:Middle>K.</b:Middle>
          </b:Person>
        </b:NameList>
      </b:Author>
    </b:Author>
    <b:City>Thousand Oaks</b:City>
    <b:Publisher>SAGE publications</b:Publisher>
    <b:RefOrder>89</b:RefOrder>
  </b:Source>
  <b:Source>
    <b:Tag>Fle20</b:Tag>
    <b:SourceType>Report</b:SourceType>
    <b:Guid>{FE950655-0248-1B4B-A053-42984DB62603}</b:Guid>
    <b:Title>Fletcher-Wood, H., and Zuccollo, J. The effects of high-quality professional development on teachers and students: a rapid review and meta-analysis.</b:Title>
    <b:Publisher>Education Policy Institute</b:Publisher>
    <b:Year>2020</b:Year>
    <b:Author>
      <b:Author>
        <b:NameList>
          <b:Person>
            <b:Last>Fletcher-Wood</b:Last>
            <b:First>H</b:First>
          </b:Person>
          <b:Person>
            <b:Last>Zuccollo</b:Last>
            <b:First>J.</b:First>
          </b:Person>
        </b:NameList>
      </b:Author>
    </b:Author>
    <b:RefOrder>13</b:RefOrder>
  </b:Source>
  <b:Source>
    <b:Tag>Pri13</b:Tag>
    <b:SourceType>JournalArticle</b:SourceType>
    <b:Guid>{840311BF-A419-E146-B396-A35415863AAC}</b:Guid>
    <b:Author>
      <b:Author>
        <b:NameList>
          <b:Person>
            <b:Last>Priestly</b:Last>
            <b:First>M</b:First>
          </b:Person>
          <b:Person>
            <b:Last>Minty</b:Last>
            <b:First>S</b:First>
          </b:Person>
        </b:NameList>
      </b:Author>
    </b:Author>
    <b:Title>Curriculum for Excellence: ‘A brilliant idea, but...’ </b:Title>
    <b:Year>2013</b:Year>
    <b:JournalName>Scottish Educational Review</b:JournalName>
    <b:Pages>39-52</b:Pages>
    <b:Volume>45</b:Volume>
    <b:Issue>1</b:Issue>
    <b:RefOrder>8</b:RefOrder>
  </b:Source>
  <b:Source>
    <b:Tag>Sco23</b:Tag>
    <b:SourceType>InternetSite</b:SourceType>
    <b:Guid>{5D119261-4737-224F-BD29-452023C442AD}</b:Guid>
    <b:Author>
      <b:Author>
        <b:Corporate>Scottish Government</b:Corporate>
      </b:Author>
    </b:Author>
    <b:Title>A national model of professional learning</b:Title>
    <b:Year>2023</b:Year>
    <b:InternetSiteTitle>Education Scotland</b:InternetSiteTitle>
    <b:URL>https://education.gov.scot/resources/a-national-model-of-professional-learning/</b:URL>
    <b:Month>April</b:Month>
    <b:Day>11</b:Day>
    <b:RefOrder>90</b:RefOrder>
  </b:Source>
  <b:Source>
    <b:Tag>Roy20</b:Tag>
    <b:SourceType>Report</b:SourceType>
    <b:Guid>{04F08174-8CC6-664D-9325-6CCF69AE3F2C}</b:Guid>
    <b:Title>curriculum for excellence review: a response from the royal society of edinburgh education committee to the oecd</b:Title>
    <b:Year>2020</b:Year>
    <b:Author>
      <b:Author>
        <b:Corporate>Royal Society of Edinburgh</b:Corporate>
      </b:Author>
    </b:Author>
    <b:Publisher>RSE</b:Publisher>
    <b:City>Edinburgh</b:City>
    <b:RefOrder>91</b:RefOrder>
  </b:Source>
  <b:Source>
    <b:Tag>Org21</b:Tag>
    <b:SourceType>Book</b:SourceType>
    <b:Guid>{385023FC-D3BB-F342-AA68-FE3D0600491A}</b:Guid>
    <b:Title>Scotland's Curriculum for Excellence: Into the Future</b:Title>
    <b:Publisher>OECD</b:Publisher>
    <b:City>Paris</b:City>
    <b:Year>2021</b:Year>
    <b:Author>
      <b:Author>
        <b:Corporate>Organisation for Economic Co-operation and Development</b:Corporate>
      </b:Author>
    </b:Author>
    <b:RefOrder>92</b:RefOrder>
  </b:Source>
  <b:Source>
    <b:Tag>Sco21</b:Tag>
    <b:SourceType>Report</b:SourceType>
    <b:Guid>{56FE1D55-1791-7F47-A640-F34040ED7E8D}</b:Guid>
    <b:Title>Curriculum for Excellence: Scottish Government response to OECD Review</b:Title>
    <b:City>Edinburgh</b:City>
    <b:Publisher>Scottish Government</b:Publisher>
    <b:Year>2021</b:Year>
    <b:Author>
      <b:Author>
        <b:Corporate>Scottish Government</b:Corporate>
      </b:Author>
    </b:Author>
    <b:RefOrder>93</b:RefOrder>
  </b:Source>
  <b:Source>
    <b:Tag>Sco20</b:Tag>
    <b:SourceType>DocumentFromInternetSite</b:SourceType>
    <b:Guid>{0D03A3B3-DE51-6243-BA08-06FB4CDCE923}</b:Guid>
    <b:Title>Regional Improvement Collaboratives, what are they?</b:Title>
    <b:Year>2020</b:Year>
    <b:Author>
      <b:Author>
        <b:Corporate>Scottish Parliament </b:Corporate>
      </b:Author>
    </b:Author>
    <b:InternetSiteTitle>Scottish Parliament Information Centre</b:InternetSiteTitle>
    <b:URL>https://spice-spotlight.scot/2020/01/06/rics/</b:URL>
    <b:RefOrder>94</b:RefOrder>
  </b:Source>
  <b:Source>
    <b:Tag>Sco211</b:Tag>
    <b:SourceType>InternetSite</b:SourceType>
    <b:Guid>{9D4290E5-BC33-EB45-94D9-3D8DD2ADC1A0}</b:Guid>
    <b:Author>
      <b:Author>
        <b:Corporate>Scottish Government</b:Corporate>
      </b:Author>
    </b:Author>
    <b:Title>Schools - Regional Improvement Collaboratives: review</b:Title>
    <b:InternetSiteTitle>Scottish Government </b:InternetSiteTitle>
    <b:URL>https://www.gov.scot/publications/review-regional-improvement-collaboratives/pages/4/</b:URL>
    <b:Year>2021</b:Year>
    <b:RefOrder>95</b:RefOrder>
  </b:Source>
  <b:Source>
    <b:Tag>Wel21</b:Tag>
    <b:SourceType>InternetSite</b:SourceType>
    <b:Guid>{9E5DB383-CCBB-A54A-85B1-A5475D72292D}</b:Guid>
    <b:Author>
      <b:Author>
        <b:Corporate>Welsh Government </b:Corporate>
      </b:Author>
    </b:Author>
    <b:Title>Introduction to the Curriculum for Wales</b:Title>
    <b:InternetSiteTitle>Hwb</b:InternetSiteTitle>
    <b:URL>https://hwb.gov.wales/curriculum-for-wales/introduction/#designing-a-school-curriculum</b:URL>
    <b:Year>2021</b:Year>
    <b:RefOrder>96</b:RefOrder>
  </b:Source>
  <b:Source>
    <b:Tag>Edw21</b:Tag>
    <b:SourceType>Misc</b:SourceType>
    <b:Guid>{4A9DC80E-899E-6C44-8057-AB8F1634A457}</b:Guid>
    <b:Title>Building on strengths and removing barriers – preparing for the Curriculum for Wales</b:Title>
    <b:Publisher>Estyn</b:Publisher>
    <b:Year>2021</b:Year>
    <b:Author>
      <b:Author>
        <b:NameList>
          <b:Person>
            <b:Last>Edwards</b:Last>
            <b:First>A</b:First>
          </b:Person>
        </b:NameList>
      </b:Author>
    </b:Author>
    <b:Month>July</b:Month>
    <b:Day>12</b:Day>
    <b:RefOrder>2</b:RefOrder>
  </b:Source>
  <b:Source>
    <b:Tag>Hug16</b:Tag>
    <b:SourceType>JournalArticle</b:SourceType>
    <b:Guid>{31ACB275-245C-324F-AECA-BD1A1093519C}</b:Guid>
    <b:Title>Reforming the curriculum and teacher training</b:Title>
    <b:Year>2016</b:Year>
    <b:Month>May</b:Month>
    <b:Day>12</b:Day>
    <b:City>Cardiff. </b:City>
    <b:Publisher>Senedd Research. Welsh Parliament.</b:Publisher>
    <b:Author>
      <b:Author>
        <b:NameList>
          <b:Person>
            <b:Last>Hughes</b:Last>
            <b:First>S</b:First>
          </b:Person>
        </b:NameList>
      </b:Author>
    </b:Author>
    <b:JournalName>Key Issues for the Fifth Assembly</b:JournalName>
    <b:RefOrder>1</b:RefOrder>
  </b:Source>
  <b:Source>
    <b:Tag>EST22</b:Tag>
    <b:SourceType>Report</b:SourceType>
    <b:Guid>{CB991ABF-8603-E84A-ADFD-CFD14831AE56}</b:Guid>
    <b:Author>
      <b:Author>
        <b:Corporate>ESTYN</b:Corporate>
      </b:Author>
    </b:Author>
    <b:Title>HMCI Annual Report 2021-2022</b:Title>
    <b:Year>2022</b:Year>
    <b:Publisher>Estyn</b:Publisher>
    <b:City>Cardiff</b:City>
    <b:RefOrder>97</b:RefOrder>
  </b:Source>
  <b:Source>
    <b:Tag>Est22a</b:Tag>
    <b:SourceType>Report</b:SourceType>
    <b:Guid>{B8C82271-1729-6341-97C6-821B1071DC72}</b:Guid>
    <b:Author>
      <b:Author>
        <b:Corporate>Estyn</b:Corporate>
      </b:Author>
    </b:Author>
    <b:Title>The Curriculum for Wales How are regional consortia and local authorities supporting schools?</b:Title>
    <b:Publisher>Estyn</b:Publisher>
    <b:City>Cardiff</b:City>
    <b:Year>2022</b:Year>
    <b:RefOrder>98</b:RefOrder>
  </b:Source>
  <b:Source>
    <b:Tag>Dug22</b:Tag>
    <b:SourceType>Report</b:SourceType>
    <b:Guid>{5D6168B6-CCE4-F84F-8B4C-24BA559B09B5}</b:Guid>
    <b:Author>
      <b:Author>
        <b:NameList>
          <b:Person>
            <b:Last>Duggan</b:Last>
            <b:First>B</b:First>
          </b:Person>
          <b:Person>
            <b:Last>Thomas</b:Last>
            <b:First>H</b:First>
          </b:Person>
          <b:Person>
            <b:Last>Davies-Walker</b:Last>
            <b:First>M</b:First>
          </b:Person>
          <b:Person>
            <b:Last>Sinnema</b:Last>
            <b:First>C</b:First>
          </b:Person>
          <b:Person>
            <b:Last>Cole-Jones</b:Last>
            <b:First>N</b:First>
          </b:Person>
          <b:Person>
            <b:Last>Glover</b:Last>
            <b:First>A</b:First>
          </b:Person>
        </b:NameList>
      </b:Author>
    </b:Author>
    <b:Title>Practitioner survey on preparations for Curriculum and Assessment Reforms 2022: final report.</b:Title>
    <b:Publisher>Welsh Government</b:Publisher>
    <b:City>Cardiff</b:City>
    <b:Year>2022</b:Year>
    <b:Comments>Available at: https://www.gov.wales/practitioners-preparations-roll-out-curriculum-wales-final-report</b:Comments>
    <b:RefOrder>4</b:RefOrder>
  </b:Source>
  <b:Source>
    <b:Tag>Mil22</b:Tag>
    <b:SourceType>Misc</b:SourceType>
    <b:Guid>{961FA289-9E3C-BB4D-95A5-8255832DE70C}</b:Guid>
    <b:Title>Curriculum for Wales: towards September 2022: what you need to know and do: Speech by Jeremy Miles, Minister for Education and Welsh Language</b:Title>
    <b:Year>2022</b:Year>
    <b:Author>
      <b:Author>
        <b:NameList>
          <b:Person>
            <b:Last>Miles</b:Last>
            <b:First>J</b:First>
          </b:Person>
        </b:NameList>
      </b:Author>
    </b:Author>
    <b:Month>February </b:Month>
    <b:Day>17</b:Day>
    <b:RefOrder>99</b:RefOrder>
  </b:Source>
  <b:Source>
    <b:Tag>Har21</b:Tag>
    <b:SourceType>Report</b:SourceType>
    <b:Guid>{6A02EE04-1ECB-DF4F-85DA-79ADF83C0DAA}</b:Guid>
    <b:Title>Independent Review of Leadership Final Report: Research findings and recommendations to support the implementation of our National Professional Learning Entitlement and ensure support for headteachers and leaders in schools.</b:Title>
    <b:Year>2021</b:Year>
    <b:Publisher>WEesh Government</b:Publisher>
    <b:Author>
      <b:Author>
        <b:NameList>
          <b:Person>
            <b:Last>Harris</b:Last>
            <b:First>A.</b:First>
          </b:Person>
          <b:Person>
            <b:Last>Hutt</b:Last>
            <b:First>M.</b:First>
          </b:Person>
          <b:Person>
            <b:Last>Jones</b:Last>
            <b:First>M.</b:First>
          </b:Person>
          <b:Person>
            <b:Last>Longville</b:Last>
            <b:First>J.</b:First>
          </b:Person>
        </b:NameList>
      </b:Author>
    </b:Author>
    <b:RefOrder>100</b:RefOrder>
  </b:Source>
  <b:Source>
    <b:Tag>Dug221</b:Tag>
    <b:SourceType>Report</b:SourceType>
    <b:Guid>{D891E3FF-B3E1-E548-BAF2-ACF2F9CF4BB7}</b:Guid>
    <b:Author>
      <b:Author>
        <b:NameList>
          <b:Person>
            <b:Last>Duggan</b:Last>
            <b:First>B</b:First>
          </b:Person>
          <b:Person>
            <b:Last>Thomas</b:Last>
            <b:First>H</b:First>
          </b:Person>
          <b:Person>
            <b:Last>Davies-Walker</b:Last>
            <b:First>M</b:First>
          </b:Person>
          <b:Person>
            <b:Last>Sinnema</b:Last>
            <b:First>C</b:First>
          </b:Person>
          <b:Person>
            <b:Last>Cole-Jones</b:Last>
            <b:First>N</b:First>
          </b:Person>
          <b:Person>
            <b:Last>Glover</b:Last>
            <b:First>A</b:First>
          </b:Person>
        </b:NameList>
      </b:Author>
    </b:Author>
    <b:Title>Qualitative Research with Practitioners on Preparations for Curriculum and Assessment Reforms 2022: final report</b:Title>
    <b:Publisher>Welsh Government</b:Publisher>
    <b:City>Cardiff </b:City>
    <b:Year>2022</b:Year>
    <b:RefOrder>101</b:RefOrder>
  </b:Source>
  <b:Source>
    <b:Tag>Bro16</b:Tag>
    <b:SourceType>Report</b:SourceType>
    <b:Guid>{9175FECD-CAAA-7D40-A6B2-BDDED6433C5B}</b:Guid>
    <b:Author>
      <b:Author>
        <b:NameList>
          <b:Person>
            <b:Last>Brooks</b:Last>
            <b:First>R.</b:First>
          </b:Person>
          <b:Person>
            <b:Last>Riele</b:Last>
            <b:First>K.</b:First>
          </b:Person>
          <b:Person>
            <b:Last>Maguire</b:Last>
            <b:First>M</b:First>
          </b:Person>
        </b:NameList>
      </b:Author>
    </b:Author>
    <b:Title>Ethics and Education Research </b:Title>
    <b:Publisher>SAGE</b:Publisher>
    <b:City>London</b:City>
    <b:Year>2016</b:Year>
    <b:RefOrder>102</b:RefOrder>
  </b:Source>
  <b:Source>
    <b:Tag>Pri131</b:Tag>
    <b:SourceType>ArticleInAPeriodical</b:SourceType>
    <b:Guid>{261EE5FB-B012-9B4C-BD34-2204E509411F}</b:Guid>
    <b:Title>Curriculum for Excellence: 'A brilliant idea, but. . .'. </b:Title>
    <b:Year>2013</b:Year>
    <b:Pages>39-52</b:Pages>
    <b:Volume>45</b:Volume>
    <b:Issue>1</b:Issue>
    <b:Author>
      <b:Author>
        <b:NameList>
          <b:Person>
            <b:Last>Priestley</b:Last>
            <b:First>M.</b:First>
          </b:Person>
          <b:Person>
            <b:Last>Minty</b:Last>
            <b:First>S.</b:First>
          </b:Person>
        </b:NameList>
      </b:Author>
    </b:Author>
    <b:PeriodicalTitle>Scottish Educational Review</b:PeriodicalTitle>
    <b:RefOrder>103</b:RefOrder>
  </b:Source>
  <b:Source>
    <b:Tag>Coe20</b:Tag>
    <b:SourceType>Book</b:SourceType>
    <b:Guid>{B22068E5-C7F4-5145-B9A3-CE5F562F588C}</b:Guid>
    <b:Author>
      <b:Author>
        <b:NameList>
          <b:Person>
            <b:Last>Coe</b:Last>
            <b:First>R.</b:First>
          </b:Person>
          <b:Person>
            <b:Last>Rauch</b:Last>
            <b:First>C.</b:First>
            <b:Middle>J.</b:Middle>
          </b:Person>
          <b:Person>
            <b:Last>Kime</b:Last>
            <b:First>S.</b:First>
          </b:Person>
          <b:Person>
            <b:Last>&amp; Singleton</b:Last>
            <b:First>D.</b:First>
          </b:Person>
        </b:NameList>
      </b:Author>
    </b:Author>
    <b:Title>Great Teaching Toolkit: Evidence Review. </b:Title>
    <b:Publisher>Evidence Based Education</b:Publisher>
    <b:Year>2020</b:Year>
    <b:RefOrder>104</b:RefOrder>
  </b:Source>
  <b:Source>
    <b:Tag>Hol22</b:Tag>
    <b:SourceType>InternetSite</b:SourceType>
    <b:Guid>{97C75376-9021-E749-AB18-790BAE351543}</b:Guid>
    <b:Title>Keys to Successful Professional Learning</b:Title>
    <b:Year>2022</b:Year>
    <b:Author>
      <b:Author>
        <b:NameList>
          <b:Person>
            <b:Last>Holland</b:Last>
            <b:First>B.,</b:First>
            <b:Middle>Tate, T.</b:Middle>
          </b:Person>
        </b:NameList>
      </b:Author>
    </b:Author>
    <b:InternetSiteTitle>Edutopia</b:InternetSiteTitle>
    <b:URL>https://www.edutopia.org/article/keys-successful-professional-learning/</b:URL>
    <b:RefOrder>105</b:RefOrder>
  </b:Source>
  <b:Source>
    <b:Tag>Buc23</b:Tag>
    <b:SourceType>Book</b:SourceType>
    <b:Guid>{DA2E4B9A-3363-4F48-9E97-027F68F54A61}</b:Guid>
    <b:Author>
      <b:Author>
        <b:NameList>
          <b:Person>
            <b:Last>Buckler</b:Last>
            <b:First>S.</b:First>
          </b:Person>
          <b:Person>
            <b:Last>Moore</b:Last>
            <b:First>H.</b:First>
          </b:Person>
        </b:NameList>
      </b:Author>
    </b:Author>
    <b:Title>Essentials of research methods in education</b:Title>
    <b:Year>2023</b:Year>
    <b:City>London</b:City>
    <b:Publisher>Sage</b:Publisher>
    <b:Pages>xxxii</b:Pages>
    <b:RefOrder>106</b:RefOrder>
  </b:Source>
  <b:Source>
    <b:Tag>Wel23</b:Tag>
    <b:SourceType>InternetSite</b:SourceType>
    <b:Guid>{CC597602-99D3-3348-8624-6858D87C088B}</b:Guid>
    <b:Title>National professional enquiry project</b:Title>
    <b:Year>2023</b:Year>
    <b:Author>
      <b:Author>
        <b:Corporate>Welsh Government</b:Corporate>
      </b:Author>
    </b:Author>
    <b:InternetSiteTitle>Hwb</b:InternetSiteTitle>
    <b:URL>https://hwb.gov.wales/professional-development/national-professional-enquiry-project</b:URL>
    <b:RefOrder>16</b:RefOrder>
  </b:Source>
  <b:Source>
    <b:Tag>Wel231</b:Tag>
    <b:SourceType>InternetSite</b:SourceType>
    <b:Guid>{45C25638-F5D0-3E46-B1DE-4DBD1FA16391}</b:Guid>
    <b:Author>
      <b:Author>
        <b:Corporate>Welsh Government </b:Corporate>
      </b:Author>
    </b:Author>
    <b:Title>The National Strategy for Educational Research and Enquiry (NSERE): vision document</b:Title>
    <b:InternetSiteTitle>Hwb</b:InternetSiteTitle>
    <b:URL>https://www.gov.wales/national-strategy-educational-research-and-enquiry-nsere-vision-document-html</b:URL>
    <b:Year>2023</b:Year>
    <b:RefOrder>107</b:RefOrder>
  </b:Source>
  <b:Source>
    <b:Tag>The18</b:Tag>
    <b:SourceType>Report</b:SourceType>
    <b:Guid>{53A16365-E53D-BB4A-A182-E44E591C6385}</b:Guid>
    <b:Author>
      <b:Author>
        <b:Corporate>The Royal Society and the British Academy</b:Corporate>
      </b:Author>
    </b:Author>
    <b:Title>Harnessing Educational Research  </b:Title>
    <b:Year>2018</b:Year>
    <b:Publisher>The Royal Society and the British Academy, 14.</b:Publisher>
    <b:City>London</b:City>
    <b:RefOrder>18</b:RefOrder>
  </b:Source>
  <b:Source>
    <b:Tag>Fur01</b:Tag>
    <b:SourceType>Report</b:SourceType>
    <b:Guid>{23132EBA-9417-AC42-B4DB-3805A5187545}</b:Guid>
    <b:Author>
      <b:Author>
        <b:NameList>
          <b:Person>
            <b:Last>Furlong</b:Last>
            <b:First>J</b:First>
            <b:Middle>and White, P</b:Middle>
          </b:Person>
        </b:NameList>
      </b:Author>
    </b:Author>
    <b:Title>Educational Research Capacity in Wales: A Review'</b:Title>
    <b:Publisher>UCET Cymru</b:Publisher>
    <b:City>Cardiff</b:City>
    <b:Year>2001</b:Year>
    <b:RefOrder>19</b:RefOrder>
  </b:Source>
  <b:Source>
    <b:Tag>Tri18</b:Tag>
    <b:SourceType>Report</b:SourceType>
    <b:Guid>{12B49FD0-B8EF-2245-AFA2-EB9449C9F719}</b:Guid>
    <b:Author>
      <b:Author>
        <b:Corporate>Tripney, J.; Gough, D.; Sharples,J.; Lester, S.; Bristow, D</b:Corporate>
      </b:Author>
    </b:Author>
    <b:Title>Promoting Teacher Engagement With Research Evidence. </b:Title>
    <b:Publisher>Wales Centre for Public Policy.</b:Publisher>
    <b:City>Cardiff</b:City>
    <b:Year>2018</b:Year>
    <b:RefOrder>108</b:RefOrder>
  </b:Source>
  <b:Source>
    <b:Tag>Pau16</b:Tag>
    <b:SourceType>InternetSite</b:SourceType>
    <b:Guid>{98C5C5FB-7701-624C-AF00-85CF614C7734}</b:Guid>
    <b:Title>Why don't teachers use education research in teaching?</b:Title>
    <b:Year>2016</b:Year>
    <b:Author>
      <b:Author>
        <b:Corporate>Paul MacLellan</b:Corporate>
      </b:Author>
    </b:Author>
    <b:InternetSiteTitle>Royal Society of Chemistry: Education in Chemistry</b:InternetSiteTitle>
    <b:URL>https://edu.rsc.org/analysis/why-dont-teachers-use-education-research-in-teaching/2010170.article</b:URL>
    <b:Month>August</b:Month>
    <b:Day>9</b:Day>
    <b:RefOrder>109</b:RefOrder>
  </b:Source>
  <b:Source>
    <b:Tag>Hat23</b:Tag>
    <b:SourceType>Book</b:SourceType>
    <b:Guid>{88EB03AF-035F-FC46-AD17-23CA277828EA}</b:Guid>
    <b:Title>Visible Learning – The Sequel 2023</b:Title>
    <b:Year>2023</b:Year>
    <b:Author>
      <b:Author>
        <b:NameList>
          <b:Person>
            <b:Last>Hattie</b:Last>
            <b:First>J</b:First>
          </b:Person>
        </b:NameList>
      </b:Author>
    </b:Author>
    <b:City>Oxford</b:City>
    <b:Publisher>Routledge</b:Publisher>
    <b:RefOrder>23</b:RefOrder>
  </b:Source>
  <b:Source>
    <b:Tag>Edu23</b:Tag>
    <b:SourceType>InternetSite</b:SourceType>
    <b:Guid>{8CBF770E-4031-FF44-A7A1-ECC4A0958CC8}</b:Guid>
    <b:Title>Education Endowment Foundation</b:Title>
    <b:Year>2023</b:Year>
    <b:InternetSiteTitle>Teaching and Learning Toolkit</b:InternetSiteTitle>
    <b:URL>https://educationendowmentfoundation.org.uk/</b:URL>
    <b:RefOrder>110</b:RefOrder>
  </b:Source>
  <b:Source>
    <b:Tag>Han22</b:Tag>
    <b:SourceType>Book</b:SourceType>
    <b:Guid>{3D362AAC-5232-F346-B3AE-B204ECEBEC05}</b:Guid>
    <b:Title>The power of professional learning networks: Traversing the present; transforming the future</b:Title>
    <b:Year>2022</b:Year>
    <b:Author>
      <b:Author>
        <b:NameList>
          <b:Person>
            <b:Last>Handscombe</b:Last>
            <b:First>G.,</b:First>
            <b:Middle>Brown, C.</b:Middle>
          </b:Person>
        </b:NameList>
      </b:Author>
    </b:Author>
    <b:City>Woodbridge</b:City>
    <b:Publisher>John Catt Educational Limited </b:Publisher>
    <b:RefOrder>111</b:RefOrder>
  </b:Source>
  <b:Source>
    <b:Tag>Wel232</b:Tag>
    <b:SourceType>InternetSite</b:SourceType>
    <b:Guid>{8CC21E95-9B8D-CB44-BA55-55588C752BB3}</b:Guid>
    <b:Title>National Professional Learning Entitlement</b:Title>
    <b:Year>2023</b:Year>
    <b:Author>
      <b:Author>
        <b:Corporate>Welsh Government </b:Corporate>
      </b:Author>
    </b:Author>
    <b:InternetSiteTitle>Hwb</b:InternetSiteTitle>
    <b:URL>https://hwb.gov.wales/professional-development/national-professional-learning-entitlement/national-professional-learning-entitlement/</b:URL>
    <b:RefOrder>15</b:RefOrder>
  </b:Source>
  <b:Source>
    <b:Tag>Eva23</b:Tag>
    <b:SourceType>InternetSite</b:SourceType>
    <b:Guid>{D5BB55B0-107A-BB47-B347-97648042413B}</b:Guid>
    <b:Author>
      <b:Author>
        <b:NameList>
          <b:Person>
            <b:Last>Evans</b:Last>
            <b:First>G.</b:First>
          </b:Person>
        </b:NameList>
      </b:Author>
    </b:Author>
    <b:Title>Bringing law and order to the Wild West! Why validation is key to curriculum coherence</b:Title>
    <b:InternetSiteTitle>Education Matters</b:InternetSiteTitle>
    <b:URL>https://welsheducationmatters.wordpress.com/2023/03/20/bringing-law-and-order-to-the-wild-west-why-validation-is-key-to-curriculum-coherence/</b:URL>
    <b:Year>2023</b:Year>
    <b:Month>March</b:Month>
    <b:RefOrder>112</b:RefOrder>
  </b:Source>
  <b:Source>
    <b:Tag>CUR05</b:Tag>
    <b:SourceType>Report</b:SourceType>
    <b:Guid>{9BB4A808-DF8B-A944-9969-FACEE1B9FE91}</b:Guid>
    <b:Title>National Framework for Mentoring and Coaching </b:Title>
    <b:Year>2005</b:Year>
    <b:Author>
      <b:Author>
        <b:Corporate>CUREE: Centre for the use of research and evidence in education</b:Corporate>
      </b:Author>
    </b:Author>
    <b:Publisher>CUREE</b:Publisher>
    <b:RefOrder>113</b:RefOrder>
  </b:Source>
  <b:Source>
    <b:Tag>Lof10</b:Tag>
    <b:SourceType>Report</b:SourceType>
    <b:Guid>{4D23AEF4-59D2-8D48-A570-5C09627CE7AD}</b:Guid>
    <b:Author>
      <b:Author>
        <b:Corporate>Lofthouse, R., Leat, D., Towler, C.</b:Corporate>
      </b:Author>
    </b:Author>
    <b:Title>Coaching for teaching and learning: a practical guide for schools</b:Title>
    <b:Publisher>CfBT Education Trust</b:Publisher>
    <b:City>Reading </b:City>
    <b:Year>2010</b:Year>
    <b:RefOrder>114</b:RefOrder>
  </b:Source>
  <b:Source>
    <b:Tag>Reg22</b:Tag>
    <b:SourceType>DocumentFromInternetSite</b:SourceType>
    <b:Guid>{988369D5-BC8E-354F-98EC-96AD8640887C}</b:Guid>
    <b:Title>National Coaching and Mentoring Programme 2020 – 22</b:Title>
    <b:Year>2022</b:Year>
    <b:Author>
      <b:Author>
        <b:Corporate>Regional Education Consortia</b:Corporate>
      </b:Author>
    </b:Author>
    <b:InternetSiteTitle>Education Achievement Service</b:InternetSiteTitle>
    <b:URL>https://sewaleseas.org.uk/wp-content/uploads/2022/01/Benefits-and-Programme-overview-English.pdf</b:URL>
    <b:RefOrder>29</b:RefOrder>
  </b:Source>
  <b:Source>
    <b:Tag>Kra18</b:Tag>
    <b:SourceType>JournalArticle</b:SourceType>
    <b:Guid>{806D9D52-F658-8E45-8954-92E162F321DF}</b:Guid>
    <b:Author>
      <b:Author>
        <b:NameList>
          <b:Person>
            <b:Last>Kraft</b:Last>
            <b:First>M.,</b:First>
            <b:Middle>Blazar, D., Hogan, D.</b:Middle>
          </b:Person>
        </b:NameList>
      </b:Author>
    </b:Author>
    <b:Title>The effect of teacher coaching on Instruction and Achievement:A meta-analysis of the causal evidence</b:Title>
    <b:Year>2018</b:Year>
    <b:Month>August</b:Month>
    <b:JournalName>American Educational Research association</b:JournalName>
    <b:Pages>547-588</b:Pages>
    <b:Volume>88</b:Volume>
    <b:Issue>4</b:Issue>
    <b:RefOrder>30</b:RefOrder>
  </b:Source>
  <b:Source>
    <b:Tag>Har18</b:Tag>
    <b:SourceType>Book</b:SourceType>
    <b:Guid>{A3843B15-66BB-9847-9EB3-FFC08CC17180}</b:Guid>
    <b:Title>Leading collaborative professionalism</b:Title>
    <b:Year>2018</b:Year>
    <b:Author>
      <b:Author>
        <b:NameList>
          <b:Person>
            <b:Last>Hargreaves</b:Last>
            <b:First>A.,</b:First>
            <b:Middle>O'Connor, M.T.</b:Middle>
          </b:Person>
        </b:NameList>
      </b:Author>
    </b:Author>
    <b:City>California</b:City>
    <b:Publisher>California Corwin Press</b:Publisher>
    <b:RefOrder>115</b:RefOrder>
  </b:Source>
  <b:Source>
    <b:Tag>Har17</b:Tag>
    <b:SourceType>Book</b:SourceType>
    <b:Guid>{E02B7156-2D41-6F4D-AC85-2D7C914EA15F}</b:Guid>
    <b:Author>
      <b:Author>
        <b:NameList>
          <b:Person>
            <b:Last>Harris</b:Last>
            <b:First>A.,</b:First>
            <b:Middle>Jones, M., Huffman, J.</b:Middle>
          </b:Person>
        </b:NameList>
      </b:Author>
    </b:Author>
    <b:Title>Teachers leading educational reform: The power and potential of professional learning communities</b:Title>
    <b:City>L:ondon</b:City>
    <b:Publisher>Routledge</b:Publisher>
    <b:Year>2017</b:Year>
    <b:RefOrder>116</b:RefOrder>
  </b:Source>
  <b:Source>
    <b:Tag>Har</b:Tag>
    <b:SourceType>JournalArticle</b:SourceType>
    <b:Guid>{A32896B1-1574-6942-B611-147C5F197ABB}</b:Guid>
    <b:Title>Leading professional learning with impact</b:Title>
    <b:Author>
      <b:Author>
        <b:NameList>
          <b:Person>
            <b:Last>Harris</b:Last>
            <b:First>A.</b:First>
          </b:Person>
          <b:Person>
            <b:Last>Jones</b:Last>
            <b:First>M.</b:First>
          </b:Person>
        </b:NameList>
      </b:Author>
    </b:Author>
    <b:JournalName>School Leadership &amp;Management</b:JournalName>
    <b:Pages>1-4</b:Pages>
    <b:Volume>39</b:Volume>
    <b:Issue>1</b:Issue>
    <b:Year>2019</b:Year>
    <b:RefOrder>117</b:RefOrder>
  </b:Source>
  <b:Source>
    <b:Tag>CSC23</b:Tag>
    <b:SourceType>InternetSite</b:SourceType>
    <b:Guid>{47A9AF53-2922-B64E-AA0F-266D5CF7C95B}</b:Guid>
    <b:Title>Central South Wales Challenge</b:Title>
    <b:Year>2023</b:Year>
    <b:Author>
      <b:Author>
        <b:Corporate>CSC: Central South Consortia</b:Corporate>
      </b:Author>
    </b:Author>
    <b:InternetSiteTitle>Central South Consortia</b:InternetSiteTitle>
    <b:URL>https://www.cscjes.org.uk/self-improving-system</b:URL>
    <b:RefOrder>118</b:RefOrder>
  </b:Source>
  <b:Source>
    <b:Tag>Ves08</b:Tag>
    <b:SourceType>JournalArticle</b:SourceType>
    <b:Guid>{98A5F153-EE90-E849-BCD2-6139BB01C4A8}</b:Guid>
    <b:Title>A review of research on the impact of Professional Learning Communities on Teaching and Student learning</b:Title>
    <b:Year>2008</b:Year>
    <b:Author>
      <b:Author>
        <b:NameList>
          <b:Person>
            <b:Last>Vescio</b:Last>
            <b:First>V.,</b:First>
            <b:Middle>Ross, D., Adams, A</b:Middle>
          </b:Person>
        </b:NameList>
      </b:Author>
    </b:Author>
    <b:JournalName>Teaching and Teacher education</b:JournalName>
    <b:Pages>80-91</b:Pages>
    <b:Volume>24</b:Volume>
    <b:Issue>1</b:Issue>
    <b:RefOrder>119</b:RefOrder>
  </b:Source>
  <b:Source>
    <b:Tag>Don</b:Tag>
    <b:SourceType>JournalArticle</b:SourceType>
    <b:Guid>{0899E5F2-EC7B-ED41-B03D-3C52F3E7AB1F}</b:Guid>
    <b:Author>
      <b:Author>
        <b:NameList>
          <b:Person>
            <b:Last>Donohoo</b:Last>
            <b:First>J.</b:First>
          </b:Person>
          <b:Person>
            <b:Last>Hatie</b:Last>
            <b:First>J.</b:First>
          </b:Person>
          <b:Person>
            <b:Last>and Eells</b:Last>
            <b:First>R</b:First>
          </b:Person>
        </b:NameList>
      </b:Author>
    </b:Author>
    <b:Title>The power of collective efficacy</b:Title>
    <b:JournalName>Educational Leadership</b:JournalName>
    <b:Pages>40-44</b:Pages>
    <b:Volume>75</b:Volume>
    <b:Issue>6</b:Issue>
    <b:Year>2018</b:Year>
    <b:RefOrder>26</b:RefOrder>
  </b:Source>
  <b:Source>
    <b:Tag>Hat17</b:Tag>
    <b:SourceType>InternetSite</b:SourceType>
    <b:Guid>{0C3CD719-2B8E-304A-8613-15E24369F427}</b:Guid>
    <b:Author>
      <b:Author>
        <b:NameList>
          <b:Person>
            <b:Last>Hattie</b:Last>
            <b:First>J</b:First>
          </b:Person>
        </b:NameList>
      </b:Author>
    </b:Author>
    <b:Title>Hattie Ranking: 252 Influences And Effect Sizes Related To Student Achievement</b:Title>
    <b:Year>2017</b:Year>
    <b:InternetSiteTitle>Visible Learning </b:InternetSiteTitle>
    <b:URL>https://visible-learning.org/hattie-ranking-influences-effect-sizes-learning-achievement/</b:URL>
    <b:RefOrder>120</b:RefOrder>
  </b:Source>
  <b:Source>
    <b:Tag>Har171</b:Tag>
    <b:SourceType>JournalArticle</b:SourceType>
    <b:Guid>{C79575F7-CEA4-D14F-9DFA-22A4609F606A}</b:Guid>
    <b:Title>Disciplined collaboration and enquiry: Evaluating the impact of Professional Learning</b:Title>
    <b:Year>2017</b:Year>
    <b:Author>
      <b:Author>
        <b:NameList>
          <b:Person>
            <b:Last>Harris</b:Last>
            <b:First>A.</b:First>
          </b:Person>
          <b:Person>
            <b:Last>Jones</b:Last>
            <b:First>M.</b:First>
          </b:Person>
        </b:NameList>
      </b:Author>
    </b:Author>
    <b:JournalName>Journal of Professional Capital and Community</b:JournalName>
    <b:Pages>200-214</b:Pages>
    <b:Volume>2</b:Volume>
    <b:Issue>4</b:Issue>
    <b:RefOrder>121</b:RefOrder>
  </b:Source>
  <b:Source>
    <b:Tag>Sim18</b:Tag>
    <b:SourceType>JournalArticle</b:SourceType>
    <b:Guid>{FE52D027-3247-A34D-87AF-4695E14B2D25}</b:Guid>
    <b:Title>Identifying the characteristics of effective teacher professional development: a critical review</b:Title>
    <b:InternetSiteTitle>School Effectiveness and school improvement</b:InternetSiteTitle>
    <b:URL>https://improvingteaching.co.uk/wp-content/uploads/2018/09/Characteristics-of-Effective-Teacher-Professional-Development.pdf</b:URL>
    <b:Year>2021</b:Year>
    <b:Author>
      <b:Author>
        <b:NameList>
          <b:Person>
            <b:Last>Sims</b:Last>
            <b:First>S.</b:First>
          </b:Person>
          <b:Person>
            <b:Last>Fletcher-Wood</b:Last>
            <b:First>H.</b:First>
          </b:Person>
        </b:NameList>
      </b:Author>
    </b:Author>
    <b:Volume>32</b:Volume>
    <b:Issue>1</b:Issue>
    <b:Pages>47-63</b:Pages>
    <b:RefOrder>12</b:RefOrder>
  </b:Source>
  <b:Source>
    <b:Tag>Cor95</b:Tag>
    <b:SourceType>Report</b:SourceType>
    <b:Guid>{FECCF174-2C79-FB46-A3C4-78B17F3F50D9}</b:Guid>
    <b:Title>Transforming professional development for teachers: A guide for state policy makers</b:Title>
    <b:Year>1995</b:Year>
    <b:Author>
      <b:Author>
        <b:NameList>
          <b:Person>
            <b:Last>Corcoran</b:Last>
            <b:First>T.C.</b:First>
          </b:Person>
        </b:NameList>
      </b:Author>
    </b:Author>
    <b:Publisher>National Governors Association</b:Publisher>
    <b:RefOrder>122</b:RefOrder>
  </b:Source>
  <b:Source>
    <b:Tag>Wal12</b:Tag>
    <b:SourceType>Book</b:SourceType>
    <b:Guid>{D0811CD6-92A6-0D4B-B027-54655F1E0403}</b:Guid>
    <b:Title>What professional development makes the most difference to teachers. </b:Title>
    <b:Publisher>Oxford University Press</b:Publisher>
    <b:City>Oxford</b:City>
    <b:Year>2012</b:Year>
    <b:Author>
      <b:Author>
        <b:NameList>
          <b:Person>
            <b:Last>Walter</b:Last>
            <b:First>C.</b:First>
          </b:Person>
          <b:Person>
            <b:Last>Briggs</b:Last>
            <b:First>J.</b:First>
          </b:Person>
        </b:NameList>
      </b:Author>
    </b:Author>
    <b:RefOrder>123</b:RefOrder>
  </b:Source>
  <b:Source>
    <b:Tag>Cor15</b:Tag>
    <b:SourceType>Book</b:SourceType>
    <b:Guid>{43450F16-D8E2-324E-A423-45744B64FA3E}</b:Guid>
    <b:Author>
      <b:Author>
        <b:Corporate>Cordingley, P.; Higgins, S.; Greany, T.; Buckler, N.; Coles-Jordan, D.; Crisp, B.; Saunders, L.; Coe, R. </b:Corporate>
      </b:Author>
    </b:Author>
    <b:Title>Developing great teaching: Lessons from the international reviews into effective professional development. </b:Title>
    <b:Publisher>Teacher development trust</b:Publisher>
    <b:Year>2015</b:Year>
    <b:RefOrder>124</b:RefOrder>
  </b:Source>
  <b:Source>
    <b:Tag>Jac17</b:Tag>
    <b:SourceType>JournalArticle</b:SourceType>
    <b:Guid>{9C906C84-33D0-4F4D-B5D5-F1E84BC60CD4}</b:Guid>
    <b:Title>The impact of a professional development programme on teachers mathematical knowedge for teaching, instruction and student achievement</b:Title>
    <b:Year>2017</b:Year>
    <b:Author>
      <b:Author>
        <b:NameList>
          <b:Person>
            <b:Last>Jacob</b:Last>
            <b:First>R.</b:First>
          </b:Person>
          <b:Person>
            <b:Last>Hill</b:Last>
            <b:First>H.</b:First>
          </b:Person>
          <b:Person>
            <b:Last>Corey</b:Last>
            <b:First>D</b:First>
          </b:Person>
        </b:NameList>
      </b:Author>
    </b:Author>
    <b:JournalName>Journal of Research on Educationsl Effectoveness</b:JournalName>
    <b:Pages>379-407</b:Pages>
    <b:Volume>10</b:Volume>
    <b:Issue>2</b:Issue>
    <b:RefOrder>14</b:RefOrder>
  </b:Source>
  <b:Source>
    <b:Tag>Rey08</b:Tag>
    <b:SourceType>JournalArticle</b:SourceType>
    <b:Guid>{16DDD44B-B58B-0846-8CF9-59CDC4799999}</b:Guid>
    <b:Author>
      <b:Author>
        <b:NameList>
          <b:Person>
            <b:Last>Reynolds</b:Last>
            <b:First>D</b:First>
          </b:Person>
        </b:NameList>
      </b:Author>
    </b:Author>
    <b:Title>New Labour, education and Wales: the devolution decade</b:Title>
    <b:JournalName>Oxford review of Education</b:JournalName>
    <b:Year>2008</b:Year>
    <b:Pages>753-765</b:Pages>
    <b:Volume>34</b:Volume>
    <b:Issue>6</b:Issue>
    <b:RefOrder>7</b:RefOrder>
  </b:Source>
  <b:Source>
    <b:Tag>Sib21</b:Tag>
    <b:SourceType>Report</b:SourceType>
    <b:Guid>{17098F7B-FA89-8147-B7AC-CEDE14680588}</b:Guid>
    <b:Title>A comparison of school institutions and policies across the UK</b:Title>
    <b:Year>2021</b:Year>
    <b:Author>
      <b:Author>
        <b:Corporate>Sibieta, L.; Jerrim, J. </b:Corporate>
      </b:Author>
    </b:Author>
    <b:Publisher>Education policy Institute</b:Publisher>
    <b:RefOrder>125</b:RefOrder>
  </b:Source>
  <b:Source>
    <b:Tag>Eva22</b:Tag>
    <b:SourceType>JournalArticle</b:SourceType>
    <b:Guid>{45569EE8-9364-8849-951B-FF231E0E142A}</b:Guid>
    <b:Title>Back to the future? Refections on three phases of education policy reform in Wales and their implications for teachers</b:Title>
    <b:Year>2022</b:Year>
    <b:Author>
      <b:Author>
        <b:NameList>
          <b:Person>
            <b:Last>Evans</b:Last>
            <b:First>G.</b:First>
          </b:Person>
        </b:NameList>
      </b:Author>
    </b:Author>
    <b:JournalName>Journal of Educational Change</b:JournalName>
    <b:Pages>371-396</b:Pages>
    <b:RefOrder>126</b:RefOrder>
  </b:Source>
  <b:Source>
    <b:Tag>Eva12</b:Tag>
    <b:SourceType>Report</b:SourceType>
    <b:Guid>{98EF1D99-B005-F849-AD79-EB10CA0FA46C}</b:Guid>
    <b:Author>
      <b:Author>
        <b:Corporate>Evans, H</b:Corporate>
      </b:Author>
    </b:Author>
    <b:Title>Review of Qualifications for 14 to 19-year-olds in Wales:  Final report and recommendations</b:Title>
    <b:Year>2012</b:Year>
    <b:Publisher>Crown</b:Publisher>
    <b:City>Cardiff</b:City>
    <b:RefOrder>127</b:RefOrder>
  </b:Source>
  <b:Source>
    <b:Tag>Wel17</b:Tag>
    <b:SourceType>Report</b:SourceType>
    <b:Guid>{174D0E61-362F-884A-9911-10849293422A}</b:Guid>
    <b:Author>
      <b:Author>
        <b:Corporate>Welsh Government</b:Corporate>
      </b:Author>
    </b:Author>
    <b:Title>Education in Wales: Our national mission. Action plan 2017-2021</b:Title>
    <b:Publisher>Crown</b:Publisher>
    <b:City>Cardiff</b:City>
    <b:Year>2017</b:Year>
    <b:RefOrder>5</b:RefOrder>
  </b:Source>
  <b:Source>
    <b:Tag>Dep16</b:Tag>
    <b:SourceType>Report</b:SourceType>
    <b:Guid>{205E299B-6D30-D040-A8A3-E6B88A3B111A}</b:Guid>
    <b:Author>
      <b:Author>
        <b:Corporate>Department for Education</b:Corporate>
      </b:Author>
    </b:Author>
    <b:Title>Standards for teachers' professional development</b:Title>
    <b:Publisher>Department of Education</b:Publisher>
    <b:City>London</b:City>
    <b:Year>2016</b:Year>
    <b:RefOrder>128</b:RefOrder>
  </b:Source>
  <b:Source>
    <b:Tag>Wal22</b:Tag>
    <b:SourceType>Report</b:SourceType>
    <b:Guid>{D98E59EF-3F21-C64A-99C4-5BB0CC658BBD}</b:Guid>
    <b:Author>
      <b:Author>
        <b:Corporate>Wales Centre for Public Policy</b:Corporate>
      </b:Author>
    </b:Author>
    <b:Title>Effective teacher professional development: Policy Briefing</b:Title>
    <b:Publisher>Cardiff University</b:Publisher>
    <b:City>Cardiff</b:City>
    <b:Year>2022</b:Year>
    <b:RefOrder>129</b:RefOrder>
  </b:Source>
  <b:Source>
    <b:Tag>Von07</b:Tag>
    <b:SourceType>JournalArticle</b:SourceType>
    <b:Guid>{E96F0E15-17BD-7240-AB9B-E2AFAA7B9047}</b:Guid>
    <b:Title>I,Teacher: Re territorialisation of teachers' multi-faceted agency in globalised education. British Journal of Sociology of Education, 28, 425–439.</b:Title>
    <b:Year>2007</b:Year>
    <b:Author>
      <b:Author>
        <b:NameList>
          <b:Person>
            <b:Last>Vongalis-Macrow</b:Last>
            <b:First>A.</b:First>
          </b:Person>
        </b:NameList>
      </b:Author>
    </b:Author>
    <b:JournalName>British Journal of Sociology of Education</b:JournalName>
    <b:Pages>425-439</b:Pages>
    <b:Volume>28</b:Volume>
    <b:RefOrder>130</b:RefOrder>
  </b:Source>
  <b:Source>
    <b:Tag>Guo20</b:Tag>
    <b:SourceType>BookSection</b:SourceType>
    <b:Guid>{CB0C8B27-1F3E-B14C-8503-DA997169F1D1}</b:Guid>
    <b:Title>Teacher Agency</b:Title>
    <b:Year>2020</b:Year>
    <b:Author>
      <b:Author>
        <b:NameList>
          <b:Person>
            <b:Last>Guoyan</b:Last>
            <b:First>S.</b:First>
          </b:Person>
        </b:NameList>
      </b:Author>
    </b:Author>
    <b:BookTitle>Encyclopedia of Teacher Education</b:BookTitle>
    <b:Publisher>Springer Natire Singapore</b:Publisher>
    <b:RefOrder>131</b:RefOrder>
  </b:Source>
  <b:Source>
    <b:Tag>Wel18</b:Tag>
    <b:SourceType>InternetSite</b:SourceType>
    <b:Guid>{90573BB1-A6E0-2043-A134-5F8681CD9CFD}</b:Guid>
    <b:Title>Schools as learning organisations (SLO)</b:Title>
    <b:Year>2018</b:Year>
    <b:Author>
      <b:Author>
        <b:Corporate>Welsh Government </b:Corporate>
      </b:Author>
    </b:Author>
    <b:InternetSiteTitle>Hwb</b:InternetSiteTitle>
    <b:URL>https://www.gov.wales/schools-learning-organisations-slo-overview</b:URL>
    <b:RefOrder>132</b:RefOrder>
  </b:Source>
  <b:Source>
    <b:Tag>Coe18</b:Tag>
    <b:SourceType>DocumentFromInternetSite</b:SourceType>
    <b:Guid>{4D48709E-E2C7-FB4A-9D09-85B2085A7F98}</b:Guid>
    <b:Title>Serious critiques of meta-analysis and effect size: researchED </b:Title>
    <b:InternetSiteTitle>Cambridge University Press &amp; Assessment</b:InternetSiteTitle>
    <b:URL>https://www.cem.org/blog/serious-critiques-of-meta-analysis-and-effect-size-researched-2018</b:URL>
    <b:Year>2018</b:Year>
    <b:Author>
      <b:Author>
        <b:NameList>
          <b:Person>
            <b:Last>Coe</b:Last>
            <b:First>R.</b:First>
          </b:Person>
        </b:NameList>
      </b:Author>
    </b:Author>
    <b:RefOrder>133</b:RefOrder>
  </b:Source>
  <b:Source>
    <b:Tag>Sla18</b:Tag>
    <b:SourceType>InternetSite</b:SourceType>
    <b:Guid>{C3260C75-58C6-A641-8EFB-297622A4390C}</b:Guid>
    <b:Title>John Hattie is wrong</b:Title>
    <b:InternetSiteTitle>Robert Slavins blog</b:InternetSiteTitle>
    <b:URL>https://robertslavinsblog.wordpress.com/2018/06/21/john-hattie-is-wrong/</b:URL>
    <b:Year>2018</b:Year>
    <b:Month>June</b:Month>
    <b:Author>
      <b:Author>
        <b:NameList>
          <b:Person>
            <b:Last>Slavin</b:Last>
            <b:First>R</b:First>
          </b:Person>
        </b:NameList>
      </b:Author>
    </b:Author>
    <b:RefOrder>134</b:RefOrder>
  </b:Source>
  <b:Source>
    <b:Tag>Har181</b:Tag>
    <b:SourceType>ArticleInAPeriodical</b:SourceType>
    <b:Guid>{2BC70680-8377-834C-AE0A-89637ABE9B67}</b:Guid>
    <b:Title>Leading collaborative professionalism</b:Title>
    <b:Year>2018</b:Year>
    <b:Author>
      <b:Author>
        <b:NameList>
          <b:Person>
            <b:Last>Hargreaves</b:Last>
            <b:First>A.</b:First>
          </b:Person>
          <b:Person>
            <b:Last>O’Connor</b:Last>
            <b:First>M</b:First>
            <b:Middle>T.</b:Middle>
          </b:Person>
        </b:NameList>
      </b:Author>
    </b:Author>
    <b:PeriodicalTitle>Centre for Strategic Education Seminar Series</b:PeriodicalTitle>
    <b:Publisher>Centre for Strategic Education</b:Publisher>
    <b:City>Victoria</b:City>
    <b:Volume>274</b:Volume>
    <b:RefOrder>135</b:RefOrder>
  </b:Source>
  <b:Source>
    <b:Tag>Rob14</b:Tag>
    <b:SourceType>Book</b:SourceType>
    <b:Guid>{58B298D2-7C1C-1644-B932-FDCB4F6E3452}</b:Guid>
    <b:Author>
      <b:Author>
        <b:NameList>
          <b:Person>
            <b:Last>Robinson</b:Last>
            <b:First>W</b:First>
          </b:Person>
        </b:NameList>
      </b:Author>
    </b:Author>
    <b:Title>A Learning Profession?: Teachers and their professional Development in England and Wales 1920-2000</b:Title>
    <b:Year>2014</b:Year>
    <b:City>Rotterdam</b:City>
    <b:Publisher>Sense publishers</b:Publisher>
    <b:RefOrder>136</b:RefOrder>
  </b:Source>
  <b:Source>
    <b:Tag>Cen23</b:Tag>
    <b:SourceType>Book</b:SourceType>
    <b:Guid>{39CF4372-95BA-524D-9501-D4BA056B7E57}</b:Guid>
    <b:Author>
      <b:Author>
        <b:Corporate>Central South Consortia</b:Corporate>
      </b:Author>
    </b:Author>
    <b:Title>Professional Learning Funding 2022-23 : Guidance for schools on how to use the funding</b:Title>
    <b:City>Cardiff</b:City>
    <b:Publisher>Central South Consortia</b:Publisher>
    <b:Year>2023</b:Year>
    <b:RefOrder>3</b:RefOrder>
  </b:Source>
  <b:Source>
    <b:Tag>Neg22</b:Tag>
    <b:SourceType>JournalArticle</b:SourceType>
    <b:Guid>{BBC14363-F43B-F144-9485-0D44CB87E9DE}</b:Guid>
    <b:Title>Successful Recruitment to Qualitative Research: A Critical Reflection. </b:Title>
    <b:Year>2022</b:Year>
    <b:Author>
      <b:Author>
        <b:NameList>
          <b:Person>
            <b:Last>Negrin</b:Last>
            <b:First>K.</b:First>
            <b:Middle>A.</b:Middle>
          </b:Person>
          <b:Person>
            <b:Last>Slaughter</b:Last>
            <b:First>S.</b:First>
            <b:Middle>E.</b:Middle>
          </b:Person>
          <b:Person>
            <b:Last>Dahlke</b:Last>
            <b:First>S.</b:First>
          </b:Person>
          <b:Person>
            <b:Last>Olson</b:Last>
            <b:First>J.</b:First>
          </b:Person>
        </b:NameList>
      </b:Author>
    </b:Author>
    <b:Volume>21</b:Volume>
    <b:JournalName> International Journal of Qualitative Methods</b:JournalName>
    <b:RefOrder>137</b:RefOrder>
  </b:Source>
  <b:Source>
    <b:Tag>Sin20</b:Tag>
    <b:SourceType>JournalArticle</b:SourceType>
    <b:Guid>{6E8FCE0D-25CD-694E-83E8-7917489A18F2}</b:Guid>
    <b:Author>
      <b:Author>
        <b:NameList>
          <b:Person>
            <b:Last>Sinnema</b:Last>
            <b:First>C.,</b:First>
            <b:Middle>Nieveen, N., &amp; Priestley, M.</b:Middle>
          </b:Person>
        </b:NameList>
      </b:Author>
    </b:Author>
    <b:Title>Successful futures, successful curriculum: What can Wales learn from international curriculum reforms? </b:Title>
    <b:JournalName>The Curriculum Journal</b:JournalName>
    <b:Year>2020</b:Year>
    <b:Pages>181-201</b:Pages>
    <b:Volume>31</b:Volume>
    <b:Issue>2</b:Issue>
    <b:RefOrder>138</b:RefOrder>
  </b:Source>
  <b:Source>
    <b:Tag>Ara18</b:Tag>
    <b:SourceType>Report</b:SourceType>
    <b:Guid>{660E442D-7C7D-834F-91CF-2BA3D0A1E5BD}</b:Guid>
    <b:Title>Formative evaluation of the Pioneer School model: Final report. </b:Title>
    <b:Year>2018</b:Year>
    <b:Author>
      <b:Author>
        <b:Corporate>Arad Research.</b:Corporate>
      </b:Author>
    </b:Author>
    <b:Publisher>welsh Government </b:Publisher>
    <b:City>Cardiff</b:City>
    <b:RefOrder>139</b:RefOrder>
  </b:Source>
  <b:Source>
    <b:Tag>Hug22</b:Tag>
    <b:SourceType>JournalArticle</b:SourceType>
    <b:Guid>{9E68A8DB-40AC-674D-80EB-269DAF84DC83}</b:Guid>
    <b:Title>Disrupting Aotearoa New Zealand’s Curricular Consensus: From ‘World-Leading’ Curriculum to Curriculum Refresh 2007–2021.</b:Title>
    <b:Year>2022</b:Year>
    <b:Author>
      <b:Author>
        <b:NameList>
          <b:Person>
            <b:Last>Hughson</b:Last>
            <b:First>T.A.</b:First>
          </b:Person>
        </b:NameList>
      </b:Author>
    </b:Author>
    <b:JournalName>NZ Journal of Education Studies </b:JournalName>
    <b:Pages>53-67</b:Pages>
    <b:Volume>57</b:Volume>
    <b:RefOrder>9</b:RefOrder>
  </b:Source>
  <b:Source>
    <b:Tag>Ofs23</b:Tag>
    <b:SourceType>Report</b:SourceType>
    <b:Guid>{7527491C-F2D1-544B-BB42-5E7300AE6776}</b:Guid>
    <b:Title>Independent review of teachers’ professional development in schools: phase 1 findings</b:Title>
    <b:Year>2023</b:Year>
    <b:Author>
      <b:Author>
        <b:Corporate>Ofsted</b:Corporate>
      </b:Author>
    </b:Author>
    <b:Publisher>Ofsted</b:Publisher>
    <b:RefOrder>25</b:RefOrder>
  </b:Source>
  <b:Source>
    <b:Tag>Tim</b:Tag>
    <b:SourceType>Book</b:SourceType>
    <b:Guid>{3C73CCE2-230F-2B4E-9A7B-5288B4E0B5CA}</b:Guid>
    <b:Title>Teacher professional learning and development: Best Evidence snthysis iteration (BES)</b:Title>
    <b:Publisher>New Zealand Ministry of Education</b:Publisher>
    <b:Author>
      <b:Author>
        <b:NameList>
          <b:Person>
            <b:Last>Timperley</b:Last>
            <b:First>H.</b:First>
          </b:Person>
          <b:Person>
            <b:Last>A.</b:Last>
            <b:First>Wilsom</b:First>
          </b:Person>
          <b:Person>
            <b:Last>Barrar</b:Last>
            <b:First>H</b:First>
          </b:Person>
          <b:Person>
            <b:Last>I</b:Last>
            <b:First>Fung</b:First>
          </b:Person>
        </b:NameList>
      </b:Author>
    </b:Author>
    <b:PeriodicalTitle>Educational Practices Series</b:PeriodicalTitle>
    <b:Volume>18</b:Volume>
    <b:Year>2007</b:Year>
    <b:City>Wellington</b:City>
    <b:RefOrder>140</b:RefOrder>
  </b:Source>
  <b:Source>
    <b:Tag>Wel233</b:Tag>
    <b:SourceType>Report</b:SourceType>
    <b:Guid>{7C878E6A-4CDB-AE4B-B033-2134EE9EA551}</b:Guid>
    <b:Title>Curriculum for Wales: annual report 2023</b:Title>
    <b:City>Cardiff</b:City>
    <b:Publisher>Welsh Government</b:Publisher>
    <b:Year>2023</b:Year>
    <b:Author>
      <b:Author>
        <b:Corporate>Welsh Government</b:Corporate>
      </b:Author>
    </b:Author>
    <b:RefOrder>32</b:RefOrder>
  </b:Source>
  <b:Source>
    <b:Tag>Mil12</b:Tag>
    <b:SourceType>JournalArticle</b:SourceType>
    <b:Guid>{3A1E0158-B427-3B47-B42D-B56E24B807BB}</b:Guid>
    <b:Author>
      <b:Author>
        <b:NameList>
          <b:Person>
            <b:Last>Miller</b:Last>
            <b:First>B.</b:First>
          </b:Person>
          <b:Person>
            <b:Last>Pasley</b:Last>
            <b:First>J.</b:First>
          </b:Person>
        </b:NameList>
      </b:Author>
    </b:Author>
    <b:Title>What do we know and how well do we know it? Identifying practice-based insights in education</b:Title>
    <b:Year>2012</b:Year>
    <b:JournalName>Evidence &amp; Policy</b:JournalName>
    <b:Pages>193-212</b:Pages>
    <b:Volume>8</b:Volume>
    <b:Issue>2</b:Issue>
    <b:RefOrder>20</b:RefOrder>
  </b:Source>
  <b:Source>
    <b:Tag>Car15</b:Tag>
    <b:SourceType>Misc</b:SourceType>
    <b:Guid>{A5573A84-16B0-7D40-8477-19866969B931}</b:Guid>
    <b:Title>How educational ideas catch on: the promotion of popular education innovations and the role of evidence . </b:Title>
    <b:Publisher>University of Toronto ProQuest Dissertations publishing</b:Publisher>
    <b:Year>2015</b:Year>
    <b:Author>
      <b:Author>
        <b:NameList>
          <b:Person>
            <b:Last>Carrier</b:Last>
            <b:First>N</b:First>
          </b:Person>
        </b:NameList>
      </b:Author>
    </b:Author>
    <b:Pages>228=240</b:Pages>
    <b:Volume>59</b:Volume>
    <b:Medium>Thesis</b:Medium>
    <b:RefOrder>22</b:RefOrder>
  </b:Source>
  <b:Source>
    <b:Tag>Sco13</b:Tag>
    <b:SourceType>Report</b:SourceType>
    <b:Guid>{C1089F5A-321C-2048-A477-20C4F481B0E5}</b:Guid>
    <b:Title>School leadership evidence review: using research evidence to support school improvement</b:Title>
    <b:Year>2013</b:Year>
    <b:Publisher>Department for Education</b:Publisher>
    <b:Author>
      <b:Author>
        <b:NameList>
          <b:Person>
            <b:Last>Scott</b:Last>
            <b:First>S.</b:First>
          </b:Person>
          <b:Person>
            <b:Last>McNeish</b:Last>
            <b:First>D.</b:First>
          </b:Person>
        </b:NameList>
      </b:Author>
    </b:Author>
    <b:RefOrder>21</b:RefOrder>
  </b:Source>
  <b:Source>
    <b:Tag>Han00</b:Tag>
    <b:SourceType>Report</b:SourceType>
    <b:Guid>{41FFA11E-EE6B-F842-87EE-7C75B5BD15BF}</b:Guid>
    <b:Author>
      <b:Author>
        <b:NameList>
          <b:Person>
            <b:Last>Hannan</b:Last>
            <b:First>A.,</b:First>
            <b:Middle>Enright, H. &amp; Ballard, P.</b:Middle>
          </b:Person>
        </b:NameList>
      </b:Author>
    </b:Author>
    <b:Title>Using research: the results of a pilot study comparing teachers, general practitioners and surgeons. </b:Title>
    <b:Publisher>Education-Line Internet Collection. </b:Publisher>
    <b:City>Leeds</b:City>
    <b:Year>2000</b:Year>
    <b:RefOrder>17</b:RefOrder>
  </b:Source>
</b:Sources>
</file>

<file path=customXml/itemProps1.xml><?xml version="1.0" encoding="utf-8"?>
<ds:datastoreItem xmlns:ds="http://schemas.openxmlformats.org/officeDocument/2006/customXml" ds:itemID="{B72A027E-154B-CE44-9142-7EE7457E7D7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206</TotalTime>
  <Pages>53</Pages>
  <Words>20158</Words>
  <Characters>114902</Characters>
  <Application>Microsoft Office Word</Application>
  <DocSecurity>0</DocSecurity>
  <Lines>957</Lines>
  <Paragraphs>269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134791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nhagendyk@gmail.com</dc:creator>
  <cp:keywords/>
  <dc:description/>
  <cp:lastModifiedBy>Nicky  Hagendyk (CSC)</cp:lastModifiedBy>
  <cp:revision>16</cp:revision>
  <dcterms:created xsi:type="dcterms:W3CDTF">2023-09-21T12:22:00Z</dcterms:created>
  <dcterms:modified xsi:type="dcterms:W3CDTF">2023-09-22T09:20:00Z</dcterms:modified>
</cp:coreProperties>
</file>