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95FB7" w14:textId="77777777" w:rsidR="00372E7E" w:rsidRDefault="00372E7E" w:rsidP="00372E7E">
      <w:pPr>
        <w:spacing w:before="100" w:beforeAutospacing="1" w:after="100" w:afterAutospacing="1"/>
        <w:contextualSpacing/>
        <w:rPr>
          <w:rFonts w:cs="Times New Roman"/>
          <w:b/>
          <w:color w:val="0D0D0D" w:themeColor="text1" w:themeTint="F2"/>
          <w:szCs w:val="24"/>
        </w:rPr>
      </w:pPr>
    </w:p>
    <w:p w14:paraId="368A91C3" w14:textId="77777777" w:rsidR="00772DE7" w:rsidRDefault="00772DE7" w:rsidP="00772DE7">
      <w:pPr>
        <w:jc w:val="center"/>
        <w:rPr>
          <w:b/>
          <w:sz w:val="32"/>
        </w:rPr>
      </w:pPr>
      <w:r>
        <w:rPr>
          <w:b/>
          <w:sz w:val="32"/>
        </w:rPr>
        <w:t>Accounting Fundamentals</w:t>
      </w:r>
    </w:p>
    <w:p w14:paraId="7D06B4D0" w14:textId="77777777" w:rsidR="00772DE7" w:rsidRDefault="00772DE7" w:rsidP="00772DE7">
      <w:pPr>
        <w:jc w:val="center"/>
        <w:rPr>
          <w:b/>
          <w:sz w:val="32"/>
        </w:rPr>
      </w:pPr>
      <w:r>
        <w:rPr>
          <w:b/>
          <w:sz w:val="32"/>
        </w:rPr>
        <w:t xml:space="preserve">LCBB4001 </w:t>
      </w:r>
    </w:p>
    <w:p w14:paraId="05537AA4" w14:textId="77777777" w:rsidR="00772DE7" w:rsidRDefault="00772DE7" w:rsidP="00772DE7">
      <w:pPr>
        <w:jc w:val="center"/>
        <w:rPr>
          <w:b/>
          <w:sz w:val="32"/>
        </w:rPr>
      </w:pPr>
    </w:p>
    <w:p w14:paraId="6E94886B" w14:textId="77777777" w:rsidR="00772DE7" w:rsidRDefault="00772DE7" w:rsidP="00772DE7">
      <w:pPr>
        <w:jc w:val="center"/>
        <w:rPr>
          <w:b/>
          <w:sz w:val="32"/>
        </w:rPr>
      </w:pPr>
      <w:proofErr w:type="spellStart"/>
      <w:r>
        <w:rPr>
          <w:b/>
          <w:sz w:val="32"/>
        </w:rPr>
        <w:t>Assesment</w:t>
      </w:r>
      <w:proofErr w:type="spellEnd"/>
      <w:r>
        <w:rPr>
          <w:b/>
          <w:sz w:val="32"/>
        </w:rPr>
        <w:t xml:space="preserve"> 1</w:t>
      </w:r>
    </w:p>
    <w:p w14:paraId="53425C78" w14:textId="77777777" w:rsidR="00772DE7" w:rsidRDefault="00772DE7" w:rsidP="00772DE7">
      <w:pPr>
        <w:jc w:val="center"/>
        <w:rPr>
          <w:b/>
          <w:sz w:val="32"/>
        </w:rPr>
      </w:pPr>
    </w:p>
    <w:p w14:paraId="33E23B24" w14:textId="77777777" w:rsidR="00772DE7" w:rsidRPr="00B44182" w:rsidRDefault="00772DE7" w:rsidP="00772DE7">
      <w:pPr>
        <w:spacing w:before="0" w:after="160" w:line="259" w:lineRule="auto"/>
        <w:jc w:val="center"/>
        <w:rPr>
          <w:sz w:val="32"/>
          <w:szCs w:val="32"/>
        </w:rPr>
      </w:pPr>
      <w:r>
        <w:rPr>
          <w:sz w:val="32"/>
          <w:szCs w:val="32"/>
        </w:rPr>
        <w:t xml:space="preserve">Student </w:t>
      </w:r>
      <w:r w:rsidRPr="00B44182">
        <w:rPr>
          <w:sz w:val="32"/>
          <w:szCs w:val="32"/>
        </w:rPr>
        <w:t xml:space="preserve">Name: </w:t>
      </w:r>
      <w:proofErr w:type="spellStart"/>
      <w:r w:rsidRPr="00B44182">
        <w:rPr>
          <w:sz w:val="32"/>
          <w:szCs w:val="32"/>
        </w:rPr>
        <w:t>Ivaylo</w:t>
      </w:r>
      <w:proofErr w:type="spellEnd"/>
      <w:r w:rsidRPr="00B44182">
        <w:rPr>
          <w:sz w:val="32"/>
          <w:szCs w:val="32"/>
        </w:rPr>
        <w:t xml:space="preserve"> </w:t>
      </w:r>
      <w:proofErr w:type="spellStart"/>
      <w:r w:rsidRPr="00B44182">
        <w:rPr>
          <w:sz w:val="32"/>
          <w:szCs w:val="32"/>
        </w:rPr>
        <w:t>Bakalov</w:t>
      </w:r>
      <w:proofErr w:type="spellEnd"/>
    </w:p>
    <w:p w14:paraId="09039BDD" w14:textId="77777777" w:rsidR="00772DE7" w:rsidRPr="00B44182" w:rsidRDefault="00772DE7" w:rsidP="00772DE7">
      <w:pPr>
        <w:spacing w:before="0" w:after="160" w:line="259" w:lineRule="auto"/>
        <w:jc w:val="center"/>
        <w:rPr>
          <w:sz w:val="32"/>
          <w:szCs w:val="32"/>
        </w:rPr>
      </w:pPr>
      <w:r>
        <w:rPr>
          <w:sz w:val="32"/>
          <w:szCs w:val="32"/>
        </w:rPr>
        <w:t xml:space="preserve">Student </w:t>
      </w:r>
      <w:r w:rsidRPr="00B44182">
        <w:rPr>
          <w:sz w:val="32"/>
          <w:szCs w:val="32"/>
        </w:rPr>
        <w:t>ID: 2128950</w:t>
      </w:r>
    </w:p>
    <w:p w14:paraId="6A7F2135" w14:textId="77777777" w:rsidR="00772DE7" w:rsidRDefault="00772DE7" w:rsidP="00772DE7">
      <w:pPr>
        <w:spacing w:before="0" w:after="160" w:line="259" w:lineRule="auto"/>
        <w:jc w:val="center"/>
        <w:rPr>
          <w:sz w:val="32"/>
          <w:szCs w:val="32"/>
        </w:rPr>
      </w:pPr>
      <w:r w:rsidRPr="00B44182">
        <w:rPr>
          <w:sz w:val="32"/>
          <w:szCs w:val="32"/>
        </w:rPr>
        <w:t>University of Wales Trinity Saint Davis</w:t>
      </w:r>
    </w:p>
    <w:p w14:paraId="2A29E9BD" w14:textId="77777777" w:rsidR="00772DE7" w:rsidRPr="00030835" w:rsidRDefault="00772DE7" w:rsidP="00772DE7">
      <w:pPr>
        <w:spacing w:before="0" w:after="160" w:line="259" w:lineRule="auto"/>
        <w:jc w:val="center"/>
      </w:pPr>
      <w:r>
        <w:rPr>
          <w:sz w:val="32"/>
          <w:szCs w:val="32"/>
        </w:rPr>
        <w:t xml:space="preserve">Lecturer Name: </w:t>
      </w:r>
      <w:r w:rsidRPr="00030835">
        <w:rPr>
          <w:sz w:val="32"/>
          <w:szCs w:val="32"/>
        </w:rPr>
        <w:t>Thomas</w:t>
      </w:r>
      <w:r w:rsidRPr="00030835">
        <w:rPr>
          <w:i/>
          <w:iCs/>
          <w:sz w:val="32"/>
          <w:szCs w:val="32"/>
        </w:rPr>
        <w:t xml:space="preserve"> </w:t>
      </w:r>
      <w:r w:rsidRPr="00030835">
        <w:rPr>
          <w:sz w:val="32"/>
          <w:szCs w:val="32"/>
        </w:rPr>
        <w:t>Adeyemi</w:t>
      </w:r>
    </w:p>
    <w:p w14:paraId="24F8B853" w14:textId="77777777" w:rsidR="00772DE7" w:rsidRDefault="00772DE7" w:rsidP="00772DE7">
      <w:pPr>
        <w:rPr>
          <w:b/>
          <w:sz w:val="32"/>
        </w:rPr>
      </w:pPr>
    </w:p>
    <w:p w14:paraId="74C4189F" w14:textId="77777777" w:rsidR="00772DE7" w:rsidRDefault="00772DE7" w:rsidP="00772DE7"/>
    <w:p w14:paraId="21F18F1D" w14:textId="77777777" w:rsidR="00772DE7" w:rsidRDefault="00772DE7" w:rsidP="00772DE7"/>
    <w:p w14:paraId="4B0C0F0C" w14:textId="77777777" w:rsidR="00772DE7" w:rsidRDefault="00772DE7" w:rsidP="00772DE7"/>
    <w:p w14:paraId="28AA0C16" w14:textId="77777777" w:rsidR="00772DE7" w:rsidRDefault="00772DE7" w:rsidP="00772DE7">
      <w:pPr>
        <w:spacing w:before="100" w:beforeAutospacing="1" w:after="100" w:afterAutospacing="1"/>
        <w:contextualSpacing/>
        <w:rPr>
          <w:rFonts w:cs="Times New Roman"/>
          <w:b/>
          <w:color w:val="0D0D0D" w:themeColor="text1" w:themeTint="F2"/>
          <w:szCs w:val="24"/>
        </w:rPr>
      </w:pPr>
    </w:p>
    <w:p w14:paraId="1E9E81D5" w14:textId="77777777" w:rsidR="00772DE7" w:rsidRDefault="00772DE7" w:rsidP="00772DE7">
      <w:pPr>
        <w:jc w:val="center"/>
        <w:rPr>
          <w:rFonts w:cs="Times New Roman"/>
          <w:color w:val="0D0D0D" w:themeColor="text1" w:themeTint="F2"/>
          <w:szCs w:val="24"/>
        </w:rPr>
      </w:pPr>
    </w:p>
    <w:p w14:paraId="41E79A0D" w14:textId="77777777" w:rsidR="00772DE7" w:rsidRDefault="00772DE7" w:rsidP="00772DE7">
      <w:pPr>
        <w:jc w:val="center"/>
        <w:rPr>
          <w:rFonts w:cs="Times New Roman"/>
          <w:color w:val="0D0D0D" w:themeColor="text1" w:themeTint="F2"/>
          <w:szCs w:val="24"/>
        </w:rPr>
      </w:pPr>
    </w:p>
    <w:p w14:paraId="6D0DBE1C" w14:textId="77777777" w:rsidR="00772DE7" w:rsidRDefault="00772DE7" w:rsidP="00772DE7">
      <w:pPr>
        <w:jc w:val="center"/>
        <w:rPr>
          <w:rFonts w:cs="Times New Roman"/>
          <w:color w:val="0D0D0D" w:themeColor="text1" w:themeTint="F2"/>
          <w:szCs w:val="24"/>
        </w:rPr>
      </w:pPr>
    </w:p>
    <w:p w14:paraId="0F9DDF42" w14:textId="77777777" w:rsidR="00772DE7" w:rsidRDefault="00772DE7" w:rsidP="00772DE7"/>
    <w:p w14:paraId="41B2D9EF" w14:textId="77777777" w:rsidR="00372E7E" w:rsidRDefault="00372E7E" w:rsidP="00372E7E">
      <w:pPr>
        <w:ind w:left="1440" w:hanging="720"/>
      </w:pPr>
    </w:p>
    <w:p w14:paraId="055F7507" w14:textId="77777777" w:rsidR="00372E7E" w:rsidRDefault="00372E7E" w:rsidP="00372E7E">
      <w:pPr>
        <w:ind w:left="1440" w:hanging="720"/>
      </w:pPr>
    </w:p>
    <w:p w14:paraId="3A1940CB" w14:textId="77777777" w:rsidR="00372E7E" w:rsidRDefault="00372E7E" w:rsidP="00372E7E">
      <w:pPr>
        <w:ind w:left="1440" w:hanging="720"/>
      </w:pPr>
    </w:p>
    <w:p w14:paraId="75D78EE0" w14:textId="77777777" w:rsidR="0018444D" w:rsidRDefault="0018444D" w:rsidP="00372E7E"/>
    <w:p w14:paraId="69910D20" w14:textId="77777777" w:rsidR="007A6191" w:rsidRDefault="0003723E" w:rsidP="0003723E">
      <w:pPr>
        <w:pStyle w:val="Heading1"/>
      </w:pPr>
      <w:r>
        <w:t>Part 1</w:t>
      </w:r>
    </w:p>
    <w:p w14:paraId="7CB1783C" w14:textId="77777777" w:rsidR="0003723E" w:rsidRDefault="0003723E" w:rsidP="0003723E">
      <w:pPr>
        <w:pStyle w:val="Heading1"/>
      </w:pPr>
      <w:r>
        <w:t>1</w:t>
      </w:r>
    </w:p>
    <w:p w14:paraId="3F5EA06A" w14:textId="77777777" w:rsidR="0003723E" w:rsidRDefault="0003723E" w:rsidP="0003723E">
      <w:pPr>
        <w:pStyle w:val="Heading2"/>
      </w:pPr>
      <w:r>
        <w:t>ROCE (Return on Capital Employed)</w:t>
      </w:r>
    </w:p>
    <w:p w14:paraId="2C3CDDD9" w14:textId="77777777" w:rsidR="0003723E" w:rsidRDefault="0003723E" w:rsidP="0003723E">
      <w:pPr>
        <w:pStyle w:val="Heading3"/>
      </w:pPr>
      <w:r>
        <w:t xml:space="preserve">ROCE = Operating Profit </w:t>
      </w:r>
      <w:r w:rsidR="00A75A71">
        <w:t>[divided by]</w:t>
      </w:r>
      <w:r>
        <w:t xml:space="preserve"> (Total Assets - Current Liabilities)</w:t>
      </w:r>
    </w:p>
    <w:p w14:paraId="3617916B" w14:textId="77777777" w:rsidR="0003723E" w:rsidRDefault="0003723E" w:rsidP="0003723E">
      <w:r>
        <w:t xml:space="preserve">2021: ROCE = 805 </w:t>
      </w:r>
      <w:r w:rsidR="00A75A71">
        <w:t>[divided by]</w:t>
      </w:r>
      <w:r>
        <w:t xml:space="preserve"> (9,736 - 2,511) = 10.50</w:t>
      </w:r>
      <w:r w:rsidR="00A75A71">
        <w:t>percent</w:t>
      </w:r>
    </w:p>
    <w:p w14:paraId="41328991" w14:textId="77777777" w:rsidR="0003723E" w:rsidRDefault="0003723E" w:rsidP="0003723E">
      <w:r>
        <w:t xml:space="preserve">2020: ROCE = 699 </w:t>
      </w:r>
      <w:r w:rsidR="00A75A71">
        <w:t>[divided by]</w:t>
      </w:r>
      <w:r>
        <w:t xml:space="preserve"> (10,087 - 3,046) = 9.73</w:t>
      </w:r>
      <w:r w:rsidR="00A75A71">
        <w:t>percent</w:t>
      </w:r>
    </w:p>
    <w:p w14:paraId="4AD45565" w14:textId="77777777" w:rsidR="0003723E" w:rsidRDefault="0003723E" w:rsidP="0003723E"/>
    <w:p w14:paraId="4EDCD5BD" w14:textId="77777777" w:rsidR="0003723E" w:rsidRDefault="0003723E" w:rsidP="0003723E">
      <w:pPr>
        <w:pStyle w:val="Heading1"/>
      </w:pPr>
      <w:r>
        <w:t>2</w:t>
      </w:r>
    </w:p>
    <w:p w14:paraId="09008988" w14:textId="77777777" w:rsidR="0003723E" w:rsidRDefault="0003723E" w:rsidP="0003723E">
      <w:pPr>
        <w:pStyle w:val="Heading2"/>
      </w:pPr>
      <w:r>
        <w:t xml:space="preserve">ROE (Return on Equity) </w:t>
      </w:r>
    </w:p>
    <w:p w14:paraId="74A8E006" w14:textId="77777777" w:rsidR="0003723E" w:rsidRDefault="0003723E" w:rsidP="0003723E">
      <w:pPr>
        <w:pStyle w:val="Heading3"/>
      </w:pPr>
      <w:r>
        <w:t xml:space="preserve">ROE = Net Income </w:t>
      </w:r>
      <w:r w:rsidR="00A75A71">
        <w:t>[divided by]</w:t>
      </w:r>
      <w:r>
        <w:t xml:space="preserve"> Average Shareholders' Equity</w:t>
      </w:r>
    </w:p>
    <w:p w14:paraId="0DA73A2C" w14:textId="77777777" w:rsidR="0003723E" w:rsidRDefault="0003723E" w:rsidP="0003723E">
      <w:r>
        <w:t xml:space="preserve">2021: ROE = 431 </w:t>
      </w:r>
      <w:r w:rsidR="00A75A71">
        <w:t>[divided by]</w:t>
      </w:r>
      <w:r>
        <w:t xml:space="preserve"> ((1,717 + 1,541) </w:t>
      </w:r>
      <w:r w:rsidR="00A75A71">
        <w:t>[divided by]</w:t>
      </w:r>
      <w:r>
        <w:t xml:space="preserve"> 2) = 14.13</w:t>
      </w:r>
      <w:r w:rsidR="00A75A71">
        <w:t>percent</w:t>
      </w:r>
    </w:p>
    <w:p w14:paraId="636F645A" w14:textId="77777777" w:rsidR="0003723E" w:rsidRDefault="0003723E" w:rsidP="0003723E">
      <w:r>
        <w:t xml:space="preserve">2020: ROE = 366 </w:t>
      </w:r>
      <w:r w:rsidR="00A75A71">
        <w:t>[divided by]</w:t>
      </w:r>
      <w:r>
        <w:t xml:space="preserve"> ((1,541 + 1,267) </w:t>
      </w:r>
      <w:r w:rsidR="00A75A71">
        <w:t>[divided by]</w:t>
      </w:r>
      <w:r>
        <w:t xml:space="preserve"> 2) = 13.59</w:t>
      </w:r>
      <w:r w:rsidR="00A75A71">
        <w:t>percent</w:t>
      </w:r>
    </w:p>
    <w:p w14:paraId="4369BDA4" w14:textId="77777777" w:rsidR="0003723E" w:rsidRDefault="0003723E" w:rsidP="0003723E"/>
    <w:p w14:paraId="4A9D1A77" w14:textId="77777777" w:rsidR="0003723E" w:rsidRDefault="0003723E" w:rsidP="0003723E">
      <w:pPr>
        <w:pStyle w:val="Heading1"/>
      </w:pPr>
      <w:r>
        <w:t>3</w:t>
      </w:r>
    </w:p>
    <w:p w14:paraId="080D1190" w14:textId="77777777" w:rsidR="0003723E" w:rsidRDefault="0003723E" w:rsidP="0003723E">
      <w:pPr>
        <w:pStyle w:val="Heading2"/>
      </w:pPr>
      <w:r>
        <w:t xml:space="preserve">Earnings per Share (EPS) </w:t>
      </w:r>
    </w:p>
    <w:p w14:paraId="78677BFA" w14:textId="77777777" w:rsidR="0003723E" w:rsidRDefault="0003723E" w:rsidP="0003723E">
      <w:pPr>
        <w:pStyle w:val="Heading3"/>
      </w:pPr>
      <w:r>
        <w:t xml:space="preserve">EPS = Net Income </w:t>
      </w:r>
      <w:r w:rsidR="00A75A71">
        <w:t>[divided by]</w:t>
      </w:r>
      <w:r>
        <w:t xml:space="preserve"> Average Number of Common Shares Outstanding</w:t>
      </w:r>
    </w:p>
    <w:p w14:paraId="350C2EA4" w14:textId="77777777" w:rsidR="0003723E" w:rsidRDefault="0003723E" w:rsidP="0003723E">
      <w:r>
        <w:t xml:space="preserve">2021: EPS = 431 </w:t>
      </w:r>
      <w:r w:rsidR="00A75A71">
        <w:t>[divided by]</w:t>
      </w:r>
      <w:r>
        <w:t xml:space="preserve"> (300 </w:t>
      </w:r>
      <w:r w:rsidR="00A75A71">
        <w:t>[divided by]</w:t>
      </w:r>
      <w:r>
        <w:t xml:space="preserve"> 0.50) = 2.87</w:t>
      </w:r>
    </w:p>
    <w:p w14:paraId="2F661721" w14:textId="77777777" w:rsidR="0003723E" w:rsidRPr="0003723E" w:rsidRDefault="0003723E" w:rsidP="0003723E">
      <w:r>
        <w:t xml:space="preserve">2020: EPS = 366 </w:t>
      </w:r>
      <w:r w:rsidR="00A75A71">
        <w:t>[divided by]</w:t>
      </w:r>
      <w:r>
        <w:t xml:space="preserve"> (300 </w:t>
      </w:r>
      <w:r w:rsidR="00A75A71">
        <w:t>[divided by]</w:t>
      </w:r>
      <w:r>
        <w:t xml:space="preserve"> 0.50) = 2.44</w:t>
      </w:r>
    </w:p>
    <w:p w14:paraId="7A9226C0" w14:textId="77777777" w:rsidR="0003723E" w:rsidRDefault="0003723E" w:rsidP="0003723E"/>
    <w:p w14:paraId="53E584D1" w14:textId="77777777" w:rsidR="0003723E" w:rsidRDefault="0003723E" w:rsidP="0003723E">
      <w:pPr>
        <w:pStyle w:val="Heading1"/>
      </w:pPr>
      <w:r>
        <w:lastRenderedPageBreak/>
        <w:t>4</w:t>
      </w:r>
    </w:p>
    <w:p w14:paraId="27252383" w14:textId="77777777" w:rsidR="0003723E" w:rsidRDefault="0003723E" w:rsidP="0003723E">
      <w:pPr>
        <w:pStyle w:val="Heading2"/>
      </w:pPr>
      <w:r>
        <w:t>Net Profit Margin (NPM)</w:t>
      </w:r>
    </w:p>
    <w:p w14:paraId="56D02D68" w14:textId="77777777" w:rsidR="0003723E" w:rsidRDefault="0003723E" w:rsidP="0003723E">
      <w:pPr>
        <w:pStyle w:val="Heading3"/>
      </w:pPr>
      <w:r>
        <w:t xml:space="preserve">Net Profit Margin = Net Income </w:t>
      </w:r>
      <w:r w:rsidR="00A75A71">
        <w:t>[divided by]</w:t>
      </w:r>
      <w:r>
        <w:t xml:space="preserve"> Revenue</w:t>
      </w:r>
    </w:p>
    <w:p w14:paraId="0B6AE04D" w14:textId="77777777" w:rsidR="0003723E" w:rsidRDefault="0003723E" w:rsidP="0003723E">
      <w:r>
        <w:t xml:space="preserve">2021: Net Profit Margin = 431 </w:t>
      </w:r>
      <w:r w:rsidR="00A75A71">
        <w:t>[divided by]</w:t>
      </w:r>
      <w:r>
        <w:t xml:space="preserve"> 6,738 = 6.40</w:t>
      </w:r>
      <w:r w:rsidR="00A75A71">
        <w:t>percent</w:t>
      </w:r>
    </w:p>
    <w:p w14:paraId="1E2BA492" w14:textId="77777777" w:rsidR="0003723E" w:rsidRDefault="0003723E" w:rsidP="0003723E">
      <w:r>
        <w:t xml:space="preserve">2020: Net Profit Margin = 366 </w:t>
      </w:r>
      <w:r w:rsidR="00A75A71">
        <w:t>[divided by]</w:t>
      </w:r>
      <w:r>
        <w:t xml:space="preserve"> 6,441 = 5.68</w:t>
      </w:r>
      <w:r w:rsidR="00A75A71">
        <w:t>percent</w:t>
      </w:r>
    </w:p>
    <w:p w14:paraId="0B552A2B" w14:textId="77777777" w:rsidR="0003723E" w:rsidRDefault="0003723E" w:rsidP="0003723E"/>
    <w:p w14:paraId="5D3F5EC7" w14:textId="77777777" w:rsidR="0003723E" w:rsidRDefault="0003723E" w:rsidP="0003723E">
      <w:pPr>
        <w:pStyle w:val="Heading1"/>
      </w:pPr>
      <w:r>
        <w:t>5</w:t>
      </w:r>
    </w:p>
    <w:p w14:paraId="6323EA1B" w14:textId="77777777" w:rsidR="0003723E" w:rsidRDefault="0003723E" w:rsidP="0003723E">
      <w:pPr>
        <w:pStyle w:val="Heading2"/>
      </w:pPr>
      <w:r>
        <w:t>Asset Turnover</w:t>
      </w:r>
    </w:p>
    <w:p w14:paraId="73D90AA3" w14:textId="77777777" w:rsidR="0003723E" w:rsidRDefault="0003723E" w:rsidP="0003723E">
      <w:pPr>
        <w:pStyle w:val="Heading3"/>
      </w:pPr>
      <w:r>
        <w:t xml:space="preserve">Asset Turnover = Revenue </w:t>
      </w:r>
      <w:r w:rsidR="00A75A71">
        <w:t>[divided by]</w:t>
      </w:r>
      <w:r>
        <w:t xml:space="preserve"> Total Assets</w:t>
      </w:r>
    </w:p>
    <w:p w14:paraId="687A0094" w14:textId="77777777" w:rsidR="0003723E" w:rsidRDefault="0003723E" w:rsidP="0003723E">
      <w:r>
        <w:t xml:space="preserve">2021: Asset Turnover = 6,738 </w:t>
      </w:r>
      <w:r w:rsidR="00A75A71">
        <w:t>[divided by]</w:t>
      </w:r>
      <w:r>
        <w:t xml:space="preserve"> 9,736 = 0.69 times</w:t>
      </w:r>
    </w:p>
    <w:p w14:paraId="2B75273A" w14:textId="77777777" w:rsidR="0003723E" w:rsidRDefault="0003723E" w:rsidP="0003723E">
      <w:r>
        <w:t xml:space="preserve">2020: Asset Turnover = 6,441 </w:t>
      </w:r>
      <w:r w:rsidR="00A75A71">
        <w:t>[divided by]</w:t>
      </w:r>
      <w:r>
        <w:t xml:space="preserve"> 10,087 = 0.64 times</w:t>
      </w:r>
    </w:p>
    <w:p w14:paraId="486EA068" w14:textId="77777777" w:rsidR="0003723E" w:rsidRDefault="0003723E" w:rsidP="0003723E"/>
    <w:p w14:paraId="570C826F" w14:textId="77777777" w:rsidR="0003723E" w:rsidRDefault="0003723E" w:rsidP="0003723E">
      <w:pPr>
        <w:pStyle w:val="Heading1"/>
      </w:pPr>
      <w:r>
        <w:t>6</w:t>
      </w:r>
    </w:p>
    <w:p w14:paraId="15F4AF33" w14:textId="77777777" w:rsidR="0003723E" w:rsidRDefault="0003723E" w:rsidP="0003723E">
      <w:pPr>
        <w:pStyle w:val="Heading2"/>
      </w:pPr>
      <w:r>
        <w:t>Stock Holding Days</w:t>
      </w:r>
    </w:p>
    <w:p w14:paraId="66F1E6F4" w14:textId="77777777" w:rsidR="0003723E" w:rsidRDefault="0003723E" w:rsidP="0003723E">
      <w:pPr>
        <w:pStyle w:val="Heading3"/>
      </w:pPr>
      <w:r>
        <w:t xml:space="preserve">Stock Holding Days = (Inventory </w:t>
      </w:r>
      <w:r w:rsidR="00A75A71">
        <w:t>[divided by]</w:t>
      </w:r>
      <w:r>
        <w:t xml:space="preserve"> Cost of Sales) x 365 [days in </w:t>
      </w:r>
      <w:proofErr w:type="gramStart"/>
      <w:r>
        <w:t>an</w:t>
      </w:r>
      <w:proofErr w:type="gramEnd"/>
      <w:r>
        <w:t xml:space="preserve"> year]</w:t>
      </w:r>
    </w:p>
    <w:p w14:paraId="69361E04" w14:textId="77777777" w:rsidR="0003723E" w:rsidRDefault="0003723E" w:rsidP="0003723E">
      <w:r>
        <w:t xml:space="preserve">2021: Stock Holding Days = (708 </w:t>
      </w:r>
      <w:r w:rsidR="00A75A71">
        <w:t>[divided by]</w:t>
      </w:r>
      <w:r>
        <w:t xml:space="preserve"> 3,235) x 365 = 79.91 days</w:t>
      </w:r>
    </w:p>
    <w:p w14:paraId="5C2A7790" w14:textId="77777777" w:rsidR="0003723E" w:rsidRDefault="0003723E" w:rsidP="0003723E">
      <w:r>
        <w:t xml:space="preserve">2020: Stock Holding Days = (659 </w:t>
      </w:r>
      <w:r w:rsidR="00A75A71">
        <w:t>[divided by]</w:t>
      </w:r>
      <w:r>
        <w:t xml:space="preserve"> 3,096) x 365 = 77.77 days</w:t>
      </w:r>
    </w:p>
    <w:p w14:paraId="6439AFAB" w14:textId="77777777" w:rsidR="0003723E" w:rsidRDefault="0003723E" w:rsidP="0003723E"/>
    <w:p w14:paraId="14152397" w14:textId="77777777" w:rsidR="0003723E" w:rsidRDefault="0003723E" w:rsidP="0003723E"/>
    <w:p w14:paraId="0A0323FC" w14:textId="77777777" w:rsidR="0003723E" w:rsidRDefault="0003723E" w:rsidP="0003723E">
      <w:pPr>
        <w:pStyle w:val="Heading1"/>
      </w:pPr>
      <w:r>
        <w:lastRenderedPageBreak/>
        <w:t>7</w:t>
      </w:r>
    </w:p>
    <w:p w14:paraId="35884301" w14:textId="77777777" w:rsidR="0003723E" w:rsidRDefault="0003723E" w:rsidP="0003723E">
      <w:pPr>
        <w:pStyle w:val="Heading2"/>
      </w:pPr>
      <w:r>
        <w:t>Debtors Collection Period</w:t>
      </w:r>
    </w:p>
    <w:p w14:paraId="477F49A4" w14:textId="77777777" w:rsidR="0003723E" w:rsidRDefault="0003723E" w:rsidP="0003723E">
      <w:pPr>
        <w:pStyle w:val="Heading3"/>
      </w:pPr>
      <w:r>
        <w:t xml:space="preserve">Debtors Collection Period = (Trade Receivables </w:t>
      </w:r>
      <w:r w:rsidR="00A75A71">
        <w:t>[divided by]</w:t>
      </w:r>
      <w:r>
        <w:t xml:space="preserve"> Revenue) x 365</w:t>
      </w:r>
    </w:p>
    <w:p w14:paraId="7938EEF8" w14:textId="77777777" w:rsidR="0003723E" w:rsidRDefault="0003723E" w:rsidP="0003723E">
      <w:r>
        <w:t xml:space="preserve">2021: Debtors Collection Period = (1,249 </w:t>
      </w:r>
      <w:r w:rsidR="00A75A71">
        <w:t>[divided by]</w:t>
      </w:r>
      <w:r>
        <w:t xml:space="preserve"> 6,738) x 365 = 67.65 days</w:t>
      </w:r>
    </w:p>
    <w:p w14:paraId="18348A7F" w14:textId="77777777" w:rsidR="0003723E" w:rsidRDefault="0003723E" w:rsidP="0003723E">
      <w:r>
        <w:t xml:space="preserve">2020: Debtors Collection Period = (1,287 </w:t>
      </w:r>
      <w:r w:rsidR="00A75A71">
        <w:t>[divided by]</w:t>
      </w:r>
      <w:r>
        <w:t xml:space="preserve"> 6,441) x 365 = 72.88 days</w:t>
      </w:r>
    </w:p>
    <w:p w14:paraId="32B1DAEB" w14:textId="77777777" w:rsidR="0003723E" w:rsidRDefault="0003723E" w:rsidP="0003723E"/>
    <w:p w14:paraId="6C28265C" w14:textId="77777777" w:rsidR="0003723E" w:rsidRDefault="0003723E" w:rsidP="0003723E">
      <w:pPr>
        <w:pStyle w:val="Heading1"/>
      </w:pPr>
      <w:r>
        <w:t>8</w:t>
      </w:r>
    </w:p>
    <w:p w14:paraId="5B549214" w14:textId="77777777" w:rsidR="0003723E" w:rsidRDefault="0003723E" w:rsidP="0003723E">
      <w:pPr>
        <w:pStyle w:val="Heading2"/>
      </w:pPr>
      <w:r>
        <w:t>Current Ratio</w:t>
      </w:r>
    </w:p>
    <w:p w14:paraId="5674F071" w14:textId="77777777" w:rsidR="0003723E" w:rsidRDefault="0003723E" w:rsidP="0003723E">
      <w:pPr>
        <w:pStyle w:val="Heading3"/>
      </w:pPr>
      <w:r>
        <w:t xml:space="preserve">Current Ratio = Current Assets </w:t>
      </w:r>
      <w:r w:rsidR="00A75A71">
        <w:t>[divided by]</w:t>
      </w:r>
      <w:r>
        <w:t xml:space="preserve"> Current Liabilities</w:t>
      </w:r>
    </w:p>
    <w:p w14:paraId="5F38FD75" w14:textId="77777777" w:rsidR="0003723E" w:rsidRDefault="0003723E" w:rsidP="0003723E">
      <w:r>
        <w:t xml:space="preserve">2021: Current Ratio = 2,303 </w:t>
      </w:r>
      <w:r w:rsidR="00A75A71">
        <w:t>[divided by]</w:t>
      </w:r>
      <w:r>
        <w:t xml:space="preserve"> 2,511 = 0.92 times</w:t>
      </w:r>
    </w:p>
    <w:p w14:paraId="28606C9D" w14:textId="77777777" w:rsidR="0003723E" w:rsidRDefault="0003723E" w:rsidP="0003723E">
      <w:r>
        <w:t xml:space="preserve">2020: Current Ratio = 2,355 </w:t>
      </w:r>
      <w:r w:rsidR="00A75A71">
        <w:t>[divided by]</w:t>
      </w:r>
      <w:r>
        <w:t xml:space="preserve"> 3,046 = 0.77 times</w:t>
      </w:r>
    </w:p>
    <w:p w14:paraId="16338739" w14:textId="77777777" w:rsidR="0003723E" w:rsidRDefault="0003723E" w:rsidP="0003723E"/>
    <w:p w14:paraId="51D7546C" w14:textId="77777777" w:rsidR="0003723E" w:rsidRDefault="0003723E" w:rsidP="0003723E">
      <w:pPr>
        <w:pStyle w:val="Heading1"/>
      </w:pPr>
      <w:r>
        <w:t>9</w:t>
      </w:r>
    </w:p>
    <w:p w14:paraId="4CCE8E59" w14:textId="77777777" w:rsidR="0003723E" w:rsidRDefault="0003723E" w:rsidP="0003723E">
      <w:pPr>
        <w:pStyle w:val="Heading2"/>
      </w:pPr>
      <w:r>
        <w:t>Gearing Ratio</w:t>
      </w:r>
    </w:p>
    <w:p w14:paraId="2B37C161" w14:textId="77777777" w:rsidR="0003723E" w:rsidRDefault="0003723E" w:rsidP="0003723E">
      <w:pPr>
        <w:pStyle w:val="Heading3"/>
      </w:pPr>
      <w:r>
        <w:t xml:space="preserve">Gearing Ratio = (Total Debt </w:t>
      </w:r>
      <w:r w:rsidR="00A75A71">
        <w:t>[divided by]</w:t>
      </w:r>
      <w:r>
        <w:t xml:space="preserve"> Total Equity + Total Debt) x 100</w:t>
      </w:r>
      <w:r w:rsidR="00A75A71">
        <w:t>percent</w:t>
      </w:r>
    </w:p>
    <w:p w14:paraId="15025FF0" w14:textId="77777777" w:rsidR="0003723E" w:rsidRDefault="0003723E" w:rsidP="0003723E">
      <w:r>
        <w:t xml:space="preserve">2021: Gearing Ratio = (4,137 </w:t>
      </w:r>
      <w:r w:rsidR="00A75A71">
        <w:t>[divided by]</w:t>
      </w:r>
      <w:r>
        <w:t xml:space="preserve"> (1,717 + 4,137)) x 100</w:t>
      </w:r>
      <w:r w:rsidR="00A75A71">
        <w:t>percent</w:t>
      </w:r>
      <w:r>
        <w:t xml:space="preserve"> = 70.67</w:t>
      </w:r>
      <w:r w:rsidR="00A75A71">
        <w:t>percent</w:t>
      </w:r>
    </w:p>
    <w:p w14:paraId="1727286C" w14:textId="77777777" w:rsidR="0003723E" w:rsidRDefault="0003723E" w:rsidP="0003723E">
      <w:r>
        <w:t xml:space="preserve">2020: Gearing Ratio = (4,129 </w:t>
      </w:r>
      <w:r w:rsidR="00A75A71">
        <w:t>[divided by]</w:t>
      </w:r>
      <w:r>
        <w:t xml:space="preserve"> (1,541 + 4,129)) x 100</w:t>
      </w:r>
      <w:r w:rsidR="00A75A71">
        <w:t>percent</w:t>
      </w:r>
      <w:r>
        <w:t xml:space="preserve"> = 72.80</w:t>
      </w:r>
      <w:r w:rsidR="00A75A71">
        <w:t>percent</w:t>
      </w:r>
    </w:p>
    <w:p w14:paraId="54466D7B" w14:textId="77777777" w:rsidR="0003723E" w:rsidRDefault="0003723E" w:rsidP="0003723E"/>
    <w:p w14:paraId="2CE2F501" w14:textId="77777777" w:rsidR="0003723E" w:rsidRDefault="0003723E" w:rsidP="0003723E">
      <w:pPr>
        <w:pStyle w:val="Heading1"/>
      </w:pPr>
      <w:r>
        <w:lastRenderedPageBreak/>
        <w:t>10</w:t>
      </w:r>
    </w:p>
    <w:p w14:paraId="19DE01BB" w14:textId="77777777" w:rsidR="0003723E" w:rsidRDefault="0003723E" w:rsidP="0003723E">
      <w:pPr>
        <w:pStyle w:val="Heading2"/>
      </w:pPr>
      <w:r>
        <w:t>Interest Cover</w:t>
      </w:r>
    </w:p>
    <w:p w14:paraId="74F518A7" w14:textId="77777777" w:rsidR="0003723E" w:rsidRDefault="0003723E" w:rsidP="0003723E">
      <w:pPr>
        <w:pStyle w:val="Heading3"/>
      </w:pPr>
      <w:r>
        <w:t xml:space="preserve">Interest Cover = Operating Profit </w:t>
      </w:r>
      <w:r w:rsidR="00A75A71">
        <w:t>[divided by]</w:t>
      </w:r>
      <w:r>
        <w:t xml:space="preserve"> Interest Expense</w:t>
      </w:r>
    </w:p>
    <w:p w14:paraId="79BFC7EF" w14:textId="77777777" w:rsidR="0003723E" w:rsidRDefault="0003723E" w:rsidP="0003723E">
      <w:r>
        <w:t xml:space="preserve">2021: Interest Cover = 805 </w:t>
      </w:r>
      <w:r w:rsidR="00A75A71">
        <w:t>[divided by]</w:t>
      </w:r>
      <w:r>
        <w:t xml:space="preserve"> 226 = 3.56 times</w:t>
      </w:r>
    </w:p>
    <w:p w14:paraId="4D661309" w14:textId="77777777" w:rsidR="0003723E" w:rsidRDefault="0003723E" w:rsidP="0003723E">
      <w:r>
        <w:t xml:space="preserve">2020: Interest Cover = 699 </w:t>
      </w:r>
      <w:r w:rsidR="00A75A71">
        <w:t>[divided by]</w:t>
      </w:r>
      <w:r>
        <w:t xml:space="preserve"> 181 = 3.86 times</w:t>
      </w:r>
    </w:p>
    <w:p w14:paraId="5FF519CF" w14:textId="77777777" w:rsidR="00CF5E09" w:rsidRDefault="00CF5E09" w:rsidP="0003723E"/>
    <w:p w14:paraId="58EBF65C" w14:textId="77777777" w:rsidR="00CF5E09" w:rsidRDefault="00CF5E09" w:rsidP="0003723E"/>
    <w:p w14:paraId="6F57114B" w14:textId="77777777" w:rsidR="00CF5E09" w:rsidRDefault="00CF5E09">
      <w:pPr>
        <w:spacing w:before="0" w:after="160" w:line="259" w:lineRule="auto"/>
        <w:jc w:val="left"/>
        <w:rPr>
          <w:rFonts w:eastAsiaTheme="majorEastAsia" w:cstheme="majorBidi"/>
          <w:b/>
          <w:sz w:val="32"/>
          <w:szCs w:val="32"/>
        </w:rPr>
      </w:pPr>
      <w:r>
        <w:br w:type="page"/>
      </w:r>
    </w:p>
    <w:p w14:paraId="7A3F5D55" w14:textId="77777777" w:rsidR="00CF5E09" w:rsidRDefault="00CF5E09" w:rsidP="00CF5E09">
      <w:pPr>
        <w:pStyle w:val="Heading1"/>
      </w:pPr>
      <w:r>
        <w:lastRenderedPageBreak/>
        <w:t>Part 2</w:t>
      </w:r>
    </w:p>
    <w:p w14:paraId="6BEC8614" w14:textId="77777777" w:rsidR="00F93E45" w:rsidRDefault="00F93E45" w:rsidP="00F93E45">
      <w:pPr>
        <w:pStyle w:val="ListParagraph"/>
        <w:numPr>
          <w:ilvl w:val="0"/>
          <w:numId w:val="14"/>
        </w:numPr>
      </w:pPr>
      <w:r>
        <w:t>Considering the above data, it can be observed that the ROCE has improved from 10.9</w:t>
      </w:r>
      <w:r w:rsidR="0067746F">
        <w:t xml:space="preserve"> </w:t>
      </w:r>
      <w:r w:rsidR="00A75A71">
        <w:t>percent</w:t>
      </w:r>
      <w:r>
        <w:t xml:space="preserve"> in 2020 to 11.6</w:t>
      </w:r>
      <w:r w:rsidR="0067746F">
        <w:t xml:space="preserve"> </w:t>
      </w:r>
      <w:r w:rsidR="00A75A71">
        <w:t>percent</w:t>
      </w:r>
      <w:r>
        <w:t xml:space="preserve"> in 2021, which indicates that the firm is earning greater returns from its capital investments than it was in 2020. This would imply that leadership is making productive use of </w:t>
      </w:r>
      <w:r w:rsidR="00D2572A">
        <w:t>Sweets Plc</w:t>
      </w:r>
      <w:r>
        <w:t>'s assets in order to earn profits.</w:t>
      </w:r>
    </w:p>
    <w:p w14:paraId="6BE0A560" w14:textId="77777777" w:rsidR="00F93E45" w:rsidRDefault="00F93E45" w:rsidP="00F93E45">
      <w:pPr>
        <w:pStyle w:val="ListParagraph"/>
        <w:numPr>
          <w:ilvl w:val="0"/>
          <w:numId w:val="14"/>
        </w:numPr>
      </w:pPr>
      <w:r>
        <w:t>Furthermore, the above data shows that the ROE has grown from 12.6</w:t>
      </w:r>
      <w:r w:rsidR="0067746F">
        <w:t xml:space="preserve"> </w:t>
      </w:r>
      <w:r w:rsidR="00A75A71">
        <w:t>percent</w:t>
      </w:r>
      <w:r>
        <w:t xml:space="preserve"> in 2020 to 14.0</w:t>
      </w:r>
      <w:r w:rsidR="0067746F">
        <w:t xml:space="preserve"> </w:t>
      </w:r>
      <w:r w:rsidR="00A75A71">
        <w:t>percent</w:t>
      </w:r>
      <w:r>
        <w:t xml:space="preserve"> in 2021, which indicates that the firm is successfully increasing the amount of money it is able to distribute to its investors and shareholders. </w:t>
      </w:r>
      <w:r w:rsidR="00D2572A">
        <w:t>ROE is an effective</w:t>
      </w:r>
      <w:r>
        <w:t xml:space="preserve"> indicator for investors, as it </w:t>
      </w:r>
      <w:r w:rsidR="00D2572A">
        <w:t>highlights</w:t>
      </w:r>
      <w:r>
        <w:t xml:space="preserve"> that the firm is providing value to those who own it.</w:t>
      </w:r>
    </w:p>
    <w:p w14:paraId="2435344F" w14:textId="77777777" w:rsidR="00F93E45" w:rsidRDefault="00F93E45" w:rsidP="00F93E45">
      <w:pPr>
        <w:pStyle w:val="ListParagraph"/>
        <w:numPr>
          <w:ilvl w:val="0"/>
          <w:numId w:val="14"/>
        </w:numPr>
      </w:pPr>
      <w:r>
        <w:t>The financial data indicates that the net profit margin continues to be reasonably consistent at 6.4</w:t>
      </w:r>
      <w:r w:rsidR="0067746F">
        <w:t xml:space="preserve"> </w:t>
      </w:r>
      <w:r w:rsidR="00A75A71">
        <w:t>percent</w:t>
      </w:r>
      <w:r>
        <w:t xml:space="preserve"> in 2021 versus 6.0</w:t>
      </w:r>
      <w:r w:rsidR="0067746F">
        <w:t xml:space="preserve"> </w:t>
      </w:r>
      <w:r w:rsidR="00A75A71">
        <w:t>percent</w:t>
      </w:r>
      <w:r>
        <w:t xml:space="preserve"> in 2020, which demonstrates that the firm has been able to preserve its financial viability despite the hurdles that have been presented by the epidemic.</w:t>
      </w:r>
    </w:p>
    <w:p w14:paraId="28248BD9" w14:textId="77777777" w:rsidR="00F93E45" w:rsidRDefault="00F93E45" w:rsidP="00F93E45">
      <w:pPr>
        <w:pStyle w:val="ListParagraph"/>
        <w:numPr>
          <w:ilvl w:val="0"/>
          <w:numId w:val="14"/>
        </w:numPr>
      </w:pPr>
      <w:r>
        <w:t xml:space="preserve">Highlighting the importance of assets, the asset turnover ratio has </w:t>
      </w:r>
      <w:r w:rsidR="00D2572A">
        <w:t>slightly decreased</w:t>
      </w:r>
      <w:r>
        <w:t xml:space="preserve"> from 0.83 in 2020 to 0.82 in 2021, </w:t>
      </w:r>
      <w:r w:rsidR="00D2572A">
        <w:t xml:space="preserve">that </w:t>
      </w:r>
      <w:r>
        <w:t xml:space="preserve">might suggest that </w:t>
      </w:r>
      <w:r w:rsidR="0067746F">
        <w:t>Sweets Plc</w:t>
      </w:r>
      <w:r>
        <w:t xml:space="preserve"> is experiencing some difficulties generating revenues from its assets since the ratio has somewhat declined. But this decline is rather minor, and it is possible that it should not be a source of worry at this time.</w:t>
      </w:r>
    </w:p>
    <w:p w14:paraId="1D15D2CF" w14:textId="77777777" w:rsidR="00F93E45" w:rsidRDefault="00F93E45" w:rsidP="00F93E45">
      <w:pPr>
        <w:pStyle w:val="ListParagraph"/>
        <w:numPr>
          <w:ilvl w:val="0"/>
          <w:numId w:val="14"/>
        </w:numPr>
      </w:pPr>
      <w:r>
        <w:t xml:space="preserve">Considering the overall holdings and possessions of the company's stocks, the number of </w:t>
      </w:r>
      <w:proofErr w:type="gramStart"/>
      <w:r>
        <w:t>stock</w:t>
      </w:r>
      <w:proofErr w:type="gramEnd"/>
      <w:r>
        <w:t xml:space="preserve"> holding days has grown from 43.5 in 2020 to 45.2 in 2021, </w:t>
      </w:r>
      <w:r w:rsidR="00D2572A">
        <w:t>which highlights</w:t>
      </w:r>
      <w:r>
        <w:t xml:space="preserve"> that </w:t>
      </w:r>
      <w:r w:rsidR="00D2572A">
        <w:t>Sweets Plc</w:t>
      </w:r>
      <w:r>
        <w:t xml:space="preserve"> is </w:t>
      </w:r>
      <w:r w:rsidR="00D2572A">
        <w:t>maintaining</w:t>
      </w:r>
      <w:r>
        <w:t xml:space="preserve"> its inventory for a longer amount of time than it was previously doing. This might be an indication that the firm is having trouble selling its goods or that it has an excess supply of them.</w:t>
      </w:r>
    </w:p>
    <w:p w14:paraId="694513E8" w14:textId="77777777" w:rsidR="00F93E45" w:rsidRDefault="00F93E45" w:rsidP="00F93E45">
      <w:pPr>
        <w:pStyle w:val="ListParagraph"/>
        <w:numPr>
          <w:ilvl w:val="0"/>
          <w:numId w:val="14"/>
        </w:numPr>
      </w:pPr>
      <w:r>
        <w:t xml:space="preserve">Delay in receiving payments from customers is reflected in a rise from 34.7 days in 2020 to 37.3 days in 2021 in the company's </w:t>
      </w:r>
      <w:proofErr w:type="gramStart"/>
      <w:r>
        <w:t>debtors</w:t>
      </w:r>
      <w:proofErr w:type="gramEnd"/>
      <w:r>
        <w:t xml:space="preserve"> collection time. This could have been due to the pandemic and economic difficulties that consumers have been experiencing, both of which may have </w:t>
      </w:r>
      <w:proofErr w:type="gramStart"/>
      <w:r>
        <w:t>had an effect on</w:t>
      </w:r>
      <w:proofErr w:type="gramEnd"/>
      <w:r>
        <w:t xml:space="preserve"> their capacity to make timely payments.</w:t>
      </w:r>
    </w:p>
    <w:p w14:paraId="1A199AC7" w14:textId="77777777" w:rsidR="00F93E45" w:rsidRDefault="00F93E45" w:rsidP="00F93E45">
      <w:pPr>
        <w:pStyle w:val="ListParagraph"/>
        <w:numPr>
          <w:ilvl w:val="0"/>
          <w:numId w:val="14"/>
        </w:numPr>
      </w:pPr>
      <w:r>
        <w:t xml:space="preserve">The total current ratio of this company has increased from 1.33 in 2020 to 1.50 in 2021, which suggests that the firm has a solid capacity to satisfy its short-term commitments. This improvement was made possible by an increase in operating cash flow. </w:t>
      </w:r>
    </w:p>
    <w:p w14:paraId="6353828E" w14:textId="77777777" w:rsidR="00F93E45" w:rsidRDefault="00F93E45" w:rsidP="00F93E45">
      <w:pPr>
        <w:pStyle w:val="ListParagraph"/>
        <w:numPr>
          <w:ilvl w:val="0"/>
          <w:numId w:val="14"/>
        </w:numPr>
      </w:pPr>
      <w:r>
        <w:lastRenderedPageBreak/>
        <w:t xml:space="preserve">The gearing ratio, however, has grown slightly from 1.41 in 2020 to 1.44 in 2021, which indicates that </w:t>
      </w:r>
      <w:r w:rsidR="0067746F">
        <w:t>Sweets Plc</w:t>
      </w:r>
      <w:r>
        <w:t xml:space="preserve"> is somewhat more dependent on debt funding. </w:t>
      </w:r>
    </w:p>
    <w:p w14:paraId="15C47F9E" w14:textId="77777777" w:rsidR="00F93E45" w:rsidRDefault="00F93E45" w:rsidP="00F93E45">
      <w:pPr>
        <w:pStyle w:val="ListParagraph"/>
        <w:numPr>
          <w:ilvl w:val="0"/>
          <w:numId w:val="14"/>
        </w:numPr>
      </w:pPr>
      <w:r>
        <w:t xml:space="preserve">The last parameter indicates that the interest cover ratio has dropped from 3.9 in 2020 to 2.8 in 2021, which </w:t>
      </w:r>
      <w:r w:rsidR="00D2572A">
        <w:t>highlights</w:t>
      </w:r>
      <w:r>
        <w:t xml:space="preserve"> that </w:t>
      </w:r>
      <w:r w:rsidR="00D2572A">
        <w:t xml:space="preserve">Sweets Plc </w:t>
      </w:r>
      <w:r>
        <w:t xml:space="preserve">is less able to pay its interest </w:t>
      </w:r>
      <w:r w:rsidR="00D2572A">
        <w:t xml:space="preserve">bills and </w:t>
      </w:r>
      <w:r>
        <w:t>expenditures with its revenues</w:t>
      </w:r>
      <w:r w:rsidR="00D2572A">
        <w:t xml:space="preserve"> and profits</w:t>
      </w:r>
      <w:r>
        <w:t>.</w:t>
      </w:r>
    </w:p>
    <w:p w14:paraId="2E6097CE" w14:textId="77777777" w:rsidR="00F93E45" w:rsidRPr="00F93E45" w:rsidRDefault="00F93E45" w:rsidP="00F93E45">
      <w:r>
        <w:t>This financial analysis shows that</w:t>
      </w:r>
      <w:r w:rsidRPr="00F93E45">
        <w:t xml:space="preserve"> despite experiencing difficulties with managing its stock and collecting on debts</w:t>
      </w:r>
      <w:r w:rsidR="005B0706">
        <w:t xml:space="preserve"> from its customers</w:t>
      </w:r>
      <w:r w:rsidRPr="00F93E45">
        <w:t xml:space="preserve">, </w:t>
      </w:r>
      <w:proofErr w:type="gramStart"/>
      <w:r w:rsidRPr="00F93E45">
        <w:t>Sweets</w:t>
      </w:r>
      <w:proofErr w:type="gramEnd"/>
      <w:r w:rsidRPr="00F93E45">
        <w:t xml:space="preserve"> plc has shown solid economic</w:t>
      </w:r>
      <w:r w:rsidR="00F37E84">
        <w:t xml:space="preserve"> and performance</w:t>
      </w:r>
      <w:r w:rsidRPr="00F93E45">
        <w:t xml:space="preserve"> growth with improving ROCE and ROE. The company's financials seem healthy, with a low gearing percentage and </w:t>
      </w:r>
      <w:r>
        <w:t xml:space="preserve">a </w:t>
      </w:r>
      <w:r w:rsidRPr="00F93E45">
        <w:t xml:space="preserve">healthy ratio of current assets. </w:t>
      </w:r>
      <w:r>
        <w:t>And lastly, executives need</w:t>
      </w:r>
      <w:r w:rsidRPr="00F93E45">
        <w:t xml:space="preserve"> to keep a watchful eye on the interest cover ratio as it decreased consistently in 2021.</w:t>
      </w:r>
    </w:p>
    <w:sectPr w:rsidR="00F93E45" w:rsidRPr="00F93E45" w:rsidSect="00400DA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774D8" w14:textId="77777777" w:rsidR="001144B3" w:rsidRDefault="001144B3">
      <w:pPr>
        <w:spacing w:before="0" w:after="0" w:line="240" w:lineRule="auto"/>
      </w:pPr>
      <w:r>
        <w:separator/>
      </w:r>
    </w:p>
    <w:p w14:paraId="6ECA6A51" w14:textId="77777777" w:rsidR="001144B3" w:rsidRDefault="001144B3"/>
  </w:endnote>
  <w:endnote w:type="continuationSeparator" w:id="0">
    <w:p w14:paraId="303DB388" w14:textId="77777777" w:rsidR="001144B3" w:rsidRDefault="001144B3">
      <w:pPr>
        <w:spacing w:before="0" w:after="0" w:line="240" w:lineRule="auto"/>
      </w:pPr>
      <w:r>
        <w:continuationSeparator/>
      </w:r>
    </w:p>
    <w:p w14:paraId="4A1D36EE" w14:textId="77777777" w:rsidR="001144B3" w:rsidRDefault="001144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41D75" w14:textId="77777777" w:rsidR="00E4499B" w:rsidRDefault="00E4499B">
    <w:pPr>
      <w:pStyle w:val="Footer"/>
    </w:pPr>
  </w:p>
  <w:p w14:paraId="255B0711" w14:textId="77777777" w:rsidR="008C0C2E" w:rsidRDefault="008C0C2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73861" w14:textId="77777777" w:rsidR="00E4499B" w:rsidRDefault="00E4499B" w:rsidP="00A76D24">
    <w:pPr>
      <w:pStyle w:val="Footer"/>
    </w:pPr>
  </w:p>
  <w:p w14:paraId="64EAE93B" w14:textId="77777777" w:rsidR="00E4499B" w:rsidRDefault="00E4499B">
    <w:pPr>
      <w:pStyle w:val="Footer"/>
    </w:pPr>
  </w:p>
  <w:p w14:paraId="2302705A" w14:textId="77777777" w:rsidR="008C0C2E" w:rsidRDefault="008C0C2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8AD5" w14:textId="77777777" w:rsidR="00E4499B" w:rsidRDefault="00E4499B" w:rsidP="00A76D24">
    <w:pPr>
      <w:pStyle w:val="Footer"/>
    </w:pPr>
  </w:p>
  <w:p w14:paraId="540FEC63" w14:textId="77777777" w:rsidR="00E4499B" w:rsidRDefault="00E44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EBB22" w14:textId="77777777" w:rsidR="001144B3" w:rsidRDefault="001144B3">
      <w:pPr>
        <w:spacing w:before="0" w:after="0" w:line="240" w:lineRule="auto"/>
      </w:pPr>
      <w:r>
        <w:separator/>
      </w:r>
    </w:p>
    <w:p w14:paraId="052DCBFD" w14:textId="77777777" w:rsidR="001144B3" w:rsidRDefault="001144B3"/>
  </w:footnote>
  <w:footnote w:type="continuationSeparator" w:id="0">
    <w:p w14:paraId="56D37A4A" w14:textId="77777777" w:rsidR="001144B3" w:rsidRDefault="001144B3">
      <w:pPr>
        <w:spacing w:before="0" w:after="0" w:line="240" w:lineRule="auto"/>
      </w:pPr>
      <w:r>
        <w:continuationSeparator/>
      </w:r>
    </w:p>
    <w:p w14:paraId="0A07402E" w14:textId="77777777" w:rsidR="001144B3" w:rsidRDefault="001144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D8584" w14:textId="77777777" w:rsidR="00E4499B" w:rsidRDefault="00E4499B">
    <w:pPr>
      <w:pStyle w:val="Header"/>
    </w:pPr>
  </w:p>
  <w:p w14:paraId="6328085F" w14:textId="77777777" w:rsidR="008C0C2E" w:rsidRDefault="008C0C2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185803"/>
      <w:docPartObj>
        <w:docPartGallery w:val="Page Numbers (Top of Page)"/>
        <w:docPartUnique/>
      </w:docPartObj>
    </w:sdtPr>
    <w:sdtEndPr>
      <w:rPr>
        <w:noProof/>
      </w:rPr>
    </w:sdtEndPr>
    <w:sdtContent>
      <w:p w14:paraId="5A210DA4" w14:textId="77777777" w:rsidR="00E4499B" w:rsidRDefault="00E4499B">
        <w:pPr>
          <w:pStyle w:val="Header"/>
          <w:jc w:val="right"/>
        </w:pPr>
        <w:r>
          <w:fldChar w:fldCharType="begin"/>
        </w:r>
        <w:r>
          <w:instrText xml:space="preserve"> PAGE   \* MERGEFORMAT </w:instrText>
        </w:r>
        <w:r>
          <w:fldChar w:fldCharType="separate"/>
        </w:r>
        <w:r w:rsidR="00372E7E">
          <w:rPr>
            <w:noProof/>
          </w:rPr>
          <w:t>1</w:t>
        </w:r>
        <w:r>
          <w:rPr>
            <w:noProof/>
          </w:rPr>
          <w:fldChar w:fldCharType="end"/>
        </w:r>
      </w:p>
    </w:sdtContent>
  </w:sdt>
  <w:p w14:paraId="411535DA" w14:textId="77777777" w:rsidR="00E4499B" w:rsidRDefault="00E4499B">
    <w:pPr>
      <w:pStyle w:val="Header"/>
    </w:pPr>
  </w:p>
  <w:p w14:paraId="65BFCDE6" w14:textId="77777777" w:rsidR="008C0C2E" w:rsidRDefault="008C0C2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831396"/>
      <w:docPartObj>
        <w:docPartGallery w:val="Page Numbers (Top of Page)"/>
        <w:docPartUnique/>
      </w:docPartObj>
    </w:sdtPr>
    <w:sdtEndPr>
      <w:rPr>
        <w:noProof/>
      </w:rPr>
    </w:sdtEndPr>
    <w:sdtContent>
      <w:p w14:paraId="304DE9C9" w14:textId="77777777" w:rsidR="00E4499B" w:rsidRDefault="00E4499B">
        <w:pPr>
          <w:pStyle w:val="Header"/>
          <w:jc w:val="right"/>
        </w:pPr>
        <w:r>
          <w:fldChar w:fldCharType="begin"/>
        </w:r>
        <w:r>
          <w:instrText xml:space="preserve"> PAGE   \* MERGEFORMAT </w:instrText>
        </w:r>
        <w:r>
          <w:fldChar w:fldCharType="separate"/>
        </w:r>
        <w:r w:rsidR="00372E7E">
          <w:rPr>
            <w:noProof/>
          </w:rPr>
          <w:t>0</w:t>
        </w:r>
        <w:r>
          <w:rPr>
            <w:noProof/>
          </w:rPr>
          <w:fldChar w:fldCharType="end"/>
        </w:r>
      </w:p>
    </w:sdtContent>
  </w:sdt>
  <w:p w14:paraId="380EA188" w14:textId="77777777" w:rsidR="00E4499B" w:rsidRPr="00B06945" w:rsidRDefault="00E4499B" w:rsidP="00B06945">
    <w:pPr>
      <w:pStyle w:val="Header"/>
      <w:jc w:val="left"/>
      <w:rPr>
        <w:rFonts w:cs="Times New Roman"/>
        <w:szCs w:val="24"/>
      </w:rPr>
    </w:pPr>
  </w:p>
  <w:p w14:paraId="2457AC42" w14:textId="77777777" w:rsidR="008C0C2E" w:rsidRDefault="008C0C2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15AA6"/>
    <w:multiLevelType w:val="hybridMultilevel"/>
    <w:tmpl w:val="AF6AE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B81C89"/>
    <w:multiLevelType w:val="hybridMultilevel"/>
    <w:tmpl w:val="D4E043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E637251"/>
    <w:multiLevelType w:val="hybridMultilevel"/>
    <w:tmpl w:val="B7303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3D2D11"/>
    <w:multiLevelType w:val="hybridMultilevel"/>
    <w:tmpl w:val="4DEC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B75477"/>
    <w:multiLevelType w:val="hybridMultilevel"/>
    <w:tmpl w:val="38F8FB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5245B61"/>
    <w:multiLevelType w:val="hybridMultilevel"/>
    <w:tmpl w:val="D0C001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83A52FF"/>
    <w:multiLevelType w:val="hybridMultilevel"/>
    <w:tmpl w:val="8662D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2E6918"/>
    <w:multiLevelType w:val="hybridMultilevel"/>
    <w:tmpl w:val="0D34C4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D355E65"/>
    <w:multiLevelType w:val="hybridMultilevel"/>
    <w:tmpl w:val="45460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614226"/>
    <w:multiLevelType w:val="hybridMultilevel"/>
    <w:tmpl w:val="C0505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1B15F8"/>
    <w:multiLevelType w:val="hybridMultilevel"/>
    <w:tmpl w:val="702E07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1D81F88"/>
    <w:multiLevelType w:val="hybridMultilevel"/>
    <w:tmpl w:val="D6E227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57914E8"/>
    <w:multiLevelType w:val="hybridMultilevel"/>
    <w:tmpl w:val="93C21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0B72D1"/>
    <w:multiLevelType w:val="hybridMultilevel"/>
    <w:tmpl w:val="06D0D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3237223">
    <w:abstractNumId w:val="12"/>
  </w:num>
  <w:num w:numId="2" w16cid:durableId="100342885">
    <w:abstractNumId w:val="8"/>
  </w:num>
  <w:num w:numId="3" w16cid:durableId="1789619589">
    <w:abstractNumId w:val="10"/>
  </w:num>
  <w:num w:numId="4" w16cid:durableId="88158244">
    <w:abstractNumId w:val="6"/>
  </w:num>
  <w:num w:numId="5" w16cid:durableId="1198931582">
    <w:abstractNumId w:val="13"/>
  </w:num>
  <w:num w:numId="6" w16cid:durableId="1488669652">
    <w:abstractNumId w:val="9"/>
  </w:num>
  <w:num w:numId="7" w16cid:durableId="1630624439">
    <w:abstractNumId w:val="0"/>
  </w:num>
  <w:num w:numId="8" w16cid:durableId="1899629028">
    <w:abstractNumId w:val="3"/>
  </w:num>
  <w:num w:numId="9" w16cid:durableId="749153148">
    <w:abstractNumId w:val="4"/>
  </w:num>
  <w:num w:numId="10" w16cid:durableId="1047491608">
    <w:abstractNumId w:val="2"/>
  </w:num>
  <w:num w:numId="11" w16cid:durableId="1560090435">
    <w:abstractNumId w:val="11"/>
  </w:num>
  <w:num w:numId="12" w16cid:durableId="211699110">
    <w:abstractNumId w:val="5"/>
  </w:num>
  <w:num w:numId="13" w16cid:durableId="740181526">
    <w:abstractNumId w:val="7"/>
  </w:num>
  <w:num w:numId="14" w16cid:durableId="94654406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1MzcyMTU1NLK0NDNS0lEKTi0uzszPAykAytcCAHq87D0uAAAA"/>
  </w:docVars>
  <w:rsids>
    <w:rsidRoot w:val="00627113"/>
    <w:rsid w:val="0000074E"/>
    <w:rsid w:val="000011F7"/>
    <w:rsid w:val="000048C7"/>
    <w:rsid w:val="00006889"/>
    <w:rsid w:val="00007715"/>
    <w:rsid w:val="00011AC2"/>
    <w:rsid w:val="00013155"/>
    <w:rsid w:val="00015849"/>
    <w:rsid w:val="00017023"/>
    <w:rsid w:val="0003723E"/>
    <w:rsid w:val="00042D24"/>
    <w:rsid w:val="00046C55"/>
    <w:rsid w:val="00050B14"/>
    <w:rsid w:val="00052AEA"/>
    <w:rsid w:val="0005491E"/>
    <w:rsid w:val="00057F5D"/>
    <w:rsid w:val="00062592"/>
    <w:rsid w:val="00062C98"/>
    <w:rsid w:val="00065A9D"/>
    <w:rsid w:val="00065FAB"/>
    <w:rsid w:val="00067C96"/>
    <w:rsid w:val="00070DDF"/>
    <w:rsid w:val="0007148B"/>
    <w:rsid w:val="00077807"/>
    <w:rsid w:val="00082A2E"/>
    <w:rsid w:val="00090241"/>
    <w:rsid w:val="00090C34"/>
    <w:rsid w:val="00092A21"/>
    <w:rsid w:val="00095866"/>
    <w:rsid w:val="000B11F0"/>
    <w:rsid w:val="000C018A"/>
    <w:rsid w:val="000C141C"/>
    <w:rsid w:val="000C2C76"/>
    <w:rsid w:val="000C5459"/>
    <w:rsid w:val="000D5597"/>
    <w:rsid w:val="000D5C64"/>
    <w:rsid w:val="000E61EC"/>
    <w:rsid w:val="000E7360"/>
    <w:rsid w:val="000F212A"/>
    <w:rsid w:val="000F2FAB"/>
    <w:rsid w:val="000F43D8"/>
    <w:rsid w:val="00112A73"/>
    <w:rsid w:val="001144B3"/>
    <w:rsid w:val="00134724"/>
    <w:rsid w:val="00135720"/>
    <w:rsid w:val="001361DD"/>
    <w:rsid w:val="001370E4"/>
    <w:rsid w:val="001372BD"/>
    <w:rsid w:val="0015482A"/>
    <w:rsid w:val="00162D4F"/>
    <w:rsid w:val="001643C6"/>
    <w:rsid w:val="00166531"/>
    <w:rsid w:val="00166960"/>
    <w:rsid w:val="00167C0A"/>
    <w:rsid w:val="00167D7D"/>
    <w:rsid w:val="00175A92"/>
    <w:rsid w:val="0017797B"/>
    <w:rsid w:val="00180C82"/>
    <w:rsid w:val="0018444D"/>
    <w:rsid w:val="00191132"/>
    <w:rsid w:val="00193443"/>
    <w:rsid w:val="001A5172"/>
    <w:rsid w:val="001A73DE"/>
    <w:rsid w:val="001C39B9"/>
    <w:rsid w:val="001C3E1B"/>
    <w:rsid w:val="001D075C"/>
    <w:rsid w:val="001D5470"/>
    <w:rsid w:val="001E0C01"/>
    <w:rsid w:val="001E7997"/>
    <w:rsid w:val="001E7BA7"/>
    <w:rsid w:val="001F1226"/>
    <w:rsid w:val="001F2FB7"/>
    <w:rsid w:val="001F6BA0"/>
    <w:rsid w:val="001F7EA3"/>
    <w:rsid w:val="0020023C"/>
    <w:rsid w:val="00210D4F"/>
    <w:rsid w:val="00211839"/>
    <w:rsid w:val="00216C21"/>
    <w:rsid w:val="00217841"/>
    <w:rsid w:val="002271BE"/>
    <w:rsid w:val="0023125A"/>
    <w:rsid w:val="00232BEB"/>
    <w:rsid w:val="002363EC"/>
    <w:rsid w:val="00253099"/>
    <w:rsid w:val="00257BC0"/>
    <w:rsid w:val="00263BFB"/>
    <w:rsid w:val="00264188"/>
    <w:rsid w:val="0026705F"/>
    <w:rsid w:val="00271671"/>
    <w:rsid w:val="00274BD2"/>
    <w:rsid w:val="0028729F"/>
    <w:rsid w:val="002B4B5A"/>
    <w:rsid w:val="002C752D"/>
    <w:rsid w:val="002D4577"/>
    <w:rsid w:val="002E4AF3"/>
    <w:rsid w:val="002F0535"/>
    <w:rsid w:val="002F2415"/>
    <w:rsid w:val="00300BAE"/>
    <w:rsid w:val="00301755"/>
    <w:rsid w:val="00301E3D"/>
    <w:rsid w:val="00306D9B"/>
    <w:rsid w:val="0031254B"/>
    <w:rsid w:val="003204D2"/>
    <w:rsid w:val="00323BFD"/>
    <w:rsid w:val="00331D7B"/>
    <w:rsid w:val="00333CCD"/>
    <w:rsid w:val="00336440"/>
    <w:rsid w:val="003422E5"/>
    <w:rsid w:val="0034238C"/>
    <w:rsid w:val="00347032"/>
    <w:rsid w:val="0034726D"/>
    <w:rsid w:val="0035474F"/>
    <w:rsid w:val="00355604"/>
    <w:rsid w:val="003637A7"/>
    <w:rsid w:val="00372E7E"/>
    <w:rsid w:val="00374A0A"/>
    <w:rsid w:val="00387A3D"/>
    <w:rsid w:val="00391D08"/>
    <w:rsid w:val="00393E29"/>
    <w:rsid w:val="003B2318"/>
    <w:rsid w:val="003B7ABF"/>
    <w:rsid w:val="003E3EAC"/>
    <w:rsid w:val="003E4396"/>
    <w:rsid w:val="003E616F"/>
    <w:rsid w:val="00400DA7"/>
    <w:rsid w:val="00401DB5"/>
    <w:rsid w:val="00402F00"/>
    <w:rsid w:val="004036EE"/>
    <w:rsid w:val="00412C73"/>
    <w:rsid w:val="004265C5"/>
    <w:rsid w:val="0043454E"/>
    <w:rsid w:val="004355E8"/>
    <w:rsid w:val="00435B59"/>
    <w:rsid w:val="00436F31"/>
    <w:rsid w:val="00440998"/>
    <w:rsid w:val="00442BDF"/>
    <w:rsid w:val="00452A20"/>
    <w:rsid w:val="0045502C"/>
    <w:rsid w:val="00455E1B"/>
    <w:rsid w:val="004639E3"/>
    <w:rsid w:val="00473518"/>
    <w:rsid w:val="00473DA2"/>
    <w:rsid w:val="00477248"/>
    <w:rsid w:val="00480570"/>
    <w:rsid w:val="00490F67"/>
    <w:rsid w:val="00491590"/>
    <w:rsid w:val="004A0474"/>
    <w:rsid w:val="004A1586"/>
    <w:rsid w:val="004A5922"/>
    <w:rsid w:val="004A6104"/>
    <w:rsid w:val="004A694C"/>
    <w:rsid w:val="004B2235"/>
    <w:rsid w:val="004B2243"/>
    <w:rsid w:val="004C0D47"/>
    <w:rsid w:val="004C10FF"/>
    <w:rsid w:val="004C6216"/>
    <w:rsid w:val="004D1AE5"/>
    <w:rsid w:val="004D657D"/>
    <w:rsid w:val="004E08A5"/>
    <w:rsid w:val="004F20EB"/>
    <w:rsid w:val="004F5DC7"/>
    <w:rsid w:val="004F6C55"/>
    <w:rsid w:val="005005F1"/>
    <w:rsid w:val="00504D46"/>
    <w:rsid w:val="00505858"/>
    <w:rsid w:val="0050778D"/>
    <w:rsid w:val="00510537"/>
    <w:rsid w:val="00511031"/>
    <w:rsid w:val="00515DCC"/>
    <w:rsid w:val="0051788F"/>
    <w:rsid w:val="00521193"/>
    <w:rsid w:val="00522A6C"/>
    <w:rsid w:val="005309E3"/>
    <w:rsid w:val="00540CB3"/>
    <w:rsid w:val="0054233E"/>
    <w:rsid w:val="00547CCC"/>
    <w:rsid w:val="0055108C"/>
    <w:rsid w:val="00556799"/>
    <w:rsid w:val="005567EE"/>
    <w:rsid w:val="00563968"/>
    <w:rsid w:val="00566772"/>
    <w:rsid w:val="0058063F"/>
    <w:rsid w:val="00581D38"/>
    <w:rsid w:val="00586133"/>
    <w:rsid w:val="00591340"/>
    <w:rsid w:val="005A2783"/>
    <w:rsid w:val="005B0706"/>
    <w:rsid w:val="005B40AE"/>
    <w:rsid w:val="005B437E"/>
    <w:rsid w:val="005B6BE4"/>
    <w:rsid w:val="005C30BE"/>
    <w:rsid w:val="005C4464"/>
    <w:rsid w:val="005D0014"/>
    <w:rsid w:val="005D0024"/>
    <w:rsid w:val="005E0D47"/>
    <w:rsid w:val="005E2C69"/>
    <w:rsid w:val="005E3BE4"/>
    <w:rsid w:val="005E53C3"/>
    <w:rsid w:val="005E5E49"/>
    <w:rsid w:val="005E7AC4"/>
    <w:rsid w:val="005F58A7"/>
    <w:rsid w:val="005F5B5A"/>
    <w:rsid w:val="005F709B"/>
    <w:rsid w:val="00615F73"/>
    <w:rsid w:val="00616229"/>
    <w:rsid w:val="00627113"/>
    <w:rsid w:val="00637188"/>
    <w:rsid w:val="00643648"/>
    <w:rsid w:val="006437B0"/>
    <w:rsid w:val="006506F4"/>
    <w:rsid w:val="006527E7"/>
    <w:rsid w:val="00655C5A"/>
    <w:rsid w:val="00657A15"/>
    <w:rsid w:val="00662EE3"/>
    <w:rsid w:val="00667388"/>
    <w:rsid w:val="006704C8"/>
    <w:rsid w:val="0067746F"/>
    <w:rsid w:val="0068573A"/>
    <w:rsid w:val="00690321"/>
    <w:rsid w:val="00690DB3"/>
    <w:rsid w:val="00691185"/>
    <w:rsid w:val="00693119"/>
    <w:rsid w:val="00696751"/>
    <w:rsid w:val="006A123B"/>
    <w:rsid w:val="006A75A2"/>
    <w:rsid w:val="006C1263"/>
    <w:rsid w:val="006C47ED"/>
    <w:rsid w:val="006F14F0"/>
    <w:rsid w:val="006F626D"/>
    <w:rsid w:val="00702809"/>
    <w:rsid w:val="00702E7C"/>
    <w:rsid w:val="0070375C"/>
    <w:rsid w:val="00704371"/>
    <w:rsid w:val="00704479"/>
    <w:rsid w:val="0070511C"/>
    <w:rsid w:val="007145C6"/>
    <w:rsid w:val="00714AC1"/>
    <w:rsid w:val="007170E9"/>
    <w:rsid w:val="007206DE"/>
    <w:rsid w:val="0072478F"/>
    <w:rsid w:val="00726224"/>
    <w:rsid w:val="00734EC8"/>
    <w:rsid w:val="0075140B"/>
    <w:rsid w:val="0077013B"/>
    <w:rsid w:val="00770910"/>
    <w:rsid w:val="00772DE7"/>
    <w:rsid w:val="00777F45"/>
    <w:rsid w:val="00781C06"/>
    <w:rsid w:val="00786802"/>
    <w:rsid w:val="00787E14"/>
    <w:rsid w:val="0079031A"/>
    <w:rsid w:val="007913EF"/>
    <w:rsid w:val="007918B7"/>
    <w:rsid w:val="007962D5"/>
    <w:rsid w:val="007A6191"/>
    <w:rsid w:val="007B75FB"/>
    <w:rsid w:val="007C0DDA"/>
    <w:rsid w:val="007C5D96"/>
    <w:rsid w:val="007D1B0B"/>
    <w:rsid w:val="007D414E"/>
    <w:rsid w:val="007D6041"/>
    <w:rsid w:val="007E3991"/>
    <w:rsid w:val="007E47DF"/>
    <w:rsid w:val="007E5FD8"/>
    <w:rsid w:val="007F4979"/>
    <w:rsid w:val="007F6126"/>
    <w:rsid w:val="00802B5C"/>
    <w:rsid w:val="00812320"/>
    <w:rsid w:val="00815A39"/>
    <w:rsid w:val="00816B69"/>
    <w:rsid w:val="0082235D"/>
    <w:rsid w:val="00831316"/>
    <w:rsid w:val="008318F0"/>
    <w:rsid w:val="00831919"/>
    <w:rsid w:val="00843930"/>
    <w:rsid w:val="00855896"/>
    <w:rsid w:val="00867252"/>
    <w:rsid w:val="008677CD"/>
    <w:rsid w:val="00872BC9"/>
    <w:rsid w:val="00873978"/>
    <w:rsid w:val="0088113E"/>
    <w:rsid w:val="008813CE"/>
    <w:rsid w:val="008939E0"/>
    <w:rsid w:val="00897EB4"/>
    <w:rsid w:val="008B49BE"/>
    <w:rsid w:val="008C0C2E"/>
    <w:rsid w:val="008C2C6C"/>
    <w:rsid w:val="008C3905"/>
    <w:rsid w:val="008C485D"/>
    <w:rsid w:val="008D7E59"/>
    <w:rsid w:val="008E319F"/>
    <w:rsid w:val="008E38BF"/>
    <w:rsid w:val="008E780B"/>
    <w:rsid w:val="008F1678"/>
    <w:rsid w:val="008F5915"/>
    <w:rsid w:val="008F667E"/>
    <w:rsid w:val="009027B2"/>
    <w:rsid w:val="0090351D"/>
    <w:rsid w:val="0090663F"/>
    <w:rsid w:val="00907F6F"/>
    <w:rsid w:val="0091133B"/>
    <w:rsid w:val="00911DDD"/>
    <w:rsid w:val="0091434D"/>
    <w:rsid w:val="00915FCC"/>
    <w:rsid w:val="00926143"/>
    <w:rsid w:val="00926614"/>
    <w:rsid w:val="00930D66"/>
    <w:rsid w:val="009353D3"/>
    <w:rsid w:val="0093797F"/>
    <w:rsid w:val="00940109"/>
    <w:rsid w:val="00947E87"/>
    <w:rsid w:val="00952939"/>
    <w:rsid w:val="009534B1"/>
    <w:rsid w:val="00955F1D"/>
    <w:rsid w:val="00962864"/>
    <w:rsid w:val="00982F1E"/>
    <w:rsid w:val="00987A94"/>
    <w:rsid w:val="00997FD8"/>
    <w:rsid w:val="009A0538"/>
    <w:rsid w:val="009A70A4"/>
    <w:rsid w:val="009C1ECF"/>
    <w:rsid w:val="009C427C"/>
    <w:rsid w:val="009C49CB"/>
    <w:rsid w:val="009C4A83"/>
    <w:rsid w:val="009C793D"/>
    <w:rsid w:val="009D408D"/>
    <w:rsid w:val="009D67BB"/>
    <w:rsid w:val="009E4124"/>
    <w:rsid w:val="009F4342"/>
    <w:rsid w:val="00A02472"/>
    <w:rsid w:val="00A1201F"/>
    <w:rsid w:val="00A15F19"/>
    <w:rsid w:val="00A30C4C"/>
    <w:rsid w:val="00A31BD1"/>
    <w:rsid w:val="00A320C2"/>
    <w:rsid w:val="00A40B9B"/>
    <w:rsid w:val="00A45F2A"/>
    <w:rsid w:val="00A46A11"/>
    <w:rsid w:val="00A4746B"/>
    <w:rsid w:val="00A53871"/>
    <w:rsid w:val="00A57008"/>
    <w:rsid w:val="00A57FCD"/>
    <w:rsid w:val="00A6381B"/>
    <w:rsid w:val="00A66BE6"/>
    <w:rsid w:val="00A7105F"/>
    <w:rsid w:val="00A716B3"/>
    <w:rsid w:val="00A71E58"/>
    <w:rsid w:val="00A75A71"/>
    <w:rsid w:val="00A76D24"/>
    <w:rsid w:val="00A8307E"/>
    <w:rsid w:val="00A91279"/>
    <w:rsid w:val="00A916BB"/>
    <w:rsid w:val="00A9294B"/>
    <w:rsid w:val="00A93617"/>
    <w:rsid w:val="00A97E2F"/>
    <w:rsid w:val="00AA5E18"/>
    <w:rsid w:val="00AB1D64"/>
    <w:rsid w:val="00AB3329"/>
    <w:rsid w:val="00AB6498"/>
    <w:rsid w:val="00AC46D1"/>
    <w:rsid w:val="00AC610D"/>
    <w:rsid w:val="00AD4A95"/>
    <w:rsid w:val="00AD4DDF"/>
    <w:rsid w:val="00AD6382"/>
    <w:rsid w:val="00AD775B"/>
    <w:rsid w:val="00AE460E"/>
    <w:rsid w:val="00AE5DAB"/>
    <w:rsid w:val="00AF0072"/>
    <w:rsid w:val="00AF44D9"/>
    <w:rsid w:val="00AF4BED"/>
    <w:rsid w:val="00B01AE5"/>
    <w:rsid w:val="00B042DF"/>
    <w:rsid w:val="00B06945"/>
    <w:rsid w:val="00B107CB"/>
    <w:rsid w:val="00B17904"/>
    <w:rsid w:val="00B24544"/>
    <w:rsid w:val="00B277BF"/>
    <w:rsid w:val="00B4186C"/>
    <w:rsid w:val="00B41CEE"/>
    <w:rsid w:val="00B45088"/>
    <w:rsid w:val="00B51706"/>
    <w:rsid w:val="00B5355D"/>
    <w:rsid w:val="00B62EBC"/>
    <w:rsid w:val="00B64E29"/>
    <w:rsid w:val="00B733AA"/>
    <w:rsid w:val="00B73E3B"/>
    <w:rsid w:val="00B74226"/>
    <w:rsid w:val="00B77A49"/>
    <w:rsid w:val="00B8047E"/>
    <w:rsid w:val="00B832F9"/>
    <w:rsid w:val="00B9100D"/>
    <w:rsid w:val="00B91890"/>
    <w:rsid w:val="00BA260A"/>
    <w:rsid w:val="00BA37DD"/>
    <w:rsid w:val="00BA41C7"/>
    <w:rsid w:val="00BA6021"/>
    <w:rsid w:val="00BC5C11"/>
    <w:rsid w:val="00BC7840"/>
    <w:rsid w:val="00BD0A2E"/>
    <w:rsid w:val="00BD1E65"/>
    <w:rsid w:val="00BE2E41"/>
    <w:rsid w:val="00BE3333"/>
    <w:rsid w:val="00BE75D5"/>
    <w:rsid w:val="00BF241B"/>
    <w:rsid w:val="00C003AA"/>
    <w:rsid w:val="00C00CBC"/>
    <w:rsid w:val="00C10A96"/>
    <w:rsid w:val="00C10C20"/>
    <w:rsid w:val="00C2159B"/>
    <w:rsid w:val="00C244F7"/>
    <w:rsid w:val="00C3425F"/>
    <w:rsid w:val="00C36FBA"/>
    <w:rsid w:val="00C3708B"/>
    <w:rsid w:val="00C37B94"/>
    <w:rsid w:val="00C41240"/>
    <w:rsid w:val="00C43E71"/>
    <w:rsid w:val="00C44FAF"/>
    <w:rsid w:val="00C56C72"/>
    <w:rsid w:val="00C61A82"/>
    <w:rsid w:val="00C66B44"/>
    <w:rsid w:val="00C7188E"/>
    <w:rsid w:val="00C8190A"/>
    <w:rsid w:val="00C871C9"/>
    <w:rsid w:val="00C87267"/>
    <w:rsid w:val="00C90ADD"/>
    <w:rsid w:val="00C94115"/>
    <w:rsid w:val="00C941F5"/>
    <w:rsid w:val="00C95E90"/>
    <w:rsid w:val="00C97207"/>
    <w:rsid w:val="00CA311B"/>
    <w:rsid w:val="00CA55F3"/>
    <w:rsid w:val="00CA77CD"/>
    <w:rsid w:val="00CB7590"/>
    <w:rsid w:val="00CB7AF3"/>
    <w:rsid w:val="00CC3D71"/>
    <w:rsid w:val="00CD795F"/>
    <w:rsid w:val="00CE0CD3"/>
    <w:rsid w:val="00CE3064"/>
    <w:rsid w:val="00CF5E09"/>
    <w:rsid w:val="00CF5F94"/>
    <w:rsid w:val="00CF7E7B"/>
    <w:rsid w:val="00D00AE1"/>
    <w:rsid w:val="00D03D49"/>
    <w:rsid w:val="00D041B2"/>
    <w:rsid w:val="00D10D79"/>
    <w:rsid w:val="00D247E0"/>
    <w:rsid w:val="00D2572A"/>
    <w:rsid w:val="00D3412C"/>
    <w:rsid w:val="00D4330A"/>
    <w:rsid w:val="00D4585F"/>
    <w:rsid w:val="00D56060"/>
    <w:rsid w:val="00D61041"/>
    <w:rsid w:val="00D708CC"/>
    <w:rsid w:val="00D72E58"/>
    <w:rsid w:val="00D73035"/>
    <w:rsid w:val="00D747CF"/>
    <w:rsid w:val="00D80FA6"/>
    <w:rsid w:val="00D8154E"/>
    <w:rsid w:val="00D829AD"/>
    <w:rsid w:val="00D833FA"/>
    <w:rsid w:val="00D83445"/>
    <w:rsid w:val="00D869D7"/>
    <w:rsid w:val="00D900CC"/>
    <w:rsid w:val="00D90BC9"/>
    <w:rsid w:val="00D910CC"/>
    <w:rsid w:val="00D96955"/>
    <w:rsid w:val="00DA209E"/>
    <w:rsid w:val="00DA2E95"/>
    <w:rsid w:val="00DA3351"/>
    <w:rsid w:val="00DA4D5B"/>
    <w:rsid w:val="00DB086C"/>
    <w:rsid w:val="00DB6401"/>
    <w:rsid w:val="00DC1405"/>
    <w:rsid w:val="00DD0215"/>
    <w:rsid w:val="00DD260D"/>
    <w:rsid w:val="00DE0813"/>
    <w:rsid w:val="00DE0830"/>
    <w:rsid w:val="00DE382C"/>
    <w:rsid w:val="00DE4C2D"/>
    <w:rsid w:val="00DE4E12"/>
    <w:rsid w:val="00DF015C"/>
    <w:rsid w:val="00DF03B2"/>
    <w:rsid w:val="00DF0C8A"/>
    <w:rsid w:val="00DF1939"/>
    <w:rsid w:val="00DF3A26"/>
    <w:rsid w:val="00DF5ACE"/>
    <w:rsid w:val="00DF640D"/>
    <w:rsid w:val="00E035AC"/>
    <w:rsid w:val="00E13A38"/>
    <w:rsid w:val="00E145FD"/>
    <w:rsid w:val="00E20FED"/>
    <w:rsid w:val="00E27C30"/>
    <w:rsid w:val="00E36494"/>
    <w:rsid w:val="00E4499B"/>
    <w:rsid w:val="00E462FC"/>
    <w:rsid w:val="00E464E9"/>
    <w:rsid w:val="00E54DB1"/>
    <w:rsid w:val="00E61D5F"/>
    <w:rsid w:val="00E74AAC"/>
    <w:rsid w:val="00E77509"/>
    <w:rsid w:val="00E775EF"/>
    <w:rsid w:val="00E77EDE"/>
    <w:rsid w:val="00E861C6"/>
    <w:rsid w:val="00E9067C"/>
    <w:rsid w:val="00E93AF0"/>
    <w:rsid w:val="00E956D3"/>
    <w:rsid w:val="00EA1B24"/>
    <w:rsid w:val="00EA2C5F"/>
    <w:rsid w:val="00EA43AC"/>
    <w:rsid w:val="00EB21AD"/>
    <w:rsid w:val="00EB28F6"/>
    <w:rsid w:val="00EB2E25"/>
    <w:rsid w:val="00EB5533"/>
    <w:rsid w:val="00EC2BA4"/>
    <w:rsid w:val="00EC5247"/>
    <w:rsid w:val="00EE1AE3"/>
    <w:rsid w:val="00EF0488"/>
    <w:rsid w:val="00EF7074"/>
    <w:rsid w:val="00F102E0"/>
    <w:rsid w:val="00F159B8"/>
    <w:rsid w:val="00F15E3B"/>
    <w:rsid w:val="00F17258"/>
    <w:rsid w:val="00F17F47"/>
    <w:rsid w:val="00F20F59"/>
    <w:rsid w:val="00F25EB7"/>
    <w:rsid w:val="00F30353"/>
    <w:rsid w:val="00F31DD4"/>
    <w:rsid w:val="00F35554"/>
    <w:rsid w:val="00F3618B"/>
    <w:rsid w:val="00F37E84"/>
    <w:rsid w:val="00F55C8D"/>
    <w:rsid w:val="00F57505"/>
    <w:rsid w:val="00F578C7"/>
    <w:rsid w:val="00F619E3"/>
    <w:rsid w:val="00F6236D"/>
    <w:rsid w:val="00F62B22"/>
    <w:rsid w:val="00F65372"/>
    <w:rsid w:val="00F7325D"/>
    <w:rsid w:val="00F756D1"/>
    <w:rsid w:val="00F82BC7"/>
    <w:rsid w:val="00F83087"/>
    <w:rsid w:val="00F9367C"/>
    <w:rsid w:val="00F93E45"/>
    <w:rsid w:val="00F94310"/>
    <w:rsid w:val="00FA7B0E"/>
    <w:rsid w:val="00FB1F1D"/>
    <w:rsid w:val="00FB3548"/>
    <w:rsid w:val="00FB3F84"/>
    <w:rsid w:val="00FB6E17"/>
    <w:rsid w:val="00FB72CE"/>
    <w:rsid w:val="00FC5BA9"/>
    <w:rsid w:val="00FD3EDB"/>
    <w:rsid w:val="00FD4195"/>
    <w:rsid w:val="00FD49CD"/>
    <w:rsid w:val="00FD5123"/>
    <w:rsid w:val="00FD713A"/>
    <w:rsid w:val="00FE43CC"/>
    <w:rsid w:val="00FE6F9A"/>
    <w:rsid w:val="00FF23C5"/>
    <w:rsid w:val="00FF2890"/>
    <w:rsid w:val="00FF4409"/>
    <w:rsid w:val="00FF6116"/>
    <w:rsid w:val="00FF6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1BEE2"/>
  <w15:chartTrackingRefBased/>
  <w15:docId w15:val="{038CBC3C-D2C9-4900-8A33-B54B07B63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321"/>
    <w:pPr>
      <w:spacing w:before="120" w:after="12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A320C2"/>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56C72"/>
    <w:pPr>
      <w:keepNext/>
      <w:keepLines/>
      <w:spacing w:before="40" w:after="0"/>
      <w:outlineLvl w:val="1"/>
    </w:pPr>
    <w:rPr>
      <w:rFonts w:eastAsiaTheme="majorEastAsia" w:cstheme="majorBidi"/>
      <w:b/>
      <w:sz w:val="28"/>
      <w:szCs w:val="26"/>
      <w:u w:val="single"/>
    </w:rPr>
  </w:style>
  <w:style w:type="paragraph" w:styleId="Heading3">
    <w:name w:val="heading 3"/>
    <w:basedOn w:val="Normal"/>
    <w:next w:val="Normal"/>
    <w:link w:val="Heading3Char"/>
    <w:uiPriority w:val="9"/>
    <w:unhideWhenUsed/>
    <w:qFormat/>
    <w:rsid w:val="0003723E"/>
    <w:pPr>
      <w:keepNext/>
      <w:keepLines/>
      <w:spacing w:before="40" w:after="0"/>
      <w:jc w:val="center"/>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C1EC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1340"/>
    <w:pPr>
      <w:spacing w:after="0" w:line="360" w:lineRule="auto"/>
      <w:ind w:left="720"/>
      <w:jc w:val="both"/>
    </w:pPr>
    <w:rPr>
      <w:rFonts w:ascii="Times New Roman" w:eastAsiaTheme="minorEastAsia" w:hAnsi="Times New Roman"/>
      <w:color w:val="000000" w:themeColor="text1"/>
      <w:sz w:val="24"/>
    </w:rPr>
  </w:style>
  <w:style w:type="character" w:customStyle="1" w:styleId="NoSpacingChar">
    <w:name w:val="No Spacing Char"/>
    <w:basedOn w:val="DefaultParagraphFont"/>
    <w:link w:val="NoSpacing"/>
    <w:uiPriority w:val="1"/>
    <w:rsid w:val="00591340"/>
    <w:rPr>
      <w:rFonts w:ascii="Times New Roman" w:eastAsiaTheme="minorEastAsia" w:hAnsi="Times New Roman"/>
      <w:color w:val="000000" w:themeColor="text1"/>
      <w:sz w:val="24"/>
    </w:rPr>
  </w:style>
  <w:style w:type="character" w:customStyle="1" w:styleId="Heading1Char">
    <w:name w:val="Heading 1 Char"/>
    <w:basedOn w:val="DefaultParagraphFont"/>
    <w:link w:val="Heading1"/>
    <w:uiPriority w:val="9"/>
    <w:rsid w:val="00A320C2"/>
    <w:rPr>
      <w:rFonts w:ascii="Times New Roman" w:eastAsiaTheme="majorEastAsia" w:hAnsi="Times New Roman" w:cstheme="majorBidi"/>
      <w:b/>
      <w:color w:val="000000" w:themeColor="text1"/>
      <w:sz w:val="32"/>
      <w:szCs w:val="32"/>
    </w:rPr>
  </w:style>
  <w:style w:type="paragraph" w:styleId="ListParagraph">
    <w:name w:val="List Paragraph"/>
    <w:basedOn w:val="Normal"/>
    <w:uiPriority w:val="34"/>
    <w:qFormat/>
    <w:rsid w:val="007206DE"/>
    <w:pPr>
      <w:ind w:left="720"/>
      <w:contextualSpacing/>
    </w:pPr>
  </w:style>
  <w:style w:type="character" w:customStyle="1" w:styleId="Heading2Char">
    <w:name w:val="Heading 2 Char"/>
    <w:basedOn w:val="DefaultParagraphFont"/>
    <w:link w:val="Heading2"/>
    <w:uiPriority w:val="9"/>
    <w:rsid w:val="00C56C72"/>
    <w:rPr>
      <w:rFonts w:ascii="Times New Roman" w:eastAsiaTheme="majorEastAsia" w:hAnsi="Times New Roman" w:cstheme="majorBidi"/>
      <w:b/>
      <w:color w:val="000000" w:themeColor="text1"/>
      <w:sz w:val="28"/>
      <w:szCs w:val="26"/>
      <w:u w:val="single"/>
    </w:rPr>
  </w:style>
  <w:style w:type="table" w:styleId="TableGrid">
    <w:name w:val="Table Grid"/>
    <w:basedOn w:val="TableNormal"/>
    <w:uiPriority w:val="39"/>
    <w:rsid w:val="00D3412C"/>
    <w:pPr>
      <w:spacing w:after="0" w:line="240" w:lineRule="auto"/>
    </w:pPr>
    <w:rPr>
      <w:rFonts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3723E"/>
    <w:rPr>
      <w:rFonts w:ascii="Times New Roman" w:eastAsiaTheme="majorEastAsia" w:hAnsi="Times New Roman" w:cstheme="majorBidi"/>
      <w:b/>
      <w:color w:val="000000" w:themeColor="text1"/>
      <w:sz w:val="24"/>
      <w:szCs w:val="24"/>
    </w:rPr>
  </w:style>
  <w:style w:type="character" w:styleId="Hyperlink">
    <w:name w:val="Hyperlink"/>
    <w:basedOn w:val="DefaultParagraphFont"/>
    <w:uiPriority w:val="99"/>
    <w:unhideWhenUsed/>
    <w:rsid w:val="00DA4D5B"/>
    <w:rPr>
      <w:color w:val="0563C1" w:themeColor="hyperlink"/>
      <w:u w:val="single"/>
    </w:rPr>
  </w:style>
  <w:style w:type="paragraph" w:styleId="TOCHeading">
    <w:name w:val="TOC Heading"/>
    <w:basedOn w:val="Heading1"/>
    <w:next w:val="Normal"/>
    <w:uiPriority w:val="39"/>
    <w:unhideWhenUsed/>
    <w:qFormat/>
    <w:rsid w:val="00DA4D5B"/>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DA4D5B"/>
    <w:pPr>
      <w:spacing w:before="0" w:after="100" w:line="259" w:lineRule="auto"/>
    </w:pPr>
    <w:rPr>
      <w:color w:val="auto"/>
    </w:rPr>
  </w:style>
  <w:style w:type="character" w:customStyle="1" w:styleId="15">
    <w:name w:val="15"/>
    <w:basedOn w:val="DefaultParagraphFont"/>
    <w:rsid w:val="00DA4D5B"/>
    <w:rPr>
      <w:rFonts w:ascii="Times New Roman" w:eastAsia="DengXian" w:hAnsi="Times New Roman" w:cs="Times New Roman" w:hint="default"/>
      <w:color w:val="000000"/>
      <w:sz w:val="24"/>
      <w:szCs w:val="24"/>
    </w:rPr>
  </w:style>
  <w:style w:type="character" w:customStyle="1" w:styleId="16">
    <w:name w:val="16"/>
    <w:basedOn w:val="DefaultParagraphFont"/>
    <w:rsid w:val="00DA4D5B"/>
    <w:rPr>
      <w:rFonts w:ascii="Times New Roman" w:eastAsia="DengXian Light" w:hAnsi="Times New Roman" w:cs="Times New Roman" w:hint="default"/>
      <w:b/>
      <w:color w:val="000000"/>
      <w:sz w:val="28"/>
      <w:szCs w:val="28"/>
    </w:rPr>
  </w:style>
  <w:style w:type="paragraph" w:styleId="Header">
    <w:name w:val="header"/>
    <w:basedOn w:val="Normal"/>
    <w:link w:val="HeaderChar"/>
    <w:uiPriority w:val="99"/>
    <w:unhideWhenUsed/>
    <w:rsid w:val="00DA4D5B"/>
    <w:pPr>
      <w:tabs>
        <w:tab w:val="center" w:pos="4680"/>
        <w:tab w:val="right" w:pos="9360"/>
      </w:tabs>
      <w:spacing w:before="0" w:after="0" w:line="240" w:lineRule="auto"/>
    </w:pPr>
    <w:rPr>
      <w:color w:val="auto"/>
    </w:rPr>
  </w:style>
  <w:style w:type="character" w:customStyle="1" w:styleId="HeaderChar">
    <w:name w:val="Header Char"/>
    <w:basedOn w:val="DefaultParagraphFont"/>
    <w:link w:val="Header"/>
    <w:uiPriority w:val="99"/>
    <w:rsid w:val="00DA4D5B"/>
  </w:style>
  <w:style w:type="paragraph" w:styleId="TOC2">
    <w:name w:val="toc 2"/>
    <w:basedOn w:val="Normal"/>
    <w:next w:val="Normal"/>
    <w:autoRedefine/>
    <w:uiPriority w:val="39"/>
    <w:unhideWhenUsed/>
    <w:rsid w:val="0051788F"/>
    <w:pPr>
      <w:spacing w:after="100"/>
      <w:ind w:left="240"/>
    </w:pPr>
  </w:style>
  <w:style w:type="paragraph" w:styleId="TOC3">
    <w:name w:val="toc 3"/>
    <w:basedOn w:val="Normal"/>
    <w:next w:val="Normal"/>
    <w:autoRedefine/>
    <w:uiPriority w:val="39"/>
    <w:unhideWhenUsed/>
    <w:rsid w:val="0051788F"/>
    <w:pPr>
      <w:spacing w:after="100"/>
      <w:ind w:left="480"/>
    </w:pPr>
  </w:style>
  <w:style w:type="paragraph" w:styleId="EndnoteText">
    <w:name w:val="endnote text"/>
    <w:basedOn w:val="Normal"/>
    <w:link w:val="EndnoteTextChar"/>
    <w:uiPriority w:val="99"/>
    <w:semiHidden/>
    <w:unhideWhenUsed/>
    <w:rsid w:val="00D83445"/>
    <w:pPr>
      <w:spacing w:before="0" w:after="0" w:line="240" w:lineRule="auto"/>
    </w:pPr>
    <w:rPr>
      <w:rFonts w:eastAsia="Times New Roman" w:cs="Times New Roman"/>
      <w:color w:val="auto"/>
      <w:sz w:val="20"/>
      <w:szCs w:val="20"/>
    </w:rPr>
  </w:style>
  <w:style w:type="character" w:customStyle="1" w:styleId="EndnoteTextChar">
    <w:name w:val="Endnote Text Char"/>
    <w:basedOn w:val="DefaultParagraphFont"/>
    <w:link w:val="EndnoteText"/>
    <w:uiPriority w:val="99"/>
    <w:semiHidden/>
    <w:rsid w:val="00D83445"/>
    <w:rPr>
      <w:rFonts w:ascii="Times New Roman" w:eastAsia="Times New Roman" w:hAnsi="Times New Roman" w:cs="Times New Roman"/>
      <w:sz w:val="20"/>
      <w:szCs w:val="20"/>
    </w:rPr>
  </w:style>
  <w:style w:type="character" w:customStyle="1" w:styleId="Heading4Char">
    <w:name w:val="Heading 4 Char"/>
    <w:basedOn w:val="DefaultParagraphFont"/>
    <w:link w:val="Heading4"/>
    <w:uiPriority w:val="9"/>
    <w:rsid w:val="009C1ECF"/>
    <w:rPr>
      <w:rFonts w:asciiTheme="majorHAnsi" w:eastAsiaTheme="majorEastAsia" w:hAnsiTheme="majorHAnsi" w:cstheme="majorBidi"/>
      <w:i/>
      <w:iCs/>
      <w:color w:val="2E74B5" w:themeColor="accent1" w:themeShade="BF"/>
      <w:sz w:val="24"/>
    </w:rPr>
  </w:style>
  <w:style w:type="paragraph" w:styleId="Footer">
    <w:name w:val="footer"/>
    <w:basedOn w:val="Normal"/>
    <w:link w:val="FooterChar"/>
    <w:uiPriority w:val="99"/>
    <w:unhideWhenUsed/>
    <w:rsid w:val="00CA55F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A55F3"/>
    <w:rPr>
      <w:rFonts w:ascii="Times New Roman" w:hAnsi="Times New Roman"/>
      <w:color w:val="000000" w:themeColor="text1"/>
      <w:sz w:val="24"/>
    </w:rPr>
  </w:style>
  <w:style w:type="paragraph" w:styleId="NormalWeb">
    <w:name w:val="Normal (Web)"/>
    <w:basedOn w:val="Normal"/>
    <w:uiPriority w:val="99"/>
    <w:semiHidden/>
    <w:unhideWhenUsed/>
    <w:rsid w:val="00C10A96"/>
    <w:pPr>
      <w:spacing w:before="100" w:beforeAutospacing="1" w:after="100" w:afterAutospacing="1" w:line="240" w:lineRule="auto"/>
    </w:pPr>
    <w:rPr>
      <w:rFonts w:eastAsia="Times New Roman" w:cs="Times New Roman"/>
      <w:color w:val="auto"/>
      <w:szCs w:val="24"/>
    </w:rPr>
  </w:style>
  <w:style w:type="paragraph" w:styleId="FootnoteText">
    <w:name w:val="footnote text"/>
    <w:basedOn w:val="Normal"/>
    <w:link w:val="FootnoteTextChar"/>
    <w:uiPriority w:val="99"/>
    <w:semiHidden/>
    <w:unhideWhenUsed/>
    <w:rsid w:val="0035474F"/>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35474F"/>
    <w:rPr>
      <w:rFonts w:ascii="Times New Roman" w:hAnsi="Times New Roman"/>
      <w:color w:val="000000" w:themeColor="text1"/>
      <w:sz w:val="20"/>
      <w:szCs w:val="20"/>
    </w:rPr>
  </w:style>
  <w:style w:type="character" w:styleId="FootnoteReference">
    <w:name w:val="footnote reference"/>
    <w:basedOn w:val="DefaultParagraphFont"/>
    <w:uiPriority w:val="99"/>
    <w:semiHidden/>
    <w:unhideWhenUsed/>
    <w:rsid w:val="0035474F"/>
    <w:rPr>
      <w:vertAlign w:val="superscript"/>
    </w:rPr>
  </w:style>
  <w:style w:type="paragraph" w:styleId="Bibliography">
    <w:name w:val="Bibliography"/>
    <w:basedOn w:val="Normal"/>
    <w:next w:val="Normal"/>
    <w:uiPriority w:val="37"/>
    <w:unhideWhenUsed/>
    <w:rsid w:val="00BA37DD"/>
  </w:style>
  <w:style w:type="character" w:customStyle="1" w:styleId="ffa">
    <w:name w:val="ffa"/>
    <w:basedOn w:val="DefaultParagraphFont"/>
    <w:rsid w:val="00B06945"/>
  </w:style>
  <w:style w:type="character" w:customStyle="1" w:styleId="ff2">
    <w:name w:val="ff2"/>
    <w:basedOn w:val="DefaultParagraphFont"/>
    <w:rsid w:val="00B06945"/>
  </w:style>
  <w:style w:type="character" w:customStyle="1" w:styleId="a">
    <w:name w:val="_"/>
    <w:basedOn w:val="DefaultParagraphFont"/>
    <w:rsid w:val="00B06945"/>
  </w:style>
  <w:style w:type="character" w:customStyle="1" w:styleId="ls2c">
    <w:name w:val="ls2c"/>
    <w:basedOn w:val="DefaultParagraphFont"/>
    <w:rsid w:val="00B06945"/>
  </w:style>
  <w:style w:type="character" w:customStyle="1" w:styleId="ls52">
    <w:name w:val="ls52"/>
    <w:basedOn w:val="DefaultParagraphFont"/>
    <w:rsid w:val="00B06945"/>
  </w:style>
  <w:style w:type="character" w:customStyle="1" w:styleId="ls40">
    <w:name w:val="ls40"/>
    <w:basedOn w:val="DefaultParagraphFont"/>
    <w:rsid w:val="00B06945"/>
  </w:style>
  <w:style w:type="table" w:styleId="GridTable2-Accent2">
    <w:name w:val="Grid Table 2 Accent 2"/>
    <w:basedOn w:val="TableNormal"/>
    <w:uiPriority w:val="47"/>
    <w:rsid w:val="00DE4C2D"/>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0169">
      <w:bodyDiv w:val="1"/>
      <w:marLeft w:val="0"/>
      <w:marRight w:val="0"/>
      <w:marTop w:val="0"/>
      <w:marBottom w:val="0"/>
      <w:divBdr>
        <w:top w:val="none" w:sz="0" w:space="0" w:color="auto"/>
        <w:left w:val="none" w:sz="0" w:space="0" w:color="auto"/>
        <w:bottom w:val="none" w:sz="0" w:space="0" w:color="auto"/>
        <w:right w:val="none" w:sz="0" w:space="0" w:color="auto"/>
      </w:divBdr>
    </w:div>
    <w:div w:id="70124200">
      <w:bodyDiv w:val="1"/>
      <w:marLeft w:val="0"/>
      <w:marRight w:val="0"/>
      <w:marTop w:val="0"/>
      <w:marBottom w:val="0"/>
      <w:divBdr>
        <w:top w:val="none" w:sz="0" w:space="0" w:color="auto"/>
        <w:left w:val="none" w:sz="0" w:space="0" w:color="auto"/>
        <w:bottom w:val="none" w:sz="0" w:space="0" w:color="auto"/>
        <w:right w:val="none" w:sz="0" w:space="0" w:color="auto"/>
      </w:divBdr>
    </w:div>
    <w:div w:id="121003171">
      <w:bodyDiv w:val="1"/>
      <w:marLeft w:val="0"/>
      <w:marRight w:val="0"/>
      <w:marTop w:val="0"/>
      <w:marBottom w:val="0"/>
      <w:divBdr>
        <w:top w:val="none" w:sz="0" w:space="0" w:color="auto"/>
        <w:left w:val="none" w:sz="0" w:space="0" w:color="auto"/>
        <w:bottom w:val="none" w:sz="0" w:space="0" w:color="auto"/>
        <w:right w:val="none" w:sz="0" w:space="0" w:color="auto"/>
      </w:divBdr>
    </w:div>
    <w:div w:id="149566956">
      <w:bodyDiv w:val="1"/>
      <w:marLeft w:val="0"/>
      <w:marRight w:val="0"/>
      <w:marTop w:val="0"/>
      <w:marBottom w:val="0"/>
      <w:divBdr>
        <w:top w:val="none" w:sz="0" w:space="0" w:color="auto"/>
        <w:left w:val="none" w:sz="0" w:space="0" w:color="auto"/>
        <w:bottom w:val="none" w:sz="0" w:space="0" w:color="auto"/>
        <w:right w:val="none" w:sz="0" w:space="0" w:color="auto"/>
      </w:divBdr>
    </w:div>
    <w:div w:id="240019625">
      <w:bodyDiv w:val="1"/>
      <w:marLeft w:val="0"/>
      <w:marRight w:val="0"/>
      <w:marTop w:val="0"/>
      <w:marBottom w:val="0"/>
      <w:divBdr>
        <w:top w:val="none" w:sz="0" w:space="0" w:color="auto"/>
        <w:left w:val="none" w:sz="0" w:space="0" w:color="auto"/>
        <w:bottom w:val="none" w:sz="0" w:space="0" w:color="auto"/>
        <w:right w:val="none" w:sz="0" w:space="0" w:color="auto"/>
      </w:divBdr>
    </w:div>
    <w:div w:id="306398689">
      <w:bodyDiv w:val="1"/>
      <w:marLeft w:val="0"/>
      <w:marRight w:val="0"/>
      <w:marTop w:val="0"/>
      <w:marBottom w:val="0"/>
      <w:divBdr>
        <w:top w:val="none" w:sz="0" w:space="0" w:color="auto"/>
        <w:left w:val="none" w:sz="0" w:space="0" w:color="auto"/>
        <w:bottom w:val="none" w:sz="0" w:space="0" w:color="auto"/>
        <w:right w:val="none" w:sz="0" w:space="0" w:color="auto"/>
      </w:divBdr>
    </w:div>
    <w:div w:id="338698156">
      <w:bodyDiv w:val="1"/>
      <w:marLeft w:val="0"/>
      <w:marRight w:val="0"/>
      <w:marTop w:val="0"/>
      <w:marBottom w:val="0"/>
      <w:divBdr>
        <w:top w:val="none" w:sz="0" w:space="0" w:color="auto"/>
        <w:left w:val="none" w:sz="0" w:space="0" w:color="auto"/>
        <w:bottom w:val="none" w:sz="0" w:space="0" w:color="auto"/>
        <w:right w:val="none" w:sz="0" w:space="0" w:color="auto"/>
      </w:divBdr>
    </w:div>
    <w:div w:id="381097079">
      <w:bodyDiv w:val="1"/>
      <w:marLeft w:val="0"/>
      <w:marRight w:val="0"/>
      <w:marTop w:val="0"/>
      <w:marBottom w:val="0"/>
      <w:divBdr>
        <w:top w:val="none" w:sz="0" w:space="0" w:color="auto"/>
        <w:left w:val="none" w:sz="0" w:space="0" w:color="auto"/>
        <w:bottom w:val="none" w:sz="0" w:space="0" w:color="auto"/>
        <w:right w:val="none" w:sz="0" w:space="0" w:color="auto"/>
      </w:divBdr>
    </w:div>
    <w:div w:id="516507510">
      <w:bodyDiv w:val="1"/>
      <w:marLeft w:val="0"/>
      <w:marRight w:val="0"/>
      <w:marTop w:val="0"/>
      <w:marBottom w:val="0"/>
      <w:divBdr>
        <w:top w:val="none" w:sz="0" w:space="0" w:color="auto"/>
        <w:left w:val="none" w:sz="0" w:space="0" w:color="auto"/>
        <w:bottom w:val="none" w:sz="0" w:space="0" w:color="auto"/>
        <w:right w:val="none" w:sz="0" w:space="0" w:color="auto"/>
      </w:divBdr>
    </w:div>
    <w:div w:id="654379344">
      <w:bodyDiv w:val="1"/>
      <w:marLeft w:val="0"/>
      <w:marRight w:val="0"/>
      <w:marTop w:val="0"/>
      <w:marBottom w:val="0"/>
      <w:divBdr>
        <w:top w:val="none" w:sz="0" w:space="0" w:color="auto"/>
        <w:left w:val="none" w:sz="0" w:space="0" w:color="auto"/>
        <w:bottom w:val="none" w:sz="0" w:space="0" w:color="auto"/>
        <w:right w:val="none" w:sz="0" w:space="0" w:color="auto"/>
      </w:divBdr>
    </w:div>
    <w:div w:id="746146593">
      <w:bodyDiv w:val="1"/>
      <w:marLeft w:val="0"/>
      <w:marRight w:val="0"/>
      <w:marTop w:val="0"/>
      <w:marBottom w:val="0"/>
      <w:divBdr>
        <w:top w:val="none" w:sz="0" w:space="0" w:color="auto"/>
        <w:left w:val="none" w:sz="0" w:space="0" w:color="auto"/>
        <w:bottom w:val="none" w:sz="0" w:space="0" w:color="auto"/>
        <w:right w:val="none" w:sz="0" w:space="0" w:color="auto"/>
      </w:divBdr>
    </w:div>
    <w:div w:id="777992023">
      <w:bodyDiv w:val="1"/>
      <w:marLeft w:val="0"/>
      <w:marRight w:val="0"/>
      <w:marTop w:val="0"/>
      <w:marBottom w:val="0"/>
      <w:divBdr>
        <w:top w:val="none" w:sz="0" w:space="0" w:color="auto"/>
        <w:left w:val="none" w:sz="0" w:space="0" w:color="auto"/>
        <w:bottom w:val="none" w:sz="0" w:space="0" w:color="auto"/>
        <w:right w:val="none" w:sz="0" w:space="0" w:color="auto"/>
      </w:divBdr>
    </w:div>
    <w:div w:id="789009034">
      <w:bodyDiv w:val="1"/>
      <w:marLeft w:val="0"/>
      <w:marRight w:val="0"/>
      <w:marTop w:val="0"/>
      <w:marBottom w:val="0"/>
      <w:divBdr>
        <w:top w:val="none" w:sz="0" w:space="0" w:color="auto"/>
        <w:left w:val="none" w:sz="0" w:space="0" w:color="auto"/>
        <w:bottom w:val="none" w:sz="0" w:space="0" w:color="auto"/>
        <w:right w:val="none" w:sz="0" w:space="0" w:color="auto"/>
      </w:divBdr>
    </w:div>
    <w:div w:id="789517559">
      <w:bodyDiv w:val="1"/>
      <w:marLeft w:val="0"/>
      <w:marRight w:val="0"/>
      <w:marTop w:val="0"/>
      <w:marBottom w:val="0"/>
      <w:divBdr>
        <w:top w:val="none" w:sz="0" w:space="0" w:color="auto"/>
        <w:left w:val="none" w:sz="0" w:space="0" w:color="auto"/>
        <w:bottom w:val="none" w:sz="0" w:space="0" w:color="auto"/>
        <w:right w:val="none" w:sz="0" w:space="0" w:color="auto"/>
      </w:divBdr>
      <w:divsChild>
        <w:div w:id="595790900">
          <w:marLeft w:val="446"/>
          <w:marRight w:val="0"/>
          <w:marTop w:val="200"/>
          <w:marBottom w:val="0"/>
          <w:divBdr>
            <w:top w:val="none" w:sz="0" w:space="0" w:color="auto"/>
            <w:left w:val="none" w:sz="0" w:space="0" w:color="auto"/>
            <w:bottom w:val="none" w:sz="0" w:space="0" w:color="auto"/>
            <w:right w:val="none" w:sz="0" w:space="0" w:color="auto"/>
          </w:divBdr>
        </w:div>
      </w:divsChild>
    </w:div>
    <w:div w:id="1016422817">
      <w:bodyDiv w:val="1"/>
      <w:marLeft w:val="0"/>
      <w:marRight w:val="0"/>
      <w:marTop w:val="0"/>
      <w:marBottom w:val="0"/>
      <w:divBdr>
        <w:top w:val="none" w:sz="0" w:space="0" w:color="auto"/>
        <w:left w:val="none" w:sz="0" w:space="0" w:color="auto"/>
        <w:bottom w:val="none" w:sz="0" w:space="0" w:color="auto"/>
        <w:right w:val="none" w:sz="0" w:space="0" w:color="auto"/>
      </w:divBdr>
    </w:div>
    <w:div w:id="1029523578">
      <w:bodyDiv w:val="1"/>
      <w:marLeft w:val="0"/>
      <w:marRight w:val="0"/>
      <w:marTop w:val="0"/>
      <w:marBottom w:val="0"/>
      <w:divBdr>
        <w:top w:val="none" w:sz="0" w:space="0" w:color="auto"/>
        <w:left w:val="none" w:sz="0" w:space="0" w:color="auto"/>
        <w:bottom w:val="none" w:sz="0" w:space="0" w:color="auto"/>
        <w:right w:val="none" w:sz="0" w:space="0" w:color="auto"/>
      </w:divBdr>
    </w:div>
    <w:div w:id="1043674882">
      <w:bodyDiv w:val="1"/>
      <w:marLeft w:val="0"/>
      <w:marRight w:val="0"/>
      <w:marTop w:val="0"/>
      <w:marBottom w:val="0"/>
      <w:divBdr>
        <w:top w:val="none" w:sz="0" w:space="0" w:color="auto"/>
        <w:left w:val="none" w:sz="0" w:space="0" w:color="auto"/>
        <w:bottom w:val="none" w:sz="0" w:space="0" w:color="auto"/>
        <w:right w:val="none" w:sz="0" w:space="0" w:color="auto"/>
      </w:divBdr>
    </w:div>
    <w:div w:id="1192842890">
      <w:bodyDiv w:val="1"/>
      <w:marLeft w:val="0"/>
      <w:marRight w:val="0"/>
      <w:marTop w:val="0"/>
      <w:marBottom w:val="0"/>
      <w:divBdr>
        <w:top w:val="none" w:sz="0" w:space="0" w:color="auto"/>
        <w:left w:val="none" w:sz="0" w:space="0" w:color="auto"/>
        <w:bottom w:val="none" w:sz="0" w:space="0" w:color="auto"/>
        <w:right w:val="none" w:sz="0" w:space="0" w:color="auto"/>
      </w:divBdr>
    </w:div>
    <w:div w:id="1248881235">
      <w:bodyDiv w:val="1"/>
      <w:marLeft w:val="0"/>
      <w:marRight w:val="0"/>
      <w:marTop w:val="0"/>
      <w:marBottom w:val="0"/>
      <w:divBdr>
        <w:top w:val="none" w:sz="0" w:space="0" w:color="auto"/>
        <w:left w:val="none" w:sz="0" w:space="0" w:color="auto"/>
        <w:bottom w:val="none" w:sz="0" w:space="0" w:color="auto"/>
        <w:right w:val="none" w:sz="0" w:space="0" w:color="auto"/>
      </w:divBdr>
    </w:div>
    <w:div w:id="1317146660">
      <w:bodyDiv w:val="1"/>
      <w:marLeft w:val="0"/>
      <w:marRight w:val="0"/>
      <w:marTop w:val="0"/>
      <w:marBottom w:val="0"/>
      <w:divBdr>
        <w:top w:val="none" w:sz="0" w:space="0" w:color="auto"/>
        <w:left w:val="none" w:sz="0" w:space="0" w:color="auto"/>
        <w:bottom w:val="none" w:sz="0" w:space="0" w:color="auto"/>
        <w:right w:val="none" w:sz="0" w:space="0" w:color="auto"/>
      </w:divBdr>
    </w:div>
    <w:div w:id="1382245772">
      <w:bodyDiv w:val="1"/>
      <w:marLeft w:val="0"/>
      <w:marRight w:val="0"/>
      <w:marTop w:val="0"/>
      <w:marBottom w:val="0"/>
      <w:divBdr>
        <w:top w:val="none" w:sz="0" w:space="0" w:color="auto"/>
        <w:left w:val="none" w:sz="0" w:space="0" w:color="auto"/>
        <w:bottom w:val="none" w:sz="0" w:space="0" w:color="auto"/>
        <w:right w:val="none" w:sz="0" w:space="0" w:color="auto"/>
      </w:divBdr>
    </w:div>
    <w:div w:id="1401321265">
      <w:bodyDiv w:val="1"/>
      <w:marLeft w:val="0"/>
      <w:marRight w:val="0"/>
      <w:marTop w:val="0"/>
      <w:marBottom w:val="0"/>
      <w:divBdr>
        <w:top w:val="none" w:sz="0" w:space="0" w:color="auto"/>
        <w:left w:val="none" w:sz="0" w:space="0" w:color="auto"/>
        <w:bottom w:val="none" w:sz="0" w:space="0" w:color="auto"/>
        <w:right w:val="none" w:sz="0" w:space="0" w:color="auto"/>
      </w:divBdr>
    </w:div>
    <w:div w:id="1545097162">
      <w:bodyDiv w:val="1"/>
      <w:marLeft w:val="0"/>
      <w:marRight w:val="0"/>
      <w:marTop w:val="0"/>
      <w:marBottom w:val="0"/>
      <w:divBdr>
        <w:top w:val="none" w:sz="0" w:space="0" w:color="auto"/>
        <w:left w:val="none" w:sz="0" w:space="0" w:color="auto"/>
        <w:bottom w:val="none" w:sz="0" w:space="0" w:color="auto"/>
        <w:right w:val="none" w:sz="0" w:space="0" w:color="auto"/>
      </w:divBdr>
    </w:div>
    <w:div w:id="1598518098">
      <w:bodyDiv w:val="1"/>
      <w:marLeft w:val="0"/>
      <w:marRight w:val="0"/>
      <w:marTop w:val="0"/>
      <w:marBottom w:val="0"/>
      <w:divBdr>
        <w:top w:val="none" w:sz="0" w:space="0" w:color="auto"/>
        <w:left w:val="none" w:sz="0" w:space="0" w:color="auto"/>
        <w:bottom w:val="none" w:sz="0" w:space="0" w:color="auto"/>
        <w:right w:val="none" w:sz="0" w:space="0" w:color="auto"/>
      </w:divBdr>
    </w:div>
    <w:div w:id="1638296655">
      <w:bodyDiv w:val="1"/>
      <w:marLeft w:val="0"/>
      <w:marRight w:val="0"/>
      <w:marTop w:val="0"/>
      <w:marBottom w:val="0"/>
      <w:divBdr>
        <w:top w:val="none" w:sz="0" w:space="0" w:color="auto"/>
        <w:left w:val="none" w:sz="0" w:space="0" w:color="auto"/>
        <w:bottom w:val="none" w:sz="0" w:space="0" w:color="auto"/>
        <w:right w:val="none" w:sz="0" w:space="0" w:color="auto"/>
      </w:divBdr>
    </w:div>
    <w:div w:id="1658269876">
      <w:bodyDiv w:val="1"/>
      <w:marLeft w:val="0"/>
      <w:marRight w:val="0"/>
      <w:marTop w:val="0"/>
      <w:marBottom w:val="0"/>
      <w:divBdr>
        <w:top w:val="none" w:sz="0" w:space="0" w:color="auto"/>
        <w:left w:val="none" w:sz="0" w:space="0" w:color="auto"/>
        <w:bottom w:val="none" w:sz="0" w:space="0" w:color="auto"/>
        <w:right w:val="none" w:sz="0" w:space="0" w:color="auto"/>
      </w:divBdr>
    </w:div>
    <w:div w:id="1686982092">
      <w:bodyDiv w:val="1"/>
      <w:marLeft w:val="0"/>
      <w:marRight w:val="0"/>
      <w:marTop w:val="0"/>
      <w:marBottom w:val="0"/>
      <w:divBdr>
        <w:top w:val="none" w:sz="0" w:space="0" w:color="auto"/>
        <w:left w:val="none" w:sz="0" w:space="0" w:color="auto"/>
        <w:bottom w:val="none" w:sz="0" w:space="0" w:color="auto"/>
        <w:right w:val="none" w:sz="0" w:space="0" w:color="auto"/>
      </w:divBdr>
      <w:divsChild>
        <w:div w:id="2048793918">
          <w:marLeft w:val="360"/>
          <w:marRight w:val="0"/>
          <w:marTop w:val="200"/>
          <w:marBottom w:val="0"/>
          <w:divBdr>
            <w:top w:val="none" w:sz="0" w:space="0" w:color="auto"/>
            <w:left w:val="none" w:sz="0" w:space="0" w:color="auto"/>
            <w:bottom w:val="none" w:sz="0" w:space="0" w:color="auto"/>
            <w:right w:val="none" w:sz="0" w:space="0" w:color="auto"/>
          </w:divBdr>
        </w:div>
      </w:divsChild>
    </w:div>
    <w:div w:id="1687748747">
      <w:bodyDiv w:val="1"/>
      <w:marLeft w:val="0"/>
      <w:marRight w:val="0"/>
      <w:marTop w:val="0"/>
      <w:marBottom w:val="0"/>
      <w:divBdr>
        <w:top w:val="none" w:sz="0" w:space="0" w:color="auto"/>
        <w:left w:val="none" w:sz="0" w:space="0" w:color="auto"/>
        <w:bottom w:val="none" w:sz="0" w:space="0" w:color="auto"/>
        <w:right w:val="none" w:sz="0" w:space="0" w:color="auto"/>
      </w:divBdr>
    </w:div>
    <w:div w:id="1950038380">
      <w:bodyDiv w:val="1"/>
      <w:marLeft w:val="0"/>
      <w:marRight w:val="0"/>
      <w:marTop w:val="0"/>
      <w:marBottom w:val="0"/>
      <w:divBdr>
        <w:top w:val="none" w:sz="0" w:space="0" w:color="auto"/>
        <w:left w:val="none" w:sz="0" w:space="0" w:color="auto"/>
        <w:bottom w:val="none" w:sz="0" w:space="0" w:color="auto"/>
        <w:right w:val="none" w:sz="0" w:space="0" w:color="auto"/>
      </w:divBdr>
    </w:div>
    <w:div w:id="2007391943">
      <w:bodyDiv w:val="1"/>
      <w:marLeft w:val="0"/>
      <w:marRight w:val="0"/>
      <w:marTop w:val="0"/>
      <w:marBottom w:val="0"/>
      <w:divBdr>
        <w:top w:val="none" w:sz="0" w:space="0" w:color="auto"/>
        <w:left w:val="none" w:sz="0" w:space="0" w:color="auto"/>
        <w:bottom w:val="none" w:sz="0" w:space="0" w:color="auto"/>
        <w:right w:val="none" w:sz="0" w:space="0" w:color="auto"/>
      </w:divBdr>
    </w:div>
    <w:div w:id="2056269466">
      <w:bodyDiv w:val="1"/>
      <w:marLeft w:val="0"/>
      <w:marRight w:val="0"/>
      <w:marTop w:val="0"/>
      <w:marBottom w:val="0"/>
      <w:divBdr>
        <w:top w:val="none" w:sz="0" w:space="0" w:color="auto"/>
        <w:left w:val="none" w:sz="0" w:space="0" w:color="auto"/>
        <w:bottom w:val="none" w:sz="0" w:space="0" w:color="auto"/>
        <w:right w:val="none" w:sz="0" w:space="0" w:color="auto"/>
      </w:divBdr>
    </w:div>
    <w:div w:id="2101372057">
      <w:bodyDiv w:val="1"/>
      <w:marLeft w:val="0"/>
      <w:marRight w:val="0"/>
      <w:marTop w:val="0"/>
      <w:marBottom w:val="0"/>
      <w:divBdr>
        <w:top w:val="none" w:sz="0" w:space="0" w:color="auto"/>
        <w:left w:val="none" w:sz="0" w:space="0" w:color="auto"/>
        <w:bottom w:val="none" w:sz="0" w:space="0" w:color="auto"/>
        <w:right w:val="none" w:sz="0" w:space="0" w:color="auto"/>
      </w:divBdr>
    </w:div>
    <w:div w:id="2132090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Bal12</b:Tag>
    <b:SourceType>JournalArticle</b:SourceType>
    <b:Guid>{7488BC44-4BAD-4B51-95C5-8C5417B94610}</b:Guid>
    <b:Author>
      <b:Author>
        <b:NameList>
          <b:Person>
            <b:Last>Balogun</b:Last>
          </b:Person>
        </b:NameList>
      </b:Author>
    </b:Author>
    <b:Year>2012</b:Year>
    <b:RefOrder>3</b:RefOrder>
  </b:Source>
  <b:Source>
    <b:Tag>Bar13</b:Tag>
    <b:SourceType>JournalArticle</b:SourceType>
    <b:Guid>{5823BE0F-6AB2-43E2-A83E-6E5653CC322C}</b:Guid>
    <b:Author>
      <b:Author>
        <b:NameList>
          <b:Person>
            <b:Last>Barkay</b:Last>
          </b:Person>
        </b:NameList>
      </b:Author>
    </b:Author>
    <b:Year>2013</b:Year>
    <b:RefOrder>8</b:RefOrder>
  </b:Source>
  <b:Source>
    <b:Tag>Ell16</b:Tag>
    <b:SourceType>JournalArticle</b:SourceType>
    <b:Guid>{75586709-F5C3-4F97-9C5E-DD32E7791D15}</b:Guid>
    <b:Author>
      <b:Author>
        <b:NameList>
          <b:Person>
            <b:Last>Ellertson</b:Last>
          </b:Person>
        </b:NameList>
      </b:Author>
    </b:Author>
    <b:Year>2016</b:Year>
    <b:RefOrder>1</b:RefOrder>
  </b:Source>
  <b:Source>
    <b:Tag>Hop09</b:Tag>
    <b:SourceType>JournalArticle</b:SourceType>
    <b:Guid>{B37F44D0-40B1-4FCE-9A1C-9DAD74A42A20}</b:Guid>
    <b:Author>
      <b:Author>
        <b:NameList>
          <b:Person>
            <b:Last>Hopkins</b:Last>
          </b:Person>
        </b:NameList>
      </b:Author>
    </b:Author>
    <b:Year>2009</b:Year>
    <b:RefOrder>6</b:RefOrder>
  </b:Source>
  <b:Source>
    <b:Tag>Kan08</b:Tag>
    <b:SourceType>JournalArticle</b:SourceType>
    <b:Guid>{FCC8FD21-D5F2-4DBE-8797-D33FACAFD18F}</b:Guid>
    <b:Author>
      <b:Author>
        <b:NameList>
          <b:Person>
            <b:Last>Kant</b:Last>
          </b:Person>
        </b:NameList>
      </b:Author>
    </b:Author>
    <b:Year>2008</b:Year>
    <b:RefOrder>9</b:RefOrder>
  </b:Source>
  <b:Source>
    <b:Tag>Lab12</b:Tag>
    <b:SourceType>JournalArticle</b:SourceType>
    <b:Guid>{F2870993-F154-4B77-9232-C0CA3BED48D2}</b:Guid>
    <b:Author>
      <b:Author>
        <b:NameList>
          <b:Person>
            <b:Last>Labrinidis</b:Last>
          </b:Person>
        </b:NameList>
      </b:Author>
    </b:Author>
    <b:Year>2012</b:Year>
    <b:RefOrder>2</b:RefOrder>
  </b:Source>
  <b:Source>
    <b:Tag>Tay10</b:Tag>
    <b:SourceType>JournalArticle</b:SourceType>
    <b:Guid>{A0BEE4B4-CA4C-4956-B603-6C2A3CF9F93B}</b:Guid>
    <b:Author>
      <b:Author>
        <b:NameList>
          <b:Person>
            <b:Last>Taylor</b:Last>
          </b:Person>
        </b:NameList>
      </b:Author>
    </b:Author>
    <b:Year>2010</b:Year>
    <b:RefOrder>4</b:RefOrder>
  </b:Source>
  <b:Source>
    <b:Tag>Van12</b:Tag>
    <b:SourceType>JournalArticle</b:SourceType>
    <b:Guid>{B7D9C12C-B0B7-4BA8-B30F-73BC8F59C355}</b:Guid>
    <b:Author>
      <b:Author>
        <b:NameList>
          <b:Person>
            <b:Last>Horn</b:Last>
            <b:First>Van</b:First>
          </b:Person>
        </b:NameList>
      </b:Author>
    </b:Author>
    <b:Year>2012</b:Year>
    <b:RefOrder>5</b:RefOrder>
  </b:Source>
  <b:Source>
    <b:Tag>Wal12</b:Tag>
    <b:SourceType>JournalArticle</b:SourceType>
    <b:Guid>{8598669D-1355-4F1F-A56A-3DBECF4055B3}</b:Guid>
    <b:Author>
      <b:Author>
        <b:NameList>
          <b:Person>
            <b:Last>Walsh</b:Last>
          </b:Person>
        </b:NameList>
      </b:Author>
    </b:Author>
    <b:Year>2012</b:Year>
    <b:RefOrder>7</b:RefOrder>
  </b:Source>
</b:Sources>
</file>

<file path=customXml/itemProps1.xml><?xml version="1.0" encoding="utf-8"?>
<ds:datastoreItem xmlns:ds="http://schemas.openxmlformats.org/officeDocument/2006/customXml" ds:itemID="{DF58F19F-FABD-4D48-B5B5-F4FE30A58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7</Pages>
  <Words>843</Words>
  <Characters>4809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DATA COMMUNICATION AND NETWORKING</vt:lpstr>
    </vt:vector>
  </TitlesOfParts>
  <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ModifiedBy>Ivaylo Bakalov (2128950)</cp:lastModifiedBy>
  <cp:revision>2</cp:revision>
  <dcterms:created xsi:type="dcterms:W3CDTF">2023-04-27T10:39:00Z</dcterms:created>
  <dcterms:modified xsi:type="dcterms:W3CDTF">2023-05-07T21:53:00Z</dcterms:modified>
</cp:coreProperties>
</file>