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cs="Times New Roman" w:asciiTheme="minorAscii" w:hAnsiTheme="minorAscii" w:eastAsiaTheme="minorEastAsia"/>
          <w:b/>
          <w:bCs/>
          <w:color w:val="C55A11" w:themeColor="accent2" w:themeShade="BF"/>
          <w:sz w:val="28"/>
          <w:szCs w:val="28"/>
          <w:lang w:eastAsia="zh-CN"/>
        </w:rPr>
      </w:pPr>
      <w:bookmarkStart w:id="0" w:name="_Toc31714"/>
      <w:bookmarkStart w:id="1" w:name="_Toc9747"/>
      <w:bookmarkStart w:id="2" w:name="_Toc31258"/>
      <w:bookmarkStart w:id="3" w:name="_Toc10371"/>
      <w:bookmarkStart w:id="4" w:name="_Toc31585"/>
      <w:r>
        <w:rPr>
          <w:rFonts w:hint="default" w:ascii="Calibri" w:hAnsi="Calibri" w:cs="Calibri"/>
          <w:b/>
          <w:bCs/>
          <w:color w:val="C55A11" w:themeColor="accent2" w:themeShade="BF"/>
          <w:sz w:val="28"/>
          <w:szCs w:val="28"/>
        </w:rPr>
        <w:t>IKEA</w:t>
      </w:r>
      <w:r>
        <w:rPr>
          <w:rFonts w:hint="default" w:ascii="Calibri" w:hAnsi="Calibri" w:cs="Calibri" w:eastAsiaTheme="minorEastAsia"/>
          <w:b/>
          <w:bCs/>
          <w:color w:val="C55A11" w:themeColor="accent2" w:themeShade="BF"/>
          <w:sz w:val="28"/>
          <w:szCs w:val="28"/>
          <w:lang w:eastAsia="zh-CN"/>
        </w:rPr>
        <w:t xml:space="preserve"> marketing strategy analysis</w:t>
      </w:r>
    </w:p>
    <w:p>
      <w:pPr>
        <w:jc w:val="left"/>
        <w:rPr>
          <w:rFonts w:hint="eastAsia" w:ascii="Times New Roman" w:hAnsi="Times New Roman" w:cs="Times New Roman" w:eastAsiaTheme="minorEastAsia"/>
          <w:b/>
          <w:bCs/>
          <w:sz w:val="28"/>
          <w:szCs w:val="28"/>
          <w:lang w:eastAsia="zh-CN"/>
        </w:rPr>
      </w:pPr>
      <w:r>
        <w:rPr>
          <w:rFonts w:hint="eastAsia" w:ascii="Times New Roman" w:hAnsi="Times New Roman" w:cs="Times New Roman"/>
          <w:b/>
          <w:bCs/>
          <w:sz w:val="28"/>
          <w:szCs w:val="28"/>
          <w:lang w:val="en-US" w:eastAsia="zh-CN"/>
        </w:rPr>
        <w:t xml:space="preserve">     </w:t>
      </w:r>
      <w:r>
        <w:rPr>
          <w:rFonts w:hint="eastAsia" w:ascii="Times New Roman" w:hAnsi="Times New Roman" w:cs="Times New Roman" w:eastAsiaTheme="minorEastAsia"/>
          <w:b/>
          <w:bCs/>
          <w:sz w:val="28"/>
          <w:szCs w:val="28"/>
          <w:lang w:eastAsia="zh-CN"/>
        </w:rPr>
        <w:drawing>
          <wp:inline distT="0" distB="0" distL="114300" distR="114300">
            <wp:extent cx="4417695" cy="4908550"/>
            <wp:effectExtent l="0" t="0" r="1905" b="6350"/>
            <wp:docPr id="4" name="图片 4" descr="afc6095bc06aabd6d114665d9a9003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afc6095bc06aabd6d114665d9a9003c"/>
                    <pic:cNvPicPr>
                      <a:picLocks noChangeAspect="1"/>
                    </pic:cNvPicPr>
                  </pic:nvPicPr>
                  <pic:blipFill>
                    <a:blip r:embed="rId5"/>
                    <a:stretch>
                      <a:fillRect/>
                    </a:stretch>
                  </pic:blipFill>
                  <pic:spPr>
                    <a:xfrm>
                      <a:off x="0" y="0"/>
                      <a:ext cx="4417695" cy="4908550"/>
                    </a:xfrm>
                    <a:prstGeom prst="rect">
                      <a:avLst/>
                    </a:prstGeom>
                  </pic:spPr>
                </pic:pic>
              </a:graphicData>
            </a:graphic>
          </wp:inline>
        </w:drawing>
      </w:r>
    </w:p>
    <w:p>
      <w:pPr>
        <w:ind w:firstLine="3092" w:firstLineChars="1100"/>
        <w:rPr>
          <w:rFonts w:hint="default" w:cs="Times New Roman" w:asciiTheme="minorAscii" w:hAnsiTheme="minorAscii" w:eastAsiaTheme="minorEastAsia"/>
          <w:b/>
          <w:bCs/>
          <w:color w:val="C55A11" w:themeColor="accent2" w:themeShade="BF"/>
          <w:sz w:val="28"/>
          <w:szCs w:val="28"/>
          <w:lang w:eastAsia="zh-CN"/>
        </w:rPr>
      </w:pPr>
      <w:r>
        <w:rPr>
          <w:rFonts w:hint="default" w:cs="Times New Roman" w:asciiTheme="minorAscii" w:hAnsiTheme="minorAscii" w:eastAsiaTheme="minorEastAsia"/>
          <w:b/>
          <w:bCs/>
          <w:color w:val="C55A11" w:themeColor="accent2" w:themeShade="BF"/>
          <w:sz w:val="28"/>
          <w:szCs w:val="28"/>
          <w:lang w:eastAsia="zh-CN"/>
        </w:rPr>
        <w:t>December 2022</w:t>
      </w:r>
    </w:p>
    <w:p>
      <w:pPr>
        <w:rPr>
          <w:rFonts w:hint="default" w:cs="Times New Roman" w:asciiTheme="minorAscii" w:hAnsiTheme="minorAscii" w:eastAsiaTheme="minorEastAsia"/>
          <w:b/>
          <w:bCs/>
          <w:color w:val="C55A11" w:themeColor="accent2" w:themeShade="BF"/>
          <w:sz w:val="28"/>
          <w:szCs w:val="28"/>
          <w:lang w:eastAsia="zh-CN"/>
        </w:rPr>
      </w:pPr>
    </w:p>
    <w:p>
      <w:pPr>
        <w:rPr>
          <w:rFonts w:hint="default" w:cs="Times New Roman" w:asciiTheme="minorAscii" w:hAnsiTheme="minorAscii" w:eastAsiaTheme="minorEastAsia"/>
          <w:b/>
          <w:bCs/>
          <w:color w:val="C55A11" w:themeColor="accent2" w:themeShade="BF"/>
          <w:sz w:val="28"/>
          <w:szCs w:val="28"/>
          <w:lang w:eastAsia="zh-CN"/>
        </w:rPr>
      </w:pPr>
      <w:r>
        <w:rPr>
          <w:rFonts w:hint="default" w:cs="Times New Roman" w:asciiTheme="minorAscii" w:hAnsiTheme="minorAscii" w:eastAsiaTheme="minorEastAsia"/>
          <w:b/>
          <w:bCs/>
          <w:color w:val="C55A11" w:themeColor="accent2" w:themeShade="BF"/>
          <w:sz w:val="28"/>
          <w:szCs w:val="28"/>
          <w:lang w:eastAsia="zh-CN"/>
        </w:rPr>
        <w:t>MODULE NAME:</w:t>
      </w:r>
      <w:r>
        <w:rPr>
          <w:rFonts w:hint="eastAsia" w:cs="Times New Roman" w:asciiTheme="minorAscii" w:hAnsiTheme="minorAscii"/>
          <w:b/>
          <w:bCs/>
          <w:color w:val="C55A11" w:themeColor="accent2" w:themeShade="BF"/>
          <w:sz w:val="28"/>
          <w:szCs w:val="28"/>
          <w:lang w:val="en-US" w:eastAsia="zh-CN"/>
        </w:rPr>
        <w:t xml:space="preserve"> MBA</w:t>
      </w:r>
      <w:r>
        <w:rPr>
          <w:rFonts w:hint="default" w:cs="Times New Roman" w:asciiTheme="minorAscii" w:hAnsiTheme="minorAscii" w:eastAsiaTheme="minorEastAsia"/>
          <w:b/>
          <w:bCs/>
          <w:color w:val="C55A11" w:themeColor="accent2" w:themeShade="BF"/>
          <w:sz w:val="28"/>
          <w:szCs w:val="28"/>
          <w:lang w:eastAsia="zh-CN"/>
        </w:rPr>
        <w:t xml:space="preserve"> </w:t>
      </w:r>
      <w:r>
        <w:rPr>
          <w:rFonts w:hint="eastAsia" w:cs="Times New Roman" w:asciiTheme="minorAscii" w:hAnsiTheme="minorAscii"/>
          <w:b/>
          <w:bCs/>
          <w:color w:val="C55A11" w:themeColor="accent2" w:themeShade="BF"/>
          <w:sz w:val="28"/>
          <w:szCs w:val="28"/>
          <w:lang w:val="en-US" w:eastAsia="zh-CN"/>
        </w:rPr>
        <w:t>Marketing</w:t>
      </w:r>
      <w:r>
        <w:rPr>
          <w:rFonts w:hint="default" w:cs="Times New Roman" w:asciiTheme="minorAscii" w:hAnsiTheme="minorAscii" w:eastAsiaTheme="minorEastAsia"/>
          <w:b/>
          <w:bCs/>
          <w:color w:val="C55A11" w:themeColor="accent2" w:themeShade="BF"/>
          <w:sz w:val="28"/>
          <w:szCs w:val="28"/>
          <w:lang w:eastAsia="zh-CN"/>
        </w:rPr>
        <w:t xml:space="preserve"> Management (BMMB701</w:t>
      </w:r>
      <w:r>
        <w:rPr>
          <w:rFonts w:hint="eastAsia" w:cs="Times New Roman" w:asciiTheme="minorAscii" w:hAnsiTheme="minorAscii"/>
          <w:b/>
          <w:bCs/>
          <w:color w:val="C55A11" w:themeColor="accent2" w:themeShade="BF"/>
          <w:sz w:val="28"/>
          <w:szCs w:val="28"/>
          <w:lang w:val="en-US" w:eastAsia="zh-CN"/>
        </w:rPr>
        <w:t>2</w:t>
      </w:r>
      <w:r>
        <w:rPr>
          <w:rFonts w:hint="default" w:cs="Times New Roman" w:asciiTheme="minorAscii" w:hAnsiTheme="minorAscii" w:eastAsiaTheme="minorEastAsia"/>
          <w:b/>
          <w:bCs/>
          <w:color w:val="C55A11" w:themeColor="accent2" w:themeShade="BF"/>
          <w:sz w:val="28"/>
          <w:szCs w:val="28"/>
          <w:lang w:eastAsia="zh-CN"/>
        </w:rPr>
        <w:t>)</w:t>
      </w:r>
    </w:p>
    <w:p>
      <w:pPr>
        <w:rPr>
          <w:rFonts w:hint="default" w:cs="Times New Roman" w:asciiTheme="minorAscii" w:hAnsiTheme="minorAscii" w:eastAsiaTheme="minorEastAsia"/>
          <w:b/>
          <w:bCs/>
          <w:color w:val="C55A11" w:themeColor="accent2" w:themeShade="BF"/>
          <w:sz w:val="28"/>
          <w:szCs w:val="28"/>
          <w:lang w:val="en-US" w:eastAsia="zh-CN"/>
        </w:rPr>
      </w:pPr>
      <w:r>
        <w:rPr>
          <w:rFonts w:hint="default" w:cs="Times New Roman" w:asciiTheme="minorAscii" w:hAnsiTheme="minorAscii" w:eastAsiaTheme="minorEastAsia"/>
          <w:b/>
          <w:bCs/>
          <w:color w:val="C55A11" w:themeColor="accent2" w:themeShade="BF"/>
          <w:sz w:val="28"/>
          <w:szCs w:val="28"/>
          <w:lang w:eastAsia="zh-CN"/>
        </w:rPr>
        <w:t xml:space="preserve">NAME: </w:t>
      </w:r>
      <w:r>
        <w:rPr>
          <w:rFonts w:hint="eastAsia" w:cs="Times New Roman" w:asciiTheme="minorAscii" w:hAnsiTheme="minorAscii"/>
          <w:b/>
          <w:bCs/>
          <w:color w:val="C55A11" w:themeColor="accent2" w:themeShade="BF"/>
          <w:sz w:val="28"/>
          <w:szCs w:val="28"/>
          <w:lang w:val="en-US" w:eastAsia="zh-CN"/>
        </w:rPr>
        <w:t>Yiren Zhou</w:t>
      </w:r>
    </w:p>
    <w:p>
      <w:pPr>
        <w:rPr>
          <w:rFonts w:hint="eastAsia" w:cs="Times New Roman" w:asciiTheme="minorAscii" w:hAnsiTheme="minorAscii"/>
          <w:b/>
          <w:bCs/>
          <w:color w:val="C55A11" w:themeColor="accent2" w:themeShade="BF"/>
          <w:sz w:val="28"/>
          <w:szCs w:val="28"/>
          <w:lang w:val="en-US" w:eastAsia="zh-CN"/>
        </w:rPr>
      </w:pPr>
      <w:r>
        <w:rPr>
          <w:rFonts w:hint="default" w:cs="Times New Roman" w:asciiTheme="minorAscii" w:hAnsiTheme="minorAscii" w:eastAsiaTheme="minorEastAsia"/>
          <w:b/>
          <w:bCs/>
          <w:color w:val="C55A11" w:themeColor="accent2" w:themeShade="BF"/>
          <w:sz w:val="28"/>
          <w:szCs w:val="28"/>
          <w:lang w:eastAsia="zh-CN"/>
        </w:rPr>
        <w:t>STUDENTNUMBER:22</w:t>
      </w:r>
      <w:r>
        <w:rPr>
          <w:rFonts w:hint="eastAsia" w:cs="Times New Roman" w:asciiTheme="minorAscii" w:hAnsiTheme="minorAscii"/>
          <w:b/>
          <w:bCs/>
          <w:color w:val="C55A11" w:themeColor="accent2" w:themeShade="BF"/>
          <w:sz w:val="28"/>
          <w:szCs w:val="28"/>
          <w:lang w:val="en-US" w:eastAsia="zh-CN"/>
        </w:rPr>
        <w:t>06235</w:t>
      </w:r>
    </w:p>
    <w:p>
      <w:pPr>
        <w:rPr>
          <w:rFonts w:hint="default" w:cs="Times New Roman" w:asciiTheme="minorAscii" w:hAnsiTheme="minorAscii"/>
          <w:b/>
          <w:bCs/>
          <w:color w:val="C55A11" w:themeColor="accent2" w:themeShade="BF"/>
          <w:sz w:val="28"/>
          <w:szCs w:val="28"/>
          <w:lang w:val="en-US" w:eastAsia="zh-CN"/>
        </w:rPr>
      </w:pPr>
      <w:r>
        <w:rPr>
          <w:rFonts w:hint="default" w:cs="Times New Roman" w:asciiTheme="minorAscii" w:hAnsiTheme="minorAscii"/>
          <w:b/>
          <w:bCs/>
          <w:color w:val="C55A11" w:themeColor="accent2" w:themeShade="BF"/>
          <w:sz w:val="28"/>
          <w:szCs w:val="28"/>
          <w:lang w:val="en-US" w:eastAsia="zh-CN"/>
        </w:rPr>
        <w:br w:type="page"/>
      </w:r>
      <w:bookmarkStart w:id="28" w:name="_GoBack"/>
      <w:bookmarkEnd w:id="28"/>
    </w:p>
    <w:p>
      <w:pPr>
        <w:rPr>
          <w:rFonts w:hint="eastAsia" w:ascii="Times New Roman" w:hAnsi="Times New Roman" w:cs="Times New Roman"/>
          <w:b/>
          <w:bCs/>
          <w:sz w:val="28"/>
          <w:szCs w:val="28"/>
          <w:lang w:val="en-US" w:eastAsia="zh-CN"/>
        </w:rPr>
      </w:pPr>
    </w:p>
    <w:p>
      <w:pPr>
        <w:ind w:firstLine="2100" w:firstLineChars="1000"/>
        <w:rPr>
          <w:rFonts w:hint="default" w:ascii="Times New Roman" w:hAnsi="Times New Roman" w:cs="Times New Roman"/>
          <w:b/>
          <w:bCs/>
          <w:sz w:val="28"/>
          <w:szCs w:val="28"/>
        </w:rPr>
      </w:pPr>
      <w:r>
        <w:rPr>
          <w:rFonts w:hint="eastAsia" w:ascii="宋体" w:hAnsi="宋体" w:eastAsia="宋体" w:cstheme="minorBidi"/>
          <w:kern w:val="2"/>
          <w:sz w:val="21"/>
          <w:szCs w:val="24"/>
          <w:lang w:val="en-US" w:eastAsia="zh-CN" w:bidi="ar-SA"/>
        </w:rPr>
        <w:t xml:space="preserve">      </w:t>
      </w:r>
      <w:r>
        <w:rPr>
          <w:rFonts w:hint="default" w:ascii="Times New Roman" w:hAnsi="Times New Roman" w:cs="Times New Roman"/>
          <w:b/>
          <w:bCs/>
          <w:sz w:val="28"/>
          <w:szCs w:val="28"/>
        </w:rPr>
        <w:t>Table of Contents</w:t>
      </w:r>
    </w:p>
    <w:p>
      <w:pPr>
        <w:spacing w:before="0" w:beforeLines="0" w:after="0" w:afterLines="0" w:line="240" w:lineRule="auto"/>
        <w:ind w:left="0" w:leftChars="0" w:right="0" w:rightChars="0" w:firstLine="0" w:firstLineChars="0"/>
        <w:jc w:val="center"/>
      </w:pP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_Toc31585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1.</w:t>
      </w:r>
      <w:r>
        <w:rPr>
          <w:rFonts w:hint="default" w:ascii="Times New Roman" w:hAnsi="Times New Roman" w:cs="Times New Roman"/>
          <w:bCs/>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_Toc31585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_Toc23723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w:t>
      </w:r>
      <w:r>
        <w:rPr>
          <w:rFonts w:hint="default" w:ascii="Times New Roman" w:hAnsi="Times New Roman" w:cs="Times New Roman"/>
          <w:bCs/>
          <w:sz w:val="24"/>
          <w:szCs w:val="24"/>
        </w:rPr>
        <w:t>PEST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_Toc23723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_Toc26253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 xml:space="preserve">2.1 </w:t>
      </w:r>
      <w:r>
        <w:rPr>
          <w:rFonts w:hint="default" w:ascii="Times New Roman" w:hAnsi="Times New Roman" w:cs="Times New Roman"/>
          <w:bCs/>
          <w:sz w:val="24"/>
          <w:szCs w:val="24"/>
        </w:rPr>
        <w:t>Political environment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_Toc26253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_Toc16925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2.2 Economic environment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_Toc16925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_Toc31865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2.3 Social environment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_Toc31865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_Toc31789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 Technology environment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_Toc31789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_Toc28388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3.Porter's Five Forces model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_Toc28388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_Toc1718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3.1 Threats from potential competitors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_Toc1718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_Toc24328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3.2 Bargaining power of suppliers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_Toc24328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_Toc26541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3.3 Bargaining power of the buyer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_Toc26541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_Toc1570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3.4 Substitute Threat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_Toc1570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_Toc31240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4.SWOT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_Toc31240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_Toc1845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4.1</w:t>
      </w:r>
      <w:r>
        <w:rPr>
          <w:rFonts w:hint="default" w:ascii="Times New Roman" w:hAnsi="Times New Roman" w:cs="Times New Roman"/>
          <w:sz w:val="24"/>
          <w:szCs w:val="24"/>
          <w:lang w:val="en-US" w:eastAsia="zh-CN"/>
        </w:rPr>
        <w:t xml:space="preserve"> </w:t>
      </w:r>
      <w:r>
        <w:rPr>
          <w:rFonts w:hint="default" w:ascii="Times New Roman" w:hAnsi="Times New Roman" w:cs="Times New Roman"/>
          <w:bCs/>
          <w:sz w:val="24"/>
          <w:szCs w:val="24"/>
          <w:lang w:val="en-US" w:eastAsia="zh-CN"/>
        </w:rPr>
        <w:t>Strengths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_Toc1845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_Toc24835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4.2 Weaknesses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_Toc24835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_Toc23495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4.3 Opportunities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_Toc23495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_Toc28251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4.4 T</w:t>
      </w:r>
      <w:r>
        <w:rPr>
          <w:rFonts w:hint="default" w:ascii="Times New Roman" w:hAnsi="Times New Roman" w:cs="Times New Roman"/>
          <w:bCs/>
          <w:sz w:val="24"/>
          <w:szCs w:val="24"/>
        </w:rPr>
        <w:t>hreat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_Toc28251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_Toc7089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5.Analysis of IKEA's marketing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_Toc7089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_Toc23405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5.1 Product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_Toc23405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_Toc8243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5.2 Price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_Toc8243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_Toc29798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5.3 Channel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_Toc29798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_Toc17645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6.</w:t>
      </w:r>
      <w:r>
        <w:rPr>
          <w:rFonts w:hint="default" w:ascii="Times New Roman" w:hAnsi="Times New Roman" w:cs="Times New Roman"/>
          <w:bCs/>
          <w:sz w:val="24"/>
          <w:szCs w:val="24"/>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_Toc17645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7"/>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_Toc3561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7.</w:t>
      </w:r>
      <w:r>
        <w:rPr>
          <w:rFonts w:hint="default" w:ascii="Times New Roman" w:hAnsi="Times New Roman" w:cs="Times New Roman"/>
          <w:bCs/>
          <w:sz w:val="24"/>
          <w:szCs w:val="24"/>
        </w:rPr>
        <w:t>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_Toc3561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_Toc23922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7.</w:t>
      </w:r>
      <w:r>
        <w:rPr>
          <w:rFonts w:hint="eastAsia" w:ascii="Times New Roman" w:hAnsi="Times New Roman" w:cs="Times New Roman"/>
          <w:bCs/>
          <w:sz w:val="24"/>
          <w:szCs w:val="24"/>
          <w:lang w:val="en-US" w:eastAsia="zh-CN"/>
        </w:rPr>
        <w:t>1</w:t>
      </w:r>
      <w:r>
        <w:rPr>
          <w:rFonts w:hint="default" w:ascii="Times New Roman" w:hAnsi="Times New Roman" w:cs="Times New Roman"/>
          <w:bCs/>
          <w:sz w:val="24"/>
          <w:szCs w:val="24"/>
          <w:lang w:val="en-US" w:eastAsia="zh-CN"/>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_Toc23922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Culture combination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_Toc23922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_Toc8396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7.</w:t>
      </w:r>
      <w:r>
        <w:rPr>
          <w:rFonts w:hint="eastAsia" w:ascii="Times New Roman" w:hAnsi="Times New Roman" w:cs="Times New Roman"/>
          <w:bCs/>
          <w:sz w:val="24"/>
          <w:szCs w:val="24"/>
          <w:lang w:val="en-US" w:eastAsia="zh-CN"/>
        </w:rPr>
        <w:t xml:space="preserve">2 </w:t>
      </w:r>
      <w:r>
        <w:rPr>
          <w:rFonts w:hint="default" w:ascii="Times New Roman" w:hAnsi="Times New Roman" w:cs="Times New Roman"/>
          <w:bCs/>
          <w:sz w:val="24"/>
          <w:szCs w:val="24"/>
          <w:lang w:val="en-US" w:eastAsia="zh-CN"/>
        </w:rPr>
        <w:t>Improve the after-sales service system</w:t>
      </w:r>
      <w:r>
        <w:rPr>
          <w:rFonts w:hint="default" w:ascii="Times New Roman" w:hAnsi="Times New Roman" w:cs="Times New Roman"/>
          <w:sz w:val="24"/>
          <w:szCs w:val="24"/>
        </w:rPr>
        <w:tab/>
      </w:r>
      <w:r>
        <w:rPr>
          <w:rFonts w:hint="eastAsia" w:ascii="Times New Roman" w:hAnsi="Times New Roman" w:cs="Times New Roman"/>
          <w:sz w:val="24"/>
          <w:szCs w:val="24"/>
          <w:lang w:val="en-US" w:eastAsia="zh-CN"/>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_Toc23922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7.3 Culture combination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_Toc23922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_Toc8396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7.4 Keep innovating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_Toc8396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r>
        <w:rPr>
          <w:rFonts w:hint="default" w:ascii="Times New Roman" w:hAnsi="Times New Roman" w:cs="Times New Roman"/>
          <w:sz w:val="24"/>
          <w:szCs w:val="24"/>
        </w:rPr>
        <w:fldChar w:fldCharType="end"/>
      </w:r>
    </w:p>
    <w:p>
      <w:pP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br w:type="page"/>
      </w:r>
    </w:p>
    <w:p>
      <w:pPr>
        <w:rPr>
          <w:rFonts w:hint="eastAsia" w:ascii="Times New Roman" w:hAnsi="Times New Roman" w:cs="Times New Roman"/>
          <w:b/>
          <w:bCs/>
          <w:sz w:val="28"/>
          <w:szCs w:val="28"/>
          <w:lang w:val="en-US" w:eastAsia="zh-CN"/>
        </w:rPr>
      </w:pPr>
    </w:p>
    <w:p>
      <w:pPr>
        <w:rPr>
          <w:rFonts w:hint="eastAsia" w:ascii="Times New Roman" w:hAnsi="Times New Roman" w:cs="Times New Roman"/>
          <w:b/>
          <w:bCs/>
          <w:sz w:val="28"/>
          <w:szCs w:val="28"/>
          <w:lang w:val="en-US" w:eastAsia="zh-CN"/>
        </w:rPr>
      </w:pPr>
    </w:p>
    <w:p>
      <w:pPr>
        <w:jc w:val="center"/>
        <w:rPr>
          <w:rFonts w:hint="eastAsia" w:ascii="Times New Roman" w:hAnsi="Times New Roman" w:cs="Times New Roman"/>
          <w:b/>
          <w:bCs/>
          <w:sz w:val="28"/>
          <w:szCs w:val="28"/>
        </w:rPr>
      </w:pPr>
      <w:r>
        <w:rPr>
          <w:rFonts w:hint="default" w:ascii="Times New Roman" w:hAnsi="Times New Roman" w:cs="Times New Roman"/>
          <w:b/>
          <w:bCs/>
          <w:sz w:val="28"/>
          <w:szCs w:val="28"/>
        </w:rPr>
        <w:t>Executive Summary</w:t>
      </w:r>
    </w:p>
    <w:p>
      <w:pPr>
        <w:ind w:firstLine="480" w:firstLineChars="200"/>
        <w:jc w:val="both"/>
        <w:rPr>
          <w:rFonts w:hint="eastAsia" w:ascii="Times New Roman" w:hAnsi="Times New Roman" w:cs="Times New Roman"/>
          <w:b w:val="0"/>
          <w:bCs w:val="0"/>
          <w:sz w:val="24"/>
          <w:szCs w:val="24"/>
        </w:rPr>
      </w:pPr>
      <w:r>
        <w:rPr>
          <w:rFonts w:hint="eastAsia" w:ascii="Times New Roman" w:hAnsi="Times New Roman" w:cs="Times New Roman"/>
          <w:b w:val="0"/>
          <w:bCs w:val="0"/>
          <w:sz w:val="24"/>
          <w:szCs w:val="24"/>
        </w:rPr>
        <w:t>As the economy adjusts to its new normal, the competitive structure of the home furnishings market shifts, and capital juggernauts with a focus on smart homes have entered the market, driving the industry's process of modernization and transformation. IKEA Home, an industrial behemoth with nearly 80 years of development, sets out to "create a better life for the public" in response to the restructuring of the industrial market, diversification of consumer demand, and reform of the industrial structure. It actively integrates into the market and grows to become one of the key players in China's furniture industry. IKEA is nonetheless also dealing with certain issues as the new era develops. For example, slow market growth and weak consumer groups have brought difficulties to the development of IKEA furniture enterprises, which is also a problem that needs to be emphasized in the process of sustainable development of IKEA furniture.</w:t>
      </w:r>
    </w:p>
    <w:p>
      <w:pPr>
        <w:numPr>
          <w:ilvl w:val="0"/>
          <w:numId w:val="0"/>
        </w:numPr>
        <w:jc w:val="both"/>
        <w:outlineLvl w:val="0"/>
        <w:rPr>
          <w:rFonts w:hint="eastAsia" w:ascii="Times New Roman" w:hAnsi="Times New Roman" w:cs="Times New Roman"/>
          <w:b/>
          <w:bCs/>
          <w:sz w:val="28"/>
          <w:szCs w:val="28"/>
          <w:lang w:val="en-US" w:eastAsia="zh-CN"/>
        </w:rPr>
        <w:sectPr>
          <w:pgSz w:w="11906" w:h="16838"/>
          <w:pgMar w:top="1440" w:right="1800" w:bottom="1440" w:left="1800" w:header="851" w:footer="992" w:gutter="0"/>
          <w:cols w:space="425" w:num="1"/>
          <w:docGrid w:type="lines" w:linePitch="312" w:charSpace="0"/>
        </w:sectPr>
      </w:pPr>
    </w:p>
    <w:p>
      <w:pPr>
        <w:numPr>
          <w:ilvl w:val="0"/>
          <w:numId w:val="0"/>
        </w:numPr>
        <w:jc w:val="both"/>
        <w:outlineLvl w:val="0"/>
        <w:rPr>
          <w:rFonts w:hint="eastAsia"/>
        </w:rPr>
      </w:pPr>
      <w:r>
        <w:rPr>
          <w:rFonts w:hint="eastAsia" w:ascii="Times New Roman" w:hAnsi="Times New Roman" w:cs="Times New Roman"/>
          <w:b/>
          <w:bCs/>
          <w:sz w:val="28"/>
          <w:szCs w:val="28"/>
          <w:lang w:val="en-US" w:eastAsia="zh-CN"/>
        </w:rPr>
        <w:t>1.</w:t>
      </w:r>
      <w:r>
        <w:rPr>
          <w:rFonts w:hint="default" w:ascii="Times New Roman" w:hAnsi="Times New Roman" w:cs="Times New Roman"/>
          <w:b/>
          <w:bCs/>
          <w:sz w:val="28"/>
          <w:szCs w:val="28"/>
        </w:rPr>
        <w:t>Introduction</w:t>
      </w:r>
      <w:bookmarkEnd w:id="0"/>
      <w:bookmarkEnd w:id="1"/>
      <w:bookmarkEnd w:id="2"/>
      <w:bookmarkEnd w:id="3"/>
      <w:bookmarkEnd w:id="4"/>
    </w:p>
    <w:p>
      <w:pPr>
        <w:rPr>
          <w:rFonts w:hint="eastAsia"/>
        </w:rPr>
      </w:pPr>
    </w:p>
    <w:p>
      <w:pPr>
        <w:numPr>
          <w:ilvl w:val="0"/>
          <w:numId w:val="0"/>
        </w:num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This paper analyzes IKEA through Porter's Five Forces, PEST model and SWOT model, analyzes IKEA's marketing strategy and existing problems in the home retail industry, and then puts forward a feasible strategy for reference.</w:t>
      </w:r>
    </w:p>
    <w:p>
      <w:pPr>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Ingvar Kamprad, just 17 years old, established the Ikea Group in the Swedish village of Aganari. IKEA Group, which sells close to 10,000 products, including series for the bedroom, kitchen, and office, has become the largest supplier of furniture and household goods in the world with the goal of improving people's daily lives. Ikea markets its goods as "affordable, luxurious, and long-lasting" home furnishings. In order to consistently satisfy the various demands of more customers, take into account various economic affordability and offer varied products, as well as more consumer groups working together to achieve progress, in order to offer more consumers greater quality of life and pursuit.</w:t>
      </w:r>
      <w:r>
        <w:rPr>
          <w:rFonts w:hint="default" w:ascii="Times New Roman" w:hAnsi="Times New Roman" w:cs="Times New Roman"/>
          <w:sz w:val="24"/>
          <w:szCs w:val="24"/>
        </w:rPr>
        <w:br w:type="page"/>
      </w:r>
    </w:p>
    <w:p>
      <w:pPr>
        <w:numPr>
          <w:ilvl w:val="0"/>
          <w:numId w:val="0"/>
        </w:numPr>
        <w:outlineLvl w:val="0"/>
        <w:rPr>
          <w:rFonts w:hint="default" w:ascii="Times New Roman" w:hAnsi="Times New Roman" w:cs="Times New Roman"/>
          <w:b/>
          <w:bCs/>
          <w:sz w:val="28"/>
          <w:szCs w:val="28"/>
        </w:rPr>
      </w:pPr>
      <w:bookmarkStart w:id="5" w:name="_Toc23723"/>
      <w:r>
        <w:rPr>
          <w:rFonts w:hint="default" w:ascii="Times New Roman" w:hAnsi="Times New Roman" w:cs="Times New Roman"/>
          <w:b/>
          <w:bCs/>
          <w:sz w:val="28"/>
          <w:szCs w:val="28"/>
          <w:lang w:val="en-US" w:eastAsia="zh-CN"/>
        </w:rPr>
        <w:t>2.</w:t>
      </w:r>
      <w:r>
        <w:rPr>
          <w:rFonts w:hint="default" w:ascii="Times New Roman" w:hAnsi="Times New Roman" w:cs="Times New Roman"/>
          <w:b/>
          <w:bCs/>
          <w:sz w:val="28"/>
          <w:szCs w:val="28"/>
        </w:rPr>
        <w:t>PEST Analysis</w:t>
      </w:r>
      <w:bookmarkEnd w:id="5"/>
    </w:p>
    <w:p>
      <w:pPr>
        <w:numPr>
          <w:ilvl w:val="0"/>
          <w:numId w:val="0"/>
        </w:numPr>
        <w:outlineLvl w:val="1"/>
        <w:rPr>
          <w:rFonts w:hint="eastAsia" w:ascii="Times New Roman" w:hAnsi="Times New Roman" w:cs="Times New Roman"/>
          <w:sz w:val="24"/>
          <w:szCs w:val="24"/>
          <w:lang w:val="en-US" w:eastAsia="zh-CN"/>
        </w:rPr>
      </w:pPr>
      <w:bookmarkStart w:id="6" w:name="_Toc26253"/>
      <w:r>
        <w:rPr>
          <w:rFonts w:hint="eastAsia" w:ascii="Times New Roman" w:hAnsi="Times New Roman" w:cs="Times New Roman"/>
          <w:b/>
          <w:bCs/>
          <w:sz w:val="28"/>
          <w:szCs w:val="28"/>
          <w:lang w:val="en-US" w:eastAsia="zh-CN"/>
        </w:rPr>
        <w:t xml:space="preserve">2.1 </w:t>
      </w:r>
      <w:r>
        <w:rPr>
          <w:rFonts w:hint="default" w:ascii="Times New Roman" w:hAnsi="Times New Roman" w:cs="Times New Roman"/>
          <w:b/>
          <w:bCs/>
          <w:sz w:val="28"/>
          <w:szCs w:val="28"/>
        </w:rPr>
        <w:t>Political environment</w:t>
      </w:r>
      <w:bookmarkEnd w:id="6"/>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Peace and progress are the era's guiding principles. The state of international politics is steady. Countries are now experiencing a period of largely peaceful, stable, and development. It provides a favorable atmosphere for the global expansion of IKEA as well as for the creation of chain shops and the growth of international shopping complexes. The current political climate, which is characterized by stable growth, a welcoming attitude toward international businesses, a focus on the entrance of foreign capital, and matching favorable policies, has allowed IKEA to quickly advance its worldwide plan.</w:t>
      </w:r>
    </w:p>
    <w:p>
      <w:pPr>
        <w:numPr>
          <w:ilvl w:val="0"/>
          <w:numId w:val="0"/>
        </w:numPr>
        <w:outlineLvl w:val="1"/>
        <w:rPr>
          <w:rFonts w:hint="default" w:ascii="Times New Roman" w:hAnsi="Times New Roman" w:cs="Times New Roman"/>
          <w:b/>
          <w:bCs/>
          <w:sz w:val="28"/>
          <w:szCs w:val="28"/>
          <w:lang w:val="en-US" w:eastAsia="zh-CN"/>
        </w:rPr>
      </w:pPr>
      <w:bookmarkStart w:id="7" w:name="_Toc16925"/>
      <w:r>
        <w:rPr>
          <w:rFonts w:hint="default" w:ascii="Times New Roman" w:hAnsi="Times New Roman" w:cs="Times New Roman"/>
          <w:b/>
          <w:bCs/>
          <w:sz w:val="28"/>
          <w:szCs w:val="28"/>
          <w:lang w:val="en-US" w:eastAsia="zh-CN"/>
        </w:rPr>
        <w:t>2.2 Economic environment</w:t>
      </w:r>
      <w:bookmarkEnd w:id="7"/>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We are currently living in a new era of rapidly advancing information economy. Despite this time of economic turmoil, the world economy continued its natural path of continuous high expansion. Many emerging nations have seen tremendous economic growth in recent years, as well as rising per capita income and consumption levels, rising purchasing power, and enormous market potential. IKEA started to broaden its target market as a result. satisfy the demands of customers worldwide.</w:t>
      </w:r>
    </w:p>
    <w:p>
      <w:pPr>
        <w:numPr>
          <w:ilvl w:val="0"/>
          <w:numId w:val="0"/>
        </w:numPr>
        <w:outlineLvl w:val="1"/>
        <w:rPr>
          <w:rFonts w:hint="default" w:ascii="Times New Roman" w:hAnsi="Times New Roman" w:cs="Times New Roman"/>
          <w:b/>
          <w:bCs/>
          <w:sz w:val="28"/>
          <w:szCs w:val="28"/>
          <w:lang w:val="en-US" w:eastAsia="zh-CN"/>
        </w:rPr>
      </w:pPr>
      <w:bookmarkStart w:id="8" w:name="_Toc31865"/>
      <w:r>
        <w:rPr>
          <w:rFonts w:hint="default" w:ascii="Times New Roman" w:hAnsi="Times New Roman" w:cs="Times New Roman"/>
          <w:b/>
          <w:bCs/>
          <w:sz w:val="28"/>
          <w:szCs w:val="28"/>
          <w:lang w:val="en-US" w:eastAsia="zh-CN"/>
        </w:rPr>
        <w:t>2.3 Social environment</w:t>
      </w:r>
      <w:bookmarkEnd w:id="8"/>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People's consumption concepts are gradually evolving and improving as living standards rise. Consumers are starting to focus more on product quality and the pursuit of a good quality of life. Additionally, well-integrated, clearly indicated home furnishings shops may better cater to customers' hectic lifestyles. IKEA is therefore increasingly well-known and appealing as a one-stop shopping center for everything related to home and living.</w:t>
      </w:r>
    </w:p>
    <w:p>
      <w:pPr>
        <w:numPr>
          <w:ilvl w:val="0"/>
          <w:numId w:val="0"/>
        </w:numPr>
        <w:outlineLvl w:val="1"/>
        <w:rPr>
          <w:rFonts w:hint="default" w:ascii="Times New Roman" w:hAnsi="Times New Roman" w:cs="Times New Roman"/>
          <w:sz w:val="28"/>
          <w:szCs w:val="28"/>
          <w:lang w:val="en-US" w:eastAsia="zh-CN"/>
        </w:rPr>
      </w:pPr>
      <w:bookmarkStart w:id="9" w:name="_Toc31789"/>
      <w:r>
        <w:rPr>
          <w:rFonts w:hint="default" w:ascii="Times New Roman" w:hAnsi="Times New Roman" w:cs="Times New Roman"/>
          <w:sz w:val="28"/>
          <w:szCs w:val="28"/>
          <w:lang w:val="en-US" w:eastAsia="zh-CN"/>
        </w:rPr>
        <w:t>2.4 Technology environment</w:t>
      </w:r>
      <w:bookmarkEnd w:id="9"/>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degree of science and technology keeps advancing as a result of the information technology and scientific fields' more active growth. The creation, production, and sale of products are becoming easier, quicker, and more capable of accommodating the many customer wants in more ways, resulting in a wider variety of items. Daily growth is also being seen in the manufacturing scale. The market for IKEA home furnishings is becoming increasingly competitive as new materials and technology are applied.</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numPr>
          <w:ilvl w:val="0"/>
          <w:numId w:val="0"/>
        </w:numPr>
        <w:rPr>
          <w:rFonts w:hint="default" w:ascii="Times New Roman" w:hAnsi="Times New Roman" w:cs="Times New Roman"/>
          <w:sz w:val="24"/>
          <w:szCs w:val="24"/>
          <w:lang w:val="en-US" w:eastAsia="zh-CN"/>
        </w:rPr>
      </w:pPr>
    </w:p>
    <w:p>
      <w:pPr>
        <w:numPr>
          <w:ilvl w:val="0"/>
          <w:numId w:val="0"/>
        </w:numPr>
        <w:outlineLvl w:val="0"/>
        <w:rPr>
          <w:rFonts w:hint="default" w:ascii="Times New Roman" w:hAnsi="Times New Roman" w:cs="Times New Roman"/>
          <w:b/>
          <w:bCs/>
          <w:sz w:val="28"/>
          <w:szCs w:val="28"/>
          <w:lang w:val="en-US" w:eastAsia="zh-CN"/>
        </w:rPr>
      </w:pPr>
      <w:bookmarkStart w:id="10" w:name="_Toc28388"/>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Porter's Five Forces model analysis</w:t>
      </w:r>
      <w:bookmarkEnd w:id="10"/>
    </w:p>
    <w:p>
      <w:pPr>
        <w:numPr>
          <w:ilvl w:val="0"/>
          <w:numId w:val="0"/>
        </w:numPr>
        <w:outlineLvl w:val="1"/>
        <w:rPr>
          <w:rFonts w:hint="default" w:ascii="Times New Roman" w:hAnsi="Times New Roman" w:cs="Times New Roman"/>
          <w:b/>
          <w:bCs/>
          <w:sz w:val="28"/>
          <w:szCs w:val="28"/>
          <w:lang w:val="en-US" w:eastAsia="zh-CN"/>
        </w:rPr>
      </w:pPr>
      <w:bookmarkStart w:id="11" w:name="_Toc1718"/>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 xml:space="preserve">.1 Threats from </w:t>
      </w:r>
      <w:r>
        <w:rPr>
          <w:rFonts w:hint="eastAsia" w:ascii="Times New Roman" w:hAnsi="Times New Roman" w:cs="Times New Roman"/>
          <w:b/>
          <w:bCs/>
          <w:sz w:val="28"/>
          <w:szCs w:val="28"/>
          <w:lang w:val="en-US" w:eastAsia="zh-CN"/>
        </w:rPr>
        <w:t>p</w:t>
      </w:r>
      <w:r>
        <w:rPr>
          <w:rFonts w:hint="default" w:ascii="Times New Roman" w:hAnsi="Times New Roman" w:cs="Times New Roman"/>
          <w:b/>
          <w:bCs/>
          <w:sz w:val="28"/>
          <w:szCs w:val="28"/>
          <w:lang w:val="en-US" w:eastAsia="zh-CN"/>
        </w:rPr>
        <w:t xml:space="preserve">otential </w:t>
      </w: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lang w:val="en-US" w:eastAsia="zh-CN"/>
        </w:rPr>
        <w:t>ompetitors</w:t>
      </w:r>
      <w:bookmarkEnd w:id="11"/>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market for home furnishings, there are many other brands, many of which are top-notch and may compete with or even outperform IKEA. There are many new businesses and all manufacturers are aggressively pushing their worldwide plans. Numerous top-notch foreign furniture makers have been and are being drawn in because of the enormous potential demand for furniture in mainland China. In addition to IKEA, several foreign manufacturers of furniture have established facilities all over the world. It is clear that both the threat posed by new competitors and the intense competition within IKEA are highly significant.</w:t>
      </w:r>
    </w:p>
    <w:p>
      <w:pPr>
        <w:numPr>
          <w:ilvl w:val="0"/>
          <w:numId w:val="0"/>
        </w:numPr>
        <w:outlineLvl w:val="1"/>
        <w:rPr>
          <w:rFonts w:hint="default" w:ascii="Times New Roman" w:hAnsi="Times New Roman" w:cs="Times New Roman"/>
          <w:b/>
          <w:bCs/>
          <w:sz w:val="28"/>
          <w:szCs w:val="28"/>
          <w:lang w:val="en-US" w:eastAsia="zh-CN"/>
        </w:rPr>
      </w:pPr>
      <w:bookmarkStart w:id="12" w:name="_Toc24328"/>
      <w:r>
        <w:rPr>
          <w:rFonts w:hint="eastAsia" w:ascii="Times New Roman" w:hAnsi="Times New Roman" w:cs="Times New Roman"/>
          <w:b/>
          <w:bCs/>
          <w:sz w:val="28"/>
          <w:szCs w:val="28"/>
          <w:lang w:val="en-US" w:eastAsia="zh-CN"/>
        </w:rPr>
        <w:t xml:space="preserve">3.2 </w:t>
      </w:r>
      <w:r>
        <w:rPr>
          <w:rFonts w:hint="default" w:ascii="Times New Roman" w:hAnsi="Times New Roman" w:cs="Times New Roman"/>
          <w:b/>
          <w:bCs/>
          <w:sz w:val="28"/>
          <w:szCs w:val="28"/>
          <w:lang w:val="en-US" w:eastAsia="zh-CN"/>
        </w:rPr>
        <w:t>Bargaining power of suppliers</w:t>
      </w:r>
      <w:bookmarkEnd w:id="12"/>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Reverse pricing is a distinctive tactic used by Ikea. IKEA's product designers don't just focus on the goods' innovative looks; they also see design as a crucial factor that directly influences the price of material choice, processing technology, and logistics distribution. In order to significantly cut costs, Ikea has been advancing the technologies and processes used in production and processing. For instance, IKEA designers employed composite polymers rather of wood, and subsequently, to further cut costs, IKEA developed a new method to the furniture business by infusing gas into the composite plastic. This helped to save resources, reduce weight, and produce goods more quickly. By collaborating with its suppliers, Ikea was able to find a solution. There are certain variations in the pertinent raw materials, requirements, and quality, etc. </w:t>
      </w:r>
    </w:p>
    <w:p>
      <w:pPr>
        <w:numPr>
          <w:ilvl w:val="0"/>
          <w:numId w:val="0"/>
        </w:numPr>
        <w:outlineLvl w:val="1"/>
        <w:rPr>
          <w:rFonts w:hint="default" w:ascii="Times New Roman" w:hAnsi="Times New Roman" w:cs="Times New Roman"/>
          <w:b/>
          <w:bCs/>
          <w:sz w:val="28"/>
          <w:szCs w:val="28"/>
          <w:lang w:val="en-US" w:eastAsia="zh-CN"/>
        </w:rPr>
      </w:pPr>
      <w:bookmarkStart w:id="13" w:name="_Toc26541"/>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3 Bargaining power of the buyer</w:t>
      </w:r>
      <w:bookmarkEnd w:id="13"/>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Customers often have a type of negotiating psychology and always expect that firms will make some accommodations. Varied consumers have different consumption expectations and psychological expectations based on their individual consumption capacities and psychological notions. As a result, the quantity of items purchased will vary depending on the merchant's discount intensity. In order to increase its product sales and boost customer happiness, IKEA also offers a variety of discounted items every day and shapes consumers' consumption habits in accordance with the maxim of purchasing more and receiving discounts.</w:t>
      </w:r>
    </w:p>
    <w:p>
      <w:pPr>
        <w:numPr>
          <w:ilvl w:val="0"/>
          <w:numId w:val="0"/>
        </w:numPr>
        <w:outlineLvl w:val="1"/>
        <w:rPr>
          <w:rFonts w:hint="default" w:ascii="Times New Roman" w:hAnsi="Times New Roman" w:cs="Times New Roman"/>
          <w:b/>
          <w:bCs/>
          <w:sz w:val="28"/>
          <w:szCs w:val="28"/>
          <w:lang w:val="en-US" w:eastAsia="zh-CN"/>
        </w:rPr>
      </w:pPr>
      <w:bookmarkStart w:id="14" w:name="_Toc1570"/>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.4 Substitute Threat</w:t>
      </w:r>
      <w:bookmarkEnd w:id="14"/>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Due to its location, Ikea furniture goods are primarily made of basic plastic and sturdy wood. There are many options for the same furnishings in a market with a large variety of products. For instance, new materials of pure natural plastic furniture, fine and straightforward mahogany furniture, and so on, all pose a serious challenge to IKEA. Housing, appliances for the home, and other consumer items are complementary products of the furniture sector. In order to accomplish the overall development of the living environment and the pursuit of a high quality of life, individuals will be encouraged by the high cost of house acquisition to decorate and acquire furnishings at a greater cost.The cost of furniture has increased as a result of decreased prices for household appliances and other essentials. Therefore, from a broad perspective, supplementary furniture items for the furniture business do not pose a significant threat.</w:t>
      </w:r>
    </w:p>
    <w:p>
      <w:pPr>
        <w:numPr>
          <w:ilvl w:val="0"/>
          <w:numId w:val="0"/>
        </w:numP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5 Threats from competitors in the industry</w:t>
      </w:r>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Eurostyle of Denmark and B&amp;Q of the United Kingdom are two furniture chains that rival IKEA. Red Star Macalline and Jinghome are the two leading brands on the Chinese market. Despite the strength and competitiveness of these home furnishings firms, IKEA has consistently been able to seize the lead and do effectively. IKEA's success is based on its relentless pursuit of beautiful and imaginative design, exceptional quality, and affordable pricing to win over customers. Red Star Macalline and Jingjia are two domestic household chain titans from the north and south that both lack imagination and the capacity for autonomous research and development; Have a contentious relationship with the established retailers and earn money by collecting mall rent.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numPr>
          <w:ilvl w:val="0"/>
          <w:numId w:val="0"/>
        </w:numPr>
        <w:ind w:firstLine="480" w:firstLineChars="200"/>
        <w:rPr>
          <w:rFonts w:hint="default" w:ascii="Times New Roman" w:hAnsi="Times New Roman" w:cs="Times New Roman"/>
          <w:sz w:val="24"/>
          <w:szCs w:val="24"/>
          <w:lang w:val="en-US" w:eastAsia="zh-CN"/>
        </w:rPr>
      </w:pPr>
    </w:p>
    <w:p>
      <w:pPr>
        <w:numPr>
          <w:ilvl w:val="0"/>
          <w:numId w:val="0"/>
        </w:numPr>
        <w:outlineLvl w:val="0"/>
        <w:rPr>
          <w:rFonts w:hint="default" w:ascii="Times New Roman" w:hAnsi="Times New Roman" w:cs="Times New Roman"/>
          <w:b/>
          <w:bCs/>
          <w:sz w:val="28"/>
          <w:szCs w:val="28"/>
          <w:lang w:val="en-US" w:eastAsia="zh-CN"/>
        </w:rPr>
      </w:pPr>
      <w:bookmarkStart w:id="15" w:name="_Toc31240"/>
      <w:r>
        <w:rPr>
          <w:rFonts w:hint="eastAsia" w:ascii="Times New Roman" w:hAnsi="Times New Roman" w:cs="Times New Roman"/>
          <w:b/>
          <w:bCs/>
          <w:sz w:val="28"/>
          <w:szCs w:val="28"/>
          <w:lang w:val="en-US" w:eastAsia="zh-CN"/>
        </w:rPr>
        <w:t>4.</w:t>
      </w:r>
      <w:r>
        <w:rPr>
          <w:rFonts w:hint="default" w:ascii="Times New Roman" w:hAnsi="Times New Roman" w:cs="Times New Roman"/>
          <w:b/>
          <w:bCs/>
          <w:sz w:val="28"/>
          <w:szCs w:val="28"/>
          <w:lang w:val="en-US" w:eastAsia="zh-CN"/>
        </w:rPr>
        <w:t>SWOT analysis</w:t>
      </w:r>
      <w:bookmarkEnd w:id="15"/>
    </w:p>
    <w:p>
      <w:pPr>
        <w:numPr>
          <w:ilvl w:val="0"/>
          <w:numId w:val="0"/>
        </w:numPr>
        <w:outlineLvl w:val="1"/>
        <w:rPr>
          <w:rFonts w:hint="default" w:ascii="Times New Roman" w:hAnsi="Times New Roman" w:cs="Times New Roman"/>
          <w:sz w:val="24"/>
          <w:szCs w:val="24"/>
          <w:lang w:val="en-US" w:eastAsia="zh-CN"/>
        </w:rPr>
      </w:pPr>
      <w:bookmarkStart w:id="16" w:name="_Toc1845"/>
      <w:r>
        <w:rPr>
          <w:rFonts w:hint="eastAsia" w:ascii="Times New Roman" w:hAnsi="Times New Roman" w:cs="Times New Roman"/>
          <w:b/>
          <w:bCs/>
          <w:sz w:val="28"/>
          <w:szCs w:val="28"/>
          <w:lang w:val="en-US" w:eastAsia="zh-CN"/>
        </w:rPr>
        <w:t>4.1</w:t>
      </w:r>
      <w:r>
        <w:rPr>
          <w:rFonts w:hint="default" w:ascii="Times New Roman" w:hAnsi="Times New Roman" w:cs="Times New Roman"/>
          <w:sz w:val="24"/>
          <w:szCs w:val="24"/>
          <w:lang w:val="en-US" w:eastAsia="zh-CN"/>
        </w:rPr>
        <w:t xml:space="preserve"> </w:t>
      </w:r>
      <w:r>
        <w:rPr>
          <w:rFonts w:hint="default" w:ascii="Times New Roman" w:hAnsi="Times New Roman" w:cs="Times New Roman"/>
          <w:b/>
          <w:bCs/>
          <w:sz w:val="28"/>
          <w:szCs w:val="28"/>
          <w:lang w:val="en-US" w:eastAsia="zh-CN"/>
        </w:rPr>
        <w:t>Strengths</w:t>
      </w:r>
      <w:bookmarkEnd w:id="16"/>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Every year, Ikea's design staff adds roughly 3,000 new products to its catalog, and there are up to 10,000 key sales items. The product range includes lighting lamps and decorations, living room series, bedroom series, kitchen series, house storage series, children series, etc., encompassing all facets of people's lives. The "IKEA wind" has been blown up in the consumer market by the powerful brand style output, and many home furnishings businesses now copy it.</w:t>
      </w:r>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Since its inception, IKEA has continuously used a low pricing strategy. Prior to designing the product, determine the price. Ikea uses market research to establish product pricing, after which it chooses suppliers, layouts, and manufacturing processes to keep high quality at reasonable costs. The introduction of flat packaging allows for the installation of customer-installed strategies, a significant decrease in transportation costs, and greater potential for price reductions.</w:t>
      </w:r>
    </w:p>
    <w:p>
      <w:pPr>
        <w:numPr>
          <w:ilvl w:val="0"/>
          <w:numId w:val="0"/>
        </w:numPr>
        <w:rPr>
          <w:rFonts w:hint="default" w:ascii="Times New Roman" w:hAnsi="Times New Roman" w:cs="Times New Roman"/>
          <w:sz w:val="24"/>
          <w:szCs w:val="24"/>
          <w:lang w:val="en-US" w:eastAsia="zh-CN"/>
        </w:rPr>
      </w:pPr>
    </w:p>
    <w:p>
      <w:pPr>
        <w:numPr>
          <w:ilvl w:val="0"/>
          <w:numId w:val="0"/>
        </w:numPr>
        <w:outlineLvl w:val="1"/>
        <w:rPr>
          <w:rFonts w:hint="default" w:ascii="Times New Roman" w:hAnsi="Times New Roman" w:cs="Times New Roman"/>
          <w:sz w:val="24"/>
          <w:szCs w:val="24"/>
          <w:lang w:val="en-US" w:eastAsia="zh-CN"/>
        </w:rPr>
      </w:pPr>
      <w:bookmarkStart w:id="17" w:name="_Toc24835"/>
      <w:r>
        <w:rPr>
          <w:rFonts w:hint="eastAsia" w:ascii="Times New Roman" w:hAnsi="Times New Roman" w:cs="Times New Roman"/>
          <w:b/>
          <w:bCs/>
          <w:sz w:val="28"/>
          <w:szCs w:val="28"/>
          <w:lang w:val="en-US" w:eastAsia="zh-CN"/>
        </w:rPr>
        <w:t xml:space="preserve">4.2 </w:t>
      </w:r>
      <w:r>
        <w:rPr>
          <w:rFonts w:hint="default" w:ascii="Times New Roman" w:hAnsi="Times New Roman" w:cs="Times New Roman"/>
          <w:b/>
          <w:bCs/>
          <w:sz w:val="28"/>
          <w:szCs w:val="28"/>
          <w:lang w:val="en-US" w:eastAsia="zh-CN"/>
        </w:rPr>
        <w:t>Weaknesses</w:t>
      </w:r>
      <w:bookmarkEnd w:id="17"/>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product display of typical internet retailers is flat, the marketing activities are adaptable, and customers have strong motivations in contrast to the showroom design that encourages people to make more and more purchases in IKEA's physical locations. Online shopping malls offer a higher benefit in terms of convenience than traveling dozens of kilometers to suburban retailers. In general, there will be some effect on the flow of physical stores from the promotion of online shopping malls.</w:t>
      </w:r>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Ikea's logistics strategy consists of a self-built warehouse and outside installation and shipping services. Since no reliable third-party logistics system has been built, issues including delayed logistics, expensive delivery, and inconsistent service quality are likely to arise. The consuming experiences of customers will be impacted by these issues, which will also have a certain negative effect on IKEA. This time, IKEA will only assist with distribution in the provinces of Shanghai, Jiangsu, Zhejiang, and Anhui.</w:t>
      </w:r>
    </w:p>
    <w:p>
      <w:pPr>
        <w:numPr>
          <w:ilvl w:val="0"/>
          <w:numId w:val="0"/>
        </w:numPr>
        <w:outlineLvl w:val="1"/>
        <w:rPr>
          <w:rFonts w:hint="default" w:ascii="Times New Roman" w:hAnsi="Times New Roman" w:cs="Times New Roman"/>
          <w:b/>
          <w:bCs/>
          <w:sz w:val="28"/>
          <w:szCs w:val="28"/>
          <w:u w:val="none"/>
          <w:lang w:val="en-US" w:eastAsia="zh-CN"/>
        </w:rPr>
      </w:pPr>
      <w:bookmarkStart w:id="18" w:name="_Toc23495"/>
      <w:r>
        <w:rPr>
          <w:rFonts w:hint="eastAsia" w:ascii="Times New Roman" w:hAnsi="Times New Roman" w:cs="Times New Roman"/>
          <w:b/>
          <w:bCs/>
          <w:sz w:val="28"/>
          <w:szCs w:val="28"/>
          <w:u w:val="none"/>
          <w:lang w:val="en-US" w:eastAsia="zh-CN"/>
        </w:rPr>
        <w:t xml:space="preserve">4.3 </w:t>
      </w:r>
      <w:r>
        <w:rPr>
          <w:rFonts w:hint="default" w:ascii="Times New Roman" w:hAnsi="Times New Roman" w:cs="Times New Roman"/>
          <w:b/>
          <w:bCs/>
          <w:sz w:val="28"/>
          <w:szCs w:val="28"/>
          <w:u w:val="none"/>
          <w:lang w:val="en-US" w:eastAsia="zh-CN"/>
        </w:rPr>
        <w:t>Opportunities</w:t>
      </w:r>
      <w:bookmarkEnd w:id="18"/>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Consumers in third- and fourth-tier cities have significant consumption potential, with the demand for home goods growing as a result of social and economic advancement and the rapid urbanization process. Some medium and high-end first-tier brands of food, home furnishings, household appliances, and other sectors have started to migrate to third-tier and fourth-tier cities, however at the moment, there is a gap in the market since these cities' home furnishing businesses lack a strategic layout.</w:t>
      </w:r>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years of research, Alibaba, a major player in the domestic e-commerce market, has developed a set of expert digital business systems. As a result, businesses that partner with it may greatly enhance their capacity to build digital systems. Ikea may use Alibaba's technologies to construct a digital version of the "show store." For the exposure rate to be maintained, the Tmall platform offers consistent monthly active fans. Sales have been sparked by sporadic, massive promotional events like "618 Mid-Year Festival" and "Double Eleven."</w:t>
      </w:r>
    </w:p>
    <w:p>
      <w:pPr>
        <w:numPr>
          <w:ilvl w:val="0"/>
          <w:numId w:val="0"/>
        </w:numPr>
        <w:outlineLvl w:val="1"/>
        <w:rPr>
          <w:rFonts w:hint="default" w:ascii="Times New Roman" w:hAnsi="Times New Roman" w:cs="Times New Roman"/>
          <w:b/>
          <w:bCs/>
          <w:sz w:val="28"/>
          <w:szCs w:val="28"/>
        </w:rPr>
      </w:pPr>
      <w:bookmarkStart w:id="19" w:name="_Toc28251"/>
      <w:r>
        <w:rPr>
          <w:rFonts w:hint="eastAsia" w:ascii="Times New Roman" w:hAnsi="Times New Roman" w:cs="Times New Roman"/>
          <w:b/>
          <w:bCs/>
          <w:sz w:val="28"/>
          <w:szCs w:val="28"/>
          <w:lang w:val="en-US" w:eastAsia="zh-CN"/>
        </w:rPr>
        <w:t xml:space="preserve">4.4 </w:t>
      </w:r>
      <w:r>
        <w:rPr>
          <w:rFonts w:hint="default" w:ascii="Times New Roman" w:hAnsi="Times New Roman" w:cs="Times New Roman"/>
          <w:b/>
          <w:bCs/>
          <w:sz w:val="28"/>
          <w:szCs w:val="28"/>
          <w:lang w:val="en-US" w:eastAsia="zh-CN"/>
        </w:rPr>
        <w:t>T</w:t>
      </w:r>
      <w:r>
        <w:rPr>
          <w:rFonts w:hint="default" w:ascii="Times New Roman" w:hAnsi="Times New Roman" w:cs="Times New Roman"/>
          <w:b/>
          <w:bCs/>
          <w:sz w:val="28"/>
          <w:szCs w:val="28"/>
        </w:rPr>
        <w:t>hreat</w:t>
      </w:r>
      <w:bookmarkEnd w:id="19"/>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furniture sector has a low entry barrier, which leads to numerous businesses being founded through copying and a major homogeneity of products. Ikea items are even the target of numerous imitations from consumers and businesses, which is especially evident on well-known e-commerce platforms. Online shoppers will evaluate comparable goods in a variety of ways. The atmosphere of free shipping and installation for online shopping in China is not ideal for Ikea's freight norm of 9.9 yuan for small products and 119 yuan for large items, which will practically influence customers' decisions.</w:t>
      </w:r>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Unlike IKEA, which was reluctant to embrace e-commerce, the domestic e-commerce platform fought bravely, created a furniture monopoly platform to support the traditional home retail mall, and added well-known foreign brands. The market has simultaneously witnessed the growth of other cutting-edge and niche Internet celebrity brands, such as the swiftly expanding Japanese brand NITORI, which will be a big rival to IKEA in terms of its low price strategy, brand aesthetic, and brand reputation.</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br w:type="page"/>
      </w:r>
    </w:p>
    <w:p>
      <w:pPr>
        <w:numPr>
          <w:ilvl w:val="0"/>
          <w:numId w:val="0"/>
        </w:numPr>
        <w:outlineLvl w:val="0"/>
        <w:rPr>
          <w:rFonts w:hint="default" w:ascii="Times New Roman" w:hAnsi="Times New Roman" w:cs="Times New Roman"/>
          <w:b/>
          <w:bCs/>
          <w:sz w:val="28"/>
          <w:szCs w:val="28"/>
          <w:lang w:val="en-US" w:eastAsia="zh-CN"/>
        </w:rPr>
      </w:pPr>
      <w:bookmarkStart w:id="20" w:name="_Toc7089"/>
      <w:r>
        <w:rPr>
          <w:rFonts w:hint="eastAsia" w:ascii="Times New Roman" w:hAnsi="Times New Roman" w:cs="Times New Roman"/>
          <w:b/>
          <w:bCs/>
          <w:sz w:val="28"/>
          <w:szCs w:val="28"/>
          <w:lang w:val="en-US" w:eastAsia="zh-CN"/>
        </w:rPr>
        <w:t>5.</w:t>
      </w:r>
      <w:r>
        <w:rPr>
          <w:rFonts w:hint="default" w:ascii="Times New Roman" w:hAnsi="Times New Roman" w:cs="Times New Roman"/>
          <w:b/>
          <w:bCs/>
          <w:sz w:val="28"/>
          <w:szCs w:val="28"/>
          <w:lang w:val="en-US" w:eastAsia="zh-CN"/>
        </w:rPr>
        <w:t>Analysis of IKEA's marketing strategy</w:t>
      </w:r>
      <w:bookmarkEnd w:id="20"/>
    </w:p>
    <w:p>
      <w:pPr>
        <w:numPr>
          <w:ilvl w:val="0"/>
          <w:numId w:val="0"/>
        </w:numPr>
        <w:outlineLvl w:val="1"/>
        <w:rPr>
          <w:rFonts w:hint="default" w:ascii="Times New Roman" w:hAnsi="Times New Roman" w:cs="Times New Roman"/>
          <w:sz w:val="24"/>
          <w:szCs w:val="24"/>
          <w:lang w:val="en-US" w:eastAsia="zh-CN"/>
        </w:rPr>
      </w:pPr>
      <w:bookmarkStart w:id="21" w:name="_Toc23405"/>
      <w:r>
        <w:rPr>
          <w:rFonts w:hint="eastAsia" w:ascii="Times New Roman" w:hAnsi="Times New Roman" w:cs="Times New Roman"/>
          <w:b/>
          <w:bCs/>
          <w:sz w:val="28"/>
          <w:szCs w:val="28"/>
          <w:lang w:val="en-US" w:eastAsia="zh-CN"/>
        </w:rPr>
        <w:t xml:space="preserve">5.1 </w:t>
      </w:r>
      <w:r>
        <w:rPr>
          <w:rFonts w:hint="default" w:ascii="Times New Roman" w:hAnsi="Times New Roman" w:cs="Times New Roman"/>
          <w:b/>
          <w:bCs/>
          <w:sz w:val="28"/>
          <w:szCs w:val="28"/>
          <w:lang w:val="en-US" w:eastAsia="zh-CN"/>
        </w:rPr>
        <w:t>Product strategy</w:t>
      </w:r>
      <w:bookmarkEnd w:id="21"/>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IKEA has always had a distinct product market positioning, the pursuit of beautiful and useful product design, a wide variety of product series, a distinctive style, ongoing innovation, and cost-reduction strategy to open the market, achieved success, and developed into the industry leader in terms of home furnishings. IKEA recently introduced customized design to its standardization category, which also includes product improvement and humanization. Ikea combines various components of standardized products during production so that each component can be combined with various other components to produce a variety of results. This enables Ikea to naturally resolve the conflict between consumer differentiation and standardization and allows customers to choose the products they prefer to take home. </w:t>
      </w:r>
    </w:p>
    <w:p>
      <w:pPr>
        <w:numPr>
          <w:ilvl w:val="0"/>
          <w:numId w:val="0"/>
        </w:numPr>
        <w:outlineLvl w:val="1"/>
        <w:rPr>
          <w:rFonts w:hint="default" w:ascii="Times New Roman" w:hAnsi="Times New Roman" w:cs="Times New Roman"/>
          <w:sz w:val="24"/>
          <w:szCs w:val="24"/>
          <w:lang w:val="en-US" w:eastAsia="zh-CN"/>
        </w:rPr>
      </w:pPr>
      <w:bookmarkStart w:id="22" w:name="_Toc8243"/>
      <w:r>
        <w:rPr>
          <w:rFonts w:hint="eastAsia" w:ascii="Times New Roman" w:hAnsi="Times New Roman" w:cs="Times New Roman"/>
          <w:b/>
          <w:bCs/>
          <w:sz w:val="28"/>
          <w:szCs w:val="28"/>
          <w:lang w:val="en-US" w:eastAsia="zh-CN"/>
        </w:rPr>
        <w:t xml:space="preserve">5.2 </w:t>
      </w:r>
      <w:r>
        <w:rPr>
          <w:rFonts w:hint="default" w:ascii="Times New Roman" w:hAnsi="Times New Roman" w:cs="Times New Roman"/>
          <w:b/>
          <w:bCs/>
          <w:sz w:val="28"/>
          <w:szCs w:val="28"/>
          <w:lang w:val="en-US" w:eastAsia="zh-CN"/>
        </w:rPr>
        <w:t>Price strategy</w:t>
      </w:r>
      <w:bookmarkEnd w:id="22"/>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IKEA has consistently used the low-cost marketing approach of high sales and low profits. Ikea has always committed to the low-cost design philosophy and relies on this model to establish a competitive pricing strategy. By planning costs ahead of time, pricing in reverse based on market demand and competitors' prices, designing products within a budget, utilizing regional and global advantages, choosing manufacturers and materials, buying high-quality and affordable raw materials, and choosing low-cost labor, realizing cost savings, pursuing the reduction of final cost price, and achieving "products with the same selling price,"</w:t>
      </w:r>
    </w:p>
    <w:p>
      <w:pPr>
        <w:numPr>
          <w:ilvl w:val="0"/>
          <w:numId w:val="0"/>
        </w:numPr>
        <w:outlineLvl w:val="1"/>
        <w:rPr>
          <w:rFonts w:hint="default" w:ascii="Times New Roman" w:hAnsi="Times New Roman" w:cs="Times New Roman"/>
          <w:b/>
          <w:bCs/>
          <w:sz w:val="28"/>
          <w:szCs w:val="28"/>
          <w:lang w:val="en-US" w:eastAsia="zh-CN"/>
        </w:rPr>
      </w:pPr>
      <w:bookmarkStart w:id="23" w:name="_Toc29798"/>
      <w:r>
        <w:rPr>
          <w:rFonts w:hint="eastAsia" w:ascii="Times New Roman" w:hAnsi="Times New Roman" w:cs="Times New Roman"/>
          <w:b/>
          <w:bCs/>
          <w:sz w:val="28"/>
          <w:szCs w:val="28"/>
          <w:lang w:val="en-US" w:eastAsia="zh-CN"/>
        </w:rPr>
        <w:t xml:space="preserve">5.3 </w:t>
      </w:r>
      <w:r>
        <w:rPr>
          <w:rFonts w:hint="default" w:ascii="Times New Roman" w:hAnsi="Times New Roman" w:cs="Times New Roman"/>
          <w:b/>
          <w:bCs/>
          <w:sz w:val="28"/>
          <w:szCs w:val="28"/>
          <w:lang w:val="en-US" w:eastAsia="zh-CN"/>
        </w:rPr>
        <w:t>Channel strategy</w:t>
      </w:r>
      <w:bookmarkEnd w:id="23"/>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IKEA has its own distinctive sales methods as a major international furniture company. IKEA solely engages in the design and sales connections and bids for production and manufacturing processes through outsourcing, therefore reaping significant cost benefits, thanks to worldwide overall planning and coordination. The facts available as of 2018 indicate that more than two thirds of IKEA products sold worldwide are made in Europe. In 55 countries and territories, Ikea collaborates with more than 1,500 suppliers, nine of which have entirely owned factories. IKEA's own product line, which has 309 stores across 38 nations and regions, produces nearly 9,500 different items. Ikea's e-commerce development must be a trend with great potential in the future. The "multi-channel retail" strategy opens a new chapter for iterative upgrade. </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outlineLvl w:val="0"/>
        <w:rPr>
          <w:rFonts w:hint="default" w:ascii="Times New Roman" w:hAnsi="Times New Roman" w:cs="Times New Roman"/>
          <w:sz w:val="24"/>
          <w:szCs w:val="24"/>
          <w:lang w:val="en-US" w:eastAsia="zh-CN"/>
        </w:rPr>
      </w:pPr>
      <w:bookmarkStart w:id="24" w:name="_Toc17645"/>
      <w:r>
        <w:rPr>
          <w:rFonts w:hint="eastAsia" w:ascii="Times New Roman" w:hAnsi="Times New Roman" w:cs="Times New Roman"/>
          <w:b/>
          <w:bCs/>
          <w:sz w:val="28"/>
          <w:szCs w:val="28"/>
          <w:lang w:val="en-US" w:eastAsia="zh-CN"/>
        </w:rPr>
        <w:t>6.</w:t>
      </w:r>
      <w:r>
        <w:rPr>
          <w:rFonts w:hint="default" w:ascii="Times New Roman" w:hAnsi="Times New Roman" w:cs="Times New Roman"/>
          <w:b/>
          <w:bCs/>
          <w:sz w:val="28"/>
          <w:szCs w:val="28"/>
        </w:rPr>
        <w:t>Conclusion</w:t>
      </w:r>
      <w:bookmarkEnd w:id="24"/>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IKEA will have to deal with the prospect of growing prices brought on by various resource shortages and price hikes throughout the "low price tidal" development process. In particular, the shortage of wood will have a significant negative influence on IKEA's development. Consumers' expectations for the safety and environmental protection of furniture goods are increasing as the notion of environmental protection is implemented and the "green" movement gains traction. In light of this, IKEA must rely on the strategy of cheap price to compete with domestic and foreign businesses and achieve market share if it wants to have a position and showcase its brand.</w:t>
      </w:r>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Customers on the Chinese mainland do not like Ikea's after-sales services, such as the self-transportation and self-installation options. However, mainland China falls significantly behind wealthy nations like Europe and the United States in terms of the prevalence of private automobiles. Due to consumer dissatisfaction, consumers are forced to lug large and small furniture into various forms of public transit without being reimbursed for the harm done during the transportation process. Furthermore, it might be challenging to determine who is responsible for harm brought on by unskilled consumers during the installation procedure. As a result, IKEA's after-sales service has emerged as one of the industry's most pressing and significant issues.</w:t>
      </w:r>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Different attitudes and practices toward consumption result from cultural differences. International marketing takes into account the various cultural origins and value systems. Therefore, the foundation and assurance of the success of foreign marketing activities is the scientific analysis and study of cultural differences to help businesses adapt to the diverse cultural environment.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numPr>
          <w:ilvl w:val="0"/>
          <w:numId w:val="0"/>
        </w:numPr>
        <w:ind w:firstLine="480" w:firstLineChars="200"/>
        <w:rPr>
          <w:rFonts w:hint="default" w:ascii="Times New Roman" w:hAnsi="Times New Roman" w:cs="Times New Roman"/>
          <w:sz w:val="24"/>
          <w:szCs w:val="24"/>
          <w:lang w:val="en-US" w:eastAsia="zh-CN"/>
        </w:rPr>
      </w:pPr>
    </w:p>
    <w:p>
      <w:pPr>
        <w:numPr>
          <w:ilvl w:val="0"/>
          <w:numId w:val="0"/>
        </w:numPr>
        <w:outlineLvl w:val="0"/>
        <w:rPr>
          <w:rFonts w:hint="default" w:ascii="Times New Roman" w:hAnsi="Times New Roman" w:cs="Times New Roman"/>
          <w:sz w:val="24"/>
          <w:szCs w:val="24"/>
          <w:lang w:val="en-US" w:eastAsia="zh-CN"/>
        </w:rPr>
      </w:pPr>
      <w:bookmarkStart w:id="25" w:name="_Toc3561"/>
      <w:r>
        <w:rPr>
          <w:rFonts w:hint="eastAsia" w:ascii="Times New Roman" w:hAnsi="Times New Roman" w:cs="Times New Roman"/>
          <w:b/>
          <w:bCs/>
          <w:sz w:val="28"/>
          <w:szCs w:val="28"/>
          <w:lang w:val="en-US" w:eastAsia="zh-CN"/>
        </w:rPr>
        <w:t>7.</w:t>
      </w:r>
      <w:r>
        <w:rPr>
          <w:rFonts w:hint="default" w:ascii="Times New Roman" w:hAnsi="Times New Roman" w:cs="Times New Roman"/>
          <w:b/>
          <w:bCs/>
          <w:sz w:val="28"/>
          <w:szCs w:val="28"/>
        </w:rPr>
        <w:t>Recommendations</w:t>
      </w:r>
      <w:bookmarkEnd w:id="25"/>
    </w:p>
    <w:p>
      <w:pPr>
        <w:numPr>
          <w:ilvl w:val="0"/>
          <w:numId w:val="0"/>
        </w:numP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7.1</w:t>
      </w:r>
      <w:r>
        <w:rPr>
          <w:rFonts w:hint="default" w:ascii="Times New Roman" w:hAnsi="Times New Roman" w:cs="Times New Roman"/>
          <w:b/>
          <w:bCs/>
          <w:sz w:val="28"/>
          <w:szCs w:val="28"/>
          <w:lang w:val="en-US" w:eastAsia="zh-CN"/>
        </w:rPr>
        <w:t xml:space="preserve"> Implement differentiated development.</w:t>
      </w:r>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Businesses have struggled to successfully build their core competitiveness by depending simply on a single product's capacity to meet customer expectations as a result of the growing product convergence. The best way to increase customer loyalty is to combine the product's emotional and functional features, based on ensuring the product's quality and function, leveraging the product to let customers know about the company's culture, and emotionally satisfying their needs. IKEA has introduced affordable catering services in stores with the goal of appealing to some middle- and low-income consumer groups. Because of IKEA's low prices and delectable cuisine, many consumers who previously had no interest in purchasing IKEA furniture now frequent IKEA stores.In accordance with this approach, IKEA recognizes the important role that furniture plays in people's daily lives and works to provide consumers with furniture that is full of artistic flair in order to set itself apart from other businesses. In the several units that make up Ikea's product display, various types of furniture are logically mixed together. Customers who don't like to spend money on furniture can become devoted IKEA patrons by copying the integrated components to their own homes, which saves the energy of difficult design.</w:t>
      </w:r>
    </w:p>
    <w:p>
      <w:pPr>
        <w:numPr>
          <w:ilvl w:val="0"/>
          <w:numId w:val="0"/>
        </w:numP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7.2 </w:t>
      </w:r>
      <w:r>
        <w:rPr>
          <w:rFonts w:hint="default" w:ascii="Times New Roman" w:hAnsi="Times New Roman" w:cs="Times New Roman"/>
          <w:b/>
          <w:bCs/>
          <w:sz w:val="28"/>
          <w:szCs w:val="28"/>
          <w:lang w:val="en-US" w:eastAsia="zh-CN"/>
        </w:rPr>
        <w:t>Improve the after-sales service system</w:t>
      </w:r>
    </w:p>
    <w:p>
      <w:pPr>
        <w:numPr>
          <w:ilvl w:val="0"/>
          <w:numId w:val="0"/>
        </w:numPr>
        <w:ind w:firstLine="480" w:firstLineChars="200"/>
        <w:rPr>
          <w:rFonts w:hint="default" w:ascii="Times New Roman" w:hAnsi="Times New Roman" w:cs="Times New Roman"/>
          <w:sz w:val="28"/>
          <w:szCs w:val="28"/>
          <w:lang w:val="en-US" w:eastAsia="zh-CN"/>
        </w:rPr>
      </w:pPr>
      <w:r>
        <w:rPr>
          <w:rFonts w:hint="default" w:ascii="Times New Roman" w:hAnsi="Times New Roman" w:cs="Times New Roman"/>
          <w:sz w:val="24"/>
          <w:szCs w:val="24"/>
          <w:lang w:val="en-US" w:eastAsia="zh-CN"/>
        </w:rPr>
        <w:t>Home furnishing after-sale assembly and transportation services are crucial to the industry. Ikea is not meant to include delivery and installation; it is meant to service itself. IKEA may thus benefit from successful supermarkets' after-sales service system. For instance, offer fixed route customers free or inexpensive shuttle public transportation routes; each product comes with thorough instructions for use. IKEA's after-sales service satisfaction in China will significantly rise as a result. Create a platform for communication, enhance IKEA's system for providing after-sales support, and raise customer satisfaction.</w:t>
      </w:r>
    </w:p>
    <w:p>
      <w:pPr>
        <w:numPr>
          <w:ilvl w:val="0"/>
          <w:numId w:val="0"/>
        </w:numPr>
        <w:outlineLvl w:val="1"/>
        <w:rPr>
          <w:rFonts w:hint="default" w:ascii="Times New Roman" w:hAnsi="Times New Roman" w:cs="Times New Roman"/>
          <w:b/>
          <w:bCs/>
          <w:sz w:val="28"/>
          <w:szCs w:val="28"/>
          <w:lang w:val="en-US" w:eastAsia="zh-CN"/>
        </w:rPr>
      </w:pPr>
      <w:bookmarkStart w:id="26" w:name="_Toc23922"/>
      <w:r>
        <w:rPr>
          <w:rFonts w:hint="eastAsia" w:ascii="Times New Roman" w:hAnsi="Times New Roman" w:cs="Times New Roman"/>
          <w:b/>
          <w:bCs/>
          <w:sz w:val="28"/>
          <w:szCs w:val="28"/>
          <w:lang w:val="en-US" w:eastAsia="zh-CN"/>
        </w:rPr>
        <w:t>7.3</w:t>
      </w:r>
      <w:r>
        <w:rPr>
          <w:rFonts w:hint="default" w:ascii="Times New Roman" w:hAnsi="Times New Roman" w:cs="Times New Roman"/>
          <w:b/>
          <w:bCs/>
          <w:sz w:val="28"/>
          <w:szCs w:val="28"/>
          <w:lang w:val="en-US" w:eastAsia="zh-CN"/>
        </w:rPr>
        <w:t xml:space="preserve"> Culture combination strategy</w:t>
      </w:r>
      <w:bookmarkEnd w:id="26"/>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create a development strategy for China that is in accordance with the growth of the Chinese market, Ikea should integrate Chinese and Western cultural elements. We may hold Chinese cultural product design displays in the Chinese market in real time in conjunction with Chinese festivals while maintaining our own Western cultural notions. In order to increase awareness of IKEA among Chinese people and encourage more customers to make IKEA their first option, it is also possible to emphasize in the campaign the traditional Chinese idea of placing value on family.</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outlineLvl w:val="1"/>
        <w:rPr>
          <w:rFonts w:hint="default" w:ascii="Times New Roman" w:hAnsi="Times New Roman" w:cs="Times New Roman"/>
          <w:b/>
          <w:bCs/>
          <w:sz w:val="28"/>
          <w:szCs w:val="28"/>
          <w:lang w:val="en-US" w:eastAsia="zh-CN"/>
        </w:rPr>
      </w:pPr>
      <w:bookmarkStart w:id="27" w:name="_Toc8396"/>
      <w:r>
        <w:rPr>
          <w:rFonts w:hint="eastAsia" w:ascii="Times New Roman" w:hAnsi="Times New Roman" w:cs="Times New Roman"/>
          <w:b/>
          <w:bCs/>
          <w:sz w:val="28"/>
          <w:szCs w:val="28"/>
          <w:lang w:val="en-US" w:eastAsia="zh-CN"/>
        </w:rPr>
        <w:t xml:space="preserve">7.4 </w:t>
      </w:r>
      <w:r>
        <w:rPr>
          <w:rFonts w:hint="default" w:ascii="Times New Roman" w:hAnsi="Times New Roman" w:cs="Times New Roman"/>
          <w:b/>
          <w:bCs/>
          <w:sz w:val="28"/>
          <w:szCs w:val="28"/>
          <w:lang w:val="en-US" w:eastAsia="zh-CN"/>
        </w:rPr>
        <w:t>Keep innovating</w:t>
      </w:r>
      <w:bookmarkEnd w:id="27"/>
    </w:p>
    <w:p>
      <w:pPr>
        <w:numPr>
          <w:ilvl w:val="0"/>
          <w:numId w:val="0"/>
        </w:numPr>
        <w:ind w:firstLine="480" w:firstLineChars="2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IKEA needs to study the integration of diverse resources, combine the concretization of the Chinese market, and set up an innovative system for multifaceted development. We can ascertain the consumer target through an examination of Porter's five forces and comprehend the market's development trajectory in China. We must constantly innovate in terms of concepts, technologies, organizations, and systems. Embrace competition to survive, and innovation to advance. Improve the company's key technological advantages consistently, allocate internal resources as efficiently and effectively as possible, fully utilize the company's internal potential, boost its competitiveness, and foster the long-term growth of IKEA. IKEA can only advance higher, farther, and more steadily via constant innovation.</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[1] He Lianzhiwei, Zhang Jingwei, Su Yanlin. Enterprise Strategic Management (3rd edition) [M]. Beijing: China Machine Press, 2015.</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[2] Don Schulz, Heidi Schulz. Don Schulz on Brand [M]. Translated by Gao Zengan and Zhao Hong. Beijing: Posts and Telecommunications Press, 2005.</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[3] Zhuo Chen. Analysis of IKEA's Brand Strategy [J]. China Commerce and Trade, 2012(10) : 107-108.</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[4] Yuan Jinyuan. Analysis of Low Cost Strategy and Core Competitiveness of IKEA [J]. Business Economics, 2016(2) : 48-49 + 125.]</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[5] Diao Min. Analysis of the success of IKEA [J]. Business Situation, 2014(15) :109.</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[6] Li Zhigang, Sun Xiumei, Zhang Xiao. Analysis of IKEA's Business Model [J]. Enterprise Management, 2010(10) : 56-58.</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[7] Bai Jia, Zhang Huixin. Localization Marketing Strategy of IKEA (China) [J]. Economic Guide, 2010(6) : 42-43.</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[8] Shen Jianmiao. How IKEA succeeded [J]. Economic Guide, 2003(2) : 72-74.</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[9] Wang Nengmin, Sun Linyan, Wang Yingluo. Green Supply Chain Management [M]. Beijing: Tsinghua University Press, 2006.</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[10] ZanHui 眆 Shi Xiaobing. A Challenger to IKEA [J]. Chinese Entrepreneurs, 2013(10) : 91-94 + 90 + 13.</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[11] Wang Sinan. Exploration and Development of Home Furnishing Industry O2O Model [J]. Shopping Mall Modernization, 2014(6) : 44-45.</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[12] Chen Hongjuan, Wang Gerui. Analysis on the Core Elements of IKEA's Successful Design [J]. Packaging Engineering, 2016(2) : 117-120.</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[13] Zhao Yanfeng. Global purchasing -- How to heal the "internal wound" of IKEA [J]. Information and Computer, 2014(3) : 94-98.</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[14] A Amir, SM Auzair, R Amiruddin. Cost Management,Entrepreneurship and Competitiveness of Strategic the Prior  ities for Small and Medium Enterprises [J]. Procedia -Social and Behavioral Sciences, 2016(219) : 84-90.</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[15] Yu, Shi Fu, Ed., Card Strategy [M]. Beijing Tsinghua University Press; Published by Beijing Jiaotong University</w:t>
      </w:r>
      <w:r>
        <w:rPr>
          <w:rFonts w:hint="eastAsia" w:ascii="Times New Roman" w:hAnsi="Times New Roman" w:eastAsia="DLF-3-36-737682623" w:cs="Times New Roman"/>
          <w:color w:val="231F20"/>
          <w:kern w:val="0"/>
          <w:sz w:val="24"/>
          <w:szCs w:val="24"/>
          <w:lang w:val="en-US" w:eastAsia="zh-CN" w:bidi="ar"/>
        </w:rPr>
        <w:t xml:space="preserve"> </w:t>
      </w:r>
      <w:r>
        <w:rPr>
          <w:rFonts w:hint="default" w:ascii="Times New Roman" w:hAnsi="Times New Roman" w:eastAsia="DLF-3-36-737682623" w:cs="Times New Roman"/>
          <w:color w:val="231F20"/>
          <w:kern w:val="0"/>
          <w:sz w:val="24"/>
          <w:szCs w:val="24"/>
          <w:lang w:val="en-US" w:eastAsia="zh-CN" w:bidi="ar"/>
        </w:rPr>
        <w:t>Press, August 2008, 57</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[16] Patrick Spenner and Karen Freeman, To Keep Your Customers, Keep it Simple, Harvard</w:t>
      </w:r>
      <w:r>
        <w:rPr>
          <w:rFonts w:hint="eastAsia" w:ascii="Times New Roman" w:hAnsi="Times New Roman" w:eastAsia="DLF-3-36-737682623" w:cs="Times New Roman"/>
          <w:color w:val="231F20"/>
          <w:kern w:val="0"/>
          <w:sz w:val="24"/>
          <w:szCs w:val="24"/>
          <w:lang w:val="en-US" w:eastAsia="zh-CN" w:bidi="ar"/>
        </w:rPr>
        <w:t xml:space="preserve"> </w:t>
      </w:r>
      <w:r>
        <w:rPr>
          <w:rFonts w:hint="default" w:ascii="Times New Roman" w:hAnsi="Times New Roman" w:eastAsia="DLF-3-36-737682623" w:cs="Times New Roman"/>
          <w:color w:val="231F20"/>
          <w:kern w:val="0"/>
          <w:sz w:val="24"/>
          <w:szCs w:val="24"/>
          <w:lang w:val="en-US" w:eastAsia="zh-CN" w:bidi="ar"/>
        </w:rPr>
        <w:t>Business Review [J]. (May 2012).</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[17] Max Blackston Observation: Building Brand Equity by Managing the Brand's Relationship.Journal of Advertising Research, Vol. 40: No. 6, Nov/Dec2000, pp.102</w:t>
      </w:r>
    </w:p>
    <w:p>
      <w:pPr>
        <w:keepNext w:val="0"/>
        <w:keepLines w:val="0"/>
        <w:pageBreakBefore w:val="0"/>
        <w:widowControl/>
        <w:suppressLineNumbers w:val="0"/>
        <w:kinsoku/>
        <w:wordWrap/>
        <w:overflowPunct/>
        <w:topLinePunct w:val="0"/>
        <w:autoSpaceDE/>
        <w:autoSpaceDN/>
        <w:bidi w:val="0"/>
        <w:adjustRightInd/>
        <w:snapToGrid/>
        <w:jc w:val="left"/>
        <w:textAlignment w:val="auto"/>
        <w:rPr>
          <w:rFonts w:hint="default" w:ascii="Times New Roman" w:hAnsi="Times New Roman" w:eastAsia="DLF-3-36-737682623" w:cs="Times New Roman"/>
          <w:color w:val="231F20"/>
          <w:kern w:val="0"/>
          <w:sz w:val="24"/>
          <w:szCs w:val="24"/>
          <w:lang w:val="en-US" w:eastAsia="zh-CN" w:bidi="ar"/>
        </w:rPr>
      </w:pPr>
      <w:r>
        <w:rPr>
          <w:rFonts w:hint="default" w:ascii="Times New Roman" w:hAnsi="Times New Roman" w:eastAsia="DLF-3-36-737682623" w:cs="Times New Roman"/>
          <w:color w:val="231F20"/>
          <w:kern w:val="0"/>
          <w:sz w:val="24"/>
          <w:szCs w:val="24"/>
          <w:lang w:val="en-US" w:eastAsia="zh-CN" w:bidi="ar"/>
        </w:rPr>
        <w:t>[18] Bjorn Frank, Boris HerbasTorrico, Takao Enkawa, Shane J. Schvaneveldc, Affect versus</w:t>
      </w:r>
      <w:r>
        <w:rPr>
          <w:rFonts w:hint="eastAsia" w:ascii="Times New Roman" w:hAnsi="Times New Roman" w:eastAsia="DLF-3-36-737682623" w:cs="Times New Roman"/>
          <w:color w:val="231F20"/>
          <w:kern w:val="0"/>
          <w:sz w:val="24"/>
          <w:szCs w:val="24"/>
          <w:lang w:val="en-US" w:eastAsia="zh-CN" w:bidi="ar"/>
        </w:rPr>
        <w:t xml:space="preserve"> </w:t>
      </w:r>
      <w:r>
        <w:rPr>
          <w:rFonts w:hint="default" w:ascii="Times New Roman" w:hAnsi="Times New Roman" w:eastAsia="DLF-3-36-737682623" w:cs="Times New Roman"/>
          <w:color w:val="231F20"/>
          <w:kern w:val="0"/>
          <w:sz w:val="24"/>
          <w:szCs w:val="24"/>
          <w:lang w:val="en-US" w:eastAsia="zh-CN" w:bidi="ar"/>
        </w:rPr>
        <w:t>Cognition in the Chain from Perceived Quality to Customer Loyalty: The Roles of Product Beliefs</w:t>
      </w:r>
      <w:r>
        <w:rPr>
          <w:rFonts w:hint="eastAsia" w:ascii="Times New Roman" w:hAnsi="Times New Roman" w:eastAsia="DLF-3-36-737682623" w:cs="Times New Roman"/>
          <w:color w:val="231F20"/>
          <w:kern w:val="0"/>
          <w:sz w:val="24"/>
          <w:szCs w:val="24"/>
          <w:lang w:val="en-US" w:eastAsia="zh-CN" w:bidi="ar"/>
        </w:rPr>
        <w:t xml:space="preserve"> </w:t>
      </w:r>
      <w:r>
        <w:rPr>
          <w:rFonts w:hint="default" w:ascii="Times New Roman" w:hAnsi="Times New Roman" w:eastAsia="DLF-3-36-737682623" w:cs="Times New Roman"/>
          <w:color w:val="231F20"/>
          <w:kern w:val="0"/>
          <w:sz w:val="24"/>
          <w:szCs w:val="24"/>
          <w:lang w:val="en-US" w:eastAsia="zh-CN" w:bidi="ar"/>
        </w:rPr>
        <w:t>and Experience, Journal of Retailing, Vol.90, Iss. 4, December 2014, pp.568-569</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[19](Karl T. Ulrich, Shiwen D. By Steven D. Eppinger,</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Jia, Shu Lin et al., Product Design and Development, 5th edition [M]. Beijing: China Machine Press, 2015.6,183-187</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[20] Operations and Supply Chains by Cecil, C. Zha and B. Dede, translated by Dongxian and Chengqiang Li</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Introduction to Management [M]. Beijing Tsinghua University Press, 2007.6, 15</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[21] Gerald M. Taylor, Lean Six Sigma Service Excellence:  a Guide to Green Belt Certification and Bottom Line Improvement[M].The Performance Management Group LLC,2012, pp.205-207</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[22] Pearce, John A. and Robinson, Richard B. Robinson, Jr., trans. Qian Feng, Strategic Management: Formulation, Implementation and Control (12th Ed., Beijing: China Renmin University Press, 2015, 190-191</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[23] Chen Dezhi, Wu Di, Li Jun, Wu Tingsheng, Research on the relationship between enterprise technology strategy and R&amp;D investment structure and innovation performance [J]. Research and Development Strategy, Management Engineering Journal, August 2014, 78</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[24] Nigel Slack, Alistair Landon Jones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Brandon-Jones), Robert Johnston, translated by Fujun Chen and Xiaowei Wu, Operations Management [M]. Beijing Tsinghua University Press, 2014, 71-73</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[25] Sunil Chopra, Manmohan S. Sodhi, Reducing the Risk of Supply Chain Disruptions,  IT Sloan Management Review [J]. (Spring 2014), pp.75</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[26] Thomas Odenwald, Christian Berg, a New Perspective on Enterprise Resource Management,  MIT Sloan Management Review [J]. (Fall 2014), pp.13</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cs="Times New Roman"/>
          <w:sz w:val="24"/>
          <w:szCs w:val="24"/>
        </w:rPr>
        <w:t>[27] Michael Minelli, Michele Chambers, AmbigaDhiraj, Big Data Big Analytics [M].New Jersey:  John Wiley &amp;Sons, 2013, pp.27-28</w:t>
      </w:r>
    </w:p>
    <w:p>
      <w:pPr>
        <w:numPr>
          <w:ilvl w:val="0"/>
          <w:numId w:val="0"/>
        </w:numPr>
        <w:ind w:firstLine="480" w:firstLineChars="200"/>
        <w:rPr>
          <w:rFonts w:hint="default" w:ascii="Times New Roman" w:hAnsi="Times New Roman" w:cs="Times New Roman"/>
          <w:sz w:val="24"/>
          <w:szCs w:val="24"/>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DLF-3-36-737682623">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2</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VkNmEzMjgzODY5OGZjYTkxMjIyY2Y2MDdjNjk3OTMifQ=="/>
  </w:docVars>
  <w:rsids>
    <w:rsidRoot w:val="61A73652"/>
    <w:rsid w:val="04F54777"/>
    <w:rsid w:val="61A73652"/>
    <w:rsid w:val="7B981D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qFormat/>
    <w:uiPriority w:val="0"/>
  </w:style>
  <w:style w:type="paragraph" w:customStyle="1" w:styleId="7">
    <w:name w:val="WPSOffice手动目录 1"/>
    <w:uiPriority w:val="0"/>
    <w:pPr>
      <w:ind w:leftChars="0"/>
    </w:pPr>
    <w:rPr>
      <w:rFonts w:ascii="Times New Roman" w:hAnsi="Times New Roman" w:eastAsia="宋体" w:cs="Times New Roman"/>
      <w:sz w:val="20"/>
      <w:szCs w:val="20"/>
    </w:rPr>
  </w:style>
  <w:style w:type="paragraph" w:customStyle="1" w:styleId="8">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3682</Words>
  <Characters>21111</Characters>
  <Lines>0</Lines>
  <Paragraphs>0</Paragraphs>
  <TotalTime>62</TotalTime>
  <ScaleCrop>false</ScaleCrop>
  <LinksUpToDate>false</LinksUpToDate>
  <CharactersWithSpaces>24693</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2022-12-16T06:03:00Z</dcterms:created>
  <dc:creator>文档存本地丢失不负责</dc:creator>
  <cp:lastModifiedBy>文档存本地丢失不负责</cp:lastModifiedBy>
  <dcterms:modified xsi:type="dcterms:W3CDTF">2022-12-16T10:56:29Z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CA2D939CAA9A4A7C97F20C7340C4EBF2</vt:lpwstr>
  </property>
</Properties>
</file>