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98226446"/>
        <w:docPartObj>
          <w:docPartGallery w:val="Cover Pages"/>
          <w:docPartUnique/>
        </w:docPartObj>
      </w:sdtPr>
      <w:sdtContent>
        <w:p w:rsidR="002A47AA" w:rsidRPr="003B059E" w:rsidRDefault="00132265" w:rsidP="003B059E">
          <w:pPr>
            <w:jc w:val="center"/>
            <w:rPr>
              <w:sz w:val="48"/>
              <w:szCs w:val="48"/>
            </w:rPr>
          </w:pPr>
          <w:r w:rsidRPr="003B059E">
            <w:rPr>
              <w:sz w:val="48"/>
              <w:szCs w:val="48"/>
            </w:rPr>
            <w:t>Academic and Employability Skills</w:t>
          </w:r>
        </w:p>
        <w:p w:rsidR="00132265" w:rsidRPr="003B059E" w:rsidRDefault="00132265" w:rsidP="003B059E">
          <w:pPr>
            <w:jc w:val="center"/>
            <w:rPr>
              <w:sz w:val="48"/>
              <w:szCs w:val="48"/>
            </w:rPr>
          </w:pPr>
          <w:r w:rsidRPr="003B059E">
            <w:rPr>
              <w:sz w:val="48"/>
              <w:szCs w:val="48"/>
            </w:rPr>
            <w:t>BMSW4001</w:t>
          </w:r>
        </w:p>
        <w:p w:rsidR="00132265" w:rsidRPr="003B059E" w:rsidRDefault="00132265" w:rsidP="003B059E">
          <w:pPr>
            <w:jc w:val="center"/>
            <w:rPr>
              <w:sz w:val="40"/>
              <w:szCs w:val="40"/>
            </w:rPr>
          </w:pPr>
          <w:r w:rsidRPr="003B059E">
            <w:rPr>
              <w:sz w:val="40"/>
              <w:szCs w:val="40"/>
            </w:rPr>
            <w:t>Term 1, Task 1</w:t>
          </w:r>
        </w:p>
        <w:p w:rsidR="00132265" w:rsidRPr="003B059E" w:rsidRDefault="00132265" w:rsidP="003B059E">
          <w:pPr>
            <w:jc w:val="center"/>
            <w:rPr>
              <w:sz w:val="40"/>
              <w:szCs w:val="40"/>
            </w:rPr>
          </w:pPr>
          <w:r w:rsidRPr="003B059E">
            <w:rPr>
              <w:sz w:val="40"/>
              <w:szCs w:val="40"/>
            </w:rPr>
            <w:t>Rositsa Stoyanova</w:t>
          </w:r>
        </w:p>
        <w:p w:rsidR="00132265" w:rsidRPr="003B059E" w:rsidRDefault="00132265" w:rsidP="003B059E">
          <w:pPr>
            <w:jc w:val="center"/>
            <w:rPr>
              <w:sz w:val="40"/>
              <w:szCs w:val="40"/>
            </w:rPr>
          </w:pPr>
          <w:r w:rsidRPr="003B059E">
            <w:rPr>
              <w:sz w:val="40"/>
              <w:szCs w:val="40"/>
            </w:rPr>
            <w:t>Student ID: 1920410</w:t>
          </w:r>
        </w:p>
        <w:p w:rsidR="00132265" w:rsidRPr="003B059E" w:rsidRDefault="00132265" w:rsidP="003B059E">
          <w:pPr>
            <w:jc w:val="center"/>
            <w:rPr>
              <w:sz w:val="40"/>
              <w:szCs w:val="40"/>
            </w:rPr>
          </w:pPr>
          <w:r w:rsidRPr="003B059E">
            <w:rPr>
              <w:sz w:val="40"/>
              <w:szCs w:val="40"/>
            </w:rPr>
            <w:t>Group 2</w:t>
          </w:r>
        </w:p>
        <w:p w:rsidR="00132265" w:rsidRPr="003B059E" w:rsidRDefault="003B059E" w:rsidP="003B059E">
          <w:pPr>
            <w:jc w:val="center"/>
            <w:rPr>
              <w:sz w:val="40"/>
              <w:szCs w:val="40"/>
            </w:rPr>
          </w:pPr>
          <w:r>
            <w:rPr>
              <w:sz w:val="40"/>
              <w:szCs w:val="40"/>
            </w:rPr>
            <w:t>Lecturer</w:t>
          </w:r>
          <w:r w:rsidR="00132265" w:rsidRPr="003B059E">
            <w:rPr>
              <w:sz w:val="40"/>
              <w:szCs w:val="40"/>
            </w:rPr>
            <w:t>: Joanna Walsh</w:t>
          </w:r>
        </w:p>
        <w:p w:rsidR="00132265" w:rsidRDefault="00132265"/>
        <w:p w:rsidR="00132265" w:rsidRDefault="00132265"/>
        <w:p w:rsidR="00132265" w:rsidRDefault="00132265"/>
        <w:p w:rsidR="002A47AA" w:rsidRDefault="002A47AA">
          <w:pPr>
            <w:spacing w:after="0" w:line="240" w:lineRule="auto"/>
          </w:pPr>
          <w:r>
            <w:br w:type="page"/>
          </w:r>
        </w:p>
      </w:sdtContent>
    </w:sdt>
    <w:sdt>
      <w:sdtPr>
        <w:rPr>
          <w:rFonts w:ascii="Arial" w:eastAsiaTheme="minorHAnsi" w:hAnsi="Arial" w:cstheme="minorBidi"/>
          <w:b w:val="0"/>
          <w:bCs w:val="0"/>
          <w:color w:val="auto"/>
          <w:sz w:val="24"/>
          <w:szCs w:val="22"/>
          <w:lang w:val="en-GB"/>
        </w:rPr>
        <w:id w:val="650796520"/>
        <w:docPartObj>
          <w:docPartGallery w:val="Table of Contents"/>
          <w:docPartUnique/>
        </w:docPartObj>
      </w:sdtPr>
      <w:sdtEndPr>
        <w:rPr>
          <w:noProof/>
        </w:rPr>
      </w:sdtEndPr>
      <w:sdtContent>
        <w:p w:rsidR="002A47AA" w:rsidRDefault="002A47AA">
          <w:pPr>
            <w:pStyle w:val="TOCHeading"/>
          </w:pPr>
          <w:r>
            <w:t>Table of Contents</w:t>
          </w:r>
        </w:p>
        <w:p w:rsidR="002A47AA" w:rsidRDefault="001F72DF">
          <w:pPr>
            <w:pStyle w:val="TOC1"/>
            <w:tabs>
              <w:tab w:val="right" w:leader="dot" w:pos="9016"/>
            </w:tabs>
            <w:rPr>
              <w:noProof/>
            </w:rPr>
          </w:pPr>
          <w:r w:rsidRPr="001F72DF">
            <w:rPr>
              <w:b w:val="0"/>
              <w:bCs w:val="0"/>
            </w:rPr>
            <w:fldChar w:fldCharType="begin"/>
          </w:r>
          <w:r w:rsidR="002A47AA">
            <w:instrText xml:space="preserve"> TOC \o "1-3" \h \z \u </w:instrText>
          </w:r>
          <w:r w:rsidRPr="001F72DF">
            <w:rPr>
              <w:b w:val="0"/>
              <w:bCs w:val="0"/>
            </w:rPr>
            <w:fldChar w:fldCharType="separate"/>
          </w:r>
          <w:hyperlink w:anchor="_Toc70635431" w:history="1">
            <w:r w:rsidR="002A47AA" w:rsidRPr="00B82BE0">
              <w:rPr>
                <w:rStyle w:val="Hyperlink"/>
                <w:noProof/>
              </w:rPr>
              <w:t>Introduction</w:t>
            </w:r>
            <w:r w:rsidR="002A47AA">
              <w:rPr>
                <w:noProof/>
                <w:webHidden/>
              </w:rPr>
              <w:tab/>
            </w:r>
            <w:r>
              <w:rPr>
                <w:noProof/>
                <w:webHidden/>
              </w:rPr>
              <w:fldChar w:fldCharType="begin"/>
            </w:r>
            <w:r w:rsidR="002A47AA">
              <w:rPr>
                <w:noProof/>
                <w:webHidden/>
              </w:rPr>
              <w:instrText xml:space="preserve"> PAGEREF _Toc70635431 \h </w:instrText>
            </w:r>
            <w:r>
              <w:rPr>
                <w:noProof/>
                <w:webHidden/>
              </w:rPr>
            </w:r>
            <w:r>
              <w:rPr>
                <w:noProof/>
                <w:webHidden/>
              </w:rPr>
              <w:fldChar w:fldCharType="separate"/>
            </w:r>
            <w:r w:rsidR="002A47AA">
              <w:rPr>
                <w:noProof/>
                <w:webHidden/>
              </w:rPr>
              <w:t>2</w:t>
            </w:r>
            <w:r>
              <w:rPr>
                <w:noProof/>
                <w:webHidden/>
              </w:rPr>
              <w:fldChar w:fldCharType="end"/>
            </w:r>
          </w:hyperlink>
        </w:p>
        <w:p w:rsidR="002A47AA" w:rsidRDefault="001F72DF">
          <w:pPr>
            <w:pStyle w:val="TOC1"/>
            <w:tabs>
              <w:tab w:val="right" w:leader="dot" w:pos="9016"/>
            </w:tabs>
            <w:rPr>
              <w:noProof/>
            </w:rPr>
          </w:pPr>
          <w:hyperlink w:anchor="_Toc70635432" w:history="1">
            <w:r w:rsidR="002A47AA" w:rsidRPr="00B82BE0">
              <w:rPr>
                <w:rStyle w:val="Hyperlink"/>
                <w:noProof/>
              </w:rPr>
              <w:t>Main Body</w:t>
            </w:r>
            <w:r w:rsidR="002A47AA">
              <w:rPr>
                <w:noProof/>
                <w:webHidden/>
              </w:rPr>
              <w:tab/>
            </w:r>
            <w:r>
              <w:rPr>
                <w:noProof/>
                <w:webHidden/>
              </w:rPr>
              <w:fldChar w:fldCharType="begin"/>
            </w:r>
            <w:r w:rsidR="002A47AA">
              <w:rPr>
                <w:noProof/>
                <w:webHidden/>
              </w:rPr>
              <w:instrText xml:space="preserve"> PAGEREF _Toc70635432 \h </w:instrText>
            </w:r>
            <w:r>
              <w:rPr>
                <w:noProof/>
                <w:webHidden/>
              </w:rPr>
            </w:r>
            <w:r>
              <w:rPr>
                <w:noProof/>
                <w:webHidden/>
              </w:rPr>
              <w:fldChar w:fldCharType="separate"/>
            </w:r>
            <w:r w:rsidR="002A47AA">
              <w:rPr>
                <w:noProof/>
                <w:webHidden/>
              </w:rPr>
              <w:t>2</w:t>
            </w:r>
            <w:r>
              <w:rPr>
                <w:noProof/>
                <w:webHidden/>
              </w:rPr>
              <w:fldChar w:fldCharType="end"/>
            </w:r>
          </w:hyperlink>
        </w:p>
        <w:p w:rsidR="002A47AA" w:rsidRDefault="001F72DF">
          <w:pPr>
            <w:pStyle w:val="TOC1"/>
            <w:tabs>
              <w:tab w:val="right" w:leader="dot" w:pos="9016"/>
            </w:tabs>
            <w:rPr>
              <w:noProof/>
            </w:rPr>
          </w:pPr>
          <w:hyperlink w:anchor="_Toc70635433" w:history="1">
            <w:r w:rsidR="002A47AA" w:rsidRPr="00B82BE0">
              <w:rPr>
                <w:rStyle w:val="Hyperlink"/>
                <w:noProof/>
              </w:rPr>
              <w:t>Conclusion</w:t>
            </w:r>
            <w:r w:rsidR="002A47AA">
              <w:rPr>
                <w:noProof/>
                <w:webHidden/>
              </w:rPr>
              <w:tab/>
            </w:r>
            <w:r>
              <w:rPr>
                <w:noProof/>
                <w:webHidden/>
              </w:rPr>
              <w:fldChar w:fldCharType="begin"/>
            </w:r>
            <w:r w:rsidR="002A47AA">
              <w:rPr>
                <w:noProof/>
                <w:webHidden/>
              </w:rPr>
              <w:instrText xml:space="preserve"> PAGEREF _Toc70635433 \h </w:instrText>
            </w:r>
            <w:r>
              <w:rPr>
                <w:noProof/>
                <w:webHidden/>
              </w:rPr>
            </w:r>
            <w:r>
              <w:rPr>
                <w:noProof/>
                <w:webHidden/>
              </w:rPr>
              <w:fldChar w:fldCharType="separate"/>
            </w:r>
            <w:r w:rsidR="002A47AA">
              <w:rPr>
                <w:noProof/>
                <w:webHidden/>
              </w:rPr>
              <w:t>5</w:t>
            </w:r>
            <w:r>
              <w:rPr>
                <w:noProof/>
                <w:webHidden/>
              </w:rPr>
              <w:fldChar w:fldCharType="end"/>
            </w:r>
          </w:hyperlink>
        </w:p>
        <w:p w:rsidR="002A47AA" w:rsidRDefault="001F72DF">
          <w:pPr>
            <w:pStyle w:val="TOC1"/>
            <w:tabs>
              <w:tab w:val="right" w:leader="dot" w:pos="9016"/>
            </w:tabs>
            <w:rPr>
              <w:noProof/>
            </w:rPr>
          </w:pPr>
          <w:hyperlink w:anchor="_Toc70635434" w:history="1">
            <w:r w:rsidR="002A47AA" w:rsidRPr="00B82BE0">
              <w:rPr>
                <w:rStyle w:val="Hyperlink"/>
                <w:noProof/>
              </w:rPr>
              <w:t>References</w:t>
            </w:r>
            <w:r w:rsidR="002A47AA">
              <w:rPr>
                <w:noProof/>
                <w:webHidden/>
              </w:rPr>
              <w:tab/>
            </w:r>
            <w:r>
              <w:rPr>
                <w:noProof/>
                <w:webHidden/>
              </w:rPr>
              <w:fldChar w:fldCharType="begin"/>
            </w:r>
            <w:r w:rsidR="002A47AA">
              <w:rPr>
                <w:noProof/>
                <w:webHidden/>
              </w:rPr>
              <w:instrText xml:space="preserve"> PAGEREF _Toc70635434 \h </w:instrText>
            </w:r>
            <w:r>
              <w:rPr>
                <w:noProof/>
                <w:webHidden/>
              </w:rPr>
            </w:r>
            <w:r>
              <w:rPr>
                <w:noProof/>
                <w:webHidden/>
              </w:rPr>
              <w:fldChar w:fldCharType="separate"/>
            </w:r>
            <w:r w:rsidR="002A47AA">
              <w:rPr>
                <w:noProof/>
                <w:webHidden/>
              </w:rPr>
              <w:t>6</w:t>
            </w:r>
            <w:r>
              <w:rPr>
                <w:noProof/>
                <w:webHidden/>
              </w:rPr>
              <w:fldChar w:fldCharType="end"/>
            </w:r>
          </w:hyperlink>
        </w:p>
        <w:p w:rsidR="002A47AA" w:rsidRDefault="001F72DF">
          <w:r>
            <w:rPr>
              <w:b/>
              <w:bCs/>
              <w:noProof/>
            </w:rPr>
            <w:fldChar w:fldCharType="end"/>
          </w:r>
        </w:p>
      </w:sdtContent>
    </w:sdt>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A43235" w:rsidRDefault="00A43235" w:rsidP="00C5670F"/>
    <w:p w:rsidR="00C5670F" w:rsidRDefault="00C5670F" w:rsidP="002A47AA">
      <w:pPr>
        <w:pStyle w:val="Heading1"/>
      </w:pPr>
      <w:bookmarkStart w:id="0" w:name="_Toc70635431"/>
      <w:r>
        <w:lastRenderedPageBreak/>
        <w:t>Introduction</w:t>
      </w:r>
      <w:bookmarkEnd w:id="0"/>
    </w:p>
    <w:p w:rsidR="00C5670F" w:rsidRDefault="004B0B25" w:rsidP="00C5670F">
      <w:r w:rsidRPr="004B0B25">
        <w:t>The concept of the academic and as well as that employment skills have a significant impact on a person's existence. This will not only explore the person in building his abilities, but also in fact he will want to improve his expert abilities, which will be useful for his future. Academic abilities build on a person's many abilities, which is why this person will actually want to build his character and is also ready to have different abilities. In the class of scholasticism there are different exercises that happen, these exercises make a huge difference in building the abilities of each person. With the help of such exercises one will actually want to build one's relative abilities, initiative abilities and various abilities. This report reflects the importance of scholastic abilities in the existence of the individual in order that the person will really want to help those who are experiencing medical problems or some friendly consideration among the general public.</w:t>
      </w:r>
    </w:p>
    <w:p w:rsidR="00C5670F" w:rsidRDefault="00A43235" w:rsidP="002A47AA">
      <w:pPr>
        <w:pStyle w:val="Heading1"/>
      </w:pPr>
      <w:bookmarkStart w:id="1" w:name="_Toc70635432"/>
      <w:r>
        <w:t>Main Body</w:t>
      </w:r>
      <w:bookmarkEnd w:id="1"/>
    </w:p>
    <w:p w:rsidR="004B0B25" w:rsidRDefault="004B0B25" w:rsidP="004B0B25">
      <w:r>
        <w:t>The abilities which are classified as academic take up a significant part of the existence of any life skill. With the help of scholastic abilities, the subcategory will not only build employment skills, but in addition is ready to have different characteristics to help them in their vocation. Scholarship abilities build students' abilities as well as give them a way through which they can help others who are experiencing all kinds of medical problems that need social care. In the scholastic class there are several exercises that take place as group projects, group conversations, discussions, discourses and PowerPoint Introductions. These are the exercises that not only build on the many abilities of the subcategory, but also further help their security, so they will really want to feel positive about others. Security is the essential point of view for building the profession of a backup. It is essential to stay confident as this will allow the backup to remain silent and improve their abilities and capabilities (Jackson, 2014).</w:t>
      </w:r>
    </w:p>
    <w:p w:rsidR="004B0B25" w:rsidRDefault="004B0B25" w:rsidP="004B0B25">
      <w:r>
        <w:t>Nowadays, a large number of individuals experience medical problems and need social care. Without proper information, it is difficult for anyone to help such individuals. To help these individuals, it is important for the individual to have the right information and to have the various abilities that can be made possible with the help of scientific abilities.</w:t>
      </w:r>
    </w:p>
    <w:p w:rsidR="004B0B25" w:rsidRDefault="004B0B25" w:rsidP="004B0B25">
      <w:r>
        <w:t>With the help of various exercises and classroom exercises, a student will actually want to upgrade their relative abilities, administrative skills, critical thinking skills, board skills and work skills. These activities are essential for the existence of the individual as will help students achieve their life goals and objectives. These exercises improve information for students, but further build their relative and administrative skills, which will be helpful in achieving their goals and destinations.</w:t>
      </w:r>
    </w:p>
    <w:p w:rsidR="004B0B25" w:rsidRDefault="004B0B25" w:rsidP="004B0B25"/>
    <w:p w:rsidR="004B0B25" w:rsidRDefault="004B0B25" w:rsidP="004B0B25">
      <w:r>
        <w:lastRenderedPageBreak/>
        <w:t>The essential advantages of classroom exercises are that they build the character of the underrated and allow them to learn different parts of life. Underestimated will actually want to understand the problems of those individuals who need social care from the general public. These are people who are experiencing all kinds of medical problems and need extraordinary help from the general public to continue with their typical life. A person who is effective in his life will actually want to help such individuals with the goal that they can continue with a normal life (Lerman, 2013).</w:t>
      </w:r>
    </w:p>
    <w:p w:rsidR="00C5670F" w:rsidRDefault="004B0B25" w:rsidP="004B0B25">
      <w:r>
        <w:t xml:space="preserve">To help people who need friendly consideration or are experiencing a medical problem, it is essential that the person has a viable relationship. Powerful relational abilities take up a significant part of each individual's existence. Allows the individual to speak to others in the best way. Successful relational abilities are the most important and basic requirements for the progress of any individual. In the same way, it will allow the individual to build their employability. With the help of fascinating relational abilities, a person ready to help others with prosperity, ready to grow more abilities. Powerful correspondence allows a person to build their expert abilities, as well as helps students build critical thinking skills </w:t>
      </w:r>
      <w:r w:rsidR="00A43235" w:rsidRPr="00A43235">
        <w:t>(Deeley, 2013)</w:t>
      </w:r>
    </w:p>
    <w:p w:rsidR="004B0B25" w:rsidRDefault="004B0B25" w:rsidP="004B0B25">
      <w:r>
        <w:t>The business requires skills from graduates who are outside the branch of knowledge for training in advanced education. Undoubtedly, several bosses are of much less importance to the true discipline of graduates for the more conventional abilities they have acquired.</w:t>
      </w:r>
    </w:p>
    <w:p w:rsidR="004B0B25" w:rsidRDefault="004B0B25" w:rsidP="004B0B25">
      <w:r>
        <w:t>The employers generally see the achievements of the alumni identified with the subject order as significant but inappropriate for their selection. Achievements outside of extracurricular activities, such as insight into work, chipping and participation in clubs and social procurement, are seen as equally important in this context as information and experience gained through scientific inquiry. While specialized skills and subject-specific information are essential for business, employment skills are vital to the professional turnaround of events. Employment skills are the center, the transferable abilities that are required in essence in any job, such as compromise, correspondence and expert behavior.</w:t>
      </w:r>
    </w:p>
    <w:p w:rsidR="004B0B25" w:rsidRDefault="004B0B25" w:rsidP="004B0B25">
      <w:r>
        <w:t>Powerful communication is the main perspective for the existence of anyone underestimated. With the help of powerful relational abilities, the inexperienced builds his employment skills, as well as ready to build his calling skills later, which is crucial for building their profession. At the stage of their academic vocation, there are various exercises that help students build their irresistible relational abilities. Exercises such as group projects, group conversations and PowerPoint presentations have a significant impact on building students' compelling relational abilities. With these exercises, students will actually want to talk to each other even more vividly, allowing them to build their powerful relational abilities.</w:t>
      </w:r>
    </w:p>
    <w:p w:rsidR="004B0B25" w:rsidRDefault="004B0B25" w:rsidP="004B0B25">
      <w:r>
        <w:t xml:space="preserve">Exercises such as group endeavors and conversation gathering not only build students' viable relational abilities, but also help them build their authoritative </w:t>
      </w:r>
      <w:r>
        <w:lastRenderedPageBreak/>
        <w:t>abilities. Initiative abilities are the essential point of view for the achievement of every student's life. With the help of powerful initiative abilities, the deputy will not only form his vocation, but will also be ready to improve his expert abilities. Successful administration skills allow a person to build a group to achieve their goals and destinations. A person with authoritative abilities can be able to deal effectively with the group without encountering and having problems.</w:t>
      </w:r>
    </w:p>
    <w:p w:rsidR="004B0B25" w:rsidRDefault="004B0B25" w:rsidP="004B0B25">
      <w:r>
        <w:t>The convincing pioneer will actually want to be ready to deal successfully with his group in order to achieve his goals and destinations. In the event that any person who has successful administrative skills can help those individuals who are experiencing medical problems and require social care from the general public</w:t>
      </w:r>
      <w:r w:rsidR="00A43235" w:rsidRPr="00A43235">
        <w:t xml:space="preserve"> (Ohei and Brink, 2021)</w:t>
      </w:r>
      <w:r>
        <w:t>. A person with strong administrative skills can inspect the various needs and unusual preconditions of those who experience medical problems and social considerations. After considering the different requirements of such individuals, the viable pioneer can set his own goals and objectives to meet the needs of these individuals. Goal setting allows people to take care of their work even more adequately without facing another problem.</w:t>
      </w:r>
    </w:p>
    <w:p w:rsidR="004B0B25" w:rsidRDefault="004B0B25" w:rsidP="004B0B25">
      <w:r>
        <w:t>The persuasive pioneer not only encourages his colleague to achieve his goals, but also inspires them to invest more energy, which will improve their performance and the group will actually want to achieve their goals. It is important that each colleague will invest amounts of energy to achieve their goals and destinations. Powerful pioneers not only understand the requirements of their colleagues, but also understand their abilities and capabilities, which will allow them to distribute the tasks of their abilities in order to make the task as good as possible. This should be possible with the help of viable relational abilities. It is therefore vital for students to create successful correspondence and authoritative abilities as it allows students to achieve their goals and destinations later</w:t>
      </w:r>
      <w:r w:rsidR="00A43235" w:rsidRPr="00A43235">
        <w:t xml:space="preserve"> (Deeley, 2013)</w:t>
      </w:r>
      <w:r w:rsidR="00A43235">
        <w:t>.</w:t>
      </w:r>
    </w:p>
    <w:p w:rsidR="004B0B25" w:rsidRDefault="004B0B25" w:rsidP="004B0B25">
      <w:r>
        <w:t xml:space="preserve">In addition, it is important for students to analyze their own exhibition in order to actually want to acknowledge their strengths and weaknesses. Recognizing the inner flaw is very fundamental, as it will allow students to repel their flaw so that they can overcome their flaw and transform that flaw into new abilities. The academic vocation is at the core of any uneducated life, I allow them to create numerous abilities to build on their development and allow them to acquire an effective profession later. It is essential that each subcategory benefits from its student abilities. This will improve their understanding and also support them in improving their employability </w:t>
      </w:r>
      <w:r w:rsidR="00A43235" w:rsidRPr="00A43235">
        <w:t>(Ohei and Brink, 2021)</w:t>
      </w:r>
      <w:r w:rsidR="00A43235">
        <w:t>.</w:t>
      </w:r>
    </w:p>
    <w:p w:rsidR="004B0B25" w:rsidRDefault="004B0B25" w:rsidP="004B0B25">
      <w:r>
        <w:t xml:space="preserve">The training they have received in their scientific profession will support them in their development. It is extremely important for each subcategory to inspect their exhibition week after week in order to actually want to know their solid tricks and fragile spots. Self-assessment is the best methodology students can receive to improve their exhibition (Bryan and Clegg, 2019). Self-assessment takes up a significant part of upgrading each subcontractor's exhibition, as it allows the </w:t>
      </w:r>
      <w:r>
        <w:lastRenderedPageBreak/>
        <w:t>adolescent to develop new abilities and also improve their current abilities. Improving the internal abilities and capacity will allow the subject to upgrade their presentation, which will not only increase their security, but also in further research in achieving their goals and objectives.</w:t>
      </w:r>
    </w:p>
    <w:p w:rsidR="004B0B25" w:rsidRDefault="004B0B25" w:rsidP="004B0B25">
      <w:r>
        <w:t>In addition, it is essential to master the abilities of managers, as it allows the younger to take care of their appointment on schedule and also in the best way. In order to improve the outcome of an endeavor, it is imperative to achieve this task over a period of time so that in case of progression it does not cause any problems. Time abilities on board are fundamental to any underrated life, with the help of such abilities, the subcategory will actually want to achieve its goal and also build more inner strength, which will allow them to become fruitful in their lives.</w:t>
      </w:r>
    </w:p>
    <w:p w:rsidR="004B0B25" w:rsidRDefault="004B0B25" w:rsidP="004B0B25">
      <w:r w:rsidRPr="004B0B25">
        <w:t>Employment skills can be seen essentially as an exhaustion of the alluring abilities that young people need to have, or they can be explored in terms of stock or ask a side issue for work. There were all the signs that young people were assigned to acquire employment skills as methods of taking responsibility for their own work. Despite the fact that business attributes high youth unemployment to the lack of skills of young people, it seems that the real problem is that companies, by any chance, close the freedom of work to them. Added to this was the dream that companies quickly helped young people enter the work universe through a variety of training / business activities in schools.</w:t>
      </w:r>
    </w:p>
    <w:p w:rsidR="00FE6EE1" w:rsidRDefault="004B0B25" w:rsidP="002A47AA">
      <w:pPr>
        <w:pStyle w:val="Heading1"/>
      </w:pPr>
      <w:bookmarkStart w:id="2" w:name="_Toc70635433"/>
      <w:r>
        <w:t>Conclusion</w:t>
      </w:r>
      <w:bookmarkEnd w:id="2"/>
    </w:p>
    <w:p w:rsidR="004B0B25" w:rsidRDefault="004B0B25" w:rsidP="004B0B25">
      <w:r>
        <w:t>In conclusion, individual qualities, inclinations and mentality influence the way you communicate with others. Businesses value employability because they see it as a sign of how you live with different representatives and colleagues and clients and how effectively you are likely to do your job and vocation.</w:t>
      </w:r>
    </w:p>
    <w:p w:rsidR="004B0B25" w:rsidRDefault="004B0B25" w:rsidP="004B0B25">
      <w:r>
        <w:t>The future employers that a student aims to network with appreciate these remarkable characteristics in their potential representatives, as they have always been essential to a useful and easy-to-work workforce. Businesses invest a significant amount of energy and money, building these basic and employment status skills. However, nowadays, when there are not many professions, bosses value more choices and may want to hire a specialist to further demonstrate balanced employment skills.</w:t>
      </w:r>
    </w:p>
    <w:p w:rsidR="004B0B25" w:rsidRDefault="004B0B25" w:rsidP="004B0B25">
      <w:r>
        <w:t>In the contemporary business environment, instruction and experience may be enough to collect the bills for the same task at the same time, however, to be productive in many jobs in the field of emerging progress, you will need delicate skills such as correspondence, collaboration, and critical thinking. These "delicate abilities" that will prepare you to complete your involvement in the organization, as might be expected, are also referred to as "employment abilities."</w:t>
      </w:r>
    </w:p>
    <w:p w:rsidR="004B0B25" w:rsidRDefault="004B0B25" w:rsidP="004B0B25"/>
    <w:p w:rsidR="004B0B25" w:rsidRDefault="004B0B25" w:rsidP="002A47AA">
      <w:pPr>
        <w:pStyle w:val="Heading1"/>
      </w:pPr>
      <w:bookmarkStart w:id="3" w:name="_Toc70635434"/>
      <w:r>
        <w:lastRenderedPageBreak/>
        <w:t>References</w:t>
      </w:r>
      <w:bookmarkEnd w:id="3"/>
    </w:p>
    <w:p w:rsidR="004B0B25" w:rsidRDefault="004B0B25" w:rsidP="004B0B25">
      <w:r>
        <w:t>Boahin, P. and Hofman, A., 2013. A disciplinary perspective of competency-based training on the acquisition of employability skills. Journal of Vocational Education &amp; Training, 65(3), pp.385-401.</w:t>
      </w:r>
    </w:p>
    <w:p w:rsidR="004B0B25" w:rsidRDefault="004B0B25" w:rsidP="004B0B25">
      <w:r>
        <w:t>Bryan, C. and Clegg, K. eds., 2019. Innovative Assessment in Higher Education: A Handbook for Academic Practitioners. Routledge.</w:t>
      </w:r>
    </w:p>
    <w:p w:rsidR="00A43235" w:rsidRDefault="00A43235" w:rsidP="004B0B25">
      <w:r w:rsidRPr="00A43235">
        <w:t>Deeley, S.J. (2013). Summative co-assessment: A deep learning approach to enhancing employability skills and attributes. Active Learning in Higher Education, 15(1), pp.39–51.</w:t>
      </w:r>
    </w:p>
    <w:p w:rsidR="004B0B25" w:rsidRDefault="004B0B25" w:rsidP="004B0B25">
      <w:r>
        <w:t>Jackson, D., 2014. Testing a model of undergraduate competence in employability skills and its implications for stakeholders. Journal of Education and Work, 27(2), pp.220-242.</w:t>
      </w:r>
    </w:p>
    <w:p w:rsidR="004B0B25" w:rsidRDefault="004B0B25" w:rsidP="004B0B25">
      <w:r>
        <w:t>Lerman, R.I., 2013. Are employability skills learned in US youth education and training programs?. IZA Journal of Labor Policy, 2(1), p.6.</w:t>
      </w:r>
    </w:p>
    <w:p w:rsidR="004B0B25" w:rsidRDefault="004B0B25" w:rsidP="004B0B25"/>
    <w:sectPr w:rsidR="004B0B25" w:rsidSect="002A47AA">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1A88" w:rsidRDefault="007C1A88" w:rsidP="002A47AA">
      <w:pPr>
        <w:spacing w:after="0" w:line="240" w:lineRule="auto"/>
      </w:pPr>
      <w:r>
        <w:separator/>
      </w:r>
    </w:p>
  </w:endnote>
  <w:endnote w:type="continuationSeparator" w:id="0">
    <w:p w:rsidR="007C1A88" w:rsidRDefault="007C1A88" w:rsidP="002A47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936912060"/>
      <w:docPartObj>
        <w:docPartGallery w:val="Page Numbers (Bottom of Page)"/>
        <w:docPartUnique/>
      </w:docPartObj>
    </w:sdtPr>
    <w:sdtContent>
      <w:p w:rsidR="002A47AA" w:rsidRDefault="001F72DF" w:rsidP="00022E70">
        <w:pPr>
          <w:pStyle w:val="Footer"/>
          <w:framePr w:wrap="none" w:vAnchor="text" w:hAnchor="margin" w:xAlign="right" w:y="1"/>
          <w:rPr>
            <w:rStyle w:val="PageNumber"/>
          </w:rPr>
        </w:pPr>
        <w:r>
          <w:rPr>
            <w:rStyle w:val="PageNumber"/>
          </w:rPr>
          <w:fldChar w:fldCharType="begin"/>
        </w:r>
        <w:r w:rsidR="002A47AA">
          <w:rPr>
            <w:rStyle w:val="PageNumber"/>
          </w:rPr>
          <w:instrText xml:space="preserve"> PAGE </w:instrText>
        </w:r>
        <w:r>
          <w:rPr>
            <w:rStyle w:val="PageNumber"/>
          </w:rPr>
          <w:fldChar w:fldCharType="end"/>
        </w:r>
      </w:p>
    </w:sdtContent>
  </w:sdt>
  <w:p w:rsidR="002A47AA" w:rsidRDefault="002A47AA" w:rsidP="002A47A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662613391"/>
      <w:docPartObj>
        <w:docPartGallery w:val="Page Numbers (Bottom of Page)"/>
        <w:docPartUnique/>
      </w:docPartObj>
    </w:sdtPr>
    <w:sdtContent>
      <w:p w:rsidR="002A47AA" w:rsidRDefault="001F72DF" w:rsidP="00022E70">
        <w:pPr>
          <w:pStyle w:val="Footer"/>
          <w:framePr w:wrap="none" w:vAnchor="text" w:hAnchor="margin" w:xAlign="right" w:y="1"/>
          <w:rPr>
            <w:rStyle w:val="PageNumber"/>
          </w:rPr>
        </w:pPr>
        <w:r>
          <w:rPr>
            <w:rStyle w:val="PageNumber"/>
          </w:rPr>
          <w:fldChar w:fldCharType="begin"/>
        </w:r>
        <w:r w:rsidR="002A47AA">
          <w:rPr>
            <w:rStyle w:val="PageNumber"/>
          </w:rPr>
          <w:instrText xml:space="preserve"> PAGE </w:instrText>
        </w:r>
        <w:r>
          <w:rPr>
            <w:rStyle w:val="PageNumber"/>
          </w:rPr>
          <w:fldChar w:fldCharType="separate"/>
        </w:r>
        <w:r w:rsidR="003B059E">
          <w:rPr>
            <w:rStyle w:val="PageNumber"/>
            <w:noProof/>
          </w:rPr>
          <w:t>1</w:t>
        </w:r>
        <w:r>
          <w:rPr>
            <w:rStyle w:val="PageNumber"/>
          </w:rPr>
          <w:fldChar w:fldCharType="end"/>
        </w:r>
      </w:p>
    </w:sdtContent>
  </w:sdt>
  <w:p w:rsidR="002A47AA" w:rsidRDefault="002A47AA" w:rsidP="002A47A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1A88" w:rsidRDefault="007C1A88" w:rsidP="002A47AA">
      <w:pPr>
        <w:spacing w:after="0" w:line="240" w:lineRule="auto"/>
      </w:pPr>
      <w:r>
        <w:separator/>
      </w:r>
    </w:p>
  </w:footnote>
  <w:footnote w:type="continuationSeparator" w:id="0">
    <w:p w:rsidR="007C1A88" w:rsidRDefault="007C1A88" w:rsidP="002A47A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footnotePr>
    <w:footnote w:id="-1"/>
    <w:footnote w:id="0"/>
  </w:footnotePr>
  <w:endnotePr>
    <w:endnote w:id="-1"/>
    <w:endnote w:id="0"/>
  </w:endnotePr>
  <w:compat/>
  <w:rsids>
    <w:rsidRoot w:val="00C5670F"/>
    <w:rsid w:val="00132265"/>
    <w:rsid w:val="00141B9E"/>
    <w:rsid w:val="0015488F"/>
    <w:rsid w:val="001F72DF"/>
    <w:rsid w:val="002A47AA"/>
    <w:rsid w:val="003B059E"/>
    <w:rsid w:val="004B0B25"/>
    <w:rsid w:val="005433BA"/>
    <w:rsid w:val="00571161"/>
    <w:rsid w:val="00595F7B"/>
    <w:rsid w:val="00681A89"/>
    <w:rsid w:val="007A3D60"/>
    <w:rsid w:val="007C1A88"/>
    <w:rsid w:val="008C62A5"/>
    <w:rsid w:val="00A37A9A"/>
    <w:rsid w:val="00A43235"/>
    <w:rsid w:val="00C5670F"/>
    <w:rsid w:val="00D11F81"/>
    <w:rsid w:val="00EB0A82"/>
    <w:rsid w:val="00F8010B"/>
    <w:rsid w:val="00F817C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2A47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A47AA"/>
    <w:rPr>
      <w:rFonts w:eastAsiaTheme="minorEastAsia"/>
      <w:sz w:val="22"/>
      <w:szCs w:val="22"/>
      <w:lang w:val="en-US" w:eastAsia="zh-CN"/>
    </w:rPr>
  </w:style>
  <w:style w:type="character" w:customStyle="1" w:styleId="NoSpacingChar">
    <w:name w:val="No Spacing Char"/>
    <w:basedOn w:val="DefaultParagraphFont"/>
    <w:link w:val="NoSpacing"/>
    <w:uiPriority w:val="1"/>
    <w:rsid w:val="002A47AA"/>
    <w:rPr>
      <w:rFonts w:eastAsiaTheme="minorEastAsia"/>
      <w:sz w:val="22"/>
      <w:szCs w:val="22"/>
      <w:lang w:val="en-US" w:eastAsia="zh-CN"/>
    </w:rPr>
  </w:style>
  <w:style w:type="paragraph" w:styleId="Footer">
    <w:name w:val="footer"/>
    <w:basedOn w:val="Normal"/>
    <w:link w:val="FooterChar"/>
    <w:uiPriority w:val="99"/>
    <w:unhideWhenUsed/>
    <w:rsid w:val="002A47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47AA"/>
    <w:rPr>
      <w:rFonts w:ascii="Arial" w:hAnsi="Arial"/>
      <w:szCs w:val="22"/>
    </w:rPr>
  </w:style>
  <w:style w:type="character" w:styleId="PageNumber">
    <w:name w:val="page number"/>
    <w:basedOn w:val="DefaultParagraphFont"/>
    <w:uiPriority w:val="99"/>
    <w:semiHidden/>
    <w:unhideWhenUsed/>
    <w:rsid w:val="002A47AA"/>
  </w:style>
  <w:style w:type="character" w:customStyle="1" w:styleId="Heading1Char">
    <w:name w:val="Heading 1 Char"/>
    <w:basedOn w:val="DefaultParagraphFont"/>
    <w:link w:val="Heading1"/>
    <w:uiPriority w:val="9"/>
    <w:rsid w:val="002A47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47AA"/>
    <w:pPr>
      <w:spacing w:before="480"/>
      <w:outlineLvl w:val="9"/>
    </w:pPr>
    <w:rPr>
      <w:b/>
      <w:bCs/>
      <w:sz w:val="28"/>
      <w:szCs w:val="28"/>
      <w:lang w:val="en-US"/>
    </w:rPr>
  </w:style>
  <w:style w:type="paragraph" w:styleId="TOC1">
    <w:name w:val="toc 1"/>
    <w:basedOn w:val="Normal"/>
    <w:next w:val="Normal"/>
    <w:autoRedefine/>
    <w:uiPriority w:val="39"/>
    <w:unhideWhenUsed/>
    <w:rsid w:val="002A47AA"/>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2A47AA"/>
    <w:rPr>
      <w:color w:val="0563C1" w:themeColor="hyperlink"/>
      <w:u w:val="single"/>
    </w:rPr>
  </w:style>
  <w:style w:type="paragraph" w:styleId="TOC2">
    <w:name w:val="toc 2"/>
    <w:basedOn w:val="Normal"/>
    <w:next w:val="Normal"/>
    <w:autoRedefine/>
    <w:uiPriority w:val="39"/>
    <w:semiHidden/>
    <w:unhideWhenUsed/>
    <w:rsid w:val="002A47AA"/>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2A47AA"/>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A47AA"/>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A47AA"/>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A47AA"/>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A47AA"/>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A47AA"/>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A47AA"/>
    <w:pPr>
      <w:spacing w:after="0"/>
      <w:ind w:left="1920"/>
    </w:pPr>
    <w:rPr>
      <w:rFonts w:asciiTheme="minorHAnsi" w:hAnsiTheme="minorHAnsi" w:cstheme="minorHAnsi"/>
      <w:sz w:val="20"/>
      <w:szCs w:val="20"/>
    </w:rPr>
  </w:style>
  <w:style w:type="paragraph" w:styleId="BalloonText">
    <w:name w:val="Balloon Text"/>
    <w:basedOn w:val="Normal"/>
    <w:link w:val="BalloonTextChar"/>
    <w:uiPriority w:val="99"/>
    <w:semiHidden/>
    <w:unhideWhenUsed/>
    <w:rsid w:val="00141B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B9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480BBD-9C91-4B0A-B5C0-2114745CA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2030</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Student ID:</Company>
  <LinksUpToDate>false</LinksUpToDate>
  <CharactersWithSpaces>13574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Rositsa</dc:creator>
  <cp:lastModifiedBy>Rosi</cp:lastModifiedBy>
  <cp:revision>4</cp:revision>
  <dcterms:created xsi:type="dcterms:W3CDTF">2021-04-30T17:25:00Z</dcterms:created>
  <dcterms:modified xsi:type="dcterms:W3CDTF">2021-04-30T17:47:00Z</dcterms:modified>
</cp:coreProperties>
</file>