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FFD6FB" w14:textId="5FA91D40" w:rsidR="00F84052" w:rsidRPr="001C34AC" w:rsidRDefault="00435CC8" w:rsidP="001C34AC">
      <w:pPr>
        <w:jc w:val="center"/>
        <w:rPr>
          <w:b/>
          <w:i/>
          <w:u w:val="single"/>
        </w:rPr>
      </w:pPr>
      <w:r>
        <w:rPr>
          <w:i/>
        </w:rPr>
        <w:t xml:space="preserve">                                                                                                                                                                                                                                                                                                                             </w:t>
      </w:r>
      <w:r w:rsidR="00F84052" w:rsidRPr="001C34AC">
        <w:rPr>
          <w:b/>
          <w:i/>
          <w:u w:val="single"/>
        </w:rPr>
        <w:t>What can archaeology contribute to the study of the Ottoman Past?</w:t>
      </w:r>
      <w:r w:rsidR="00F84052" w:rsidRPr="001C34AC">
        <w:rPr>
          <w:b/>
          <w:i/>
          <w:u w:val="single"/>
        </w:rPr>
        <w:br/>
      </w:r>
    </w:p>
    <w:p w14:paraId="31E72789" w14:textId="183A8D03" w:rsidR="00F84052" w:rsidRDefault="00CE0597" w:rsidP="00F84052">
      <w:r>
        <w:t>Founded at the end of the 13</w:t>
      </w:r>
      <w:r w:rsidRPr="00CE0597">
        <w:rPr>
          <w:vertAlign w:val="superscript"/>
        </w:rPr>
        <w:t>th</w:t>
      </w:r>
      <w:r>
        <w:t xml:space="preserve"> century by Osman I, t</w:t>
      </w:r>
      <w:r w:rsidR="00F84052">
        <w:t>he Ottoman Empire was one of the world’s greatest empires from the 14</w:t>
      </w:r>
      <w:r w:rsidR="00F84052" w:rsidRPr="00F84052">
        <w:rPr>
          <w:vertAlign w:val="superscript"/>
        </w:rPr>
        <w:t>th</w:t>
      </w:r>
      <w:r w:rsidR="00F84052">
        <w:t xml:space="preserve"> century up until its collapse in the early 20</w:t>
      </w:r>
      <w:r w:rsidR="00F84052" w:rsidRPr="00F84052">
        <w:rPr>
          <w:vertAlign w:val="superscript"/>
        </w:rPr>
        <w:t>th</w:t>
      </w:r>
      <w:r w:rsidR="00F621C9">
        <w:t xml:space="preserve"> century (</w:t>
      </w:r>
      <w:proofErr w:type="spellStart"/>
      <w:r w:rsidR="00F621C9">
        <w:t>Baram</w:t>
      </w:r>
      <w:proofErr w:type="spellEnd"/>
      <w:r w:rsidR="00F621C9">
        <w:t xml:space="preserve"> and</w:t>
      </w:r>
      <w:r w:rsidR="00F84052">
        <w:t xml:space="preserve"> Carrol 2002). At its zenith during the 16</w:t>
      </w:r>
      <w:r w:rsidR="00F84052" w:rsidRPr="00F84052">
        <w:rPr>
          <w:vertAlign w:val="superscript"/>
        </w:rPr>
        <w:t>th</w:t>
      </w:r>
      <w:r w:rsidR="00F84052">
        <w:t xml:space="preserve"> and 17</w:t>
      </w:r>
      <w:r w:rsidR="00F84052" w:rsidRPr="00F84052">
        <w:rPr>
          <w:vertAlign w:val="superscript"/>
        </w:rPr>
        <w:t>th</w:t>
      </w:r>
      <w:r w:rsidR="00F84052">
        <w:t xml:space="preserve"> centuries under </w:t>
      </w:r>
      <w:r>
        <w:t>the reign of</w:t>
      </w:r>
      <w:r w:rsidRPr="00CE0597">
        <w:t xml:space="preserve"> Suleiman the Magnificent,</w:t>
      </w:r>
      <w:r>
        <w:t xml:space="preserve"> the Ottoman Empire was a vast multinational, multilingual empire that controlled a huge amount of territory </w:t>
      </w:r>
      <w:r w:rsidR="00DE34D6">
        <w:t xml:space="preserve">that stretched </w:t>
      </w:r>
      <w:r>
        <w:t xml:space="preserve">from the regions that are today known as Croatia and Romania, much of North Africa </w:t>
      </w:r>
      <w:r w:rsidR="00DE34D6">
        <w:t>all t</w:t>
      </w:r>
      <w:r w:rsidR="00F621C9">
        <w:t>he way to Iraq and Yemen (</w:t>
      </w:r>
      <w:proofErr w:type="spellStart"/>
      <w:r w:rsidR="00F621C9">
        <w:t>Baram</w:t>
      </w:r>
      <w:proofErr w:type="spellEnd"/>
      <w:r w:rsidR="00F621C9">
        <w:t xml:space="preserve"> and</w:t>
      </w:r>
      <w:r w:rsidR="00D46E78">
        <w:t xml:space="preserve"> Carrol 2002)</w:t>
      </w:r>
      <w:r w:rsidR="00DE34D6">
        <w:t xml:space="preserve">. Archaeology is crucial in understanding the Ottoman Empire and everything it achieved during both its early beginnings and its eventual fall. In order to do this though we must first understand what Archaeology is as a discipline and what techniques </w:t>
      </w:r>
      <w:r w:rsidR="00A04BC8">
        <w:t xml:space="preserve">and methods </w:t>
      </w:r>
      <w:r w:rsidR="00DE34D6">
        <w:t xml:space="preserve">can be utilized that will allow the past to reveal itself. </w:t>
      </w:r>
    </w:p>
    <w:p w14:paraId="0BE49022" w14:textId="77777777" w:rsidR="00DE34D6" w:rsidRDefault="00DE34D6" w:rsidP="00F84052"/>
    <w:p w14:paraId="5A7A2844" w14:textId="35AE6DD6" w:rsidR="0014002E" w:rsidRDefault="00A50116" w:rsidP="00F84052">
      <w:r>
        <w:t xml:space="preserve">Archaeology is defined Renfrew and </w:t>
      </w:r>
      <w:proofErr w:type="spellStart"/>
      <w:r>
        <w:t>Bahn</w:t>
      </w:r>
      <w:proofErr w:type="spellEnd"/>
      <w:r>
        <w:t xml:space="preserve"> as “</w:t>
      </w:r>
      <w:r>
        <w:rPr>
          <w:i/>
        </w:rPr>
        <w:t xml:space="preserve">the study of human activity through the recovery and analysis of material culture. The archaeological record consists of artifacts, architecture, </w:t>
      </w:r>
      <w:proofErr w:type="spellStart"/>
      <w:r>
        <w:rPr>
          <w:i/>
        </w:rPr>
        <w:t>biofacts</w:t>
      </w:r>
      <w:proofErr w:type="spellEnd"/>
      <w:r>
        <w:rPr>
          <w:i/>
        </w:rPr>
        <w:t xml:space="preserve"> or </w:t>
      </w:r>
      <w:proofErr w:type="spellStart"/>
      <w:r>
        <w:rPr>
          <w:i/>
        </w:rPr>
        <w:t>ecofacts</w:t>
      </w:r>
      <w:proofErr w:type="spellEnd"/>
      <w:r>
        <w:rPr>
          <w:i/>
        </w:rPr>
        <w:t xml:space="preserve"> and cultural landscapes” (</w:t>
      </w:r>
      <w:r w:rsidR="007455A6">
        <w:t>Renfrew and</w:t>
      </w:r>
      <w:bookmarkStart w:id="0" w:name="_GoBack"/>
      <w:bookmarkEnd w:id="0"/>
      <w:r>
        <w:t xml:space="preserve"> </w:t>
      </w:r>
      <w:proofErr w:type="spellStart"/>
      <w:r>
        <w:t>Bahn</w:t>
      </w:r>
      <w:proofErr w:type="spellEnd"/>
      <w:r>
        <w:t xml:space="preserve"> 2004). Archaeology has a range of goals from understanding culture history</w:t>
      </w:r>
      <w:r w:rsidR="003C4915">
        <w:t xml:space="preserve">, explaining and documenting changes within human society throughout time to reconstructing past lifeways. In order to do this a vast array of techniques can be applied </w:t>
      </w:r>
      <w:r w:rsidR="00840F6D">
        <w:t>in order to further our understanding of the ancient and mod</w:t>
      </w:r>
      <w:r w:rsidR="000570F3">
        <w:t>ern past. Some of these</w:t>
      </w:r>
      <w:r w:rsidR="00354ABB">
        <w:t xml:space="preserve"> techniques</w:t>
      </w:r>
      <w:r w:rsidR="004C7665">
        <w:t xml:space="preserve"> and methods</w:t>
      </w:r>
      <w:r w:rsidR="000570F3">
        <w:t xml:space="preserve"> incl</w:t>
      </w:r>
      <w:r w:rsidR="0014002E">
        <w:t xml:space="preserve">ude but are not limited to: </w:t>
      </w:r>
      <w:r w:rsidR="0014002E">
        <w:br/>
      </w:r>
      <w:r w:rsidR="0014002E">
        <w:br/>
        <w:t>Tree-Ring Dating (</w:t>
      </w:r>
      <w:proofErr w:type="spellStart"/>
      <w:r w:rsidR="0014002E">
        <w:t>Denochronology</w:t>
      </w:r>
      <w:proofErr w:type="spellEnd"/>
      <w:r w:rsidR="0014002E">
        <w:t xml:space="preserve">) </w:t>
      </w:r>
    </w:p>
    <w:p w14:paraId="1B679039" w14:textId="77777777" w:rsidR="0014002E" w:rsidRDefault="0014002E" w:rsidP="00F84052"/>
    <w:p w14:paraId="6F14942D" w14:textId="78C3E030" w:rsidR="0014002E" w:rsidRDefault="0014002E" w:rsidP="00F84052">
      <w:r>
        <w:t>The study of the concentric growth rings that can be observed within the cross section of the trunk of a felled tree. Tree’s normally produce two growth rings annually which are formed by the cambium betwe</w:t>
      </w:r>
      <w:r w:rsidR="00F621C9">
        <w:t>en the wood and the bark (Fagan and</w:t>
      </w:r>
      <w:r>
        <w:t xml:space="preserve"> </w:t>
      </w:r>
      <w:proofErr w:type="spellStart"/>
      <w:r>
        <w:t>Durrani</w:t>
      </w:r>
      <w:proofErr w:type="spellEnd"/>
      <w:r>
        <w:t xml:space="preserve"> 2016). Every year of growth is marked by a distinct ring that varies in thickness according to the tree’s age and an</w:t>
      </w:r>
      <w:r w:rsidR="00F621C9">
        <w:t>nual climatic variations (Fagan and</w:t>
      </w:r>
      <w:r>
        <w:t xml:space="preserve"> </w:t>
      </w:r>
      <w:proofErr w:type="spellStart"/>
      <w:r>
        <w:t>Durrani</w:t>
      </w:r>
      <w:proofErr w:type="spellEnd"/>
      <w:r>
        <w:t xml:space="preserve"> 2016). By examining </w:t>
      </w:r>
      <w:r w:rsidR="00354ABB">
        <w:t>these rings and their thickness is it possible to determine cycles of wet and dry years whilst the tree was alive. Tree-ring samples are taken with a borer from both living and felled trees. These ring sequences taken from the borer are then compared both to each other and to a master chronology of rings that ha</w:t>
      </w:r>
      <w:r w:rsidR="004039DA">
        <w:t>s been built up from many trees with overlapping sequences tied to a known terminal date. The patterns of thick and thin rings for the new sequences are then matched to the master sequence and dated on the basis of their accurate fi</w:t>
      </w:r>
      <w:r w:rsidR="00F621C9">
        <w:t>t to the master sequence (Fagan and</w:t>
      </w:r>
      <w:r w:rsidR="004039DA">
        <w:t xml:space="preserve"> </w:t>
      </w:r>
      <w:proofErr w:type="spellStart"/>
      <w:r w:rsidR="004039DA">
        <w:t>Durrani</w:t>
      </w:r>
      <w:proofErr w:type="spellEnd"/>
      <w:r w:rsidR="004039DA">
        <w:t xml:space="preserve"> 2016). </w:t>
      </w:r>
      <w:r w:rsidR="00E93FB3">
        <w:t xml:space="preserve">Tree-ring experts have developed a master chronology that stretches over 8000 years by using a combination of the California bristlecone pine, European Oaks, and a multitude of other species. One of the advantages of this method of dating samples is that is it precise where as other methods such as radiocarbon dating produce a range rather than an exact date. It is also useful </w:t>
      </w:r>
      <w:r w:rsidR="00787318">
        <w:t xml:space="preserve">for dating samples that </w:t>
      </w:r>
      <w:r w:rsidR="004A063D">
        <w:t>are too recent for methods</w:t>
      </w:r>
      <w:r w:rsidR="00787318">
        <w:t xml:space="preserve"> such as radiocarbon dating. </w:t>
      </w:r>
      <w:r w:rsidR="004A063D">
        <w:t xml:space="preserve"> The limitations for this method of dating are that it can only be applied to trees in regions outside of the tropics where the pronounced differences between the seasons produce clearly defined </w:t>
      </w:r>
      <w:r w:rsidR="00F621C9">
        <w:t>annual rings of growth (Renfrew and</w:t>
      </w:r>
      <w:r w:rsidR="004A063D">
        <w:t xml:space="preserve"> </w:t>
      </w:r>
      <w:proofErr w:type="spellStart"/>
      <w:r w:rsidR="004A063D">
        <w:t>Bahn</w:t>
      </w:r>
      <w:proofErr w:type="spellEnd"/>
      <w:r w:rsidR="004A063D">
        <w:t xml:space="preserve"> 2004). To get a precise tree-ring date the wood from a species must have yielded a master sequence and also be a species that people commonly</w:t>
      </w:r>
      <w:r w:rsidR="00F621C9">
        <w:t xml:space="preserve"> used in the past (Renfrew and</w:t>
      </w:r>
      <w:r w:rsidR="004A063D">
        <w:t xml:space="preserve"> </w:t>
      </w:r>
      <w:proofErr w:type="spellStart"/>
      <w:r w:rsidR="004A063D">
        <w:t>Bahn</w:t>
      </w:r>
      <w:proofErr w:type="spellEnd"/>
      <w:r w:rsidR="004A063D">
        <w:t xml:space="preserve"> 2004). The master chronologies only tend to go back as far as 8000 years so any</w:t>
      </w:r>
      <w:r w:rsidR="00A7244F">
        <w:t xml:space="preserve"> material older than that is not able to be dated by this particular method.</w:t>
      </w:r>
      <w:r w:rsidR="004A063D">
        <w:t xml:space="preserve">  </w:t>
      </w:r>
    </w:p>
    <w:p w14:paraId="03856867" w14:textId="77777777" w:rsidR="00705889" w:rsidRDefault="00705889" w:rsidP="00F84052"/>
    <w:p w14:paraId="4A9E8E2B" w14:textId="77777777" w:rsidR="00D66FBF" w:rsidRDefault="00705889" w:rsidP="00A04BC8">
      <w:r>
        <w:t xml:space="preserve">This method has been applied to date Ottoman Monuments by Peter Ian </w:t>
      </w:r>
      <w:proofErr w:type="spellStart"/>
      <w:r>
        <w:t>Kuniholm</w:t>
      </w:r>
      <w:proofErr w:type="spellEnd"/>
      <w:r>
        <w:t xml:space="preserve"> since 1973.</w:t>
      </w:r>
      <w:r w:rsidR="00A04BC8">
        <w:t xml:space="preserve"> In his work “</w:t>
      </w:r>
      <w:proofErr w:type="spellStart"/>
      <w:r w:rsidR="00A04BC8" w:rsidRPr="00A04BC8">
        <w:rPr>
          <w:i/>
        </w:rPr>
        <w:t>Dendrochronologically</w:t>
      </w:r>
      <w:proofErr w:type="spellEnd"/>
      <w:r w:rsidR="00A04BC8" w:rsidRPr="00A04BC8">
        <w:rPr>
          <w:i/>
        </w:rPr>
        <w:t xml:space="preserve"> Dated Ottoman Monuments</w:t>
      </w:r>
      <w:r w:rsidR="00A04BC8">
        <w:t>” h</w:t>
      </w:r>
      <w:r>
        <w:t>e was able to precisely compile over fifty dated buildings or sites stretching from the 12</w:t>
      </w:r>
      <w:r w:rsidRPr="00705889">
        <w:rPr>
          <w:vertAlign w:val="superscript"/>
        </w:rPr>
        <w:t>th</w:t>
      </w:r>
      <w:r>
        <w:t xml:space="preserve"> century up to the 19</w:t>
      </w:r>
      <w:r w:rsidRPr="00705889">
        <w:rPr>
          <w:vertAlign w:val="superscript"/>
        </w:rPr>
        <w:t>th</w:t>
      </w:r>
      <w:r>
        <w:t xml:space="preserve">. This ranges from major </w:t>
      </w:r>
      <w:r>
        <w:lastRenderedPageBreak/>
        <w:t xml:space="preserve">monuments such as imperial mosques, </w:t>
      </w:r>
      <w:proofErr w:type="spellStart"/>
      <w:r>
        <w:t>sarays</w:t>
      </w:r>
      <w:proofErr w:type="spellEnd"/>
      <w:r>
        <w:t xml:space="preserve">, </w:t>
      </w:r>
      <w:proofErr w:type="spellStart"/>
      <w:proofErr w:type="gramStart"/>
      <w:r>
        <w:t>sifayes</w:t>
      </w:r>
      <w:proofErr w:type="spellEnd"/>
      <w:proofErr w:type="gramEnd"/>
      <w:r>
        <w:t xml:space="preserve"> down to lesser known ones such as </w:t>
      </w:r>
      <w:proofErr w:type="spellStart"/>
      <w:r>
        <w:t>t</w:t>
      </w:r>
      <w:r w:rsidRPr="00705889">
        <w:t>ürbe</w:t>
      </w:r>
      <w:r>
        <w:t>s</w:t>
      </w:r>
      <w:proofErr w:type="spellEnd"/>
      <w:r>
        <w:t xml:space="preserve">, </w:t>
      </w:r>
      <w:proofErr w:type="spellStart"/>
      <w:r>
        <w:t>mescits</w:t>
      </w:r>
      <w:proofErr w:type="spellEnd"/>
      <w:r>
        <w:t xml:space="preserve">, obscure </w:t>
      </w:r>
      <w:proofErr w:type="spellStart"/>
      <w:r>
        <w:t>medreses</w:t>
      </w:r>
      <w:proofErr w:type="spellEnd"/>
      <w:r>
        <w:t xml:space="preserve"> and privates houses (</w:t>
      </w:r>
      <w:proofErr w:type="spellStart"/>
      <w:r>
        <w:t>Kuniholm</w:t>
      </w:r>
      <w:proofErr w:type="spellEnd"/>
      <w:r>
        <w:t xml:space="preserve"> 2000). </w:t>
      </w:r>
      <w:r w:rsidR="009D6B9E">
        <w:t>He states: “All</w:t>
      </w:r>
      <w:r w:rsidR="009D6B9E" w:rsidRPr="009D6B9E">
        <w:t xml:space="preserve"> these buildings are part of Ottoman history, no matter</w:t>
      </w:r>
      <w:r w:rsidR="009D6B9E">
        <w:t xml:space="preserve"> </w:t>
      </w:r>
      <w:r w:rsidR="009D6B9E" w:rsidRPr="009D6B9E">
        <w:t>how big or how small they may be. Indeed, some of the lesser monuments have the most important tree-rings in this long chain and therefore merit inclusion in this t</w:t>
      </w:r>
      <w:r w:rsidR="009D6B9E">
        <w:t>abulation for that reason alone” (</w:t>
      </w:r>
      <w:proofErr w:type="spellStart"/>
      <w:r w:rsidR="009D6B9E">
        <w:t>Kuniholm</w:t>
      </w:r>
      <w:proofErr w:type="spellEnd"/>
      <w:r w:rsidR="009D6B9E">
        <w:t xml:space="preserve"> 2000).  This work exemplifies how useful a method of dating such as dendrochronology can be in dating and understanding the Ottoman Empire within an archaeological context, especially when cross referencing precise dating together with surviving writte</w:t>
      </w:r>
      <w:r w:rsidR="00A04BC8">
        <w:t xml:space="preserve">n evidence to build a consistently accurate framework that allows fuller interpretation of Ottoman sites and monuments. </w:t>
      </w:r>
    </w:p>
    <w:p w14:paraId="6E8E5963" w14:textId="77777777" w:rsidR="00D66FBF" w:rsidRDefault="00D66FBF" w:rsidP="00A04BC8"/>
    <w:p w14:paraId="18F45218" w14:textId="75B5208D" w:rsidR="00672B42" w:rsidRDefault="00D66FBF" w:rsidP="00377CB3">
      <w:r>
        <w:t xml:space="preserve">Radiocarbon Dating: </w:t>
      </w:r>
      <w:r>
        <w:br/>
      </w:r>
      <w:r>
        <w:br/>
        <w:t>Radiocarbon dating is without question the most useful method of dating for archaeologists.</w:t>
      </w:r>
      <w:r w:rsidR="00C2015B">
        <w:t xml:space="preserve"> This dating method determines the age of an object that contains organic material by utilizing the properties of radiocarbon which is a radioactive isotope of carbon. </w:t>
      </w:r>
      <w:r w:rsidR="00D257F4">
        <w:t>Developed during the late 1940’s by Willard Libby</w:t>
      </w:r>
      <w:r w:rsidR="00BE68BA">
        <w:t>,</w:t>
      </w:r>
      <w:r w:rsidR="00D257F4">
        <w:t xml:space="preserve"> </w:t>
      </w:r>
      <w:r w:rsidR="00BE68BA">
        <w:t>t</w:t>
      </w:r>
      <w:r w:rsidR="00C2015B">
        <w:t>he basis of the datin</w:t>
      </w:r>
      <w:r w:rsidR="00BD1C35">
        <w:t>g method is that radiocarbon (</w:t>
      </w:r>
      <w:r w:rsidR="00BD1C35" w:rsidRPr="00BD1C35">
        <w:rPr>
          <w:rFonts w:ascii="Arial" w:hAnsi="Arial" w:cs="Arial"/>
          <w:color w:val="222222"/>
          <w:sz w:val="20"/>
          <w:szCs w:val="20"/>
          <w:shd w:val="clear" w:color="auto" w:fill="FFFFFF"/>
          <w:vertAlign w:val="superscript"/>
        </w:rPr>
        <w:t>14</w:t>
      </w:r>
      <w:r w:rsidR="00BD1C35">
        <w:rPr>
          <w:rFonts w:ascii="Arial" w:hAnsi="Arial" w:cs="Arial"/>
          <w:color w:val="222222"/>
          <w:sz w:val="21"/>
          <w:szCs w:val="21"/>
          <w:shd w:val="clear" w:color="auto" w:fill="FFFFFF"/>
        </w:rPr>
        <w:t>C</w:t>
      </w:r>
      <w:r w:rsidR="00C2015B">
        <w:t>) is</w:t>
      </w:r>
      <w:r w:rsidR="00F32F62">
        <w:t xml:space="preserve"> constantly being created in t</w:t>
      </w:r>
      <w:r w:rsidR="00F67CF8">
        <w:t xml:space="preserve">he atmosphere as a result of the interaction between cosmic rays and </w:t>
      </w:r>
      <w:r w:rsidR="00BD1C35">
        <w:t>atmospheric nitrogen. The (</w:t>
      </w:r>
      <w:r w:rsidR="00BD1C35" w:rsidRPr="00BD1C35">
        <w:rPr>
          <w:rFonts w:ascii="Arial" w:hAnsi="Arial" w:cs="Arial"/>
          <w:color w:val="222222"/>
          <w:sz w:val="20"/>
          <w:szCs w:val="20"/>
          <w:shd w:val="clear" w:color="auto" w:fill="FFFFFF"/>
          <w:vertAlign w:val="superscript"/>
        </w:rPr>
        <w:t>14</w:t>
      </w:r>
      <w:r w:rsidR="00BD1C35">
        <w:rPr>
          <w:rFonts w:ascii="Arial" w:hAnsi="Arial" w:cs="Arial"/>
          <w:color w:val="222222"/>
          <w:sz w:val="21"/>
          <w:szCs w:val="21"/>
          <w:shd w:val="clear" w:color="auto" w:fill="FFFFFF"/>
        </w:rPr>
        <w:t xml:space="preserve">C) that is created then combines atmospheric </w:t>
      </w:r>
      <w:r w:rsidR="00BE68BA">
        <w:rPr>
          <w:rFonts w:ascii="Arial" w:hAnsi="Arial" w:cs="Arial"/>
          <w:color w:val="222222"/>
          <w:sz w:val="21"/>
          <w:szCs w:val="21"/>
          <w:shd w:val="clear" w:color="auto" w:fill="FFFFFF"/>
        </w:rPr>
        <w:t>oxygen</w:t>
      </w:r>
      <w:r w:rsidR="00377CB3">
        <w:rPr>
          <w:rFonts w:ascii="Arial" w:hAnsi="Arial" w:cs="Arial"/>
          <w:color w:val="222222"/>
          <w:sz w:val="21"/>
          <w:szCs w:val="21"/>
          <w:shd w:val="clear" w:color="auto" w:fill="FFFFFF"/>
        </w:rPr>
        <w:t xml:space="preserve"> to form </w:t>
      </w:r>
      <w:r w:rsidR="00377CB3" w:rsidRPr="00377CB3">
        <w:rPr>
          <w:rFonts w:ascii="Arial" w:hAnsi="Arial" w:cs="Arial"/>
          <w:color w:val="222222"/>
          <w:sz w:val="21"/>
          <w:szCs w:val="21"/>
          <w:shd w:val="clear" w:color="auto" w:fill="FFFFFF"/>
        </w:rPr>
        <w:t>radioactive carbon dioxide, wh</w:t>
      </w:r>
      <w:r w:rsidR="00377CB3">
        <w:rPr>
          <w:rFonts w:ascii="Arial" w:hAnsi="Arial" w:cs="Arial"/>
          <w:color w:val="222222"/>
          <w:sz w:val="21"/>
          <w:szCs w:val="21"/>
          <w:shd w:val="clear" w:color="auto" w:fill="FFFFFF"/>
        </w:rPr>
        <w:t xml:space="preserve">ich is incorporated into plants </w:t>
      </w:r>
      <w:r w:rsidR="00377CB3" w:rsidRPr="00377CB3">
        <w:rPr>
          <w:rFonts w:ascii="Arial" w:hAnsi="Arial" w:cs="Arial"/>
          <w:color w:val="222222"/>
          <w:sz w:val="21"/>
          <w:szCs w:val="21"/>
          <w:shd w:val="clear" w:color="auto" w:fill="FFFFFF"/>
        </w:rPr>
        <w:t>by photosyn</w:t>
      </w:r>
      <w:r w:rsidR="00377CB3">
        <w:rPr>
          <w:rFonts w:ascii="Arial" w:hAnsi="Arial" w:cs="Arial"/>
          <w:color w:val="222222"/>
          <w:sz w:val="21"/>
          <w:szCs w:val="21"/>
          <w:shd w:val="clear" w:color="auto" w:fill="FFFFFF"/>
        </w:rPr>
        <w:t>thesis; animals then acquire 14</w:t>
      </w:r>
      <w:r w:rsidR="00377CB3" w:rsidRPr="00377CB3">
        <w:rPr>
          <w:rFonts w:ascii="Arial" w:hAnsi="Arial" w:cs="Arial"/>
          <w:color w:val="222222"/>
          <w:sz w:val="21"/>
          <w:szCs w:val="21"/>
          <w:shd w:val="clear" w:color="auto" w:fill="FFFFFF"/>
        </w:rPr>
        <w:t>C by eating the plants. When the animal or plant dies, it stops exchanging carbon with its environment, and from that</w:t>
      </w:r>
      <w:r w:rsidR="00377CB3">
        <w:rPr>
          <w:rFonts w:ascii="Arial" w:hAnsi="Arial" w:cs="Arial"/>
          <w:color w:val="222222"/>
          <w:sz w:val="21"/>
          <w:szCs w:val="21"/>
          <w:shd w:val="clear" w:color="auto" w:fill="FFFFFF"/>
        </w:rPr>
        <w:t xml:space="preserve"> point onwards the amount of 14C it </w:t>
      </w:r>
      <w:r w:rsidR="00377CB3" w:rsidRPr="00377CB3">
        <w:rPr>
          <w:rFonts w:ascii="Arial" w:hAnsi="Arial" w:cs="Arial"/>
          <w:color w:val="222222"/>
          <w:sz w:val="21"/>
          <w:szCs w:val="21"/>
          <w:shd w:val="clear" w:color="auto" w:fill="FFFFFF"/>
        </w:rPr>
        <w:t>contai</w:t>
      </w:r>
      <w:r w:rsidR="00377CB3">
        <w:rPr>
          <w:rFonts w:ascii="Arial" w:hAnsi="Arial" w:cs="Arial"/>
          <w:color w:val="222222"/>
          <w:sz w:val="21"/>
          <w:szCs w:val="21"/>
          <w:shd w:val="clear" w:color="auto" w:fill="FFFFFF"/>
        </w:rPr>
        <w:t>ns begins to decrease as the 14</w:t>
      </w:r>
      <w:r w:rsidR="00377CB3" w:rsidRPr="00377CB3">
        <w:rPr>
          <w:rFonts w:ascii="Arial" w:hAnsi="Arial" w:cs="Arial"/>
          <w:color w:val="222222"/>
          <w:sz w:val="21"/>
          <w:szCs w:val="21"/>
          <w:shd w:val="clear" w:color="auto" w:fill="FFFFFF"/>
        </w:rPr>
        <w:t>C undergoes radioactive de</w:t>
      </w:r>
      <w:r w:rsidR="00552C9E">
        <w:rPr>
          <w:rFonts w:ascii="Arial" w:hAnsi="Arial" w:cs="Arial"/>
          <w:color w:val="222222"/>
          <w:sz w:val="21"/>
          <w:szCs w:val="21"/>
          <w:shd w:val="clear" w:color="auto" w:fill="FFFFFF"/>
        </w:rPr>
        <w:t xml:space="preserve">cay. </w:t>
      </w:r>
      <w:r w:rsidR="00377CB3">
        <w:rPr>
          <w:rFonts w:ascii="Arial" w:hAnsi="Arial" w:cs="Arial"/>
          <w:color w:val="222222"/>
          <w:sz w:val="21"/>
          <w:szCs w:val="21"/>
          <w:shd w:val="clear" w:color="auto" w:fill="FFFFFF"/>
        </w:rPr>
        <w:t>Measuring the amount of 14</w:t>
      </w:r>
      <w:r w:rsidR="00377CB3" w:rsidRPr="00377CB3">
        <w:rPr>
          <w:rFonts w:ascii="Arial" w:hAnsi="Arial" w:cs="Arial"/>
          <w:color w:val="222222"/>
          <w:sz w:val="21"/>
          <w:szCs w:val="21"/>
          <w:shd w:val="clear" w:color="auto" w:fill="FFFFFF"/>
        </w:rPr>
        <w:t>C in a sample from a dead plant or animal such as a piece of wood or a fragment of bone provides information that can be used to calculate when the animal or plant died.</w:t>
      </w:r>
      <w:r w:rsidR="00BE68BA">
        <w:rPr>
          <w:rFonts w:ascii="Arial" w:hAnsi="Arial" w:cs="Arial"/>
          <w:color w:val="222222"/>
          <w:sz w:val="21"/>
          <w:szCs w:val="21"/>
          <w:shd w:val="clear" w:color="auto" w:fill="FFFFFF"/>
        </w:rPr>
        <w:t xml:space="preserve"> </w:t>
      </w:r>
      <w:r w:rsidR="004A063D">
        <w:t>As with any other method of dating it does have limitations in terms of accuracy and the time range where it is useful (Renfrew</w:t>
      </w:r>
      <w:r w:rsidR="00F621C9">
        <w:t xml:space="preserve"> and</w:t>
      </w:r>
      <w:r w:rsidR="00A7244F">
        <w:t xml:space="preserve"> </w:t>
      </w:r>
      <w:proofErr w:type="spellStart"/>
      <w:r w:rsidR="00A7244F">
        <w:t>Bahn</w:t>
      </w:r>
      <w:proofErr w:type="spellEnd"/>
      <w:r w:rsidR="00A7244F">
        <w:t xml:space="preserve"> 2004). Despite some limitations it has helped archaeologist</w:t>
      </w:r>
      <w:r w:rsidR="00552C9E">
        <w:t>s</w:t>
      </w:r>
      <w:r w:rsidR="00A7244F">
        <w:t xml:space="preserve"> around the world establish a reliable chrono</w:t>
      </w:r>
      <w:r w:rsidR="00F621C9">
        <w:t>logy of world cultures (Renfrew and</w:t>
      </w:r>
      <w:r w:rsidR="00A7244F">
        <w:t xml:space="preserve"> </w:t>
      </w:r>
      <w:proofErr w:type="spellStart"/>
      <w:r w:rsidR="00A7244F">
        <w:t>Bahn</w:t>
      </w:r>
      <w:proofErr w:type="spellEnd"/>
      <w:r w:rsidR="00A7244F">
        <w:t xml:space="preserve"> 2004). Radiocarbon laboratories provide an estimate of age that is based on the measurement </w:t>
      </w:r>
      <w:r w:rsidR="00C2015B">
        <w:t>of the amount of radiocarbon activity in a sample. The level of activity is converted to an age expressed in a number of years between the death of an organism and the present.</w:t>
      </w:r>
      <w:r w:rsidR="00F67CF8">
        <w:t xml:space="preserve"> </w:t>
      </w:r>
      <w:r w:rsidR="00672B42">
        <w:br/>
      </w:r>
    </w:p>
    <w:p w14:paraId="15E99CCC" w14:textId="52C6D1CB" w:rsidR="00D65310" w:rsidRDefault="00D65310" w:rsidP="00377CB3">
      <w:r>
        <w:t>Electrical Resistivity Survey:</w:t>
      </w:r>
    </w:p>
    <w:p w14:paraId="75F041D3" w14:textId="77777777" w:rsidR="00D65310" w:rsidRDefault="00D65310" w:rsidP="00377CB3"/>
    <w:p w14:paraId="5572A98B" w14:textId="172E9FD8" w:rsidR="00B21F40" w:rsidRDefault="00A361FB" w:rsidP="00377CB3">
      <w:r>
        <w:t>Electrical resistivity</w:t>
      </w:r>
      <w:r w:rsidR="00D65310">
        <w:t xml:space="preserve"> is a very useful and commonly used method of surveying in archaeolo</w:t>
      </w:r>
      <w:r w:rsidR="00D6329C">
        <w:t>gy. The primary principle of this</w:t>
      </w:r>
      <w:r w:rsidR="00D65310">
        <w:t xml:space="preserve"> method of surveying is that the damper the soil is the more easily it will conduct electricity</w:t>
      </w:r>
      <w:r w:rsidR="009356E2">
        <w:t>, i.e. the less resistance it will show to an electrical current (Renfr</w:t>
      </w:r>
      <w:r w:rsidR="006031D8">
        <w:t>ew and</w:t>
      </w:r>
      <w:r w:rsidR="009356E2">
        <w:t xml:space="preserve"> </w:t>
      </w:r>
      <w:proofErr w:type="spellStart"/>
      <w:r w:rsidR="009356E2">
        <w:t>Bahn</w:t>
      </w:r>
      <w:proofErr w:type="spellEnd"/>
      <w:r w:rsidR="009356E2">
        <w:t xml:space="preserve"> 2014). Electrodes are placed into the</w:t>
      </w:r>
      <w:r w:rsidR="00D6329C">
        <w:t xml:space="preserve"> ground that is connected to a</w:t>
      </w:r>
      <w:r w:rsidR="009356E2">
        <w:t xml:space="preserve"> resistivity meter which allows the measurement of varying degrees of sub surface current passed </w:t>
      </w:r>
      <w:r w:rsidR="006031D8">
        <w:t>between the electrodes (Renfrew and</w:t>
      </w:r>
      <w:r w:rsidR="009356E2">
        <w:t xml:space="preserve"> </w:t>
      </w:r>
      <w:proofErr w:type="spellStart"/>
      <w:r w:rsidR="009356E2">
        <w:t>Bahn</w:t>
      </w:r>
      <w:proofErr w:type="spellEnd"/>
      <w:r>
        <w:t xml:space="preserve"> 2014). For example</w:t>
      </w:r>
      <w:r w:rsidR="009356E2">
        <w:t xml:space="preserve"> silted up ditches </w:t>
      </w:r>
      <w:r w:rsidR="00435CC8">
        <w:t>will retain more moisture than stone walls or roads so will therefore display a lower resistivity</w:t>
      </w:r>
      <w:r w:rsidR="006031D8">
        <w:t xml:space="preserve"> than stone structures (Renfrew and</w:t>
      </w:r>
      <w:r w:rsidR="00435CC8">
        <w:t xml:space="preserve"> </w:t>
      </w:r>
      <w:proofErr w:type="spellStart"/>
      <w:r w:rsidR="00435CC8">
        <w:t>Bahn</w:t>
      </w:r>
      <w:proofErr w:type="spellEnd"/>
      <w:r w:rsidR="006031D8">
        <w:t xml:space="preserve"> </w:t>
      </w:r>
      <w:r w:rsidR="00435CC8">
        <w:t>2014)</w:t>
      </w:r>
      <w:r w:rsidR="009356E2">
        <w:t xml:space="preserve"> This technique is particularly useful for detecting ditches and chalk pits</w:t>
      </w:r>
      <w:r w:rsidR="006031D8">
        <w:t xml:space="preserve"> </w:t>
      </w:r>
      <w:r w:rsidR="00D6329C">
        <w:t xml:space="preserve">in chalk and gravel, and masonry in clay. The primary method is carried out by placing two stationary probes into the ground whilst two “mobile” probes which are fixed to a frame which also supports the resistivity meter are then inserted into the ground for each reading (Renfrew and </w:t>
      </w:r>
      <w:proofErr w:type="spellStart"/>
      <w:r w:rsidR="00D6329C">
        <w:t>Bahn</w:t>
      </w:r>
      <w:proofErr w:type="spellEnd"/>
      <w:r w:rsidR="00D6329C">
        <w:t xml:space="preserve"> 2014). A variant of this method of surveying is el</w:t>
      </w:r>
      <w:r w:rsidR="00DC3475">
        <w:t xml:space="preserve">ectrical resistivity tomography which was originally borrowed from the medical sciences (Renfrew and </w:t>
      </w:r>
      <w:proofErr w:type="spellStart"/>
      <w:r w:rsidR="00DC3475">
        <w:t>Bahn</w:t>
      </w:r>
      <w:proofErr w:type="spellEnd"/>
      <w:r w:rsidR="00DC3475">
        <w:t xml:space="preserve"> 2014). This is especially useful for sites and monuments that require a fully non-destructive approach where ground penetrating (GPR) would usually be preferable. Recent developments in the technology </w:t>
      </w:r>
      <w:r w:rsidR="004E37A4" w:rsidRPr="004E37A4">
        <w:rPr>
          <w:lang w:val="en-GB"/>
        </w:rPr>
        <w:lastRenderedPageBreak/>
        <w:drawing>
          <wp:anchor distT="0" distB="0" distL="114300" distR="114300" simplePos="0" relativeHeight="251657216" behindDoc="1" locked="0" layoutInCell="1" allowOverlap="1" wp14:anchorId="22F2F418" wp14:editId="4A51638C">
            <wp:simplePos x="0" y="0"/>
            <wp:positionH relativeFrom="page">
              <wp:posOffset>2838450</wp:posOffset>
            </wp:positionH>
            <wp:positionV relativeFrom="paragraph">
              <wp:posOffset>1637665</wp:posOffset>
            </wp:positionV>
            <wp:extent cx="4762500" cy="3571875"/>
            <wp:effectExtent l="0" t="0" r="0" b="9525"/>
            <wp:wrapTight wrapText="bothSides">
              <wp:wrapPolygon edited="0">
                <wp:start x="0" y="0"/>
                <wp:lineTo x="0" y="21542"/>
                <wp:lineTo x="21514" y="21542"/>
                <wp:lineTo x="21514" y="0"/>
                <wp:lineTo x="0" y="0"/>
              </wp:wrapPolygon>
            </wp:wrapTight>
            <wp:docPr id="1" name="Picture 1" descr="http://images.greece.com/panoramio/07/23/02/21/597486a4b65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greece.com/panoramio/07/23/02/21/597486a4b651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3475">
        <w:t xml:space="preserve">for electrical </w:t>
      </w:r>
      <w:r w:rsidR="00FD7DD5">
        <w:t xml:space="preserve">tomography has enabled substitutes for the traditional metal spike electrodes that might could potentially cause damage to ancient remains. </w:t>
      </w:r>
      <w:r w:rsidR="004E4319">
        <w:t xml:space="preserve">This was put to use during the geophysical survey of the </w:t>
      </w:r>
      <w:proofErr w:type="spellStart"/>
      <w:r w:rsidR="004E4319">
        <w:t>Haza</w:t>
      </w:r>
      <w:proofErr w:type="spellEnd"/>
      <w:r w:rsidR="004E4319">
        <w:t xml:space="preserve"> </w:t>
      </w:r>
      <w:proofErr w:type="spellStart"/>
      <w:r w:rsidR="004E4319">
        <w:t>Bey</w:t>
      </w:r>
      <w:proofErr w:type="spellEnd"/>
      <w:r w:rsidR="004E4319">
        <w:t xml:space="preserve"> Mosque, an important ottoman monument situated in the city center of Thessaloniki (N. Greece) (</w:t>
      </w:r>
      <w:r w:rsidR="004E4319" w:rsidRPr="004E4319">
        <w:t>G</w:t>
      </w:r>
      <w:r w:rsidR="004E4319">
        <w:t xml:space="preserve">regory N. </w:t>
      </w:r>
      <w:proofErr w:type="spellStart"/>
      <w:r w:rsidR="004E4319">
        <w:t>Tsokas</w:t>
      </w:r>
      <w:proofErr w:type="spellEnd"/>
      <w:r w:rsidR="004E4319" w:rsidRPr="004E4319">
        <w:t xml:space="preserve"> et al</w:t>
      </w:r>
      <w:r w:rsidR="004E4319">
        <w:t xml:space="preserve">., 2012). </w:t>
      </w:r>
      <w:r w:rsidR="001D13D2">
        <w:t xml:space="preserve">The Hamza </w:t>
      </w:r>
      <w:proofErr w:type="spellStart"/>
      <w:r w:rsidR="001D13D2">
        <w:t>Bey</w:t>
      </w:r>
      <w:proofErr w:type="spellEnd"/>
      <w:r w:rsidR="001D13D2">
        <w:t xml:space="preserve"> Mosque was built during the reign of Mehmed II in 1467-8 by </w:t>
      </w:r>
      <w:proofErr w:type="spellStart"/>
      <w:r w:rsidR="001D13D2">
        <w:rPr>
          <w:i/>
        </w:rPr>
        <w:t>Hafsa</w:t>
      </w:r>
      <w:proofErr w:type="spellEnd"/>
      <w:r w:rsidR="001D13D2">
        <w:rPr>
          <w:i/>
        </w:rPr>
        <w:t xml:space="preserve">, </w:t>
      </w:r>
      <w:r w:rsidR="001D13D2">
        <w:t xml:space="preserve">the daughter of </w:t>
      </w:r>
      <w:r w:rsidR="001D13D2">
        <w:rPr>
          <w:i/>
        </w:rPr>
        <w:t xml:space="preserve">Hamza </w:t>
      </w:r>
      <w:proofErr w:type="spellStart"/>
      <w:r w:rsidR="001D13D2">
        <w:rPr>
          <w:i/>
        </w:rPr>
        <w:t>Bey</w:t>
      </w:r>
      <w:proofErr w:type="spellEnd"/>
      <w:r w:rsidR="001D13D2">
        <w:t xml:space="preserve"> who was an ottoman military commander as a </w:t>
      </w:r>
      <w:r w:rsidR="004C7665">
        <w:t>district</w:t>
      </w:r>
      <w:r w:rsidR="001D13D2">
        <w:t xml:space="preserve"> </w:t>
      </w:r>
      <w:proofErr w:type="spellStart"/>
      <w:proofErr w:type="gramStart"/>
      <w:r w:rsidR="001D13D2">
        <w:t>muslim</w:t>
      </w:r>
      <w:proofErr w:type="spellEnd"/>
      <w:proofErr w:type="gramEnd"/>
      <w:r w:rsidR="001D13D2">
        <w:t xml:space="preserve"> house of prayer </w:t>
      </w:r>
      <w:r w:rsidR="001D13D2">
        <w:t>(</w:t>
      </w:r>
      <w:r w:rsidR="001D13D2" w:rsidRPr="004E4319">
        <w:t>G</w:t>
      </w:r>
      <w:r w:rsidR="001D13D2">
        <w:t xml:space="preserve">regory N. </w:t>
      </w:r>
      <w:proofErr w:type="spellStart"/>
      <w:r w:rsidR="001D13D2">
        <w:t>Tsokas</w:t>
      </w:r>
      <w:proofErr w:type="spellEnd"/>
      <w:r w:rsidR="001D13D2" w:rsidRPr="004E4319">
        <w:t xml:space="preserve"> et al</w:t>
      </w:r>
      <w:r w:rsidR="001D13D2">
        <w:t>., 2012).</w:t>
      </w:r>
      <w:r w:rsidR="001D13D2">
        <w:t xml:space="preserve"> </w:t>
      </w:r>
      <w:r w:rsidR="004C7665">
        <w:t xml:space="preserve"> </w:t>
      </w:r>
      <w:r w:rsidR="00D5434B">
        <w:t xml:space="preserve">The original edifice </w:t>
      </w:r>
      <w:r>
        <w:rPr>
          <w:noProof/>
          <w:lang w:val="en-GB" w:eastAsia="en-GB"/>
        </w:rPr>
        <mc:AlternateContent>
          <mc:Choice Requires="wps">
            <w:drawing>
              <wp:anchor distT="45720" distB="45720" distL="114300" distR="114300" simplePos="0" relativeHeight="251662336" behindDoc="0" locked="0" layoutInCell="1" allowOverlap="1" wp14:anchorId="7186E8DE" wp14:editId="3903AC1E">
                <wp:simplePos x="0" y="0"/>
                <wp:positionH relativeFrom="column">
                  <wp:posOffset>1923415</wp:posOffset>
                </wp:positionH>
                <wp:positionV relativeFrom="paragraph">
                  <wp:posOffset>5219700</wp:posOffset>
                </wp:positionV>
                <wp:extent cx="4752975" cy="238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238125"/>
                        </a:xfrm>
                        <a:prstGeom prst="rect">
                          <a:avLst/>
                        </a:prstGeom>
                        <a:solidFill>
                          <a:srgbClr val="FFFFFF"/>
                        </a:solidFill>
                        <a:ln w="9525">
                          <a:solidFill>
                            <a:srgbClr val="000000"/>
                          </a:solidFill>
                          <a:miter lim="800000"/>
                          <a:headEnd/>
                          <a:tailEnd/>
                        </a:ln>
                      </wps:spPr>
                      <wps:txbx>
                        <w:txbxContent>
                          <w:p w14:paraId="199E6542" w14:textId="7C5B7EE9" w:rsidR="004E37A4" w:rsidRDefault="004E37A4">
                            <w:r>
                              <w:rPr>
                                <w:i/>
                                <w:sz w:val="20"/>
                                <w:szCs w:val="20"/>
                              </w:rPr>
                              <w:t xml:space="preserve">Hamza </w:t>
                            </w:r>
                            <w:proofErr w:type="spellStart"/>
                            <w:r>
                              <w:rPr>
                                <w:i/>
                                <w:sz w:val="20"/>
                                <w:szCs w:val="20"/>
                              </w:rPr>
                              <w:t>Bey</w:t>
                            </w:r>
                            <w:proofErr w:type="spellEnd"/>
                            <w:r>
                              <w:rPr>
                                <w:i/>
                                <w:sz w:val="20"/>
                                <w:szCs w:val="20"/>
                              </w:rPr>
                              <w:t xml:space="preserve"> Mosque (</w:t>
                            </w:r>
                            <w:proofErr w:type="spellStart"/>
                            <w:r>
                              <w:rPr>
                                <w:i/>
                                <w:sz w:val="20"/>
                                <w:szCs w:val="20"/>
                              </w:rPr>
                              <w:t>Alkazar</w:t>
                            </w:r>
                            <w:proofErr w:type="spellEnd"/>
                            <w:r>
                              <w:rPr>
                                <w:i/>
                                <w:sz w:val="20"/>
                                <w:szCs w:val="20"/>
                              </w:rPr>
                              <w:t>), Thessaloniki, Greece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86E8DE" id="_x0000_t202" coordsize="21600,21600" o:spt="202" path="m,l,21600r21600,l21600,xe">
                <v:stroke joinstyle="miter"/>
                <v:path gradientshapeok="t" o:connecttype="rect"/>
              </v:shapetype>
              <v:shape id="Text Box 2" o:spid="_x0000_s1026" type="#_x0000_t202" style="position:absolute;margin-left:151.45pt;margin-top:411pt;width:374.25pt;height:18.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">
                <v:textbox>
                  <w:txbxContent>
                    <w:p w14:paraId="199E6542" w14:textId="7C5B7EE9" w:rsidR="004E37A4" w:rsidRDefault="004E37A4">
                      <w:r>
                        <w:rPr>
                          <w:i/>
                          <w:sz w:val="20"/>
                          <w:szCs w:val="20"/>
                        </w:rPr>
                        <w:t xml:space="preserve">Hamza </w:t>
                      </w:r>
                      <w:proofErr w:type="spellStart"/>
                      <w:r>
                        <w:rPr>
                          <w:i/>
                          <w:sz w:val="20"/>
                          <w:szCs w:val="20"/>
                        </w:rPr>
                        <w:t>Bey</w:t>
                      </w:r>
                      <w:proofErr w:type="spellEnd"/>
                      <w:r>
                        <w:rPr>
                          <w:i/>
                          <w:sz w:val="20"/>
                          <w:szCs w:val="20"/>
                        </w:rPr>
                        <w:t xml:space="preserve"> Mosque (</w:t>
                      </w:r>
                      <w:proofErr w:type="spellStart"/>
                      <w:r>
                        <w:rPr>
                          <w:i/>
                          <w:sz w:val="20"/>
                          <w:szCs w:val="20"/>
                        </w:rPr>
                        <w:t>Alkazar</w:t>
                      </w:r>
                      <w:proofErr w:type="spellEnd"/>
                      <w:r>
                        <w:rPr>
                          <w:i/>
                          <w:sz w:val="20"/>
                          <w:szCs w:val="20"/>
                        </w:rPr>
                        <w:t>), Thessaloniki, Greece 2011.</w:t>
                      </w:r>
                    </w:p>
                  </w:txbxContent>
                </v:textbox>
                <w10:wrap type="square"/>
              </v:shape>
            </w:pict>
          </mc:Fallback>
        </mc:AlternateContent>
      </w:r>
      <w:r w:rsidR="00D5434B">
        <w:t xml:space="preserve">originally consisted of the domed prayer hall which would become the kernel of the architectural complex that would follow with a porch, </w:t>
      </w:r>
      <w:proofErr w:type="spellStart"/>
      <w:r w:rsidR="00D5434B">
        <w:rPr>
          <w:i/>
        </w:rPr>
        <w:t>revak</w:t>
      </w:r>
      <w:proofErr w:type="spellEnd"/>
      <w:r w:rsidR="00D5434B">
        <w:rPr>
          <w:i/>
        </w:rPr>
        <w:t xml:space="preserve">, </w:t>
      </w:r>
      <w:r w:rsidR="00D5434B">
        <w:t>along the northwest façade</w:t>
      </w:r>
      <w:r w:rsidR="00D5434B">
        <w:t xml:space="preserve"> (</w:t>
      </w:r>
      <w:r w:rsidR="00D5434B" w:rsidRPr="004E4319">
        <w:t>G</w:t>
      </w:r>
      <w:r w:rsidR="00D5434B">
        <w:t xml:space="preserve">regory N. </w:t>
      </w:r>
      <w:proofErr w:type="spellStart"/>
      <w:r w:rsidR="00D5434B">
        <w:t>Tsokas</w:t>
      </w:r>
      <w:proofErr w:type="spellEnd"/>
      <w:r w:rsidR="00D5434B" w:rsidRPr="004E4319">
        <w:t xml:space="preserve"> et al</w:t>
      </w:r>
      <w:r w:rsidR="00D5434B">
        <w:t>., 2012).</w:t>
      </w:r>
      <w:r w:rsidR="004C7665">
        <w:t xml:space="preserve"> </w:t>
      </w:r>
      <w:r w:rsidR="00A23068">
        <w:t>During the mid-16</w:t>
      </w:r>
      <w:r w:rsidR="00A23068" w:rsidRPr="00A23068">
        <w:rPr>
          <w:vertAlign w:val="superscript"/>
        </w:rPr>
        <w:t>th</w:t>
      </w:r>
      <w:r w:rsidR="00A23068">
        <w:rPr>
          <w:vertAlign w:val="superscript"/>
        </w:rPr>
        <w:t xml:space="preserve"> </w:t>
      </w:r>
      <w:r w:rsidR="00A23068">
        <w:t xml:space="preserve">the </w:t>
      </w:r>
      <w:r w:rsidR="00A23068" w:rsidRPr="00A23068">
        <w:t xml:space="preserve">Π </w:t>
      </w:r>
      <w:r w:rsidR="00A23068">
        <w:t xml:space="preserve">shaped ambulatory with a </w:t>
      </w:r>
      <w:r w:rsidR="00A23068">
        <w:rPr>
          <w:i/>
        </w:rPr>
        <w:t>minaret</w:t>
      </w:r>
      <w:r w:rsidR="00A23068">
        <w:t xml:space="preserve"> was relocated to the </w:t>
      </w:r>
      <w:proofErr w:type="spellStart"/>
      <w:r w:rsidR="00A23068">
        <w:rPr>
          <w:i/>
        </w:rPr>
        <w:t>mescid</w:t>
      </w:r>
      <w:proofErr w:type="spellEnd"/>
      <w:r w:rsidR="00A23068">
        <w:rPr>
          <w:i/>
        </w:rPr>
        <w:t xml:space="preserve"> </w:t>
      </w:r>
      <w:r w:rsidR="00A23068">
        <w:t>which signified it’s conversion to a mosque. The monument was completed during the end of the 16</w:t>
      </w:r>
      <w:r w:rsidR="00A23068" w:rsidRPr="00A23068">
        <w:rPr>
          <w:vertAlign w:val="superscript"/>
        </w:rPr>
        <w:t>th</w:t>
      </w:r>
      <w:r w:rsidR="00A23068">
        <w:t xml:space="preserve"> century with the rearrangement of the colonnade and superstructure of the ambulatory, with the addition of an asymmetrical three-sided portico to </w:t>
      </w:r>
      <w:r>
        <w:t xml:space="preserve">the northwest of the structure </w:t>
      </w:r>
      <w:r>
        <w:t>(</w:t>
      </w:r>
      <w:r w:rsidRPr="004E4319">
        <w:t>G</w:t>
      </w:r>
      <w:r>
        <w:t xml:space="preserve">regory N. </w:t>
      </w:r>
      <w:proofErr w:type="spellStart"/>
      <w:r>
        <w:t>Tsokas</w:t>
      </w:r>
      <w:proofErr w:type="spellEnd"/>
      <w:r w:rsidRPr="004E4319">
        <w:t xml:space="preserve"> et al</w:t>
      </w:r>
      <w:r>
        <w:t>., 2012).</w:t>
      </w:r>
      <w:r>
        <w:t xml:space="preserve">  By performing a geophysical survey using a combination of both ERT and GPR method </w:t>
      </w:r>
      <w:r w:rsidRPr="004E4319">
        <w:t>G</w:t>
      </w:r>
      <w:r>
        <w:t xml:space="preserve">regory N. </w:t>
      </w:r>
      <w:proofErr w:type="spellStart"/>
      <w:r>
        <w:t>Tsokas</w:t>
      </w:r>
      <w:proofErr w:type="spellEnd"/>
      <w:r w:rsidRPr="004E4319">
        <w:t xml:space="preserve"> et al</w:t>
      </w:r>
      <w:r>
        <w:t>.,</w:t>
      </w:r>
      <w:r>
        <w:t xml:space="preserve"> were able to successfully map and locate the original floor of the monument which was buried 0.6 meter</w:t>
      </w:r>
      <w:r w:rsidR="00B21F40">
        <w:t xml:space="preserve">s below the modern one along with possible anthropogenic structures that has been theorized could be related to the foundations of the monument or to remains buried below the atrium of the mosque </w:t>
      </w:r>
      <w:r w:rsidR="00B21F40">
        <w:t>façade (</w:t>
      </w:r>
      <w:r w:rsidR="00B21F40" w:rsidRPr="004E4319">
        <w:t>G</w:t>
      </w:r>
      <w:r w:rsidR="00B21F40">
        <w:t xml:space="preserve">regory N. </w:t>
      </w:r>
      <w:proofErr w:type="spellStart"/>
      <w:r w:rsidR="00B21F40">
        <w:t>Tsokas</w:t>
      </w:r>
      <w:proofErr w:type="spellEnd"/>
      <w:r w:rsidR="00B21F40" w:rsidRPr="004E4319">
        <w:t xml:space="preserve"> et al</w:t>
      </w:r>
      <w:r w:rsidR="00B21F40">
        <w:t>., 2012).</w:t>
      </w:r>
      <w:r w:rsidR="00B21F40">
        <w:t xml:space="preserve"> This is a prime example of how archaeology can contribute to a fuller understanding of the ottoman past. By applying archaeological surveying techniques to the Hamza </w:t>
      </w:r>
      <w:proofErr w:type="spellStart"/>
      <w:r w:rsidR="00B21F40">
        <w:t>Bey</w:t>
      </w:r>
      <w:proofErr w:type="spellEnd"/>
      <w:r w:rsidR="00B21F40">
        <w:t xml:space="preserve"> Mosque an insight has been gained into the building traditions, lives and religious practices of the Ottoman Empire for this period. </w:t>
      </w:r>
    </w:p>
    <w:p w14:paraId="72B6D23F" w14:textId="42816FE0" w:rsidR="006B0136" w:rsidRDefault="006B0136" w:rsidP="00377CB3"/>
    <w:p w14:paraId="0061F3CB" w14:textId="739E756B" w:rsidR="00BD76F7" w:rsidRDefault="00CF52B3" w:rsidP="006621E7">
      <w:r>
        <w:t xml:space="preserve">The Ottoman Empire undoubtedly had a significant influence on world history being huge in scope both geographically and chronologically (Petersen 2013). As such a multitude of archaeological disciplines are crucial if we are to build </w:t>
      </w:r>
      <w:r w:rsidR="00FE6AE0">
        <w:t xml:space="preserve">a clearer picture of Ottoman history. An important aspect of how archaeology contributes to </w:t>
      </w:r>
      <w:r w:rsidR="004E5C66">
        <w:t>the Ottoman past</w:t>
      </w:r>
      <w:r w:rsidR="00FE6AE0">
        <w:t xml:space="preserve"> is when there is little written evidence available for a certain period or region</w:t>
      </w:r>
      <w:r w:rsidR="00204E1F">
        <w:t>. Archaeology can build a picture that we otherwise would not have based a textual evidence alone. Even when there is a la</w:t>
      </w:r>
      <w:r w:rsidR="006621E7">
        <w:t xml:space="preserve">rge amount of written evidence </w:t>
      </w:r>
      <w:r w:rsidR="00204E1F">
        <w:t>such as the 16</w:t>
      </w:r>
      <w:r w:rsidR="00204E1F" w:rsidRPr="00204E1F">
        <w:rPr>
          <w:vertAlign w:val="superscript"/>
        </w:rPr>
        <w:t>th</w:t>
      </w:r>
      <w:r w:rsidR="006621E7">
        <w:t xml:space="preserve"> century there are still some important subjects about which we know little (Peterson 2017</w:t>
      </w:r>
      <w:r w:rsidR="006621E7" w:rsidRPr="006621E7">
        <w:rPr>
          <w:i/>
        </w:rPr>
        <w:t xml:space="preserve">). </w:t>
      </w:r>
      <w:r w:rsidR="006621E7">
        <w:t>In his work</w:t>
      </w:r>
      <w:r w:rsidR="006621E7" w:rsidRPr="006621E7">
        <w:rPr>
          <w:i/>
        </w:rPr>
        <w:t xml:space="preserve"> “Under the Yoke”: </w:t>
      </w:r>
      <w:r w:rsidR="006621E7" w:rsidRPr="006621E7">
        <w:rPr>
          <w:i/>
        </w:rPr>
        <w:t>The Archaeology of the Ottoman Period in Bulgaria</w:t>
      </w:r>
      <w:r w:rsidR="006621E7">
        <w:rPr>
          <w:i/>
        </w:rPr>
        <w:t xml:space="preserve"> </w:t>
      </w:r>
      <w:r w:rsidR="006621E7">
        <w:t>Andrew Peterson highlights the archaeologies potential in adding to the Ottomans past: “</w:t>
      </w:r>
      <w:r w:rsidR="006621E7">
        <w:t xml:space="preserve">Increasing archaeological activity in recent years combined with a more open approach to the Ottoman past have meant that there is now considerable potential for </w:t>
      </w:r>
      <w:r w:rsidR="006621E7">
        <w:lastRenderedPageBreak/>
        <w:t>archaeological</w:t>
      </w:r>
      <w:r w:rsidR="006621E7">
        <w:t xml:space="preserve"> research of the Ottoman period”</w:t>
      </w:r>
      <w:r w:rsidR="00330942">
        <w:t xml:space="preserve"> </w:t>
      </w:r>
      <w:r w:rsidR="006621E7">
        <w:t>(Peterson 2017)</w:t>
      </w:r>
      <w:r w:rsidR="00330942">
        <w:t>.</w:t>
      </w:r>
      <w:r w:rsidR="004E5C66">
        <w:t xml:space="preserve"> Archaeology can offer a different persp</w:t>
      </w:r>
      <w:r w:rsidR="00330942">
        <w:t>ective on the Ottoman past that it can be argued has been neglected by the archaeological community up until the last two decades (</w:t>
      </w:r>
      <w:proofErr w:type="spellStart"/>
      <w:r w:rsidR="00330942">
        <w:t>Baram</w:t>
      </w:r>
      <w:proofErr w:type="spellEnd"/>
      <w:r w:rsidR="00330942">
        <w:t xml:space="preserve"> and Carrol 2002). </w:t>
      </w:r>
      <w:proofErr w:type="spellStart"/>
      <w:r w:rsidR="00330942">
        <w:t>Baram</w:t>
      </w:r>
      <w:proofErr w:type="spellEnd"/>
      <w:r w:rsidR="00330942">
        <w:t xml:space="preserve"> and Carrol argue that the most challenging obstacle for Ottoman archaeology is that attitudes from archaeologists towards the Ottoman Empire have been largely negative until recently. The Ottoman Empire was seen as the “sick man of Europe” during it</w:t>
      </w:r>
      <w:r w:rsidR="00D53BAB">
        <w:t xml:space="preserve">s decline which may explain the lack of interest academically in the empires history by archaeologists. </w:t>
      </w:r>
      <w:proofErr w:type="spellStart"/>
      <w:r w:rsidR="00D53BAB">
        <w:t>Baram</w:t>
      </w:r>
      <w:proofErr w:type="spellEnd"/>
      <w:r w:rsidR="00D53BAB">
        <w:t xml:space="preserve"> and Carrol offer the view that the empires rise was and still is</w:t>
      </w:r>
      <w:r w:rsidR="00BD76F7">
        <w:t xml:space="preserve"> w</w:t>
      </w:r>
      <w:r w:rsidR="00D53BAB">
        <w:t xml:space="preserve"> seen in a negative light: “</w:t>
      </w:r>
      <w:r w:rsidR="00D53BAB">
        <w:rPr>
          <w:i/>
        </w:rPr>
        <w:t xml:space="preserve">The unpopularity of the Ottoman Empire stems largely from the perception that its growth marked a </w:t>
      </w:r>
      <w:proofErr w:type="spellStart"/>
      <w:r w:rsidR="00D53BAB">
        <w:rPr>
          <w:i/>
        </w:rPr>
        <w:t>delestrious</w:t>
      </w:r>
      <w:proofErr w:type="spellEnd"/>
      <w:r w:rsidR="00D53BAB">
        <w:rPr>
          <w:i/>
        </w:rPr>
        <w:t xml:space="preserve"> period in world history. This view is propagated both by western scholars and people once living in the regions once ruled by the Ottomans” </w:t>
      </w:r>
      <w:r w:rsidR="00D53BAB">
        <w:t>(</w:t>
      </w:r>
      <w:proofErr w:type="spellStart"/>
      <w:r w:rsidR="00D53BAB">
        <w:t>Baram</w:t>
      </w:r>
      <w:proofErr w:type="spellEnd"/>
      <w:r w:rsidR="00D53BAB">
        <w:t xml:space="preserve"> and Carrol 2002). Archaeology can dispel some of these pre-conceived notions and </w:t>
      </w:r>
      <w:r w:rsidR="00BD76F7">
        <w:t xml:space="preserve">help </w:t>
      </w:r>
      <w:r w:rsidR="00D53BAB">
        <w:t>reveal the immense scope of the</w:t>
      </w:r>
      <w:r w:rsidR="00BD76F7">
        <w:t xml:space="preserve"> potential for the exchange</w:t>
      </w:r>
      <w:r w:rsidR="00D53BAB">
        <w:t xml:space="preserve"> of peoples, ideas, </w:t>
      </w:r>
      <w:r w:rsidR="00BD76F7">
        <w:t xml:space="preserve">and cultures </w:t>
      </w:r>
      <w:r w:rsidR="00D53BAB">
        <w:t>(</w:t>
      </w:r>
      <w:r w:rsidR="00BD76F7">
        <w:t>Peterson 2013</w:t>
      </w:r>
      <w:r w:rsidR="00D53BAB">
        <w:t>)</w:t>
      </w:r>
      <w:r w:rsidR="00BD76F7">
        <w:t xml:space="preserve"> of the Ottoman Empire. </w:t>
      </w:r>
      <w:r w:rsidR="00B434B4">
        <w:br/>
      </w:r>
      <w:r w:rsidR="00B434B4">
        <w:br/>
        <w:t>In conclusion it would be impossible in this work alone to fully explore the potential of what archaeology can add to the Ottoman past. Archaeological assessment of the empire is complex due to its scope and the very many subjects o</w:t>
      </w:r>
      <w:r w:rsidR="00F11F61">
        <w:t>f interest that can be explored whether that be art, architecture, societal change, religion, movement of peoples and goods, production and much more.</w:t>
      </w:r>
      <w:r w:rsidR="00B434B4">
        <w:t xml:space="preserve"> A small handful of techniques and methods within this work have attempted to demonstrate how archaeology is both useful and necessary</w:t>
      </w:r>
      <w:r w:rsidR="00C52C0D">
        <w:t xml:space="preserve"> for </w:t>
      </w:r>
      <w:r w:rsidR="00F11F61">
        <w:t xml:space="preserve">the advancement of understanding Ottoman history and how it’s shaped the modern world and still continues to do so. </w:t>
      </w:r>
      <w:r w:rsidR="00B434B4">
        <w:t xml:space="preserve"> </w:t>
      </w:r>
    </w:p>
    <w:p w14:paraId="4A271033" w14:textId="19406CFB" w:rsidR="00BD76F7" w:rsidRDefault="00BD76F7" w:rsidP="006621E7"/>
    <w:p w14:paraId="57A19832" w14:textId="196C4234" w:rsidR="00D46E78" w:rsidRDefault="00D46E78" w:rsidP="006621E7"/>
    <w:p w14:paraId="0DC757DC" w14:textId="0522B85E" w:rsidR="00D46E78" w:rsidRDefault="001C34AC" w:rsidP="00D46E78">
      <w:r>
        <w:t>References</w:t>
      </w:r>
      <w:proofErr w:type="gramStart"/>
      <w:r w:rsidR="00D46E78">
        <w:t>:</w:t>
      </w:r>
      <w:proofErr w:type="gramEnd"/>
      <w:r w:rsidR="00D46E78">
        <w:br/>
      </w:r>
      <w:r w:rsidR="00D46E78">
        <w:br/>
      </w:r>
      <w:r w:rsidR="00D46E78">
        <w:t>References</w:t>
      </w:r>
    </w:p>
    <w:p w14:paraId="33824ABF" w14:textId="77777777" w:rsidR="00D46E78" w:rsidRDefault="00D46E78" w:rsidP="00D46E78">
      <w:proofErr w:type="spellStart"/>
      <w:r>
        <w:t>Baram</w:t>
      </w:r>
      <w:proofErr w:type="spellEnd"/>
      <w:r>
        <w:t>, U. and Carroll, L. (2002). A Historical Archaeology of the Ottoman Empire: Breaking New Ground. American Antiquity, 67(1), p.182.</w:t>
      </w:r>
    </w:p>
    <w:p w14:paraId="287A413A" w14:textId="77777777" w:rsidR="00D46E78" w:rsidRDefault="00D46E78" w:rsidP="00D46E78"/>
    <w:p w14:paraId="75251E9E" w14:textId="67C1F986" w:rsidR="00D46E78" w:rsidRDefault="00D46E78" w:rsidP="00D46E78">
      <w:proofErr w:type="spellStart"/>
      <w:r>
        <w:t>Batcharov</w:t>
      </w:r>
      <w:proofErr w:type="spellEnd"/>
      <w:r>
        <w:t xml:space="preserve">, K. (2019). THE KITTEN SHIPWRECK: ARCHAEOLOGY AND RECONSTRUCTION OF A BLACK SEA MERCHANTMAN. Doctor </w:t>
      </w:r>
      <w:r>
        <w:t>of</w:t>
      </w:r>
      <w:r>
        <w:t xml:space="preserve"> Philosophy. Texas A&amp;M.</w:t>
      </w:r>
    </w:p>
    <w:p w14:paraId="2C14775B" w14:textId="77777777" w:rsidR="00D46E78" w:rsidRDefault="00D46E78" w:rsidP="00D46E78"/>
    <w:p w14:paraId="28339D86" w14:textId="77777777" w:rsidR="00D46E78" w:rsidRDefault="00D46E78" w:rsidP="00D46E78">
      <w:r>
        <w:t xml:space="preserve">Fagan, B. and </w:t>
      </w:r>
      <w:proofErr w:type="spellStart"/>
      <w:r>
        <w:t>Durrani</w:t>
      </w:r>
      <w:proofErr w:type="spellEnd"/>
      <w:r>
        <w:t>, N. (2016). Archaeology: A brief Introduction. 12th ed. London: Taylor &amp; Francis.</w:t>
      </w:r>
    </w:p>
    <w:p w14:paraId="5F2EF1BF" w14:textId="77777777" w:rsidR="00D46E78" w:rsidRDefault="00D46E78" w:rsidP="00D46E78"/>
    <w:p w14:paraId="26FD24F3" w14:textId="77777777" w:rsidR="00D46E78" w:rsidRDefault="00D46E78" w:rsidP="00D46E78">
      <w:proofErr w:type="spellStart"/>
      <w:r>
        <w:t>Hameda</w:t>
      </w:r>
      <w:proofErr w:type="spellEnd"/>
      <w:r>
        <w:t>, S. (2013). Electrical Resistance Tomography (ERT) Subsurface Imaging for Non- destructive Testing and Survey in Historical Buildings Preservation. Australian Journal of Basic and Applied Sciences, 7(1).</w:t>
      </w:r>
    </w:p>
    <w:p w14:paraId="587F3BB8" w14:textId="77777777" w:rsidR="00D46E78" w:rsidRDefault="00D46E78" w:rsidP="00D46E78"/>
    <w:p w14:paraId="2422D996" w14:textId="77777777" w:rsidR="00D46E78" w:rsidRDefault="00D46E78" w:rsidP="00D46E78">
      <w:proofErr w:type="spellStart"/>
      <w:r>
        <w:t>Kuniholm</w:t>
      </w:r>
      <w:proofErr w:type="spellEnd"/>
      <w:r>
        <w:t xml:space="preserve">, P. (2000). </w:t>
      </w:r>
      <w:proofErr w:type="spellStart"/>
      <w:r>
        <w:t>Dendrochronologically</w:t>
      </w:r>
      <w:proofErr w:type="spellEnd"/>
      <w:r>
        <w:t xml:space="preserve"> dated Ottoman Monuments. New York: Plenum Publishers.</w:t>
      </w:r>
    </w:p>
    <w:p w14:paraId="68021DDD" w14:textId="77777777" w:rsidR="00D46E78" w:rsidRDefault="00D46E78" w:rsidP="00D46E78"/>
    <w:p w14:paraId="3440A757" w14:textId="77777777" w:rsidR="00D46E78" w:rsidRDefault="00D46E78" w:rsidP="00D46E78">
      <w:r>
        <w:t>Petersen, A. (2017). “Under the Yoke”: The Archaeology of the Ottoman Period in Bulgaria. Journal of Islamic Archaeology, 4(1), pp.23-48.</w:t>
      </w:r>
    </w:p>
    <w:p w14:paraId="2F607858" w14:textId="77777777" w:rsidR="00D46E78" w:rsidRDefault="00D46E78" w:rsidP="00D46E78"/>
    <w:p w14:paraId="22F5833D" w14:textId="77777777" w:rsidR="00D46E78" w:rsidRDefault="00D46E78" w:rsidP="00D46E78">
      <w:r>
        <w:t>Peterson, A. (2013). Historical Archaeology of the Ottoman Empire. 1st ed. [</w:t>
      </w:r>
      <w:proofErr w:type="spellStart"/>
      <w:r>
        <w:t>ebook</w:t>
      </w:r>
      <w:proofErr w:type="spellEnd"/>
      <w:r>
        <w:t xml:space="preserve">] Springer </w:t>
      </w:r>
      <w:proofErr w:type="spellStart"/>
      <w:r>
        <w:t>Science+Business</w:t>
      </w:r>
      <w:proofErr w:type="spellEnd"/>
      <w:r>
        <w:t xml:space="preserve"> Media New York. Available at: https://moodle.uwtsd.ac.uk/pluginfile.php/214566/mod_resource/content/1/Article%20No%201%20Ottoman%20Empire%20Encyclopaedia%20of%20Global%20Arch.pdf [Accessed 22 Apr. 2019].</w:t>
      </w:r>
    </w:p>
    <w:p w14:paraId="3FB888A3" w14:textId="77777777" w:rsidR="00D46E78" w:rsidRDefault="00D46E78" w:rsidP="00D46E78"/>
    <w:p w14:paraId="255EA803" w14:textId="77777777" w:rsidR="00D46E78" w:rsidRDefault="00D46E78" w:rsidP="00D46E78">
      <w:r>
        <w:lastRenderedPageBreak/>
        <w:t xml:space="preserve">Renfrew, C. and </w:t>
      </w:r>
      <w:proofErr w:type="spellStart"/>
      <w:r>
        <w:t>Bahn</w:t>
      </w:r>
      <w:proofErr w:type="spellEnd"/>
      <w:r>
        <w:t>, P. (2014). Archaeology: Theories, Methods and Practice. 5th ed. London: Thomas &amp; Hudson Ltd.</w:t>
      </w:r>
    </w:p>
    <w:p w14:paraId="3B6049EA" w14:textId="77777777" w:rsidR="00D46E78" w:rsidRDefault="00D46E78" w:rsidP="00D46E78"/>
    <w:p w14:paraId="69349270" w14:textId="78007324" w:rsidR="00D46E78" w:rsidRDefault="00D46E78" w:rsidP="00D46E78">
      <w:proofErr w:type="spellStart"/>
      <w:r>
        <w:t>Tsokas</w:t>
      </w:r>
      <w:proofErr w:type="spellEnd"/>
      <w:r>
        <w:t xml:space="preserve">, G., </w:t>
      </w:r>
      <w:proofErr w:type="spellStart"/>
      <w:r>
        <w:t>Diamanti</w:t>
      </w:r>
      <w:proofErr w:type="spellEnd"/>
      <w:r>
        <w:t xml:space="preserve">, N., </w:t>
      </w:r>
      <w:proofErr w:type="spellStart"/>
      <w:r>
        <w:t>Tsourlos</w:t>
      </w:r>
      <w:proofErr w:type="spellEnd"/>
      <w:r>
        <w:t xml:space="preserve">, P., </w:t>
      </w:r>
      <w:proofErr w:type="spellStart"/>
      <w:r>
        <w:t>Vargemezis</w:t>
      </w:r>
      <w:proofErr w:type="spellEnd"/>
      <w:r>
        <w:t xml:space="preserve">, G., </w:t>
      </w:r>
      <w:proofErr w:type="spellStart"/>
      <w:r>
        <w:t>Stampolidis</w:t>
      </w:r>
      <w:proofErr w:type="spellEnd"/>
      <w:r>
        <w:t xml:space="preserve">, A. and </w:t>
      </w:r>
      <w:proofErr w:type="spellStart"/>
      <w:r>
        <w:t>Raptis</w:t>
      </w:r>
      <w:proofErr w:type="spellEnd"/>
      <w:r>
        <w:t xml:space="preserve">, K. (2012). GEOPHYSICAL PROSPECTION AT THE HAMZA BEY (ALKAZAR) MONUMENT THESSALONIKI, GREECE. Mediterranean </w:t>
      </w:r>
      <w:proofErr w:type="spellStart"/>
      <w:r>
        <w:t>Arhaeology</w:t>
      </w:r>
      <w:proofErr w:type="spellEnd"/>
      <w:r>
        <w:t xml:space="preserve"> and </w:t>
      </w:r>
      <w:proofErr w:type="spellStart"/>
      <w:r>
        <w:t>Archaeometry</w:t>
      </w:r>
      <w:proofErr w:type="spellEnd"/>
      <w:r>
        <w:t>, 13(1), pp.9-20.</w:t>
      </w:r>
    </w:p>
    <w:p w14:paraId="704A8607" w14:textId="48D262DA" w:rsidR="00B21F40" w:rsidRPr="006621E7" w:rsidRDefault="00D53BAB" w:rsidP="006621E7">
      <w:pPr>
        <w:rPr>
          <w:i/>
        </w:rPr>
      </w:pPr>
      <w:r>
        <w:t xml:space="preserve"> </w:t>
      </w:r>
    </w:p>
    <w:p w14:paraId="3002FA2E" w14:textId="1CD346A9" w:rsidR="00705889" w:rsidRPr="00D65310" w:rsidRDefault="00B21F40" w:rsidP="00377CB3">
      <w:r>
        <w:br/>
      </w:r>
      <w:r>
        <w:br/>
      </w:r>
      <w:r w:rsidR="00A04BC8">
        <w:br/>
      </w:r>
      <w:r w:rsidR="00A04BC8">
        <w:br/>
      </w:r>
      <w:r w:rsidR="009D6B9E">
        <w:br/>
      </w:r>
      <w:r w:rsidR="009D6B9E">
        <w:br/>
      </w:r>
    </w:p>
    <w:p w14:paraId="7D448A7A" w14:textId="592CABA9" w:rsidR="00DE34D6" w:rsidRPr="00A50116" w:rsidRDefault="0014002E" w:rsidP="00F84052">
      <w:pPr>
        <w:rPr>
          <w:sz w:val="20"/>
          <w:szCs w:val="20"/>
        </w:rPr>
      </w:pPr>
      <w:r>
        <w:t xml:space="preserve"> </w:t>
      </w:r>
      <w:r w:rsidR="00840F6D">
        <w:br/>
      </w:r>
      <w:r w:rsidR="001C34AC">
        <w:t xml:space="preserve">Jamie Crofts </w:t>
      </w:r>
      <w:r w:rsidR="00840F6D">
        <w:br/>
      </w:r>
    </w:p>
    <w:sectPr w:rsidR="00DE34D6" w:rsidRPr="00A501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052"/>
    <w:rsid w:val="000570F3"/>
    <w:rsid w:val="0014002E"/>
    <w:rsid w:val="001C34AC"/>
    <w:rsid w:val="001D13D2"/>
    <w:rsid w:val="00204E1F"/>
    <w:rsid w:val="00330942"/>
    <w:rsid w:val="00354ABB"/>
    <w:rsid w:val="00377CB3"/>
    <w:rsid w:val="003C4915"/>
    <w:rsid w:val="004039DA"/>
    <w:rsid w:val="00435CC8"/>
    <w:rsid w:val="004A063D"/>
    <w:rsid w:val="004C7665"/>
    <w:rsid w:val="004E37A4"/>
    <w:rsid w:val="004E4319"/>
    <w:rsid w:val="004E5C66"/>
    <w:rsid w:val="00552C9E"/>
    <w:rsid w:val="006031D8"/>
    <w:rsid w:val="00645252"/>
    <w:rsid w:val="006621E7"/>
    <w:rsid w:val="00672B42"/>
    <w:rsid w:val="006B0136"/>
    <w:rsid w:val="006D3D74"/>
    <w:rsid w:val="00705889"/>
    <w:rsid w:val="007455A6"/>
    <w:rsid w:val="00787318"/>
    <w:rsid w:val="00807208"/>
    <w:rsid w:val="0083569A"/>
    <w:rsid w:val="00840F6D"/>
    <w:rsid w:val="00932C60"/>
    <w:rsid w:val="009356E2"/>
    <w:rsid w:val="009D6B9E"/>
    <w:rsid w:val="00A04BC8"/>
    <w:rsid w:val="00A23068"/>
    <w:rsid w:val="00A361FB"/>
    <w:rsid w:val="00A50116"/>
    <w:rsid w:val="00A7244F"/>
    <w:rsid w:val="00A9204E"/>
    <w:rsid w:val="00B10E2B"/>
    <w:rsid w:val="00B21F40"/>
    <w:rsid w:val="00B434B4"/>
    <w:rsid w:val="00BD1C35"/>
    <w:rsid w:val="00BD76F7"/>
    <w:rsid w:val="00BD7D39"/>
    <w:rsid w:val="00BE68BA"/>
    <w:rsid w:val="00C2015B"/>
    <w:rsid w:val="00C52C0D"/>
    <w:rsid w:val="00CE0597"/>
    <w:rsid w:val="00CF52B3"/>
    <w:rsid w:val="00D257F4"/>
    <w:rsid w:val="00D46E78"/>
    <w:rsid w:val="00D53BAB"/>
    <w:rsid w:val="00D5434B"/>
    <w:rsid w:val="00D6329C"/>
    <w:rsid w:val="00D65310"/>
    <w:rsid w:val="00D66FBF"/>
    <w:rsid w:val="00DC3475"/>
    <w:rsid w:val="00DE34D6"/>
    <w:rsid w:val="00E93FB3"/>
    <w:rsid w:val="00EB3DB5"/>
    <w:rsid w:val="00EF58D2"/>
    <w:rsid w:val="00F11F61"/>
    <w:rsid w:val="00F32F62"/>
    <w:rsid w:val="00F358EF"/>
    <w:rsid w:val="00F621C9"/>
    <w:rsid w:val="00F67CF8"/>
    <w:rsid w:val="00F84052"/>
    <w:rsid w:val="00FD7DD5"/>
    <w:rsid w:val="00FE6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C3D91"/>
  <w15:chartTrackingRefBased/>
  <w15:docId w15:val="{A0A1BC90-20D7-4CA7-80EA-B1E5F755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1974\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873beb7-5857-4685-be1f-d57550cc96cc"/>
    <ds:schemaRef ds:uri="http://www.w3.org/XML/1998/namespace"/>
    <ds:schemaRef ds:uri="http://purl.org/dc/dcmitype/"/>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Single spaced (blank)</Template>
  <TotalTime>3</TotalTime>
  <Pages>5</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Crofts (1501974)</dc:creator>
  <cp:keywords/>
  <dc:description/>
  <cp:lastModifiedBy>Jamie Crofts (1501974)</cp:lastModifiedBy>
  <cp:revision>3</cp:revision>
  <dcterms:created xsi:type="dcterms:W3CDTF">2019-05-02T19:29:00Z</dcterms:created>
  <dcterms:modified xsi:type="dcterms:W3CDTF">2019-05-02T19:31:00Z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