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D7E0A" w:rsidRPr="008D4A7C" w:rsidRDefault="00074402" w:rsidP="008D4A7C">
      <w:pPr>
        <w:spacing w:line="360" w:lineRule="auto"/>
        <w:rPr>
          <w:rFonts w:ascii="Arial" w:hAnsi="Arial" w:cs="Arial"/>
          <w:sz w:val="22"/>
        </w:rPr>
      </w:pPr>
      <w:r w:rsidRPr="008D4A7C">
        <w:rPr>
          <w:rFonts w:ascii="Arial" w:hAnsi="Arial" w:cs="Arial"/>
          <w:noProof/>
          <w:sz w:val="22"/>
        </w:rPr>
        <w:drawing>
          <wp:anchor distT="0" distB="0" distL="114300" distR="114300" simplePos="0" relativeHeight="251658240" behindDoc="0" locked="0" layoutInCell="1" allowOverlap="1" wp14:anchorId="47BC0542" wp14:editId="716E7176">
            <wp:simplePos x="0" y="0"/>
            <wp:positionH relativeFrom="margin">
              <wp:align>left</wp:align>
            </wp:positionH>
            <wp:positionV relativeFrom="paragraph">
              <wp:posOffset>285115</wp:posOffset>
            </wp:positionV>
            <wp:extent cx="2171700" cy="8191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17170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F3537" w14:textId="57896CF9" w:rsidR="00074402" w:rsidRPr="008D4A7C" w:rsidRDefault="00074402" w:rsidP="008D4A7C">
      <w:pPr>
        <w:spacing w:line="360" w:lineRule="auto"/>
        <w:rPr>
          <w:rFonts w:ascii="Arial" w:hAnsi="Arial" w:cs="Arial"/>
          <w:sz w:val="22"/>
        </w:rPr>
      </w:pPr>
    </w:p>
    <w:p w14:paraId="4E267F2C" w14:textId="35E99859" w:rsidR="00074402" w:rsidRPr="008D4A7C" w:rsidRDefault="00074402" w:rsidP="008D4A7C">
      <w:pPr>
        <w:spacing w:line="360" w:lineRule="auto"/>
        <w:rPr>
          <w:rFonts w:ascii="Arial" w:hAnsi="Arial" w:cs="Arial"/>
          <w:sz w:val="22"/>
        </w:rPr>
      </w:pPr>
    </w:p>
    <w:p w14:paraId="5D864E3F" w14:textId="24C9E314" w:rsidR="00074402" w:rsidRPr="008D4A7C" w:rsidRDefault="00074402" w:rsidP="008D4A7C">
      <w:pPr>
        <w:spacing w:line="360" w:lineRule="auto"/>
        <w:rPr>
          <w:rFonts w:ascii="Arial" w:hAnsi="Arial" w:cs="Arial"/>
          <w:sz w:val="22"/>
        </w:rPr>
      </w:pPr>
    </w:p>
    <w:p w14:paraId="7019459D" w14:textId="7E384B2B" w:rsidR="00964AB3" w:rsidRPr="008D4A7C" w:rsidRDefault="00964AB3" w:rsidP="008D4A7C">
      <w:pPr>
        <w:spacing w:line="360" w:lineRule="auto"/>
        <w:rPr>
          <w:rFonts w:ascii="Arial" w:hAnsi="Arial" w:cs="Arial"/>
          <w:sz w:val="22"/>
        </w:rPr>
      </w:pPr>
    </w:p>
    <w:p w14:paraId="50A8A908" w14:textId="71696DD9" w:rsidR="00F75884" w:rsidRPr="008D4A7C" w:rsidRDefault="00F75884" w:rsidP="008D4A7C">
      <w:pPr>
        <w:spacing w:line="360" w:lineRule="auto"/>
        <w:rPr>
          <w:rFonts w:ascii="Arial" w:hAnsi="Arial" w:cs="Arial"/>
          <w:sz w:val="22"/>
        </w:rPr>
      </w:pPr>
    </w:p>
    <w:p w14:paraId="74A804C8" w14:textId="77777777" w:rsidR="00F75884" w:rsidRPr="008D4A7C" w:rsidRDefault="00F75884" w:rsidP="008D4A7C">
      <w:pPr>
        <w:spacing w:line="360" w:lineRule="auto"/>
        <w:rPr>
          <w:rFonts w:ascii="Arial" w:hAnsi="Arial" w:cs="Arial"/>
          <w:sz w:val="22"/>
        </w:rPr>
      </w:pPr>
    </w:p>
    <w:p w14:paraId="02AC5777" w14:textId="77777777" w:rsidR="00F062D2" w:rsidRPr="008D4A7C" w:rsidRDefault="00F062D2" w:rsidP="008D4A7C">
      <w:pPr>
        <w:spacing w:after="0" w:line="360" w:lineRule="auto"/>
        <w:jc w:val="center"/>
        <w:rPr>
          <w:rFonts w:ascii="Arial" w:hAnsi="Arial" w:cs="Arial"/>
          <w:b/>
          <w:bCs/>
          <w:sz w:val="32"/>
          <w:szCs w:val="32"/>
          <w:u w:val="single"/>
        </w:rPr>
      </w:pPr>
      <w:r w:rsidRPr="008D4A7C">
        <w:rPr>
          <w:rFonts w:ascii="Arial" w:hAnsi="Arial" w:cs="Arial"/>
          <w:b/>
          <w:bCs/>
          <w:sz w:val="32"/>
          <w:szCs w:val="32"/>
          <w:u w:val="single"/>
        </w:rPr>
        <w:t xml:space="preserve">Assessment Component 1 </w:t>
      </w:r>
    </w:p>
    <w:p w14:paraId="28A434CB" w14:textId="77777777" w:rsidR="00F062D2" w:rsidRPr="008D4A7C" w:rsidRDefault="00F062D2" w:rsidP="008D4A7C">
      <w:pPr>
        <w:spacing w:after="0" w:line="360" w:lineRule="auto"/>
        <w:jc w:val="center"/>
        <w:rPr>
          <w:rFonts w:ascii="Arial" w:hAnsi="Arial" w:cs="Arial"/>
          <w:b/>
          <w:bCs/>
          <w:sz w:val="32"/>
          <w:szCs w:val="32"/>
          <w:u w:val="single"/>
        </w:rPr>
      </w:pPr>
    </w:p>
    <w:p w14:paraId="3E8A0AF1" w14:textId="3DC3AB27" w:rsidR="00F062D2" w:rsidRPr="008D4A7C" w:rsidRDefault="00F062D2" w:rsidP="008D4A7C">
      <w:pPr>
        <w:spacing w:after="0" w:line="360" w:lineRule="auto"/>
        <w:jc w:val="center"/>
        <w:rPr>
          <w:rFonts w:ascii="Arial" w:hAnsi="Arial" w:cs="Arial"/>
          <w:b/>
          <w:bCs/>
          <w:sz w:val="32"/>
          <w:szCs w:val="32"/>
          <w:u w:val="single"/>
        </w:rPr>
      </w:pPr>
      <w:r w:rsidRPr="008D4A7C">
        <w:rPr>
          <w:rFonts w:ascii="Arial" w:hAnsi="Arial" w:cs="Arial"/>
          <w:b/>
          <w:bCs/>
          <w:sz w:val="32"/>
          <w:szCs w:val="32"/>
          <w:u w:val="single"/>
        </w:rPr>
        <w:t xml:space="preserve">Case study </w:t>
      </w:r>
      <w:r w:rsidR="00AE7247" w:rsidRPr="008D4A7C">
        <w:rPr>
          <w:rFonts w:ascii="Arial" w:hAnsi="Arial" w:cs="Arial"/>
          <w:b/>
          <w:bCs/>
          <w:sz w:val="32"/>
          <w:szCs w:val="32"/>
          <w:u w:val="single"/>
        </w:rPr>
        <w:t>–</w:t>
      </w:r>
      <w:r w:rsidRPr="008D4A7C">
        <w:rPr>
          <w:rFonts w:ascii="Arial" w:hAnsi="Arial" w:cs="Arial"/>
          <w:b/>
          <w:bCs/>
          <w:sz w:val="32"/>
          <w:szCs w:val="32"/>
          <w:u w:val="single"/>
        </w:rPr>
        <w:t xml:space="preserve"> </w:t>
      </w:r>
      <w:r w:rsidR="00AE7247" w:rsidRPr="008D4A7C">
        <w:rPr>
          <w:rFonts w:ascii="Arial" w:hAnsi="Arial" w:cs="Arial"/>
          <w:b/>
          <w:bCs/>
          <w:sz w:val="32"/>
          <w:szCs w:val="32"/>
          <w:u w:val="single"/>
        </w:rPr>
        <w:t>Supporting Paper (1,000 words)</w:t>
      </w:r>
    </w:p>
    <w:p w14:paraId="50D29D10" w14:textId="77777777" w:rsidR="00F062D2" w:rsidRPr="008D4A7C" w:rsidRDefault="00F062D2" w:rsidP="008D4A7C">
      <w:pPr>
        <w:spacing w:after="0" w:line="360" w:lineRule="auto"/>
        <w:jc w:val="center"/>
        <w:rPr>
          <w:rFonts w:ascii="Arial" w:hAnsi="Arial" w:cs="Arial"/>
          <w:b/>
          <w:bCs/>
          <w:sz w:val="22"/>
          <w:u w:val="single"/>
        </w:rPr>
      </w:pPr>
    </w:p>
    <w:p w14:paraId="067B7889" w14:textId="77777777" w:rsidR="00964AB3" w:rsidRPr="008D4A7C" w:rsidRDefault="00964AB3" w:rsidP="008D4A7C">
      <w:pPr>
        <w:spacing w:line="360" w:lineRule="auto"/>
        <w:rPr>
          <w:rFonts w:ascii="Arial" w:hAnsi="Arial" w:cs="Arial"/>
          <w:sz w:val="22"/>
        </w:rPr>
      </w:pPr>
    </w:p>
    <w:p w14:paraId="22F2817A" w14:textId="73FF0B94" w:rsidR="00074402" w:rsidRPr="008D4A7C" w:rsidRDefault="00074402" w:rsidP="008D4A7C">
      <w:pPr>
        <w:tabs>
          <w:tab w:val="left" w:pos="6540"/>
        </w:tabs>
        <w:spacing w:line="360" w:lineRule="auto"/>
        <w:rPr>
          <w:rFonts w:ascii="Arial" w:hAnsi="Arial" w:cs="Arial"/>
          <w:sz w:val="22"/>
        </w:rPr>
      </w:pPr>
    </w:p>
    <w:p w14:paraId="1056820A" w14:textId="77777777" w:rsidR="009B28B0" w:rsidRPr="008D4A7C" w:rsidRDefault="009B28B0" w:rsidP="008D4A7C">
      <w:pPr>
        <w:tabs>
          <w:tab w:val="left" w:pos="6540"/>
        </w:tabs>
        <w:spacing w:line="360" w:lineRule="auto"/>
        <w:rPr>
          <w:rFonts w:ascii="Arial" w:hAnsi="Arial" w:cs="Arial"/>
          <w:sz w:val="22"/>
        </w:rPr>
      </w:pPr>
    </w:p>
    <w:p w14:paraId="0A48766D" w14:textId="758D2852" w:rsidR="00074402" w:rsidRPr="002E5306" w:rsidRDefault="00074402" w:rsidP="008D4A7C">
      <w:pPr>
        <w:tabs>
          <w:tab w:val="left" w:pos="6540"/>
        </w:tabs>
        <w:spacing w:line="360" w:lineRule="auto"/>
        <w:rPr>
          <w:rFonts w:ascii="Arial" w:hAnsi="Arial" w:cs="Arial"/>
          <w:sz w:val="48"/>
          <w:szCs w:val="48"/>
        </w:rPr>
      </w:pPr>
      <w:r w:rsidRPr="002E5306">
        <w:rPr>
          <w:rFonts w:ascii="Arial" w:hAnsi="Arial" w:cs="Arial"/>
          <w:b/>
          <w:bCs/>
          <w:sz w:val="48"/>
          <w:szCs w:val="48"/>
        </w:rPr>
        <w:t xml:space="preserve">Student </w:t>
      </w:r>
      <w:proofErr w:type="spellStart"/>
      <w:r w:rsidRPr="002E5306">
        <w:rPr>
          <w:rFonts w:ascii="Arial" w:hAnsi="Arial" w:cs="Arial"/>
          <w:b/>
          <w:bCs/>
          <w:sz w:val="48"/>
          <w:szCs w:val="48"/>
        </w:rPr>
        <w:t>name</w:t>
      </w:r>
      <w:r w:rsidRPr="002E5306">
        <w:rPr>
          <w:rFonts w:ascii="Arial" w:hAnsi="Arial" w:cs="Arial"/>
          <w:sz w:val="48"/>
          <w:szCs w:val="48"/>
        </w:rPr>
        <w:t>:</w:t>
      </w:r>
      <w:r w:rsidR="005D1FAB" w:rsidRPr="002E5306">
        <w:rPr>
          <w:rFonts w:ascii="Arial" w:hAnsi="Arial" w:cs="Arial"/>
          <w:sz w:val="48"/>
          <w:szCs w:val="48"/>
        </w:rPr>
        <w:t>Esther</w:t>
      </w:r>
      <w:proofErr w:type="spellEnd"/>
      <w:r w:rsidR="005D1FAB" w:rsidRPr="002E5306">
        <w:rPr>
          <w:rFonts w:ascii="Arial" w:hAnsi="Arial" w:cs="Arial"/>
          <w:sz w:val="48"/>
          <w:szCs w:val="48"/>
        </w:rPr>
        <w:t xml:space="preserve"> Efe Gomugor</w:t>
      </w:r>
    </w:p>
    <w:p w14:paraId="39AA4413" w14:textId="24DB6201" w:rsidR="00074402" w:rsidRPr="005D1FAB" w:rsidRDefault="00074402" w:rsidP="008D4A7C">
      <w:pPr>
        <w:tabs>
          <w:tab w:val="left" w:pos="6540"/>
        </w:tabs>
        <w:spacing w:line="360" w:lineRule="auto"/>
        <w:rPr>
          <w:rFonts w:ascii="Arial" w:hAnsi="Arial" w:cs="Arial"/>
          <w:sz w:val="48"/>
          <w:szCs w:val="48"/>
        </w:rPr>
      </w:pPr>
      <w:r w:rsidRPr="005D1FAB">
        <w:rPr>
          <w:rFonts w:ascii="Arial" w:hAnsi="Arial" w:cs="Arial"/>
          <w:b/>
          <w:bCs/>
          <w:sz w:val="48"/>
          <w:szCs w:val="48"/>
        </w:rPr>
        <w:t>Student ID</w:t>
      </w:r>
      <w:r w:rsidRPr="005D1FAB">
        <w:rPr>
          <w:rFonts w:ascii="Arial" w:hAnsi="Arial" w:cs="Arial"/>
          <w:sz w:val="48"/>
          <w:szCs w:val="48"/>
        </w:rPr>
        <w:t>:</w:t>
      </w:r>
      <w:r w:rsidR="005D1FAB" w:rsidRPr="005D1FAB">
        <w:rPr>
          <w:rFonts w:ascii="Arial" w:hAnsi="Arial" w:cs="Arial"/>
          <w:sz w:val="48"/>
          <w:szCs w:val="48"/>
        </w:rPr>
        <w:t xml:space="preserve"> 2022275</w:t>
      </w:r>
    </w:p>
    <w:p w14:paraId="5E81F6AD" w14:textId="77777777" w:rsidR="00074402" w:rsidRPr="005D1FAB" w:rsidRDefault="00074402" w:rsidP="008D4A7C">
      <w:pPr>
        <w:tabs>
          <w:tab w:val="left" w:pos="6540"/>
        </w:tabs>
        <w:spacing w:line="360" w:lineRule="auto"/>
        <w:rPr>
          <w:rFonts w:ascii="Arial" w:hAnsi="Arial" w:cs="Arial"/>
          <w:sz w:val="48"/>
          <w:szCs w:val="48"/>
        </w:rPr>
      </w:pPr>
    </w:p>
    <w:p w14:paraId="4F8BE5D2" w14:textId="77777777" w:rsidR="009B28B0" w:rsidRPr="005D1FAB" w:rsidRDefault="00074402" w:rsidP="008D4A7C">
      <w:pPr>
        <w:tabs>
          <w:tab w:val="left" w:pos="6540"/>
        </w:tabs>
        <w:spacing w:line="360" w:lineRule="auto"/>
        <w:rPr>
          <w:rFonts w:ascii="Arial" w:hAnsi="Arial" w:cs="Arial"/>
          <w:sz w:val="48"/>
          <w:szCs w:val="48"/>
        </w:rPr>
      </w:pPr>
      <w:r w:rsidRPr="005D1FAB">
        <w:rPr>
          <w:rFonts w:ascii="Arial" w:hAnsi="Arial" w:cs="Arial"/>
          <w:b/>
          <w:bCs/>
          <w:sz w:val="48"/>
          <w:szCs w:val="48"/>
        </w:rPr>
        <w:t>Module name</w:t>
      </w:r>
      <w:r w:rsidRPr="005D1FAB">
        <w:rPr>
          <w:rFonts w:ascii="Arial" w:hAnsi="Arial" w:cs="Arial"/>
          <w:sz w:val="48"/>
          <w:szCs w:val="48"/>
        </w:rPr>
        <w:t xml:space="preserve">: </w:t>
      </w:r>
      <w:r w:rsidR="009B28B0" w:rsidRPr="005D1FAB">
        <w:rPr>
          <w:rFonts w:ascii="Arial" w:hAnsi="Arial" w:cs="Arial"/>
          <w:sz w:val="48"/>
          <w:szCs w:val="48"/>
        </w:rPr>
        <w:t>Children, Young People and Families</w:t>
      </w:r>
    </w:p>
    <w:p w14:paraId="4E5B279A" w14:textId="135DFEA9" w:rsidR="00074402" w:rsidRPr="002E5306" w:rsidRDefault="00074402" w:rsidP="008D4A7C">
      <w:pPr>
        <w:tabs>
          <w:tab w:val="left" w:pos="6540"/>
        </w:tabs>
        <w:spacing w:line="360" w:lineRule="auto"/>
        <w:rPr>
          <w:rFonts w:ascii="Arial" w:hAnsi="Arial" w:cs="Arial"/>
          <w:sz w:val="48"/>
          <w:szCs w:val="48"/>
        </w:rPr>
      </w:pPr>
      <w:r w:rsidRPr="002E5306">
        <w:rPr>
          <w:rFonts w:ascii="Arial" w:hAnsi="Arial" w:cs="Arial"/>
          <w:b/>
          <w:bCs/>
          <w:sz w:val="48"/>
          <w:szCs w:val="48"/>
        </w:rPr>
        <w:t>Module code</w:t>
      </w:r>
      <w:r w:rsidRPr="002E5306">
        <w:rPr>
          <w:rFonts w:ascii="Arial" w:hAnsi="Arial" w:cs="Arial"/>
          <w:sz w:val="48"/>
          <w:szCs w:val="48"/>
        </w:rPr>
        <w:t>:</w:t>
      </w:r>
      <w:r w:rsidR="009B28B0" w:rsidRPr="002E5306">
        <w:rPr>
          <w:rFonts w:ascii="Arial" w:hAnsi="Arial" w:cs="Arial"/>
          <w:sz w:val="48"/>
          <w:szCs w:val="48"/>
        </w:rPr>
        <w:t xml:space="preserve"> (BMHP5004_LON)</w:t>
      </w:r>
    </w:p>
    <w:p w14:paraId="14C30423" w14:textId="4E063BFF" w:rsidR="00AE7247" w:rsidRPr="00BE131D" w:rsidRDefault="00074402" w:rsidP="008D4A7C">
      <w:pPr>
        <w:tabs>
          <w:tab w:val="left" w:pos="6540"/>
        </w:tabs>
        <w:spacing w:line="360" w:lineRule="auto"/>
        <w:rPr>
          <w:rFonts w:ascii="Arial" w:hAnsi="Arial" w:cs="Arial"/>
          <w:sz w:val="48"/>
          <w:szCs w:val="48"/>
        </w:rPr>
      </w:pPr>
      <w:r w:rsidRPr="002E5306">
        <w:rPr>
          <w:rFonts w:ascii="Arial" w:hAnsi="Arial" w:cs="Arial"/>
          <w:b/>
          <w:bCs/>
          <w:sz w:val="48"/>
          <w:szCs w:val="48"/>
        </w:rPr>
        <w:t>Lecturer name</w:t>
      </w:r>
      <w:r w:rsidRPr="002E5306">
        <w:rPr>
          <w:rFonts w:ascii="Arial" w:hAnsi="Arial" w:cs="Arial"/>
          <w:sz w:val="48"/>
          <w:szCs w:val="48"/>
        </w:rPr>
        <w:t>:</w:t>
      </w:r>
      <w:r w:rsidR="009B28B0" w:rsidRPr="002E5306">
        <w:rPr>
          <w:rFonts w:ascii="Arial" w:hAnsi="Arial" w:cs="Arial"/>
          <w:sz w:val="48"/>
          <w:szCs w:val="48"/>
        </w:rPr>
        <w:t xml:space="preserve"> </w:t>
      </w:r>
      <w:r w:rsidR="005D1FAB" w:rsidRPr="002E5306">
        <w:rPr>
          <w:rFonts w:ascii="Arial" w:hAnsi="Arial" w:cs="Arial"/>
          <w:sz w:val="48"/>
          <w:szCs w:val="48"/>
        </w:rPr>
        <w:t>Jolly Nwankwo</w:t>
      </w:r>
    </w:p>
    <w:p w14:paraId="6E86B83C" w14:textId="065562FC" w:rsidR="00F75884" w:rsidRPr="008D4A7C" w:rsidRDefault="00F75884" w:rsidP="008D4A7C">
      <w:pPr>
        <w:pStyle w:val="Heading1"/>
        <w:spacing w:line="360" w:lineRule="auto"/>
      </w:pPr>
      <w:r w:rsidRPr="008D4A7C">
        <w:lastRenderedPageBreak/>
        <w:t>Introduction</w:t>
      </w:r>
    </w:p>
    <w:p w14:paraId="6CE48F45" w14:textId="446485EA" w:rsidR="009B058A" w:rsidRDefault="009B058A" w:rsidP="008D4A7C">
      <w:pPr>
        <w:spacing w:line="360" w:lineRule="auto"/>
        <w:rPr>
          <w:rFonts w:ascii="Arial" w:hAnsi="Arial" w:cs="Arial"/>
          <w:sz w:val="22"/>
        </w:rPr>
      </w:pPr>
      <w:r w:rsidRPr="009B058A">
        <w:rPr>
          <w:rFonts w:ascii="Arial" w:hAnsi="Arial" w:cs="Arial"/>
          <w:sz w:val="22"/>
        </w:rPr>
        <w:t>In the London borough of Wandsworth, the Troubled Families programme has made tremendous progress in assisting at-risk families in overcoming obstacles and enhancing their quality of life. This case study highlights Wandsworth's achievement in tackling the complex problems encountered by dysfunctional families and the fruitful outcomes attained via coordinated efforts and focused treatments.</w:t>
      </w:r>
    </w:p>
    <w:p w14:paraId="20AADFB3" w14:textId="7FE41AC9" w:rsidR="00487CF3" w:rsidRDefault="00E10F86" w:rsidP="008D4A7C">
      <w:pPr>
        <w:spacing w:line="360" w:lineRule="auto"/>
        <w:rPr>
          <w:rFonts w:ascii="Arial" w:hAnsi="Arial" w:cs="Arial"/>
          <w:sz w:val="22"/>
        </w:rPr>
      </w:pPr>
      <w:r>
        <w:rPr>
          <w:rFonts w:ascii="Arial" w:hAnsi="Arial" w:cs="Arial"/>
          <w:sz w:val="22"/>
        </w:rPr>
        <w:t xml:space="preserve">Doing the presentation, we as a group discuss a case study of a single MUM and </w:t>
      </w:r>
      <w:r w:rsidR="00EE325F">
        <w:rPr>
          <w:rFonts w:ascii="Arial" w:hAnsi="Arial" w:cs="Arial"/>
          <w:sz w:val="22"/>
        </w:rPr>
        <w:t>1</w:t>
      </w:r>
      <w:r>
        <w:rPr>
          <w:rFonts w:ascii="Arial" w:hAnsi="Arial" w:cs="Arial"/>
          <w:sz w:val="22"/>
        </w:rPr>
        <w:t xml:space="preserve"> Son</w:t>
      </w:r>
      <w:r w:rsidR="00EE325F">
        <w:rPr>
          <w:rFonts w:ascii="Arial" w:hAnsi="Arial" w:cs="Arial"/>
          <w:sz w:val="22"/>
        </w:rPr>
        <w:t>. Factors of vulnerability children. The impact of these factors on the children. The process of intervention by relevant health and social care</w:t>
      </w:r>
      <w:r w:rsidR="00B77CD5">
        <w:rPr>
          <w:rFonts w:ascii="Arial" w:hAnsi="Arial" w:cs="Arial"/>
          <w:sz w:val="22"/>
        </w:rPr>
        <w:t>.</w:t>
      </w:r>
      <w:r w:rsidR="00487CF3">
        <w:rPr>
          <w:rFonts w:ascii="Arial" w:hAnsi="Arial" w:cs="Arial"/>
          <w:sz w:val="22"/>
        </w:rPr>
        <w:t xml:space="preserve"> Actions of social services with the family. </w:t>
      </w:r>
      <w:r w:rsidR="009C6598">
        <w:rPr>
          <w:rFonts w:ascii="Arial" w:hAnsi="Arial" w:cs="Arial"/>
          <w:sz w:val="22"/>
        </w:rPr>
        <w:t>Results and outcomes. Recommendations.</w:t>
      </w:r>
    </w:p>
    <w:p w14:paraId="528B37FF" w14:textId="77777777" w:rsidR="00EE325F" w:rsidRDefault="00EE325F" w:rsidP="008D4A7C">
      <w:pPr>
        <w:spacing w:line="360" w:lineRule="auto"/>
        <w:rPr>
          <w:rFonts w:ascii="Arial" w:hAnsi="Arial" w:cs="Arial"/>
          <w:sz w:val="22"/>
        </w:rPr>
      </w:pPr>
    </w:p>
    <w:p w14:paraId="1D02AB96" w14:textId="262CEC16" w:rsidR="00F75884" w:rsidRDefault="00F75884" w:rsidP="008D4A7C">
      <w:pPr>
        <w:pStyle w:val="Heading1"/>
      </w:pPr>
      <w:r w:rsidRPr="008D4A7C">
        <w:t>Factors of vulnerability children, young people and families face within the case study</w:t>
      </w:r>
    </w:p>
    <w:p w14:paraId="2F862873" w14:textId="77777777" w:rsidR="00714735" w:rsidRDefault="00714735" w:rsidP="00714735"/>
    <w:p w14:paraId="600337E8" w14:textId="746A17EF" w:rsidR="005222F9" w:rsidRDefault="00714735" w:rsidP="008D4A7C">
      <w:pPr>
        <w:spacing w:line="360" w:lineRule="auto"/>
        <w:rPr>
          <w:rFonts w:ascii="Arial" w:hAnsi="Arial" w:cs="Arial"/>
          <w:sz w:val="22"/>
        </w:rPr>
      </w:pPr>
      <w:r w:rsidRPr="00714735">
        <w:rPr>
          <w:rFonts w:ascii="Arial" w:hAnsi="Arial" w:cs="Arial"/>
          <w:sz w:val="22"/>
        </w:rPr>
        <w:t>It's critical to use a comprehensive approach that considers all facets of children's and families' life in order to discover potential sources of vulnerability within a case study. Numerous variables, some of which may interact in complicated ways, might affect vulnerability. Here are some potential case study vulnerability variables to take into account.</w:t>
      </w:r>
    </w:p>
    <w:p w14:paraId="6BE6553B" w14:textId="48E41553" w:rsidR="00C351EE" w:rsidRPr="00C351EE" w:rsidRDefault="00C351EE" w:rsidP="00C351EE">
      <w:pPr>
        <w:spacing w:line="360" w:lineRule="auto"/>
        <w:rPr>
          <w:rFonts w:ascii="Arial" w:hAnsi="Arial" w:cs="Arial"/>
          <w:sz w:val="22"/>
        </w:rPr>
      </w:pPr>
      <w:r w:rsidRPr="00C351EE">
        <w:rPr>
          <w:rFonts w:ascii="Arial" w:hAnsi="Arial" w:cs="Arial"/>
          <w:sz w:val="22"/>
        </w:rPr>
        <w:t>Socioeconomic Status: Families with low financial means may struggle to meet basic requirements like food, shelter, and healthcare, which can have an effect on children's and young people's wellbeing.</w:t>
      </w:r>
    </w:p>
    <w:p w14:paraId="7E60AFCA" w14:textId="279AEDFD" w:rsidR="00C351EE" w:rsidRPr="00C351EE" w:rsidRDefault="00C351EE" w:rsidP="00C351EE">
      <w:pPr>
        <w:spacing w:line="360" w:lineRule="auto"/>
        <w:rPr>
          <w:rFonts w:ascii="Arial" w:hAnsi="Arial" w:cs="Arial"/>
          <w:sz w:val="22"/>
        </w:rPr>
      </w:pPr>
      <w:r w:rsidRPr="00C351EE">
        <w:rPr>
          <w:rFonts w:ascii="Arial" w:hAnsi="Arial" w:cs="Arial"/>
          <w:sz w:val="22"/>
        </w:rPr>
        <w:t>Family Structure and Stability: Family stability, including elements like divorce, separation, or the existence of single-parent families, can have an impact on young people's emotional and social growth.</w:t>
      </w:r>
    </w:p>
    <w:p w14:paraId="51BBA887" w14:textId="76A30E1F" w:rsidR="00446A9B" w:rsidRPr="00446A9B" w:rsidRDefault="00C351EE" w:rsidP="00446A9B">
      <w:pPr>
        <w:spacing w:line="360" w:lineRule="auto"/>
        <w:rPr>
          <w:rFonts w:ascii="Arial" w:hAnsi="Arial" w:cs="Arial"/>
          <w:sz w:val="22"/>
        </w:rPr>
      </w:pPr>
      <w:r w:rsidRPr="00C351EE">
        <w:rPr>
          <w:rFonts w:ascii="Arial" w:hAnsi="Arial" w:cs="Arial"/>
          <w:sz w:val="22"/>
        </w:rPr>
        <w:t>Parental Mental Health: Parents or other carers who are struggling with mental health conditions like depression or substance misuse may find it challenging to offer dependable care and emotional support.</w:t>
      </w:r>
    </w:p>
    <w:p w14:paraId="273D2C9E" w14:textId="00AD8070" w:rsidR="00446A9B" w:rsidRPr="00446A9B" w:rsidRDefault="00446A9B" w:rsidP="00446A9B">
      <w:pPr>
        <w:spacing w:line="360" w:lineRule="auto"/>
        <w:rPr>
          <w:rFonts w:ascii="Arial" w:hAnsi="Arial" w:cs="Arial"/>
          <w:sz w:val="22"/>
        </w:rPr>
      </w:pPr>
      <w:r w:rsidRPr="00446A9B">
        <w:rPr>
          <w:rFonts w:ascii="Arial" w:hAnsi="Arial" w:cs="Arial"/>
          <w:sz w:val="22"/>
        </w:rPr>
        <w:t>Limited Educational Access: Limited Educational Access can impede a child's growth and prospects in the future.</w:t>
      </w:r>
    </w:p>
    <w:p w14:paraId="493D41B9" w14:textId="77777777" w:rsidR="002E5306" w:rsidRDefault="00446A9B" w:rsidP="00446A9B">
      <w:pPr>
        <w:spacing w:line="360" w:lineRule="auto"/>
        <w:rPr>
          <w:rFonts w:ascii="Arial" w:hAnsi="Arial" w:cs="Arial"/>
          <w:sz w:val="22"/>
        </w:rPr>
      </w:pPr>
      <w:r w:rsidRPr="00446A9B">
        <w:rPr>
          <w:rFonts w:ascii="Arial" w:hAnsi="Arial" w:cs="Arial"/>
          <w:sz w:val="22"/>
        </w:rPr>
        <w:t>Health Concerns: Children may be especially vulnerable due to chronic health issues or disabilities that compromise their mental and emotional wellness.</w:t>
      </w:r>
    </w:p>
    <w:p w14:paraId="2F83F15C" w14:textId="0E7CF693" w:rsidR="00446A9B" w:rsidRPr="00446A9B" w:rsidRDefault="00446A9B" w:rsidP="00446A9B">
      <w:pPr>
        <w:spacing w:line="360" w:lineRule="auto"/>
        <w:rPr>
          <w:rFonts w:ascii="Arial" w:hAnsi="Arial" w:cs="Arial"/>
          <w:sz w:val="22"/>
        </w:rPr>
      </w:pPr>
      <w:r w:rsidRPr="00446A9B">
        <w:rPr>
          <w:rFonts w:ascii="Arial" w:hAnsi="Arial" w:cs="Arial"/>
          <w:sz w:val="22"/>
        </w:rPr>
        <w:lastRenderedPageBreak/>
        <w:t xml:space="preserve"> Homelessness Children who lack a stable place to live face a number of physical and psychological difficulties, including starvation, illness, and delayed education.</w:t>
      </w:r>
    </w:p>
    <w:p w14:paraId="73CF26AB" w14:textId="3A2C7F6B" w:rsidR="00446A9B" w:rsidRPr="00446A9B" w:rsidRDefault="00446A9B" w:rsidP="00446A9B">
      <w:pPr>
        <w:spacing w:line="360" w:lineRule="auto"/>
        <w:rPr>
          <w:rFonts w:ascii="Arial" w:hAnsi="Arial" w:cs="Arial"/>
          <w:sz w:val="22"/>
        </w:rPr>
      </w:pPr>
      <w:r w:rsidRPr="00446A9B">
        <w:rPr>
          <w:rFonts w:ascii="Arial" w:hAnsi="Arial" w:cs="Arial"/>
          <w:sz w:val="22"/>
        </w:rPr>
        <w:t>Discrimination and Prejudice: Children who encounter prejudice or discrimination based on traits like colour, ethnicity, gender, or sexual orientation may be at risk for social and emotional vulnerabilities.</w:t>
      </w:r>
    </w:p>
    <w:p w14:paraId="18A7E419" w14:textId="0CECE358" w:rsidR="008D4A7C" w:rsidRPr="008D4A7C" w:rsidRDefault="00446A9B" w:rsidP="00446A9B">
      <w:pPr>
        <w:spacing w:line="360" w:lineRule="auto"/>
        <w:rPr>
          <w:rFonts w:ascii="Arial" w:hAnsi="Arial" w:cs="Arial"/>
          <w:sz w:val="22"/>
        </w:rPr>
      </w:pPr>
      <w:r w:rsidRPr="00446A9B">
        <w:rPr>
          <w:rFonts w:ascii="Arial" w:hAnsi="Arial" w:cs="Arial"/>
          <w:sz w:val="22"/>
        </w:rPr>
        <w:t>Child Labour and Exploitation: Children in several countries throughout the world are</w:t>
      </w:r>
    </w:p>
    <w:p w14:paraId="0635F58A" w14:textId="013BC0A5" w:rsidR="00F75884" w:rsidRPr="008D4A7C" w:rsidRDefault="00F75884" w:rsidP="008D4A7C">
      <w:pPr>
        <w:pStyle w:val="Heading1"/>
      </w:pPr>
      <w:r w:rsidRPr="008D4A7C">
        <w:t>The impact of these factors on the children and young people </w:t>
      </w:r>
    </w:p>
    <w:p w14:paraId="6C5A1C08" w14:textId="57F2518C" w:rsidR="00F75884" w:rsidRDefault="00F75884" w:rsidP="008D4A7C">
      <w:pPr>
        <w:spacing w:line="360" w:lineRule="auto"/>
        <w:rPr>
          <w:rFonts w:ascii="Arial" w:hAnsi="Arial" w:cs="Arial"/>
          <w:sz w:val="22"/>
        </w:rPr>
      </w:pPr>
    </w:p>
    <w:p w14:paraId="1BB119FB" w14:textId="72512067" w:rsidR="00A36394" w:rsidRDefault="00A36394" w:rsidP="00A36394">
      <w:pPr>
        <w:spacing w:line="360" w:lineRule="auto"/>
        <w:rPr>
          <w:rFonts w:ascii="Arial" w:hAnsi="Arial" w:cs="Arial"/>
          <w:sz w:val="22"/>
        </w:rPr>
      </w:pPr>
      <w:r w:rsidRPr="00A36394">
        <w:rPr>
          <w:rFonts w:ascii="Arial" w:hAnsi="Arial" w:cs="Arial"/>
          <w:sz w:val="22"/>
        </w:rPr>
        <w:t>Policies and laws pertaining to the protection of children and young people can have a wide-ranging and important impact. Depending on how they are used and the exact circumstances, these elements can affect children and young people in both positive and bad ways. Here are a few possible effects</w:t>
      </w:r>
      <w:r>
        <w:rPr>
          <w:rFonts w:ascii="Arial" w:hAnsi="Arial" w:cs="Arial"/>
          <w:sz w:val="22"/>
        </w:rPr>
        <w:t xml:space="preserve"> </w:t>
      </w:r>
      <w:r w:rsidRPr="00A36394">
        <w:rPr>
          <w:rFonts w:ascii="Arial" w:hAnsi="Arial" w:cs="Arial"/>
          <w:sz w:val="22"/>
        </w:rPr>
        <w:t>Safety and Protection: Positive Impact: Well-crafted laws and policies that are efficiently implemented can shield children from numerous types of harm, such as abuse, neglect, exploitation, and violence. Negative Impact: Despite laws being in place, certain children may still be at risk of harm due to inadequate enforcement or systemic flaws. Access to Education: Benefits</w:t>
      </w:r>
      <w:r>
        <w:rPr>
          <w:rFonts w:ascii="Arial" w:hAnsi="Arial" w:cs="Arial"/>
          <w:sz w:val="22"/>
        </w:rPr>
        <w:t xml:space="preserve">  </w:t>
      </w:r>
      <w:r w:rsidRPr="00A36394">
        <w:rPr>
          <w:rFonts w:ascii="Arial" w:hAnsi="Arial" w:cs="Arial"/>
          <w:sz w:val="22"/>
        </w:rPr>
        <w:t>Education laws guarantee that kids can get a good education that will provide them with the knowledge and skills they need to succeed in the future</w:t>
      </w:r>
      <w:r>
        <w:rPr>
          <w:rFonts w:ascii="Arial" w:hAnsi="Arial" w:cs="Arial"/>
          <w:sz w:val="22"/>
        </w:rPr>
        <w:t xml:space="preserve"> </w:t>
      </w:r>
      <w:r w:rsidRPr="00A36394">
        <w:rPr>
          <w:rFonts w:ascii="Arial" w:hAnsi="Arial" w:cs="Arial"/>
          <w:sz w:val="22"/>
        </w:rPr>
        <w:t>Adverse</w:t>
      </w:r>
      <w:r>
        <w:rPr>
          <w:rFonts w:ascii="Arial" w:hAnsi="Arial" w:cs="Arial"/>
          <w:sz w:val="22"/>
        </w:rPr>
        <w:t xml:space="preserve">. </w:t>
      </w:r>
      <w:r w:rsidRPr="00A36394">
        <w:rPr>
          <w:rFonts w:ascii="Arial" w:hAnsi="Arial" w:cs="Arial"/>
          <w:sz w:val="22"/>
        </w:rPr>
        <w:t>Impact: Education-related obstacles, such as insufficient funding, prejudice, or limited access to schools, might limit a child's opportunity for a good education.</w:t>
      </w:r>
      <w:r>
        <w:rPr>
          <w:rFonts w:ascii="Arial" w:hAnsi="Arial" w:cs="Arial"/>
          <w:sz w:val="22"/>
        </w:rPr>
        <w:t xml:space="preserve"> </w:t>
      </w:r>
      <w:r w:rsidRPr="00A36394">
        <w:rPr>
          <w:rFonts w:ascii="Arial" w:hAnsi="Arial" w:cs="Arial"/>
          <w:sz w:val="22"/>
        </w:rPr>
        <w:t>It's vital to understand that these characteristics can have very context-specific effects on children and young people. The impact of these laws and policies on particular children can vary depending on their financial condition, cultural background, and the efficiency of local institutions. A policy's ability to successfully protect the rights and well-being of children and young people also depends on regular monitoring, evaluation, and adaptation.</w:t>
      </w:r>
      <w:r w:rsidR="0010189E">
        <w:rPr>
          <w:rFonts w:ascii="Arial" w:hAnsi="Arial" w:cs="Arial"/>
          <w:sz w:val="22"/>
        </w:rPr>
        <w:t xml:space="preserve"> </w:t>
      </w:r>
      <w:r w:rsidR="0010189E" w:rsidRPr="0010189E">
        <w:rPr>
          <w:rFonts w:ascii="Arial" w:hAnsi="Arial" w:cs="Arial"/>
          <w:sz w:val="22"/>
        </w:rPr>
        <w:t>It's crucial to remember that depending on the nature of the case—such as child welfare, mental health, geriatric care, or drug abuse treatment—the precise stages and agencies involved can vary substantially. To maintain the wellbeing and dignity of persons receiving care, professional cooperation, cultural awareness, and competence are essential throughout the intervention process.</w:t>
      </w:r>
    </w:p>
    <w:p w14:paraId="59C5F022" w14:textId="77777777" w:rsidR="005222F9" w:rsidRDefault="005222F9" w:rsidP="008D4A7C">
      <w:pPr>
        <w:spacing w:line="360" w:lineRule="auto"/>
        <w:rPr>
          <w:rFonts w:ascii="Arial" w:hAnsi="Arial" w:cs="Arial"/>
          <w:sz w:val="22"/>
        </w:rPr>
      </w:pPr>
    </w:p>
    <w:p w14:paraId="4DA20F7C" w14:textId="77777777" w:rsidR="005222F9" w:rsidRDefault="005222F9" w:rsidP="008D4A7C">
      <w:pPr>
        <w:spacing w:line="360" w:lineRule="auto"/>
        <w:rPr>
          <w:rFonts w:ascii="Arial" w:hAnsi="Arial" w:cs="Arial"/>
          <w:sz w:val="22"/>
        </w:rPr>
      </w:pPr>
    </w:p>
    <w:p w14:paraId="382DE7D3" w14:textId="77777777" w:rsidR="008D4A7C" w:rsidRPr="008D4A7C" w:rsidRDefault="008D4A7C" w:rsidP="008D4A7C">
      <w:pPr>
        <w:spacing w:line="360" w:lineRule="auto"/>
        <w:rPr>
          <w:rFonts w:ascii="Arial" w:hAnsi="Arial" w:cs="Arial"/>
          <w:sz w:val="22"/>
        </w:rPr>
      </w:pPr>
    </w:p>
    <w:p w14:paraId="5F01B8E9" w14:textId="77777777" w:rsidR="0010189E" w:rsidRDefault="0010189E" w:rsidP="008D4A7C">
      <w:pPr>
        <w:pStyle w:val="Heading1"/>
      </w:pPr>
    </w:p>
    <w:p w14:paraId="062F49CB" w14:textId="6FC12051" w:rsidR="00F75884" w:rsidRPr="008D4A7C" w:rsidRDefault="00F75884" w:rsidP="008D4A7C">
      <w:pPr>
        <w:pStyle w:val="Heading1"/>
      </w:pPr>
      <w:r w:rsidRPr="008D4A7C">
        <w:t>The process of intervention by relevant health and social care agencies within the case study</w:t>
      </w:r>
    </w:p>
    <w:p w14:paraId="0D7EF5A3" w14:textId="5AA21C25" w:rsidR="00F75884" w:rsidRPr="008D4A7C" w:rsidRDefault="00F75884" w:rsidP="008D4A7C">
      <w:pPr>
        <w:spacing w:line="360" w:lineRule="auto"/>
        <w:rPr>
          <w:rFonts w:ascii="Arial" w:hAnsi="Arial" w:cs="Arial"/>
          <w:sz w:val="22"/>
        </w:rPr>
      </w:pPr>
    </w:p>
    <w:p w14:paraId="181E9E8C" w14:textId="0561427E" w:rsidR="00F75884" w:rsidRDefault="00E35DE6" w:rsidP="00E35DE6">
      <w:pPr>
        <w:spacing w:line="360" w:lineRule="auto"/>
        <w:rPr>
          <w:rFonts w:ascii="Arial" w:hAnsi="Arial" w:cs="Arial"/>
          <w:sz w:val="22"/>
        </w:rPr>
      </w:pPr>
      <w:r w:rsidRPr="00E35DE6">
        <w:rPr>
          <w:rFonts w:ascii="Arial" w:hAnsi="Arial" w:cs="Arial"/>
          <w:sz w:val="22"/>
        </w:rPr>
        <w:t xml:space="preserve">Depending on the unique circumstances and requirements of the person or situation being addressed, the process of involvement by pertinent health and social care agencies within a case study can vary greatly. I can, however, give a rough outline of the stages usually taken during the intervention </w:t>
      </w:r>
      <w:proofErr w:type="spellStart"/>
      <w:r w:rsidRPr="00E35DE6">
        <w:rPr>
          <w:rFonts w:ascii="Arial" w:hAnsi="Arial" w:cs="Arial"/>
          <w:sz w:val="22"/>
        </w:rPr>
        <w:t>process</w:t>
      </w:r>
      <w:r>
        <w:rPr>
          <w:rFonts w:ascii="Arial" w:hAnsi="Arial" w:cs="Arial"/>
          <w:sz w:val="22"/>
        </w:rPr>
        <w:t>.</w:t>
      </w:r>
      <w:r w:rsidRPr="00E35DE6">
        <w:rPr>
          <w:rFonts w:ascii="Arial" w:hAnsi="Arial" w:cs="Arial"/>
          <w:sz w:val="22"/>
        </w:rPr>
        <w:t>Identification</w:t>
      </w:r>
      <w:proofErr w:type="spellEnd"/>
      <w:r w:rsidRPr="00E35DE6">
        <w:rPr>
          <w:rFonts w:ascii="Arial" w:hAnsi="Arial" w:cs="Arial"/>
          <w:sz w:val="22"/>
        </w:rPr>
        <w:t xml:space="preserve"> and Assessment: The process often starts with the recognition of a person or circumstance that requires assistance. This may occur via a number of avenues, including self-referral, reports from concerned parties, healthcare professionals, or social workers. A thorough assessment is then carried out to determine the person's needs, strengths, and vulnerabilities.</w:t>
      </w:r>
    </w:p>
    <w:p w14:paraId="144E36E8" w14:textId="77777777" w:rsidR="008D4A7C" w:rsidRPr="008D4A7C" w:rsidRDefault="008D4A7C" w:rsidP="008D4A7C">
      <w:pPr>
        <w:spacing w:line="360" w:lineRule="auto"/>
        <w:rPr>
          <w:rFonts w:ascii="Arial" w:hAnsi="Arial" w:cs="Arial"/>
          <w:sz w:val="22"/>
        </w:rPr>
      </w:pPr>
    </w:p>
    <w:p w14:paraId="74C95B84" w14:textId="77777777" w:rsidR="00F75884" w:rsidRPr="008D4A7C" w:rsidRDefault="00F75884" w:rsidP="008D4A7C">
      <w:pPr>
        <w:pStyle w:val="Heading1"/>
      </w:pPr>
      <w:r w:rsidRPr="008D4A7C">
        <w:t xml:space="preserve">Actions of social services with the family </w:t>
      </w:r>
    </w:p>
    <w:p w14:paraId="11521E1C" w14:textId="23B312A2" w:rsidR="00F75884" w:rsidRDefault="00334431" w:rsidP="008D4A7C">
      <w:pPr>
        <w:spacing w:line="360" w:lineRule="auto"/>
        <w:rPr>
          <w:rFonts w:ascii="Arial" w:hAnsi="Arial" w:cs="Arial"/>
          <w:sz w:val="22"/>
        </w:rPr>
      </w:pPr>
      <w:r w:rsidRPr="00334431">
        <w:rPr>
          <w:rFonts w:ascii="Arial" w:hAnsi="Arial" w:cs="Arial"/>
          <w:sz w:val="22"/>
        </w:rPr>
        <w:t>Social workers create a case plan with the family. This plan defines the services and assistance needed to help the family reach its goals, outlines the specific concerns that need to be addressed, and sets goals for the family.</w:t>
      </w:r>
    </w:p>
    <w:p w14:paraId="71B0FC0C" w14:textId="77777777" w:rsidR="00F75884" w:rsidRPr="008D4A7C" w:rsidRDefault="00F75884" w:rsidP="008D4A7C">
      <w:pPr>
        <w:spacing w:line="360" w:lineRule="auto"/>
        <w:rPr>
          <w:rFonts w:ascii="Arial" w:hAnsi="Arial" w:cs="Arial"/>
          <w:sz w:val="22"/>
        </w:rPr>
      </w:pPr>
    </w:p>
    <w:p w14:paraId="6C9B0453" w14:textId="5590A24E" w:rsidR="00F75884" w:rsidRPr="008D4A7C" w:rsidRDefault="00F75884" w:rsidP="008D4A7C">
      <w:pPr>
        <w:pStyle w:val="Heading1"/>
      </w:pPr>
      <w:r w:rsidRPr="008D4A7C">
        <w:t>Results and outcomes</w:t>
      </w:r>
    </w:p>
    <w:p w14:paraId="167D3756" w14:textId="1F98F3AC" w:rsidR="00334431" w:rsidRPr="00334431" w:rsidRDefault="00334431" w:rsidP="00334431">
      <w:pPr>
        <w:spacing w:line="360" w:lineRule="auto"/>
        <w:rPr>
          <w:rFonts w:ascii="Arial" w:hAnsi="Arial" w:cs="Arial"/>
          <w:sz w:val="22"/>
        </w:rPr>
      </w:pPr>
      <w:r w:rsidRPr="00334431">
        <w:rPr>
          <w:rFonts w:ascii="Arial" w:hAnsi="Arial" w:cs="Arial"/>
          <w:sz w:val="22"/>
        </w:rPr>
        <w:t xml:space="preserve"> The activities done to guarantee the child's immediate safety, such as installing safety locks on cabinets, childproofing the house, or providing adequate monitoring, could be considered a result in this context. For the mother's safety, outcomes may include taking efforts to safeguard her bodily and mental health, calling a hotline for domestic violence help, getting a restraining order, or other related activities.</w:t>
      </w:r>
      <w:r w:rsidR="006D4E72">
        <w:rPr>
          <w:rFonts w:ascii="Arial" w:hAnsi="Arial" w:cs="Arial"/>
          <w:sz w:val="22"/>
        </w:rPr>
        <w:t xml:space="preserve"> </w:t>
      </w:r>
      <w:r w:rsidRPr="00334431">
        <w:rPr>
          <w:rFonts w:ascii="Arial" w:hAnsi="Arial" w:cs="Arial"/>
          <w:sz w:val="22"/>
        </w:rPr>
        <w:t xml:space="preserve">Determining if the </w:t>
      </w:r>
      <w:r w:rsidR="006D4E72">
        <w:rPr>
          <w:rFonts w:ascii="Arial" w:hAnsi="Arial" w:cs="Arial"/>
          <w:sz w:val="22"/>
        </w:rPr>
        <w:t>child</w:t>
      </w:r>
      <w:r w:rsidR="006D4E72" w:rsidRPr="00334431">
        <w:rPr>
          <w:rFonts w:ascii="Arial" w:hAnsi="Arial" w:cs="Arial"/>
          <w:sz w:val="22"/>
        </w:rPr>
        <w:t xml:space="preserve"> is</w:t>
      </w:r>
      <w:r w:rsidRPr="00334431">
        <w:rPr>
          <w:rFonts w:ascii="Arial" w:hAnsi="Arial" w:cs="Arial"/>
          <w:sz w:val="22"/>
        </w:rPr>
        <w:t xml:space="preserve"> developing in a secure and nurturing environment is the overall goal for child safety. To maintain the child's wellbeing and growth, it may be necessary to continuously monitor their physical and emotional health.</w:t>
      </w:r>
    </w:p>
    <w:p w14:paraId="1A54C388" w14:textId="08C6A1C8" w:rsidR="00F75884" w:rsidRDefault="00F75884" w:rsidP="00334431">
      <w:pPr>
        <w:spacing w:line="360" w:lineRule="auto"/>
        <w:rPr>
          <w:rFonts w:ascii="Arial" w:hAnsi="Arial" w:cs="Arial"/>
          <w:sz w:val="22"/>
        </w:rPr>
      </w:pPr>
    </w:p>
    <w:p w14:paraId="07B5F576" w14:textId="77777777" w:rsidR="005222F9" w:rsidRDefault="005222F9" w:rsidP="008D4A7C">
      <w:pPr>
        <w:spacing w:line="360" w:lineRule="auto"/>
        <w:rPr>
          <w:rFonts w:ascii="Arial" w:hAnsi="Arial" w:cs="Arial"/>
          <w:sz w:val="22"/>
        </w:rPr>
      </w:pPr>
    </w:p>
    <w:p w14:paraId="27C12962" w14:textId="77777777" w:rsidR="005222F9" w:rsidRPr="008D4A7C" w:rsidRDefault="005222F9" w:rsidP="008D4A7C">
      <w:pPr>
        <w:spacing w:line="360" w:lineRule="auto"/>
        <w:rPr>
          <w:rFonts w:ascii="Arial" w:hAnsi="Arial" w:cs="Arial"/>
          <w:sz w:val="22"/>
        </w:rPr>
      </w:pPr>
    </w:p>
    <w:p w14:paraId="20440585" w14:textId="77777777" w:rsidR="00F75884" w:rsidRPr="008D4A7C" w:rsidRDefault="00F75884" w:rsidP="008D4A7C">
      <w:pPr>
        <w:spacing w:line="360" w:lineRule="auto"/>
        <w:rPr>
          <w:rFonts w:ascii="Arial" w:hAnsi="Arial" w:cs="Arial"/>
          <w:sz w:val="22"/>
        </w:rPr>
      </w:pPr>
    </w:p>
    <w:p w14:paraId="7736EF7C" w14:textId="6C948E70" w:rsidR="00F75884" w:rsidRPr="008D4A7C" w:rsidRDefault="00F75884" w:rsidP="008D4A7C">
      <w:pPr>
        <w:pStyle w:val="Heading1"/>
      </w:pPr>
      <w:r w:rsidRPr="008D4A7C">
        <w:lastRenderedPageBreak/>
        <w:t>Policy and legislation related to safeguarding children and young people </w:t>
      </w:r>
    </w:p>
    <w:p w14:paraId="6F6EE43E" w14:textId="674903B8" w:rsidR="005222F9" w:rsidRDefault="00BE131D" w:rsidP="008D4A7C">
      <w:pPr>
        <w:spacing w:line="360" w:lineRule="auto"/>
        <w:rPr>
          <w:rFonts w:ascii="Arial" w:hAnsi="Arial" w:cs="Arial"/>
          <w:sz w:val="22"/>
        </w:rPr>
      </w:pPr>
      <w:r w:rsidRPr="00BE131D">
        <w:rPr>
          <w:rFonts w:ascii="Arial" w:hAnsi="Arial" w:cs="Arial"/>
          <w:sz w:val="22"/>
        </w:rPr>
        <w:t>Child and adolescent protection policies and laws differ from nation to nation and even within a single country's regions. To defend the rights and wellbeing of children and young people, many countries adhere to a few universal principles and international accords. For detailed information, it is crucial to refer to the particular rules and regulations that are relevant to your country. Here are some general guidelines and illustrations of such laws and policies:</w:t>
      </w:r>
    </w:p>
    <w:p w14:paraId="387D6482" w14:textId="77777777" w:rsidR="005222F9" w:rsidRPr="008D4A7C" w:rsidRDefault="005222F9" w:rsidP="008D4A7C">
      <w:pPr>
        <w:spacing w:line="360" w:lineRule="auto"/>
        <w:rPr>
          <w:rFonts w:ascii="Arial" w:hAnsi="Arial" w:cs="Arial"/>
          <w:sz w:val="22"/>
        </w:rPr>
      </w:pPr>
    </w:p>
    <w:p w14:paraId="51158C41" w14:textId="42B28C7A" w:rsidR="00F75884" w:rsidRPr="008D4A7C" w:rsidRDefault="00F75884" w:rsidP="008D4A7C">
      <w:pPr>
        <w:spacing w:line="360" w:lineRule="auto"/>
        <w:rPr>
          <w:rFonts w:ascii="Arial" w:hAnsi="Arial" w:cs="Arial"/>
          <w:sz w:val="22"/>
        </w:rPr>
      </w:pPr>
    </w:p>
    <w:p w14:paraId="69C5754B" w14:textId="3503AC43" w:rsidR="00F75884" w:rsidRPr="008D4A7C" w:rsidRDefault="00F75884" w:rsidP="008D4A7C">
      <w:pPr>
        <w:pStyle w:val="Heading1"/>
      </w:pPr>
      <w:r w:rsidRPr="008D4A7C">
        <w:t xml:space="preserve">Theories guiding interventions of social services in case of safeguarding issues. </w:t>
      </w:r>
    </w:p>
    <w:p w14:paraId="40513635" w14:textId="4C8B64AE" w:rsidR="00A8688C" w:rsidRPr="003966AC" w:rsidRDefault="000336D9" w:rsidP="003966AC">
      <w:pPr>
        <w:spacing w:line="360" w:lineRule="auto"/>
        <w:rPr>
          <w:rFonts w:ascii="Arial" w:hAnsi="Arial" w:cs="Arial"/>
          <w:sz w:val="22"/>
        </w:rPr>
      </w:pPr>
      <w:r w:rsidRPr="000336D9">
        <w:rPr>
          <w:rFonts w:ascii="Arial" w:hAnsi="Arial" w:cs="Arial"/>
          <w:sz w:val="22"/>
        </w:rPr>
        <w:t>Diverse ideas inform actions to safeguard vulnerable people in the social services system from harm and to advance their well-being. These theories offer a framework for comprehending the underlying factors that contribute to safeguarding problems and guide the creation of successful intervention techniques. Here are some important theories that inform social sector interventions</w:t>
      </w:r>
      <w:r w:rsidR="00294524">
        <w:rPr>
          <w:rFonts w:ascii="Arial" w:hAnsi="Arial" w:cs="Arial"/>
          <w:sz w:val="22"/>
        </w:rPr>
        <w:t xml:space="preserve">. </w:t>
      </w:r>
      <w:r w:rsidR="00294524" w:rsidRPr="00294524">
        <w:rPr>
          <w:rFonts w:ascii="Arial" w:hAnsi="Arial" w:cs="Arial"/>
          <w:sz w:val="22"/>
        </w:rPr>
        <w:t xml:space="preserve"> Trauma-informed care is a strategy that takes into account the prevalence and effects of trauma on people, especially those who have been the victims of abuse or neglect. This approach emphasises the importance of developing secure and comforting surroundings, comprehending the impacts of trauma, and employing trauma-sensitive techniques to aid in healing and recovery.</w:t>
      </w:r>
    </w:p>
    <w:p w14:paraId="278949AF" w14:textId="77777777" w:rsidR="006D4E72" w:rsidRDefault="006D4E72" w:rsidP="008D4A7C">
      <w:pPr>
        <w:pStyle w:val="Heading1"/>
      </w:pPr>
    </w:p>
    <w:p w14:paraId="3751BE4E" w14:textId="5FF72668" w:rsidR="00F75884" w:rsidRPr="008D4A7C" w:rsidRDefault="00F75884" w:rsidP="008D4A7C">
      <w:pPr>
        <w:pStyle w:val="Heading1"/>
      </w:pPr>
      <w:r w:rsidRPr="008D4A7C">
        <w:t xml:space="preserve"> Recommendations </w:t>
      </w:r>
    </w:p>
    <w:p w14:paraId="699DCF4B" w14:textId="49E65B40" w:rsidR="003966AC" w:rsidRPr="003966AC" w:rsidRDefault="00CF597E" w:rsidP="003966AC">
      <w:pPr>
        <w:spacing w:line="360" w:lineRule="auto"/>
        <w:rPr>
          <w:rFonts w:ascii="Arial" w:hAnsi="Arial" w:cs="Arial"/>
          <w:sz w:val="22"/>
        </w:rPr>
      </w:pPr>
      <w:r>
        <w:rPr>
          <w:rFonts w:ascii="Arial" w:hAnsi="Arial" w:cs="Arial"/>
          <w:sz w:val="22"/>
        </w:rPr>
        <w:t xml:space="preserve">That enhances parenting skills </w:t>
      </w:r>
      <w:r w:rsidR="00C1175C">
        <w:rPr>
          <w:rFonts w:ascii="Arial" w:hAnsi="Arial" w:cs="Arial"/>
          <w:sz w:val="22"/>
        </w:rPr>
        <w:t xml:space="preserve">which would in the long run promote healthy child development. While a practical way of getting this achieved is to make visitations to </w:t>
      </w:r>
      <w:r w:rsidR="006D4E72">
        <w:rPr>
          <w:rFonts w:ascii="Arial" w:hAnsi="Arial" w:cs="Arial"/>
          <w:sz w:val="22"/>
        </w:rPr>
        <w:t xml:space="preserve">early childhood home an integral part of the engagement and teaching parenting skills and relationship approaches. The last of the strategies was to </w:t>
      </w:r>
      <w:proofErr w:type="spellStart"/>
      <w:r w:rsidR="006D4E72">
        <w:rPr>
          <w:rFonts w:ascii="Arial" w:hAnsi="Arial" w:cs="Arial"/>
          <w:sz w:val="22"/>
        </w:rPr>
        <w:t>suppost</w:t>
      </w:r>
      <w:proofErr w:type="spellEnd"/>
      <w:r w:rsidR="006D4E72">
        <w:rPr>
          <w:rFonts w:ascii="Arial" w:hAnsi="Arial" w:cs="Arial"/>
          <w:sz w:val="22"/>
        </w:rPr>
        <w:t xml:space="preserve"> access to community- based healthcare</w:t>
      </w:r>
      <w:r w:rsidR="003966AC">
        <w:rPr>
          <w:rFonts w:ascii="Arial" w:hAnsi="Arial" w:cs="Arial"/>
          <w:sz w:val="22"/>
        </w:rPr>
        <w:t xml:space="preserve">, The essence of the move was targeted medical assistance </w:t>
      </w:r>
      <w:proofErr w:type="spellStart"/>
      <w:r w:rsidR="003966AC">
        <w:rPr>
          <w:rFonts w:ascii="Arial" w:hAnsi="Arial" w:cs="Arial"/>
          <w:sz w:val="22"/>
        </w:rPr>
        <w:t>foroeplein</w:t>
      </w:r>
      <w:proofErr w:type="spellEnd"/>
      <w:r w:rsidR="003966AC">
        <w:rPr>
          <w:rFonts w:ascii="Arial" w:hAnsi="Arial" w:cs="Arial"/>
          <w:sz w:val="22"/>
        </w:rPr>
        <w:t xml:space="preserve"> remote rural communities</w:t>
      </w:r>
      <w:r w:rsidR="008B2F72">
        <w:rPr>
          <w:rFonts w:ascii="Arial" w:hAnsi="Arial" w:cs="Arial"/>
          <w:sz w:val="22"/>
        </w:rPr>
        <w:t xml:space="preserve"> ( </w:t>
      </w:r>
      <w:proofErr w:type="spellStart"/>
      <w:r w:rsidR="008B2F72">
        <w:rPr>
          <w:rFonts w:ascii="Arial" w:hAnsi="Arial" w:cs="Arial"/>
          <w:sz w:val="22"/>
        </w:rPr>
        <w:t>Saracho</w:t>
      </w:r>
      <w:proofErr w:type="spellEnd"/>
      <w:r w:rsidR="008B2F72">
        <w:rPr>
          <w:rFonts w:ascii="Arial" w:hAnsi="Arial" w:cs="Arial"/>
          <w:sz w:val="22"/>
        </w:rPr>
        <w:t xml:space="preserve"> 2021).</w:t>
      </w:r>
    </w:p>
    <w:p w14:paraId="75BDA658" w14:textId="77777777" w:rsidR="003966AC" w:rsidRDefault="003966AC" w:rsidP="003966AC">
      <w:pPr>
        <w:pStyle w:val="Heading1"/>
      </w:pPr>
      <w:r w:rsidRPr="008D4A7C">
        <w:lastRenderedPageBreak/>
        <w:t xml:space="preserve">Conclusion </w:t>
      </w:r>
    </w:p>
    <w:p w14:paraId="07A362C1" w14:textId="77777777" w:rsidR="003966AC" w:rsidRPr="00CF597E" w:rsidRDefault="003966AC" w:rsidP="003966AC">
      <w:pPr>
        <w:pStyle w:val="Heading1"/>
        <w:rPr>
          <w:b w:val="0"/>
          <w:bCs/>
          <w:sz w:val="22"/>
          <w:szCs w:val="22"/>
        </w:rPr>
      </w:pPr>
      <w:r w:rsidRPr="00CF597E">
        <w:rPr>
          <w:b w:val="0"/>
          <w:bCs/>
          <w:sz w:val="22"/>
          <w:szCs w:val="22"/>
        </w:rPr>
        <w:t xml:space="preserve">The Social worker’s intervention with the Victim ‘s help to reorganise her life, studying the factors and the impact that this has had on Her life and that of her Son. This effectiveness of </w:t>
      </w:r>
      <w:proofErr w:type="spellStart"/>
      <w:r w:rsidRPr="00CF597E">
        <w:rPr>
          <w:b w:val="0"/>
          <w:bCs/>
          <w:sz w:val="22"/>
          <w:szCs w:val="22"/>
        </w:rPr>
        <w:t>he</w:t>
      </w:r>
      <w:proofErr w:type="spellEnd"/>
      <w:r w:rsidRPr="00CF597E">
        <w:rPr>
          <w:b w:val="0"/>
          <w:bCs/>
          <w:sz w:val="22"/>
          <w:szCs w:val="22"/>
        </w:rPr>
        <w:t xml:space="preserve"> work  of the social services is justified by theories, such as Maslow’s hierarchy of needs (1954)</w:t>
      </w:r>
    </w:p>
    <w:p w14:paraId="221035FF" w14:textId="77777777" w:rsidR="003966AC" w:rsidRPr="00CF597E" w:rsidRDefault="003966AC" w:rsidP="003966AC">
      <w:pPr>
        <w:pStyle w:val="Heading1"/>
        <w:rPr>
          <w:b w:val="0"/>
          <w:bCs/>
          <w:sz w:val="22"/>
          <w:szCs w:val="22"/>
        </w:rPr>
      </w:pPr>
    </w:p>
    <w:p w14:paraId="38B3FACF" w14:textId="77777777" w:rsidR="003966AC" w:rsidRDefault="003966AC" w:rsidP="003966AC">
      <w:pPr>
        <w:pStyle w:val="Heading1"/>
      </w:pPr>
    </w:p>
    <w:p w14:paraId="67C300C2" w14:textId="77777777" w:rsidR="003966AC" w:rsidRDefault="003966AC" w:rsidP="003966AC">
      <w:pPr>
        <w:pStyle w:val="Heading1"/>
      </w:pPr>
    </w:p>
    <w:p w14:paraId="27646CD1" w14:textId="77777777" w:rsidR="003966AC" w:rsidRDefault="003966AC" w:rsidP="003966AC">
      <w:pPr>
        <w:pStyle w:val="Heading1"/>
      </w:pPr>
    </w:p>
    <w:p w14:paraId="29F98C3F" w14:textId="77777777" w:rsidR="003966AC" w:rsidRDefault="003966AC" w:rsidP="003966AC">
      <w:pPr>
        <w:pStyle w:val="Heading1"/>
      </w:pPr>
    </w:p>
    <w:p w14:paraId="61BA3698" w14:textId="77777777" w:rsidR="003966AC" w:rsidRDefault="003966AC" w:rsidP="003966AC">
      <w:pPr>
        <w:pStyle w:val="Heading1"/>
      </w:pPr>
    </w:p>
    <w:p w14:paraId="3FC53673" w14:textId="77777777" w:rsidR="003966AC" w:rsidRDefault="003966AC" w:rsidP="003966AC">
      <w:pPr>
        <w:pStyle w:val="Heading1"/>
      </w:pPr>
    </w:p>
    <w:p w14:paraId="60728B3E" w14:textId="77777777" w:rsidR="003966AC" w:rsidRDefault="003966AC" w:rsidP="003966AC">
      <w:pPr>
        <w:pStyle w:val="Heading1"/>
      </w:pPr>
    </w:p>
    <w:p w14:paraId="3CAFA593" w14:textId="77777777" w:rsidR="003966AC" w:rsidRDefault="003966AC" w:rsidP="003966AC">
      <w:pPr>
        <w:pStyle w:val="Heading1"/>
      </w:pPr>
    </w:p>
    <w:p w14:paraId="13A1D206" w14:textId="77777777" w:rsidR="003966AC" w:rsidRDefault="003966AC" w:rsidP="003966AC">
      <w:pPr>
        <w:pStyle w:val="Heading1"/>
      </w:pPr>
    </w:p>
    <w:p w14:paraId="0537A672" w14:textId="77777777" w:rsidR="003966AC" w:rsidRDefault="003966AC" w:rsidP="003966AC">
      <w:pPr>
        <w:pStyle w:val="Heading1"/>
      </w:pPr>
    </w:p>
    <w:p w14:paraId="6C63786F" w14:textId="77777777" w:rsidR="003966AC" w:rsidRDefault="003966AC" w:rsidP="003966AC">
      <w:pPr>
        <w:pStyle w:val="Heading1"/>
      </w:pPr>
    </w:p>
    <w:p w14:paraId="6A0A1C96" w14:textId="77777777" w:rsidR="003966AC" w:rsidRDefault="003966AC" w:rsidP="003966AC">
      <w:pPr>
        <w:pStyle w:val="Heading1"/>
      </w:pPr>
    </w:p>
    <w:p w14:paraId="64D8E898" w14:textId="77777777" w:rsidR="003966AC" w:rsidRDefault="003966AC" w:rsidP="003966AC">
      <w:pPr>
        <w:pStyle w:val="Heading1"/>
      </w:pPr>
    </w:p>
    <w:p w14:paraId="2FAF9A3F" w14:textId="77777777" w:rsidR="003966AC" w:rsidRDefault="003966AC" w:rsidP="003966AC">
      <w:pPr>
        <w:pStyle w:val="Heading1"/>
      </w:pPr>
    </w:p>
    <w:p w14:paraId="65958361" w14:textId="2F2F753F" w:rsidR="003966AC" w:rsidRDefault="003966AC" w:rsidP="003966AC">
      <w:pPr>
        <w:pStyle w:val="Heading1"/>
      </w:pPr>
    </w:p>
    <w:p w14:paraId="56A07966" w14:textId="77777777" w:rsidR="003966AC" w:rsidRDefault="003966AC" w:rsidP="00C1175C"/>
    <w:p w14:paraId="4272DADB" w14:textId="77777777" w:rsidR="008B2F72" w:rsidRDefault="008B2F72" w:rsidP="00C1175C">
      <w:pPr>
        <w:rPr>
          <w:sz w:val="36"/>
          <w:szCs w:val="36"/>
        </w:rPr>
      </w:pPr>
    </w:p>
    <w:p w14:paraId="5D967659" w14:textId="77777777" w:rsidR="008B2F72" w:rsidRDefault="008B2F72" w:rsidP="00C1175C">
      <w:pPr>
        <w:rPr>
          <w:sz w:val="36"/>
          <w:szCs w:val="36"/>
        </w:rPr>
      </w:pPr>
    </w:p>
    <w:p w14:paraId="73982164" w14:textId="77777777" w:rsidR="008B2F72" w:rsidRDefault="008B2F72" w:rsidP="00C1175C">
      <w:pPr>
        <w:rPr>
          <w:sz w:val="36"/>
          <w:szCs w:val="36"/>
        </w:rPr>
      </w:pPr>
    </w:p>
    <w:p w14:paraId="1ECAF3CF" w14:textId="70471FB4" w:rsidR="003966AC" w:rsidRPr="003966AC" w:rsidRDefault="003966AC" w:rsidP="00C1175C">
      <w:pPr>
        <w:rPr>
          <w:sz w:val="36"/>
          <w:szCs w:val="36"/>
        </w:rPr>
      </w:pPr>
      <w:r w:rsidRPr="003966AC">
        <w:rPr>
          <w:sz w:val="36"/>
          <w:szCs w:val="36"/>
        </w:rPr>
        <w:lastRenderedPageBreak/>
        <w:t>Reference</w:t>
      </w:r>
    </w:p>
    <w:p w14:paraId="70C4E509" w14:textId="4AB1B71F" w:rsidR="00C1175C" w:rsidRDefault="00C1175C" w:rsidP="00C1175C">
      <w:r>
        <w:t>Booth, A., Preston, L., B</w:t>
      </w:r>
      <w:r w:rsidR="002F2FCF">
        <w:t xml:space="preserve">axter, S., Wong, R., </w:t>
      </w:r>
      <w:r w:rsidR="001F0AA9">
        <w:t>Chambers</w:t>
      </w:r>
      <w:r w:rsidR="002F2FCF">
        <w:t>.</w:t>
      </w:r>
      <w:r w:rsidR="001F0AA9">
        <w:t xml:space="preserve"> D</w:t>
      </w:r>
      <w:r w:rsidR="002F2FCF">
        <w:t xml:space="preserve"> and Turner, J., 2019. Introduction and background. In Interventions to </w:t>
      </w:r>
      <w:r w:rsidR="001F0AA9">
        <w:t>manage</w:t>
      </w:r>
      <w:r w:rsidR="002F2FCF">
        <w:t xml:space="preserve"> use of the </w:t>
      </w:r>
      <w:r w:rsidR="001F2A3B">
        <w:t>emergency and urgent care system by people from vulnerable groups:</w:t>
      </w:r>
      <w:r w:rsidR="001F0AA9">
        <w:t xml:space="preserve"> a mapping review. NIHR Journals Library.</w:t>
      </w:r>
    </w:p>
    <w:p w14:paraId="318EE6EF" w14:textId="77777777" w:rsidR="001F0AA9" w:rsidRDefault="001F0AA9" w:rsidP="00C1175C"/>
    <w:p w14:paraId="3897BD5A" w14:textId="3F260113" w:rsidR="001F0AA9" w:rsidRDefault="001F0AA9" w:rsidP="00C1175C">
      <w:pPr>
        <w:rPr>
          <w:color w:val="4472C4" w:themeColor="accent1"/>
          <w:u w:val="single"/>
        </w:rPr>
      </w:pPr>
      <w:r>
        <w:t>Encyclopaedia. (2022,February 5). N</w:t>
      </w:r>
      <w:r w:rsidR="007C7CEA">
        <w:t xml:space="preserve">ew World </w:t>
      </w:r>
      <w:proofErr w:type="spellStart"/>
      <w:r w:rsidR="007C7CEA">
        <w:t>Encyclopedia</w:t>
      </w:r>
      <w:proofErr w:type="spellEnd"/>
      <w:r w:rsidR="007C7CEA">
        <w:t>. Retrieved 15:24, November 11, 20</w:t>
      </w:r>
      <w:r w:rsidR="00CC11D7">
        <w:t>22 from</w:t>
      </w:r>
      <w:r w:rsidR="008075FC">
        <w:t xml:space="preserve">   </w:t>
      </w:r>
      <w:hyperlink r:id="rId9" w:history="1">
        <w:r w:rsidR="00EB1EF7" w:rsidRPr="00FE756E">
          <w:rPr>
            <w:rStyle w:val="Hyperlink"/>
          </w:rPr>
          <w:t>https://www.newworldencyclopedia.org/p/index.php?title=Encyclopedia&amp;oldid=1064340</w:t>
        </w:r>
      </w:hyperlink>
      <w:r w:rsidR="00EB1EF7" w:rsidRPr="00EB1EF7">
        <w:rPr>
          <w:color w:val="4472C4" w:themeColor="accent1"/>
          <w:u w:val="single"/>
        </w:rPr>
        <w:t>.</w:t>
      </w:r>
    </w:p>
    <w:p w14:paraId="00A3EBA5" w14:textId="77777777" w:rsidR="00EB1EF7" w:rsidRPr="00EB1EF7" w:rsidRDefault="00EB1EF7" w:rsidP="00C1175C">
      <w:pPr>
        <w:rPr>
          <w:color w:val="4472C4" w:themeColor="accent1"/>
        </w:rPr>
      </w:pPr>
    </w:p>
    <w:p w14:paraId="27D9B251" w14:textId="4AF3A621" w:rsidR="00EB1EF7" w:rsidRDefault="00EB1EF7" w:rsidP="00C1175C">
      <w:proofErr w:type="spellStart"/>
      <w:r w:rsidRPr="00E007CD">
        <w:t>Kuran</w:t>
      </w:r>
      <w:proofErr w:type="spellEnd"/>
      <w:r w:rsidRPr="00E007CD">
        <w:t xml:space="preserve">, CHA, C, </w:t>
      </w:r>
      <w:proofErr w:type="spellStart"/>
      <w:r w:rsidRPr="00E007CD">
        <w:t>Kruke</w:t>
      </w:r>
      <w:proofErr w:type="spellEnd"/>
      <w:r w:rsidRPr="00E007CD">
        <w:t>, BL, Kruger,</w:t>
      </w:r>
      <w:r w:rsidR="00E007CD" w:rsidRPr="00E007CD">
        <w:t xml:space="preserve"> M, </w:t>
      </w:r>
      <w:proofErr w:type="spellStart"/>
      <w:r w:rsidR="00E007CD" w:rsidRPr="00E007CD">
        <w:t>Segnestam</w:t>
      </w:r>
      <w:proofErr w:type="spellEnd"/>
      <w:r w:rsidR="00E007CD" w:rsidRPr="00E007CD">
        <w:t xml:space="preserve">, L, </w:t>
      </w:r>
      <w:proofErr w:type="spellStart"/>
      <w:r w:rsidR="00E007CD" w:rsidRPr="00E007CD">
        <w:t>Orru</w:t>
      </w:r>
      <w:proofErr w:type="spellEnd"/>
      <w:r w:rsidR="00E007CD" w:rsidRPr="00E007CD">
        <w:t xml:space="preserve">, K, </w:t>
      </w:r>
      <w:proofErr w:type="spellStart"/>
      <w:r w:rsidR="00E007CD" w:rsidRPr="00E007CD">
        <w:t>Nae</w:t>
      </w:r>
      <w:r w:rsidR="00E007CD">
        <w:t>vestad</w:t>
      </w:r>
      <w:proofErr w:type="spellEnd"/>
      <w:r w:rsidR="00E007CD">
        <w:t xml:space="preserve">, TO, </w:t>
      </w:r>
      <w:proofErr w:type="spellStart"/>
      <w:r w:rsidR="00E007CD">
        <w:t>Airola</w:t>
      </w:r>
      <w:proofErr w:type="spellEnd"/>
      <w:r w:rsidR="00E007CD">
        <w:t xml:space="preserve">, M, </w:t>
      </w:r>
      <w:proofErr w:type="spellStart"/>
      <w:r w:rsidR="00E007CD">
        <w:t>Keranen</w:t>
      </w:r>
      <w:proofErr w:type="spellEnd"/>
      <w:r w:rsidR="00E007CD">
        <w:t>, J, Gabel, F, Hansson,</w:t>
      </w:r>
      <w:r w:rsidR="005E247E">
        <w:t xml:space="preserve"> </w:t>
      </w:r>
      <w:r w:rsidR="00E007CD">
        <w:t xml:space="preserve">S, &amp; </w:t>
      </w:r>
      <w:proofErr w:type="spellStart"/>
      <w:r w:rsidR="00E007CD">
        <w:t>Torpan</w:t>
      </w:r>
      <w:proofErr w:type="spellEnd"/>
      <w:r w:rsidR="00E007CD">
        <w:t>,</w:t>
      </w:r>
      <w:r w:rsidR="005E247E">
        <w:t xml:space="preserve"> </w:t>
      </w:r>
      <w:r w:rsidR="00E007CD">
        <w:t>S 2020, Vulnerability and vulnerable groups from an intersectionality perspective.’</w:t>
      </w:r>
      <w:r w:rsidR="005E247E">
        <w:t xml:space="preserve">  </w:t>
      </w:r>
      <w:r w:rsidR="005E247E" w:rsidRPr="00FA5B77">
        <w:rPr>
          <w:color w:val="4472C4" w:themeColor="accent1"/>
          <w:u w:val="single"/>
        </w:rPr>
        <w:t>International Journal of Disaster Risk Reduction,</w:t>
      </w:r>
      <w:r w:rsidR="005E247E">
        <w:t xml:space="preserve"> Vol</w:t>
      </w:r>
      <w:r w:rsidR="00A65152">
        <w:t xml:space="preserve">. 50, 101826. </w:t>
      </w:r>
      <w:hyperlink r:id="rId10" w:history="1">
        <w:r w:rsidR="00A65152" w:rsidRPr="00FA5B77">
          <w:rPr>
            <w:rStyle w:val="Hyperlink"/>
            <w:color w:val="4472C4" w:themeColor="accent1"/>
          </w:rPr>
          <w:t>https://doi.org/10</w:t>
        </w:r>
      </w:hyperlink>
      <w:r w:rsidR="00A65152" w:rsidRPr="00FA5B77">
        <w:rPr>
          <w:color w:val="4472C4" w:themeColor="accent1"/>
          <w:u w:val="single"/>
        </w:rPr>
        <w:t>. 1016/j.ijdrr.2020, 10182</w:t>
      </w:r>
      <w:r w:rsidR="00FA5B77" w:rsidRPr="00FA5B77">
        <w:rPr>
          <w:color w:val="4472C4" w:themeColor="accent1"/>
          <w:u w:val="single"/>
        </w:rPr>
        <w:t>6</w:t>
      </w:r>
    </w:p>
    <w:p w14:paraId="51A05455" w14:textId="77777777" w:rsidR="00FA5B77" w:rsidRDefault="00FA5B77" w:rsidP="00FA5B77"/>
    <w:p w14:paraId="60AC35DE" w14:textId="35CE3E83" w:rsidR="00FA5B77" w:rsidRPr="00FA5B77" w:rsidRDefault="00FA5B77" w:rsidP="00FA5B77">
      <w:pPr>
        <w:rPr>
          <w:color w:val="4472C4" w:themeColor="accent1"/>
          <w:u w:val="single"/>
        </w:rPr>
      </w:pPr>
      <w:proofErr w:type="spellStart"/>
      <w:r>
        <w:t>Saracho</w:t>
      </w:r>
      <w:proofErr w:type="spellEnd"/>
      <w:r>
        <w:t xml:space="preserve">, O.N.,2021, </w:t>
      </w:r>
      <w:proofErr w:type="spellStart"/>
      <w:r>
        <w:t>Theoties</w:t>
      </w:r>
      <w:proofErr w:type="spellEnd"/>
      <w:r>
        <w:t xml:space="preserve"> of child development and their impact on early childhood education and care Early childhood Education Journal, </w:t>
      </w:r>
      <w:r w:rsidRPr="00FA5B77">
        <w:rPr>
          <w:color w:val="4472C4" w:themeColor="accent1"/>
          <w:u w:val="single"/>
        </w:rPr>
        <w:t>https://doi.org/10.1007/s10643-021-0121-5</w:t>
      </w:r>
    </w:p>
    <w:sectPr w:rsidR="00FA5B77" w:rsidRPr="00FA5B77" w:rsidSect="005222F9">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B88D59" w14:textId="77777777" w:rsidR="00927F67" w:rsidRDefault="00927F67" w:rsidP="001C2725">
      <w:pPr>
        <w:spacing w:after="0" w:line="240" w:lineRule="auto"/>
      </w:pPr>
      <w:r>
        <w:separator/>
      </w:r>
    </w:p>
  </w:endnote>
  <w:endnote w:type="continuationSeparator" w:id="0">
    <w:p w14:paraId="75A24F83" w14:textId="77777777" w:rsidR="00927F67" w:rsidRDefault="00927F67" w:rsidP="001C2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520275975"/>
      <w:docPartObj>
        <w:docPartGallery w:val="Page Numbers (Bottom of Page)"/>
        <w:docPartUnique/>
      </w:docPartObj>
    </w:sdtPr>
    <w:sdtEndPr>
      <w:rPr>
        <w:noProof/>
      </w:rPr>
    </w:sdtEndPr>
    <w:sdtContent>
      <w:p w14:paraId="6F7DC658" w14:textId="1C66483A" w:rsidR="005222F9" w:rsidRPr="005222F9" w:rsidRDefault="005222F9">
        <w:pPr>
          <w:pStyle w:val="Footer"/>
          <w:jc w:val="center"/>
          <w:rPr>
            <w:rFonts w:ascii="Arial" w:hAnsi="Arial" w:cs="Arial"/>
          </w:rPr>
        </w:pPr>
        <w:r w:rsidRPr="005222F9">
          <w:rPr>
            <w:rFonts w:ascii="Arial" w:hAnsi="Arial" w:cs="Arial"/>
          </w:rPr>
          <w:fldChar w:fldCharType="begin"/>
        </w:r>
        <w:r w:rsidRPr="005222F9">
          <w:rPr>
            <w:rFonts w:ascii="Arial" w:hAnsi="Arial" w:cs="Arial"/>
          </w:rPr>
          <w:instrText xml:space="preserve"> PAGE   \* MERGEFORMAT </w:instrText>
        </w:r>
        <w:r w:rsidRPr="005222F9">
          <w:rPr>
            <w:rFonts w:ascii="Arial" w:hAnsi="Arial" w:cs="Arial"/>
          </w:rPr>
          <w:fldChar w:fldCharType="separate"/>
        </w:r>
        <w:r w:rsidRPr="005222F9">
          <w:rPr>
            <w:rFonts w:ascii="Arial" w:hAnsi="Arial" w:cs="Arial"/>
            <w:noProof/>
          </w:rPr>
          <w:t>2</w:t>
        </w:r>
        <w:r w:rsidRPr="005222F9">
          <w:rPr>
            <w:rFonts w:ascii="Arial" w:hAnsi="Arial" w:cs="Arial"/>
            <w:noProof/>
          </w:rPr>
          <w:fldChar w:fldCharType="end"/>
        </w:r>
      </w:p>
    </w:sdtContent>
  </w:sdt>
  <w:p w14:paraId="04ED9738" w14:textId="77777777" w:rsidR="005222F9" w:rsidRDefault="005222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FBBE9C" w14:textId="77777777" w:rsidR="00927F67" w:rsidRDefault="00927F67" w:rsidP="001C2725">
      <w:pPr>
        <w:spacing w:after="0" w:line="240" w:lineRule="auto"/>
      </w:pPr>
      <w:r>
        <w:separator/>
      </w:r>
    </w:p>
  </w:footnote>
  <w:footnote w:type="continuationSeparator" w:id="0">
    <w:p w14:paraId="1FA7BBA7" w14:textId="77777777" w:rsidR="00927F67" w:rsidRDefault="00927F67" w:rsidP="001C27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10B9D"/>
    <w:multiLevelType w:val="hybridMultilevel"/>
    <w:tmpl w:val="B0F8C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3004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74402"/>
    <w:rsid w:val="000336D9"/>
    <w:rsid w:val="00074402"/>
    <w:rsid w:val="000E14EC"/>
    <w:rsid w:val="0010189E"/>
    <w:rsid w:val="001C2725"/>
    <w:rsid w:val="001F0AA9"/>
    <w:rsid w:val="001F2A3B"/>
    <w:rsid w:val="00216C85"/>
    <w:rsid w:val="00273EDD"/>
    <w:rsid w:val="00294524"/>
    <w:rsid w:val="002C3965"/>
    <w:rsid w:val="002E5306"/>
    <w:rsid w:val="002F2FCF"/>
    <w:rsid w:val="00321C4C"/>
    <w:rsid w:val="00334431"/>
    <w:rsid w:val="003966AC"/>
    <w:rsid w:val="00446A9B"/>
    <w:rsid w:val="00453D59"/>
    <w:rsid w:val="00487CF3"/>
    <w:rsid w:val="005222F9"/>
    <w:rsid w:val="005932B9"/>
    <w:rsid w:val="005D1FAB"/>
    <w:rsid w:val="005E247E"/>
    <w:rsid w:val="00642BC8"/>
    <w:rsid w:val="006D4E72"/>
    <w:rsid w:val="00714735"/>
    <w:rsid w:val="0078125F"/>
    <w:rsid w:val="007C7CEA"/>
    <w:rsid w:val="008075FC"/>
    <w:rsid w:val="008802E4"/>
    <w:rsid w:val="008B2F72"/>
    <w:rsid w:val="008D4A7C"/>
    <w:rsid w:val="008F05EB"/>
    <w:rsid w:val="00927F67"/>
    <w:rsid w:val="00964AB3"/>
    <w:rsid w:val="00972C28"/>
    <w:rsid w:val="009B058A"/>
    <w:rsid w:val="009B28B0"/>
    <w:rsid w:val="009C6598"/>
    <w:rsid w:val="009D1D1E"/>
    <w:rsid w:val="00A035FD"/>
    <w:rsid w:val="00A36394"/>
    <w:rsid w:val="00A65152"/>
    <w:rsid w:val="00A8688C"/>
    <w:rsid w:val="00AA6F9C"/>
    <w:rsid w:val="00AE7247"/>
    <w:rsid w:val="00B77CD5"/>
    <w:rsid w:val="00BD7E0A"/>
    <w:rsid w:val="00BE131D"/>
    <w:rsid w:val="00C1175C"/>
    <w:rsid w:val="00C351EE"/>
    <w:rsid w:val="00C37ABF"/>
    <w:rsid w:val="00C52637"/>
    <w:rsid w:val="00CC11D7"/>
    <w:rsid w:val="00CF597E"/>
    <w:rsid w:val="00E007CD"/>
    <w:rsid w:val="00E10F86"/>
    <w:rsid w:val="00E35DE6"/>
    <w:rsid w:val="00EB1EF7"/>
    <w:rsid w:val="00EE325F"/>
    <w:rsid w:val="00F062D2"/>
    <w:rsid w:val="00F75884"/>
    <w:rsid w:val="00F969DA"/>
    <w:rsid w:val="00FA5B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docId w15:val="{0223CBC3-1477-4BC8-8416-C7F367B7B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ListParagraph">
    <w:name w:val="List Paragraph"/>
    <w:basedOn w:val="Normal"/>
    <w:uiPriority w:val="34"/>
    <w:qFormat/>
    <w:rsid w:val="00F75884"/>
    <w:pPr>
      <w:ind w:left="720"/>
      <w:contextualSpacing/>
    </w:pPr>
  </w:style>
  <w:style w:type="paragraph" w:styleId="Header">
    <w:name w:val="header"/>
    <w:basedOn w:val="Normal"/>
    <w:link w:val="HeaderChar"/>
    <w:uiPriority w:val="99"/>
    <w:unhideWhenUsed/>
    <w:rsid w:val="001C2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725"/>
  </w:style>
  <w:style w:type="paragraph" w:styleId="Footer">
    <w:name w:val="footer"/>
    <w:basedOn w:val="Normal"/>
    <w:link w:val="FooterChar"/>
    <w:uiPriority w:val="99"/>
    <w:unhideWhenUsed/>
    <w:rsid w:val="001C2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725"/>
  </w:style>
  <w:style w:type="character" w:styleId="Hyperlink">
    <w:name w:val="Hyperlink"/>
    <w:basedOn w:val="DefaultParagraphFont"/>
    <w:uiPriority w:val="99"/>
    <w:unhideWhenUsed/>
    <w:rsid w:val="00EB1EF7"/>
    <w:rPr>
      <w:color w:val="0563C1" w:themeColor="hyperlink"/>
      <w:u w:val="single"/>
    </w:rPr>
  </w:style>
  <w:style w:type="character" w:styleId="UnresolvedMention">
    <w:name w:val="Unresolved Mention"/>
    <w:basedOn w:val="DefaultParagraphFont"/>
    <w:uiPriority w:val="99"/>
    <w:semiHidden/>
    <w:unhideWhenUsed/>
    <w:rsid w:val="00EB1E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 TargetMode="External"/><Relationship Id="rId4" Type="http://schemas.openxmlformats.org/officeDocument/2006/relationships/webSettings" Target="webSettings.xml"/><Relationship Id="rId9" Type="http://schemas.openxmlformats.org/officeDocument/2006/relationships/hyperlink" Target="https://www.newworldencyclopedia.org/p/index.php?title=Encyclopedia&amp;oldid=10643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1445</Words>
  <Characters>8240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Esther Gomugor (2022275)</cp:lastModifiedBy>
  <cp:revision>2</cp:revision>
  <dcterms:created xsi:type="dcterms:W3CDTF">2023-09-15T13:20:00Z</dcterms:created>
  <dcterms:modified xsi:type="dcterms:W3CDTF">2023-09-15T13:20:00Z</dcterms:modified>
</cp:coreProperties>
</file>