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extract is about Encolpius at the dinner of Trimalchio, </w:t>
      </w:r>
      <w:r w:rsidDel="00000000" w:rsidR="00000000" w:rsidRPr="00000000">
        <w:rPr>
          <w:i w:val="1"/>
          <w:color w:val="333333"/>
          <w:sz w:val="24"/>
          <w:szCs w:val="24"/>
          <w:highlight w:val="white"/>
          <w:rtl w:val="0"/>
        </w:rPr>
        <w:t xml:space="preserve">Cena Trimalchio</w:t>
      </w:r>
      <w:r w:rsidDel="00000000" w:rsidR="00000000" w:rsidRPr="00000000">
        <w:rPr>
          <w:color w:val="333333"/>
          <w:sz w:val="24"/>
          <w:szCs w:val="24"/>
          <w:highlight w:val="white"/>
          <w:rtl w:val="0"/>
        </w:rPr>
        <w:t xml:space="preserve">, which describes Encolpius experience, after rescuing one of the slaves. As Beck suggests, the main literary style Petronius uses in this section of the text 30-31 is realism. There is not much room for exaggeration. Beck argues that this is because there is no need to due to the fact that the mere realistic description of the fanfare dinner would be shocking entertainment already (Beck,1985, 45).</w:t>
      </w:r>
    </w:p>
    <w:p w:rsidR="00000000" w:rsidDel="00000000" w:rsidP="00000000" w:rsidRDefault="00000000" w:rsidRPr="00000000" w14:paraId="00000002">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main debate about the whole text by Petronius is how far the text should be taken as realism  which can be accurately used for social and economic historians, or as satire, for reading entertainment purposes.</w:t>
      </w:r>
    </w:p>
    <w:p w:rsidR="00000000" w:rsidDel="00000000" w:rsidP="00000000" w:rsidRDefault="00000000" w:rsidRPr="00000000" w14:paraId="00000003">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context of the poem follows Encolpius' adventure with his friend, as he ends up meeting Trimalchio. Before entering the dining hall, they had just played games, and taken a sauna as part of preparation, now they are waiting for the host to arrive. They’re served all kinds of foods, while waiting for Trimalchio who is going to appear and be carried into the banquet in an extravagant fashion. </w:t>
      </w:r>
    </w:p>
    <w:p w:rsidR="00000000" w:rsidDel="00000000" w:rsidP="00000000" w:rsidRDefault="00000000" w:rsidRPr="00000000" w14:paraId="00000004">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Petronius uses Encolpius as the first-person narrator of the story (Beck, 1975, 271), yet, he is also the main character within the story. Beck insists that there is a significant difference between the Encolpius narrating the text and the Encolpius experiencing the events in the past, who he describes as naive and chaotic (Beck, 1975, 271). </w:t>
      </w:r>
    </w:p>
    <w:p w:rsidR="00000000" w:rsidDel="00000000" w:rsidP="00000000" w:rsidRDefault="00000000" w:rsidRPr="00000000" w14:paraId="00000005">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Beck also suggests at the beginning of the banquet Encolpius and his friends are filled with wonder at the spectacle around them, for example, the slaves that sang while they were working, </w:t>
      </w:r>
      <w:r w:rsidDel="00000000" w:rsidR="00000000" w:rsidRPr="00000000">
        <w:rPr>
          <w:i w:val="1"/>
          <w:color w:val="333333"/>
          <w:sz w:val="24"/>
          <w:szCs w:val="24"/>
          <w:highlight w:val="white"/>
          <w:rtl w:val="0"/>
        </w:rPr>
        <w:t xml:space="preserve">sed obiter cantabant,(31.4) </w:t>
      </w:r>
      <w:r w:rsidDel="00000000" w:rsidR="00000000" w:rsidRPr="00000000">
        <w:rPr>
          <w:color w:val="333333"/>
          <w:sz w:val="24"/>
          <w:szCs w:val="24"/>
          <w:highlight w:val="white"/>
          <w:rtl w:val="0"/>
        </w:rPr>
        <w:t xml:space="preserve">and the detail which he uses to describe the array of dishes presented to him </w:t>
      </w:r>
      <w:r w:rsidDel="00000000" w:rsidR="00000000" w:rsidRPr="00000000">
        <w:rPr>
          <w:i w:val="1"/>
          <w:color w:val="333333"/>
          <w:sz w:val="24"/>
          <w:szCs w:val="24"/>
          <w:highlight w:val="white"/>
          <w:rtl w:val="0"/>
        </w:rPr>
        <w:t xml:space="preserve">allata est tamen gustatio valde lauta. (31.8).</w:t>
      </w:r>
      <w:r w:rsidDel="00000000" w:rsidR="00000000" w:rsidRPr="00000000">
        <w:rPr>
          <w:color w:val="333333"/>
          <w:sz w:val="24"/>
          <w:szCs w:val="24"/>
          <w:highlight w:val="white"/>
          <w:rtl w:val="0"/>
        </w:rPr>
        <w:t xml:space="preserve"> Beck argues that the initial awe and interest that Encolpius had for Trimalcho’s display of wealth gradually turned into disgust, signifying the   contemporary views of wealthy freedmen at the time (Beck, 1975, 280). It is suggested that the wealth of freedmen in general at the time was seen as vulgar, and that himself and others at the Cena had a mocking view of the host (Beck, 1975, 280). One could argue that the distaste for the wealth of Trimalchio begins right at the beginning with the description of his entry.</w:t>
      </w:r>
    </w:p>
    <w:p w:rsidR="00000000" w:rsidDel="00000000" w:rsidP="00000000" w:rsidRDefault="00000000" w:rsidRPr="00000000" w14:paraId="00000006">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Through Encolpius narration, we get a very descriptive episode of the </w:t>
      </w:r>
      <w:r w:rsidDel="00000000" w:rsidR="00000000" w:rsidRPr="00000000">
        <w:rPr>
          <w:i w:val="1"/>
          <w:color w:val="333333"/>
          <w:sz w:val="24"/>
          <w:szCs w:val="24"/>
          <w:highlight w:val="white"/>
          <w:rtl w:val="0"/>
        </w:rPr>
        <w:t xml:space="preserve">Cena,</w:t>
      </w:r>
      <w:r w:rsidDel="00000000" w:rsidR="00000000" w:rsidRPr="00000000">
        <w:rPr>
          <w:color w:val="333333"/>
          <w:sz w:val="24"/>
          <w:szCs w:val="24"/>
          <w:highlight w:val="white"/>
          <w:rtl w:val="0"/>
        </w:rPr>
        <w:t xml:space="preserve"> the hors d’oeuvre came out first, followed by the bronze donkey with black and white olives, then dormice dipped in honey with poppy seeds, followed by sausages with thyme and then damsons with pomegranate seeds (Schmeling, 2020, 120). And last but not least, Trimalchio was also carried in last just like the dishes before him. The display of the donkey, brought in with all the surrounding and extra paraphernalia, could be compared to Trimalchio carried in with all of his. This time, instead of delicacies and food it was pillows, a scarlet cloak, a napkin, an enormous ring, a golden bracelet and ivory bangle. The juxtaposition of having these events mirroring each other, which is also reflected in the Latin text, represents the distasteful opinion that traditional Romans had for the freedmen with extravagant riches. It is clear that Encolpius as a narrator is suggesting that Trimalchio is of a lower class, by comparing him to the donkey. </w:t>
      </w:r>
    </w:p>
    <w:p w:rsidR="00000000" w:rsidDel="00000000" w:rsidP="00000000" w:rsidRDefault="00000000" w:rsidRPr="00000000" w14:paraId="00000007">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This is also emphasised and mirrored in the order of the Latin words in the text, where Encolpius states ‘in the midst of all these delicacies, Trimalchio himself…’. </w:t>
      </w:r>
      <w:r w:rsidDel="00000000" w:rsidR="00000000" w:rsidRPr="00000000">
        <w:rPr>
          <w:i w:val="1"/>
          <w:color w:val="333333"/>
          <w:sz w:val="24"/>
          <w:szCs w:val="24"/>
          <w:highlight w:val="white"/>
          <w:rtl w:val="0"/>
        </w:rPr>
        <w:t xml:space="preserve">in his eramus lautitiis, cum ipse Trimalchio. </w:t>
      </w:r>
      <w:r w:rsidDel="00000000" w:rsidR="00000000" w:rsidRPr="00000000">
        <w:rPr>
          <w:color w:val="333333"/>
          <w:sz w:val="24"/>
          <w:szCs w:val="24"/>
          <w:highlight w:val="white"/>
          <w:rtl w:val="0"/>
        </w:rPr>
        <w:t xml:space="preserve">Beginning the sentence in this word order could highlight how Trimalchio is directly linked, spatially and metaphorically to the food all around them. The narrator is trying to portray the host himself as unwittingly entertainment for the evening. The comedic sight is emphasised with the final word in the sentence, </w:t>
      </w:r>
      <w:r w:rsidDel="00000000" w:rsidR="00000000" w:rsidRPr="00000000">
        <w:rPr>
          <w:i w:val="1"/>
          <w:color w:val="333333"/>
          <w:sz w:val="24"/>
          <w:szCs w:val="24"/>
          <w:highlight w:val="white"/>
          <w:rtl w:val="0"/>
        </w:rPr>
        <w:t xml:space="preserve">risum</w:t>
      </w:r>
      <w:r w:rsidDel="00000000" w:rsidR="00000000" w:rsidRPr="00000000">
        <w:rPr>
          <w:color w:val="333333"/>
          <w:sz w:val="24"/>
          <w:szCs w:val="24"/>
          <w:highlight w:val="white"/>
          <w:rtl w:val="0"/>
        </w:rPr>
        <w:t xml:space="preserve"> (laughter/ridicule). This sets the tone for the rest of the evening, which Beck suggests descends into disgust as time wears on, ‘the whole thing was absolutely sickening,’(Schmeling, Petronius, 231).  </w:t>
      </w:r>
    </w:p>
    <w:p w:rsidR="00000000" w:rsidDel="00000000" w:rsidP="00000000" w:rsidRDefault="00000000" w:rsidRPr="00000000" w14:paraId="00000008">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end of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mirrors the beginning of the </w:t>
      </w:r>
      <w:r w:rsidDel="00000000" w:rsidR="00000000" w:rsidRPr="00000000">
        <w:rPr>
          <w:i w:val="1"/>
          <w:color w:val="333333"/>
          <w:sz w:val="24"/>
          <w:szCs w:val="24"/>
          <w:highlight w:val="white"/>
          <w:rtl w:val="0"/>
        </w:rPr>
        <w:t xml:space="preserve">Cena - </w:t>
      </w:r>
      <w:r w:rsidDel="00000000" w:rsidR="00000000" w:rsidRPr="00000000">
        <w:rPr>
          <w:color w:val="333333"/>
          <w:sz w:val="24"/>
          <w:szCs w:val="24"/>
          <w:highlight w:val="white"/>
          <w:rtl w:val="0"/>
        </w:rPr>
        <w:t xml:space="preserve">Trimalchio is again propped up on those same sofas, at first it was comedic, and now it’s nauseating and sickening ‘</w:t>
      </w:r>
      <w:r w:rsidDel="00000000" w:rsidR="00000000" w:rsidRPr="00000000">
        <w:rPr>
          <w:i w:val="1"/>
          <w:color w:val="333333"/>
          <w:sz w:val="24"/>
          <w:szCs w:val="24"/>
          <w:highlight w:val="white"/>
          <w:rtl w:val="0"/>
        </w:rPr>
        <w:t xml:space="preserve">fingite me” inquit “mortuum esse</w:t>
      </w:r>
      <w:r w:rsidDel="00000000" w:rsidR="00000000" w:rsidRPr="00000000">
        <w:rPr>
          <w:color w:val="333333"/>
          <w:sz w:val="24"/>
          <w:szCs w:val="24"/>
          <w:highlight w:val="white"/>
          <w:rtl w:val="0"/>
        </w:rPr>
        <w:t xml:space="preserve">’. </w:t>
      </w:r>
    </w:p>
    <w:p w:rsidR="00000000" w:rsidDel="00000000" w:rsidP="00000000" w:rsidRDefault="00000000" w:rsidRPr="00000000" w14:paraId="00000009">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The comparison of Trimalchio to food is even portrayed himself, as he asks them to bring in wine to bathe his bones, </w:t>
      </w:r>
      <w:r w:rsidDel="00000000" w:rsidR="00000000" w:rsidRPr="00000000">
        <w:rPr>
          <w:i w:val="1"/>
          <w:color w:val="333333"/>
          <w:sz w:val="24"/>
          <w:szCs w:val="24"/>
          <w:highlight w:val="white"/>
          <w:rtl w:val="0"/>
        </w:rPr>
        <w:t xml:space="preserve">ex illa amphora gustum, ex qua iubeo lavari ossa mea</w:t>
      </w:r>
      <w:r w:rsidDel="00000000" w:rsidR="00000000" w:rsidRPr="00000000">
        <w:rPr>
          <w:color w:val="333333"/>
          <w:sz w:val="24"/>
          <w:szCs w:val="24"/>
          <w:highlight w:val="white"/>
          <w:rtl w:val="0"/>
        </w:rPr>
        <w:t xml:space="preserve"> (77.7). Clearly, Petronius wrote this character in such a way to mock his class of freedmen. </w:t>
      </w:r>
    </w:p>
    <w:p w:rsidR="00000000" w:rsidDel="00000000" w:rsidP="00000000" w:rsidRDefault="00000000" w:rsidRPr="00000000" w14:paraId="0000000A">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Through Encolpius' eyes we also gain the perspective that although Trimalchio is extremely wealthy, he does not consider presentation and responsibility as a host. The first indication of his clumsiness is his lateness to the </w:t>
      </w:r>
      <w:r w:rsidDel="00000000" w:rsidR="00000000" w:rsidRPr="00000000">
        <w:rPr>
          <w:i w:val="1"/>
          <w:color w:val="333333"/>
          <w:sz w:val="24"/>
          <w:szCs w:val="24"/>
          <w:highlight w:val="white"/>
          <w:rtl w:val="0"/>
        </w:rPr>
        <w:t xml:space="preserve">Cena</w:t>
      </w:r>
      <w:r w:rsidDel="00000000" w:rsidR="00000000" w:rsidRPr="00000000">
        <w:rPr>
          <w:color w:val="333333"/>
          <w:sz w:val="24"/>
          <w:szCs w:val="24"/>
          <w:highlight w:val="white"/>
          <w:rtl w:val="0"/>
        </w:rPr>
        <w:t xml:space="preserve">, he was busy playing games, while his guests were waiting ‘</w:t>
      </w:r>
      <w:r w:rsidDel="00000000" w:rsidR="00000000" w:rsidRPr="00000000">
        <w:rPr>
          <w:i w:val="1"/>
          <w:color w:val="333333"/>
          <w:sz w:val="24"/>
          <w:szCs w:val="24"/>
          <w:highlight w:val="white"/>
          <w:rtl w:val="0"/>
        </w:rPr>
        <w:t xml:space="preserve">permittitis tamen finiri lusum’ </w:t>
      </w:r>
      <w:r w:rsidDel="00000000" w:rsidR="00000000" w:rsidRPr="00000000">
        <w:rPr>
          <w:color w:val="333333"/>
          <w:sz w:val="24"/>
          <w:szCs w:val="24"/>
          <w:highlight w:val="white"/>
          <w:rtl w:val="0"/>
        </w:rPr>
        <w:t xml:space="preserve">(33.2). This can signify a lack of concern for others. The second time he displays clumsiness was his entry into the </w:t>
      </w:r>
      <w:r w:rsidDel="00000000" w:rsidR="00000000" w:rsidRPr="00000000">
        <w:rPr>
          <w:i w:val="1"/>
          <w:color w:val="333333"/>
          <w:sz w:val="24"/>
          <w:szCs w:val="24"/>
          <w:highlight w:val="white"/>
          <w:rtl w:val="0"/>
        </w:rPr>
        <w:t xml:space="preserve">Cena</w:t>
      </w:r>
      <w:r w:rsidDel="00000000" w:rsidR="00000000" w:rsidRPr="00000000">
        <w:rPr>
          <w:color w:val="333333"/>
          <w:sz w:val="24"/>
          <w:szCs w:val="24"/>
          <w:highlight w:val="white"/>
          <w:rtl w:val="0"/>
        </w:rPr>
        <w:t xml:space="preserve">, it sounds like a mess with pillows all about him, and his clothes sound ill-fitting </w:t>
      </w:r>
      <w:r w:rsidDel="00000000" w:rsidR="00000000" w:rsidRPr="00000000">
        <w:rPr>
          <w:i w:val="1"/>
          <w:color w:val="333333"/>
          <w:sz w:val="24"/>
          <w:szCs w:val="24"/>
          <w:highlight w:val="white"/>
          <w:rtl w:val="0"/>
        </w:rPr>
        <w:t xml:space="preserve">exeruerat caput circaque oneratas veste</w:t>
      </w:r>
      <w:r w:rsidDel="00000000" w:rsidR="00000000" w:rsidRPr="00000000">
        <w:rPr>
          <w:color w:val="333333"/>
          <w:sz w:val="24"/>
          <w:szCs w:val="24"/>
          <w:highlight w:val="white"/>
          <w:rtl w:val="0"/>
        </w:rPr>
        <w:t xml:space="preserve"> (32.2). Next is his responsibility, he is drunk and wasting expensive wines and oils at the </w:t>
      </w:r>
      <w:r w:rsidDel="00000000" w:rsidR="00000000" w:rsidRPr="00000000">
        <w:rPr>
          <w:i w:val="1"/>
          <w:color w:val="333333"/>
          <w:sz w:val="24"/>
          <w:szCs w:val="24"/>
          <w:highlight w:val="white"/>
          <w:rtl w:val="0"/>
        </w:rPr>
        <w:t xml:space="preserve">Cena </w:t>
      </w:r>
      <w:r w:rsidDel="00000000" w:rsidR="00000000" w:rsidRPr="00000000">
        <w:rPr>
          <w:color w:val="333333"/>
          <w:sz w:val="24"/>
          <w:szCs w:val="24"/>
          <w:highlight w:val="white"/>
          <w:rtl w:val="0"/>
        </w:rPr>
        <w:t xml:space="preserve">meant to be preserved for his burial </w:t>
      </w:r>
      <w:r w:rsidDel="00000000" w:rsidR="00000000" w:rsidRPr="00000000">
        <w:rPr>
          <w:i w:val="1"/>
          <w:color w:val="333333"/>
          <w:sz w:val="24"/>
          <w:szCs w:val="24"/>
          <w:highlight w:val="white"/>
          <w:rtl w:val="0"/>
        </w:rPr>
        <w:t xml:space="preserve">ebrietate turpissima gravis</w:t>
      </w:r>
      <w:r w:rsidDel="00000000" w:rsidR="00000000" w:rsidRPr="00000000">
        <w:rPr>
          <w:color w:val="333333"/>
          <w:sz w:val="24"/>
          <w:szCs w:val="24"/>
          <w:highlight w:val="white"/>
          <w:rtl w:val="0"/>
        </w:rPr>
        <w:t xml:space="preserve"> (78.5). This all indicates that this level of wealth is almost irresponsible and brings out the worst in people. We know from the private conversation with Encolpius, that it is his wife who takes charge of everything, she knows where everything belongs and keeps track of all the money </w:t>
      </w:r>
      <w:r w:rsidDel="00000000" w:rsidR="00000000" w:rsidRPr="00000000">
        <w:rPr>
          <w:i w:val="1"/>
          <w:color w:val="333333"/>
          <w:sz w:val="24"/>
          <w:szCs w:val="24"/>
          <w:highlight w:val="white"/>
          <w:rtl w:val="0"/>
        </w:rPr>
        <w:t xml:space="preserve">quae nummos modio metitur (37.3).</w:t>
      </w:r>
      <w:r w:rsidDel="00000000" w:rsidR="00000000" w:rsidRPr="00000000">
        <w:rPr>
          <w:color w:val="333333"/>
          <w:sz w:val="24"/>
          <w:szCs w:val="24"/>
          <w:highlight w:val="white"/>
          <w:rtl w:val="0"/>
        </w:rPr>
        <w:t xml:space="preserve"> This could contribute to the fact that he no longer takes much responsibility for his behaviour. </w:t>
      </w:r>
    </w:p>
    <w:p w:rsidR="00000000" w:rsidDel="00000000" w:rsidP="00000000" w:rsidRDefault="00000000" w:rsidRPr="00000000" w14:paraId="0000000B">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Horsfall also suggests Petronius readers are ‘cultivated’ (Horsfall, 74, 1989) and therefore they find amusement in the lifestyle and status of the freedman. He supports Beck’s argument that the freedmen were seen as ‘self-made, ignorant, rich, vulgar’ (Horsfall, 74, 1989). Bodel also points out that the cultivated readers Petronius is writing for the ‘traditional Roman Aristocrats’ (Horsfall, 75, 1989). The foreign characters such as Trimalchio are specifically designed to ‘rouse the reader’s disdain,’ (Horsefall, 75, 1989.) </w:t>
      </w:r>
    </w:p>
    <w:p w:rsidR="00000000" w:rsidDel="00000000" w:rsidP="00000000" w:rsidRDefault="00000000" w:rsidRPr="00000000" w14:paraId="0000000C">
      <w:pPr>
        <w:spacing w:line="480" w:lineRule="auto"/>
        <w:jc w:val="both"/>
        <w:rPr>
          <w:color w:val="333333"/>
          <w:sz w:val="24"/>
          <w:szCs w:val="24"/>
          <w:highlight w:val="white"/>
        </w:rPr>
      </w:pPr>
      <w:r w:rsidDel="00000000" w:rsidR="00000000" w:rsidRPr="00000000">
        <w:rPr>
          <w:color w:val="333333"/>
          <w:sz w:val="24"/>
          <w:szCs w:val="24"/>
          <w:highlight w:val="white"/>
          <w:rtl w:val="0"/>
        </w:rPr>
        <w:t xml:space="preserve">Horsfall suggests that for the impact of story-telling, Petronius keeps the events within realistic construction, none of the events at </w:t>
      </w:r>
      <w:r w:rsidDel="00000000" w:rsidR="00000000" w:rsidRPr="00000000">
        <w:rPr>
          <w:i w:val="1"/>
          <w:color w:val="333333"/>
          <w:sz w:val="24"/>
          <w:szCs w:val="24"/>
          <w:highlight w:val="white"/>
          <w:rtl w:val="0"/>
        </w:rPr>
        <w:t xml:space="preserve">Cena Trimalchio</w:t>
      </w:r>
      <w:r w:rsidDel="00000000" w:rsidR="00000000" w:rsidRPr="00000000">
        <w:rPr>
          <w:color w:val="333333"/>
          <w:sz w:val="24"/>
          <w:szCs w:val="24"/>
          <w:highlight w:val="white"/>
          <w:rtl w:val="0"/>
        </w:rPr>
        <w:t xml:space="preserve"> is drastically exaggerated, this includes the food, the games and the characters themselves (Horsfall, 76, 1989). There is a debate whether the text could be used as a reference for social history, however, Horsfall reminds us that it was written primarily for entertainment, Petronius did not intend to write a ‘demographic survey … or sociology,’ (Horsfall, 75, 1989). Therefore historians should be careful when using the text for any kind of historical evidence.</w:t>
      </w:r>
    </w:p>
    <w:p w:rsidR="00000000" w:rsidDel="00000000" w:rsidP="00000000" w:rsidRDefault="00000000" w:rsidRPr="00000000" w14:paraId="0000000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0E">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0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0">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1">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2">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3">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4">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5">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6">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7">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8">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9">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A">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B">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C">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E">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1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0">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1">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2">
      <w:pPr>
        <w:jc w:val="both"/>
        <w:rPr>
          <w:color w:val="333333"/>
          <w:sz w:val="24"/>
          <w:szCs w:val="24"/>
          <w:highlight w:val="white"/>
        </w:rPr>
      </w:pPr>
      <w:r w:rsidDel="00000000" w:rsidR="00000000" w:rsidRPr="00000000">
        <w:rPr>
          <w:color w:val="333333"/>
          <w:sz w:val="24"/>
          <w:szCs w:val="24"/>
          <w:highlight w:val="white"/>
          <w:rtl w:val="0"/>
        </w:rPr>
        <w:t xml:space="preserve">Primary Source</w:t>
      </w:r>
    </w:p>
    <w:p w:rsidR="00000000" w:rsidDel="00000000" w:rsidP="00000000" w:rsidRDefault="00000000" w:rsidRPr="00000000" w14:paraId="00000023">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4">
      <w:pPr>
        <w:jc w:val="both"/>
        <w:rPr>
          <w:color w:val="333333"/>
          <w:sz w:val="24"/>
          <w:szCs w:val="24"/>
          <w:highlight w:val="white"/>
        </w:rPr>
      </w:pPr>
      <w:r w:rsidDel="00000000" w:rsidR="00000000" w:rsidRPr="00000000">
        <w:rPr>
          <w:color w:val="333333"/>
          <w:sz w:val="24"/>
          <w:szCs w:val="24"/>
          <w:highlight w:val="white"/>
          <w:rtl w:val="0"/>
        </w:rPr>
        <w:t xml:space="preserve">Schmeling, G. (2020) Patronius Satyricon. London: Harvard University Press. </w:t>
      </w:r>
    </w:p>
    <w:p w:rsidR="00000000" w:rsidDel="00000000" w:rsidP="00000000" w:rsidRDefault="00000000" w:rsidRPr="00000000" w14:paraId="00000025">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6">
      <w:pPr>
        <w:jc w:val="both"/>
        <w:rPr>
          <w:color w:val="333333"/>
          <w:sz w:val="24"/>
          <w:szCs w:val="24"/>
          <w:highlight w:val="white"/>
        </w:rPr>
      </w:pPr>
      <w:r w:rsidDel="00000000" w:rsidR="00000000" w:rsidRPr="00000000">
        <w:rPr>
          <w:color w:val="333333"/>
          <w:sz w:val="24"/>
          <w:szCs w:val="24"/>
          <w:highlight w:val="white"/>
          <w:rtl w:val="0"/>
        </w:rPr>
        <w:t xml:space="preserve">Secondary Source </w:t>
      </w:r>
    </w:p>
    <w:p w:rsidR="00000000" w:rsidDel="00000000" w:rsidP="00000000" w:rsidRDefault="00000000" w:rsidRPr="00000000" w14:paraId="00000027">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8">
      <w:pPr>
        <w:jc w:val="both"/>
        <w:rPr>
          <w:color w:val="333333"/>
          <w:sz w:val="24"/>
          <w:szCs w:val="24"/>
          <w:highlight w:val="white"/>
        </w:rPr>
      </w:pPr>
      <w:r w:rsidDel="00000000" w:rsidR="00000000" w:rsidRPr="00000000">
        <w:rPr>
          <w:color w:val="333333"/>
          <w:sz w:val="24"/>
          <w:szCs w:val="24"/>
          <w:highlight w:val="white"/>
          <w:rtl w:val="0"/>
        </w:rPr>
        <w:t xml:space="preserve">Beck, R. (1973) ‘Some Observations on the Narrative Technique of Petronius,’ Phoenix, 27(1) pp. 42-6. </w:t>
      </w:r>
    </w:p>
    <w:p w:rsidR="00000000" w:rsidDel="00000000" w:rsidP="00000000" w:rsidRDefault="00000000" w:rsidRPr="00000000" w14:paraId="00000029">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A">
      <w:pPr>
        <w:jc w:val="both"/>
        <w:rPr>
          <w:color w:val="333333"/>
          <w:sz w:val="24"/>
          <w:szCs w:val="24"/>
          <w:highlight w:val="white"/>
        </w:rPr>
      </w:pPr>
      <w:r w:rsidDel="00000000" w:rsidR="00000000" w:rsidRPr="00000000">
        <w:rPr>
          <w:color w:val="333333"/>
          <w:sz w:val="24"/>
          <w:szCs w:val="24"/>
          <w:highlight w:val="white"/>
          <w:rtl w:val="0"/>
        </w:rPr>
        <w:t xml:space="preserve">Beck, R. (1975) ‘Encolpius at the "Cena"’, Phoenix, 29(3) pp. 271-283. </w:t>
      </w:r>
    </w:p>
    <w:p w:rsidR="00000000" w:rsidDel="00000000" w:rsidP="00000000" w:rsidRDefault="00000000" w:rsidRPr="00000000" w14:paraId="0000002B">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C">
      <w:pPr>
        <w:jc w:val="both"/>
        <w:rPr>
          <w:color w:val="333333"/>
          <w:sz w:val="24"/>
          <w:szCs w:val="24"/>
          <w:highlight w:val="white"/>
        </w:rPr>
      </w:pPr>
      <w:r w:rsidDel="00000000" w:rsidR="00000000" w:rsidRPr="00000000">
        <w:rPr>
          <w:color w:val="333333"/>
          <w:sz w:val="24"/>
          <w:szCs w:val="24"/>
          <w:highlight w:val="white"/>
          <w:rtl w:val="0"/>
        </w:rPr>
        <w:t xml:space="preserve">Bowie,  E. L. and Harrison, S. J., (1993) ‘The Romance of the Novel’, The Journal of Roman Studies, 83, pp. 159-178. </w:t>
      </w:r>
    </w:p>
    <w:p w:rsidR="00000000" w:rsidDel="00000000" w:rsidP="00000000" w:rsidRDefault="00000000" w:rsidRPr="00000000" w14:paraId="0000002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2E">
      <w:pPr>
        <w:jc w:val="both"/>
        <w:rPr>
          <w:color w:val="333333"/>
          <w:sz w:val="24"/>
          <w:szCs w:val="24"/>
          <w:highlight w:val="white"/>
        </w:rPr>
      </w:pPr>
      <w:r w:rsidDel="00000000" w:rsidR="00000000" w:rsidRPr="00000000">
        <w:rPr>
          <w:color w:val="333333"/>
          <w:sz w:val="24"/>
          <w:szCs w:val="24"/>
          <w:highlight w:val="white"/>
          <w:rtl w:val="0"/>
        </w:rPr>
        <w:t xml:space="preserve">Holoka, J. P, (1998) ‘Review of Theatrum Arbitri: Theatrical Elements in the "Satyrica" of Petronius by Costas Panayotakis,’ The Classical World, 92(1), pp. 64. </w:t>
      </w:r>
    </w:p>
    <w:p w:rsidR="00000000" w:rsidDel="00000000" w:rsidP="00000000" w:rsidRDefault="00000000" w:rsidRPr="00000000" w14:paraId="0000002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0">
      <w:pPr>
        <w:jc w:val="both"/>
        <w:rPr>
          <w:color w:val="333333"/>
          <w:sz w:val="24"/>
          <w:szCs w:val="24"/>
          <w:highlight w:val="white"/>
        </w:rPr>
      </w:pPr>
      <w:r w:rsidDel="00000000" w:rsidR="00000000" w:rsidRPr="00000000">
        <w:rPr>
          <w:color w:val="333333"/>
          <w:sz w:val="24"/>
          <w:szCs w:val="24"/>
          <w:highlight w:val="white"/>
          <w:rtl w:val="0"/>
        </w:rPr>
        <w:t xml:space="preserve">Horsfall, N. (1989) 'The Uses of Literacy' and the 'Cena Trimalchionis': I’, Greece &amp; Rome 36(1) pp. 74-89.  </w:t>
      </w:r>
    </w:p>
    <w:p w:rsidR="00000000" w:rsidDel="00000000" w:rsidP="00000000" w:rsidRDefault="00000000" w:rsidRPr="00000000" w14:paraId="00000031">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2">
      <w:pPr>
        <w:jc w:val="both"/>
        <w:rPr>
          <w:color w:val="333333"/>
          <w:sz w:val="24"/>
          <w:szCs w:val="24"/>
          <w:highlight w:val="white"/>
        </w:rPr>
      </w:pPr>
      <w:r w:rsidDel="00000000" w:rsidR="00000000" w:rsidRPr="00000000">
        <w:rPr>
          <w:color w:val="333333"/>
          <w:sz w:val="24"/>
          <w:szCs w:val="24"/>
          <w:highlight w:val="white"/>
          <w:rtl w:val="0"/>
        </w:rPr>
        <w:t xml:space="preserve">Laird, A. (1998)  ‘The Hidden Author: An Interpretation of Petronius' Satyricon by G. B. Conte and E. Fantham’, The Journal of Roman Studies, 88, pp. 198-199. </w:t>
      </w:r>
    </w:p>
    <w:p w:rsidR="00000000" w:rsidDel="00000000" w:rsidP="00000000" w:rsidRDefault="00000000" w:rsidRPr="00000000" w14:paraId="00000033">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4">
      <w:pPr>
        <w:jc w:val="both"/>
        <w:rPr>
          <w:color w:val="333333"/>
          <w:sz w:val="24"/>
          <w:szCs w:val="24"/>
          <w:highlight w:val="white"/>
        </w:rPr>
      </w:pPr>
      <w:r w:rsidDel="00000000" w:rsidR="00000000" w:rsidRPr="00000000">
        <w:rPr>
          <w:color w:val="333333"/>
          <w:sz w:val="24"/>
          <w:szCs w:val="24"/>
          <w:highlight w:val="white"/>
          <w:rtl w:val="0"/>
        </w:rPr>
        <w:t xml:space="preserve">Swain, S. (1998) ‘Review of: The Novel in the Ancient World by G. Schmeling’, The Classical Review, 48(2), pp. 339-340. </w:t>
      </w:r>
    </w:p>
    <w:p w:rsidR="00000000" w:rsidDel="00000000" w:rsidP="00000000" w:rsidRDefault="00000000" w:rsidRPr="00000000" w14:paraId="00000035">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6">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7">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8">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9">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A">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B">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C">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D">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E">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3F">
      <w:pPr>
        <w:jc w:val="both"/>
        <w:rPr>
          <w:color w:val="333333"/>
          <w:sz w:val="24"/>
          <w:szCs w:val="24"/>
          <w:highlight w:val="white"/>
        </w:rPr>
      </w:pPr>
      <w:r w:rsidDel="00000000" w:rsidR="00000000" w:rsidRPr="00000000">
        <w:rPr>
          <w:rtl w:val="0"/>
        </w:rPr>
      </w:r>
    </w:p>
    <w:p w:rsidR="00000000" w:rsidDel="00000000" w:rsidP="00000000" w:rsidRDefault="00000000" w:rsidRPr="00000000" w14:paraId="00000040">
      <w:pPr>
        <w:jc w:val="both"/>
        <w:rPr>
          <w:color w:val="333333"/>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