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995F0A" w14:textId="653A5EBC" w:rsidR="00CE1559" w:rsidRPr="00AC57F4" w:rsidRDefault="00FC2B9B" w:rsidP="00423329">
      <w:pPr>
        <w:pStyle w:val="dx-doi"/>
        <w:spacing w:before="0" w:after="0"/>
        <w:rPr>
          <w:sz w:val="22"/>
          <w:szCs w:val="22"/>
        </w:rPr>
      </w:pPr>
      <w:r>
        <w:t xml:space="preserve"> </w:t>
      </w:r>
      <w:r w:rsidRPr="00AC57F4">
        <w:rPr>
          <w:sz w:val="22"/>
          <w:szCs w:val="22"/>
        </w:rPr>
        <w:br/>
        <w:t xml:space="preserve">                                                                       </w:t>
      </w:r>
      <w:r w:rsidRPr="001863E1">
        <w:rPr>
          <w:b/>
          <w:bCs/>
          <w:sz w:val="22"/>
          <w:szCs w:val="22"/>
        </w:rPr>
        <w:t>UNIVERSITY OF WALES TRINITY SAINT DAVID</w:t>
      </w:r>
      <w:r w:rsidRPr="001863E1">
        <w:rPr>
          <w:b/>
          <w:bCs/>
          <w:sz w:val="22"/>
          <w:szCs w:val="22"/>
        </w:rPr>
        <w:br/>
        <w:t xml:space="preserve">                                                                                  </w:t>
      </w:r>
      <w:r w:rsidR="00AC57F4" w:rsidRPr="001863E1">
        <w:rPr>
          <w:b/>
          <w:bCs/>
          <w:sz w:val="22"/>
          <w:szCs w:val="22"/>
        </w:rPr>
        <w:t xml:space="preserve"> </w:t>
      </w:r>
      <w:r w:rsidRPr="001863E1">
        <w:rPr>
          <w:b/>
          <w:bCs/>
          <w:sz w:val="22"/>
          <w:szCs w:val="22"/>
        </w:rPr>
        <w:t xml:space="preserve">  PIOTR FLORCZAK STUDENT NR. 1918113</w:t>
      </w:r>
      <w:r w:rsidRPr="00AC57F4">
        <w:rPr>
          <w:sz w:val="22"/>
          <w:szCs w:val="22"/>
        </w:rPr>
        <w:br/>
      </w:r>
      <w:r w:rsidRPr="00AC57F4">
        <w:rPr>
          <w:sz w:val="22"/>
          <w:szCs w:val="22"/>
        </w:rPr>
        <w:br/>
      </w:r>
      <w:r w:rsidRPr="00AC57F4">
        <w:rPr>
          <w:sz w:val="22"/>
          <w:szCs w:val="22"/>
        </w:rPr>
        <w:br/>
      </w:r>
      <w:r w:rsidRPr="00AC57F4">
        <w:rPr>
          <w:b/>
          <w:bCs/>
          <w:sz w:val="22"/>
          <w:szCs w:val="22"/>
        </w:rPr>
        <w:t>Part1. T</w:t>
      </w:r>
      <w:r w:rsidR="00D36A6C">
        <w:rPr>
          <w:b/>
          <w:bCs/>
          <w:sz w:val="22"/>
          <w:szCs w:val="22"/>
        </w:rPr>
        <w:t>he</w:t>
      </w:r>
      <w:r w:rsidRPr="00AC57F4">
        <w:rPr>
          <w:b/>
          <w:bCs/>
          <w:sz w:val="22"/>
          <w:szCs w:val="22"/>
        </w:rPr>
        <w:t xml:space="preserve"> Benefits of hosting the commonwealth games in Birmingham</w:t>
      </w:r>
      <w:r w:rsidR="00423329" w:rsidRPr="00AC57F4">
        <w:rPr>
          <w:b/>
          <w:bCs/>
          <w:sz w:val="22"/>
          <w:szCs w:val="22"/>
        </w:rPr>
        <w:t xml:space="preserve"> </w:t>
      </w:r>
      <w:r w:rsidRPr="00AC57F4">
        <w:rPr>
          <w:b/>
          <w:bCs/>
          <w:sz w:val="22"/>
          <w:szCs w:val="22"/>
        </w:rPr>
        <w:t xml:space="preserve">2022 justified the money invested to deliver the event. </w:t>
      </w:r>
      <w:r w:rsidRPr="00AC57F4">
        <w:rPr>
          <w:sz w:val="22"/>
          <w:szCs w:val="22"/>
        </w:rPr>
        <w:br/>
      </w:r>
      <w:r w:rsidRPr="00AC57F4">
        <w:rPr>
          <w:sz w:val="22"/>
          <w:szCs w:val="22"/>
        </w:rPr>
        <w:br/>
      </w:r>
      <w:r w:rsidRPr="00AC57F4">
        <w:rPr>
          <w:sz w:val="22"/>
          <w:szCs w:val="22"/>
        </w:rPr>
        <w:br/>
        <w:t xml:space="preserve">The major event like commonwealth games in Birmingham 2022 generated economic impact </w:t>
      </w:r>
      <w:r w:rsidR="001863E1">
        <w:rPr>
          <w:sz w:val="22"/>
          <w:szCs w:val="22"/>
        </w:rPr>
        <w:t>for the</w:t>
      </w:r>
      <w:r w:rsidRPr="00AC57F4">
        <w:rPr>
          <w:sz w:val="22"/>
          <w:szCs w:val="22"/>
        </w:rPr>
        <w:t xml:space="preserve"> city and </w:t>
      </w:r>
      <w:r w:rsidR="001863E1">
        <w:rPr>
          <w:sz w:val="22"/>
          <w:szCs w:val="22"/>
        </w:rPr>
        <w:t xml:space="preserve">whole </w:t>
      </w:r>
      <w:r w:rsidRPr="00AC57F4">
        <w:rPr>
          <w:sz w:val="22"/>
          <w:szCs w:val="22"/>
        </w:rPr>
        <w:t>region.</w:t>
      </w:r>
      <w:r w:rsidRPr="00AC57F4">
        <w:rPr>
          <w:sz w:val="22"/>
          <w:szCs w:val="22"/>
        </w:rPr>
        <w:br/>
        <w:t>Wilson (2006) mentioned that this type of sporting event is irregular, major international event generating significant economic activity and media interest.</w:t>
      </w:r>
      <w:r w:rsidRPr="00AC57F4">
        <w:rPr>
          <w:sz w:val="22"/>
          <w:szCs w:val="22"/>
        </w:rPr>
        <w:br/>
      </w:r>
      <w:r w:rsidR="00423329" w:rsidRPr="00AC57F4">
        <w:rPr>
          <w:sz w:val="22"/>
          <w:szCs w:val="22"/>
        </w:rPr>
        <w:t>The city invested £500 million funds to redevelop essential infrastructure of the city. It was needed to attract investments and create the city of international destination. (Shushu, 2022)</w:t>
      </w:r>
      <w:r w:rsidR="00423329" w:rsidRPr="00AC57F4">
        <w:rPr>
          <w:sz w:val="22"/>
          <w:szCs w:val="22"/>
        </w:rPr>
        <w:br/>
      </w:r>
      <w:r w:rsidR="00677A31" w:rsidRPr="00AC57F4">
        <w:rPr>
          <w:sz w:val="22"/>
          <w:szCs w:val="22"/>
        </w:rPr>
        <w:t xml:space="preserve">Horne (2007) described </w:t>
      </w:r>
      <w:r w:rsidR="00AC57F4" w:rsidRPr="00AC57F4">
        <w:rPr>
          <w:sz w:val="22"/>
          <w:szCs w:val="22"/>
        </w:rPr>
        <w:t>these actions</w:t>
      </w:r>
      <w:r w:rsidR="00677A31" w:rsidRPr="00AC57F4">
        <w:rPr>
          <w:sz w:val="22"/>
          <w:szCs w:val="22"/>
        </w:rPr>
        <w:t xml:space="preserve"> as needed to provide incentives that attract private developers and aim to revitalize declining areas by fostering investment, commerce and vibrancy.</w:t>
      </w:r>
      <w:r w:rsidR="00677A31" w:rsidRPr="00AC57F4">
        <w:rPr>
          <w:sz w:val="22"/>
          <w:szCs w:val="22"/>
        </w:rPr>
        <w:br/>
        <w:t xml:space="preserve">Hosting major event </w:t>
      </w:r>
      <w:r w:rsidR="003D122D">
        <w:rPr>
          <w:sz w:val="22"/>
          <w:szCs w:val="22"/>
        </w:rPr>
        <w:t>can</w:t>
      </w:r>
      <w:r w:rsidR="00677A31" w:rsidRPr="00AC57F4">
        <w:rPr>
          <w:sz w:val="22"/>
          <w:szCs w:val="22"/>
        </w:rPr>
        <w:t xml:space="preserve"> bring other benefits. </w:t>
      </w:r>
      <w:r w:rsidR="00AC57F4" w:rsidRPr="00AC57F4">
        <w:rPr>
          <w:sz w:val="22"/>
          <w:szCs w:val="22"/>
        </w:rPr>
        <w:br/>
      </w:r>
      <w:r w:rsidR="00677A31" w:rsidRPr="00AC57F4">
        <w:rPr>
          <w:sz w:val="22"/>
          <w:szCs w:val="22"/>
        </w:rPr>
        <w:t xml:space="preserve">Pettinger (2017) also stated about </w:t>
      </w:r>
      <w:r w:rsidR="00AC57F4" w:rsidRPr="00AC57F4">
        <w:rPr>
          <w:sz w:val="22"/>
          <w:szCs w:val="22"/>
        </w:rPr>
        <w:t>long-term</w:t>
      </w:r>
      <w:r w:rsidR="00677A31" w:rsidRPr="00AC57F4">
        <w:rPr>
          <w:sz w:val="22"/>
          <w:szCs w:val="22"/>
        </w:rPr>
        <w:t xml:space="preserve"> investments mentioned above. However, he also </w:t>
      </w:r>
      <w:r w:rsidR="00AC57F4" w:rsidRPr="00AC57F4">
        <w:rPr>
          <w:sz w:val="22"/>
          <w:szCs w:val="22"/>
        </w:rPr>
        <w:t xml:space="preserve">explained </w:t>
      </w:r>
      <w:r w:rsidR="00677A31" w:rsidRPr="00AC57F4">
        <w:rPr>
          <w:sz w:val="22"/>
          <w:szCs w:val="22"/>
        </w:rPr>
        <w:t xml:space="preserve">that </w:t>
      </w:r>
      <w:r w:rsidR="00AC57F4" w:rsidRPr="00AC57F4">
        <w:rPr>
          <w:sz w:val="22"/>
          <w:szCs w:val="22"/>
        </w:rPr>
        <w:t xml:space="preserve">hosting major events can boost a city recognition and tourism, leading to lasting economy benefits. It can also help reshape international perception, as seen in other cities cases. The planning and execution of major events contribute to job creation and economic revitalization. Hosting sport events also gives the region short- term economic boost. The influx of visitors, athletes and media during events results in increased spending and a short-term injection of money into local </w:t>
      </w:r>
      <w:r w:rsidR="00AC57F4" w:rsidRPr="003D122D">
        <w:rPr>
          <w:sz w:val="22"/>
          <w:szCs w:val="22"/>
        </w:rPr>
        <w:t xml:space="preserve">economy. </w:t>
      </w:r>
      <w:r w:rsidR="003D122D">
        <w:rPr>
          <w:sz w:val="22"/>
          <w:szCs w:val="22"/>
        </w:rPr>
        <w:br/>
        <w:t xml:space="preserve">According to </w:t>
      </w:r>
      <w:r w:rsidR="00D97B22">
        <w:rPr>
          <w:sz w:val="22"/>
          <w:szCs w:val="22"/>
        </w:rPr>
        <w:t>GOV.UK</w:t>
      </w:r>
      <w:r w:rsidR="003D122D">
        <w:rPr>
          <w:sz w:val="22"/>
          <w:szCs w:val="22"/>
        </w:rPr>
        <w:t xml:space="preserve"> (2023) the Birmingham 2022 sport event of Commonwealth Games generate minimum of £870 million </w:t>
      </w:r>
      <w:r w:rsidR="00D97B22">
        <w:rPr>
          <w:sz w:val="22"/>
          <w:szCs w:val="22"/>
        </w:rPr>
        <w:t>economic boost for UK</w:t>
      </w:r>
      <w:r w:rsidR="003D122D">
        <w:rPr>
          <w:sz w:val="22"/>
          <w:szCs w:val="22"/>
        </w:rPr>
        <w:t>. Reports shows that economy of region generate almost half a billion £, boosting region economy</w:t>
      </w:r>
      <w:r w:rsidR="00D97B22">
        <w:rPr>
          <w:sz w:val="22"/>
          <w:szCs w:val="22"/>
        </w:rPr>
        <w:t>, and creating profits for local communities and businesses.</w:t>
      </w:r>
      <w:r w:rsidR="00D97B22">
        <w:rPr>
          <w:sz w:val="22"/>
          <w:szCs w:val="22"/>
        </w:rPr>
        <w:br/>
      </w:r>
      <w:r w:rsidR="00D97B22">
        <w:rPr>
          <w:sz w:val="22"/>
          <w:szCs w:val="22"/>
        </w:rPr>
        <w:br/>
      </w:r>
      <w:r w:rsidR="00D97B22" w:rsidRPr="00D97B22">
        <w:rPr>
          <w:b/>
          <w:bCs/>
          <w:sz w:val="22"/>
          <w:szCs w:val="22"/>
        </w:rPr>
        <w:t>Part 2 SWOT analysis for Swansea.</w:t>
      </w:r>
      <w:r w:rsidR="00D97B22">
        <w:rPr>
          <w:b/>
          <w:bCs/>
          <w:sz w:val="22"/>
          <w:szCs w:val="22"/>
        </w:rPr>
        <w:br/>
      </w:r>
      <w:r w:rsidR="00D97B22">
        <w:rPr>
          <w:sz w:val="22"/>
          <w:szCs w:val="22"/>
        </w:rPr>
        <w:br/>
        <w:t>STRENGHTS:</w:t>
      </w:r>
      <w:r w:rsidR="00D97B22">
        <w:rPr>
          <w:sz w:val="22"/>
          <w:szCs w:val="22"/>
        </w:rPr>
        <w:br/>
      </w:r>
      <w:r w:rsidR="00E90826">
        <w:rPr>
          <w:sz w:val="22"/>
          <w:szCs w:val="22"/>
        </w:rPr>
        <w:t>Sport heritage</w:t>
      </w:r>
      <w:r w:rsidR="00E90826">
        <w:rPr>
          <w:sz w:val="22"/>
          <w:szCs w:val="22"/>
        </w:rPr>
        <w:br/>
        <w:t>Scenic beauty of surroundings and coastline may attract more participants and spectators</w:t>
      </w:r>
      <w:r w:rsidR="00E90826">
        <w:rPr>
          <w:sz w:val="22"/>
          <w:szCs w:val="22"/>
        </w:rPr>
        <w:br/>
        <w:t>Existing infrastructure i.e., Liberty Stadium and Swansea University facilities are solid foundation to host major sport event</w:t>
      </w:r>
      <w:r w:rsidR="00E90826">
        <w:rPr>
          <w:sz w:val="22"/>
          <w:szCs w:val="22"/>
        </w:rPr>
        <w:br/>
        <w:t>Community involvement (volunteers, spectators)</w:t>
      </w:r>
      <w:r w:rsidR="00E90826">
        <w:rPr>
          <w:sz w:val="22"/>
          <w:szCs w:val="22"/>
        </w:rPr>
        <w:br/>
      </w:r>
      <w:r w:rsidR="00E90826">
        <w:rPr>
          <w:sz w:val="22"/>
          <w:szCs w:val="22"/>
        </w:rPr>
        <w:br/>
        <w:t xml:space="preserve">WEAKNESSES: </w:t>
      </w:r>
      <w:r w:rsidR="00E90826">
        <w:rPr>
          <w:sz w:val="22"/>
          <w:szCs w:val="22"/>
        </w:rPr>
        <w:br/>
        <w:t>Weather which is often unpredictable can affect outdoor events schedule</w:t>
      </w:r>
      <w:r w:rsidR="00E90826">
        <w:rPr>
          <w:sz w:val="22"/>
          <w:szCs w:val="22"/>
        </w:rPr>
        <w:br/>
        <w:t>Transportation which is limited</w:t>
      </w:r>
      <w:r w:rsidR="00E90826">
        <w:rPr>
          <w:sz w:val="22"/>
          <w:szCs w:val="22"/>
        </w:rPr>
        <w:br/>
        <w:t>Accommodation for visitors</w:t>
      </w:r>
      <w:r w:rsidR="00E90826">
        <w:rPr>
          <w:sz w:val="22"/>
          <w:szCs w:val="22"/>
        </w:rPr>
        <w:br/>
      </w:r>
      <w:r w:rsidR="00E90826">
        <w:rPr>
          <w:sz w:val="22"/>
          <w:szCs w:val="22"/>
        </w:rPr>
        <w:br/>
        <w:t>OPPORTUNITIES:</w:t>
      </w:r>
      <w:r w:rsidR="00E90826">
        <w:rPr>
          <w:sz w:val="22"/>
          <w:szCs w:val="22"/>
        </w:rPr>
        <w:br/>
        <w:t>Increased Tourism</w:t>
      </w:r>
      <w:r w:rsidR="00E90826">
        <w:rPr>
          <w:sz w:val="22"/>
          <w:szCs w:val="22"/>
        </w:rPr>
        <w:br/>
        <w:t>Infrastructure Development</w:t>
      </w:r>
      <w:r w:rsidR="00E90826">
        <w:rPr>
          <w:sz w:val="22"/>
          <w:szCs w:val="22"/>
        </w:rPr>
        <w:br/>
        <w:t>Economic boost</w:t>
      </w:r>
      <w:r w:rsidR="00E90826">
        <w:rPr>
          <w:sz w:val="22"/>
          <w:szCs w:val="22"/>
        </w:rPr>
        <w:br/>
      </w:r>
      <w:r w:rsidR="00E90826">
        <w:rPr>
          <w:sz w:val="22"/>
          <w:szCs w:val="22"/>
        </w:rPr>
        <w:br/>
        <w:t>THREATS:</w:t>
      </w:r>
      <w:r w:rsidR="00E90826">
        <w:rPr>
          <w:sz w:val="22"/>
          <w:szCs w:val="22"/>
        </w:rPr>
        <w:br/>
        <w:t>Competition with other places</w:t>
      </w:r>
      <w:r w:rsidR="00E90826">
        <w:rPr>
          <w:sz w:val="22"/>
          <w:szCs w:val="22"/>
        </w:rPr>
        <w:br/>
        <w:t>Challenges Logistical</w:t>
      </w:r>
      <w:r w:rsidR="00E90826">
        <w:rPr>
          <w:sz w:val="22"/>
          <w:szCs w:val="22"/>
        </w:rPr>
        <w:br/>
        <w:t>Financial Risk</w:t>
      </w:r>
      <w:r w:rsidR="00961A0E">
        <w:rPr>
          <w:sz w:val="22"/>
          <w:szCs w:val="22"/>
        </w:rPr>
        <w:br/>
      </w:r>
      <w:r w:rsidR="00961A0E">
        <w:rPr>
          <w:sz w:val="22"/>
          <w:szCs w:val="22"/>
        </w:rPr>
        <w:br/>
      </w:r>
      <w:r w:rsidR="00E4254E">
        <w:rPr>
          <w:sz w:val="22"/>
          <w:szCs w:val="22"/>
        </w:rPr>
        <w:br/>
      </w:r>
      <w:r w:rsidR="00E4254E">
        <w:rPr>
          <w:sz w:val="22"/>
          <w:szCs w:val="22"/>
        </w:rPr>
        <w:lastRenderedPageBreak/>
        <w:t xml:space="preserve">Swansea seems like the good place to host a sporting event because it has a strong history in sports, beautiful scenery and </w:t>
      </w:r>
      <w:r w:rsidR="00961A0E">
        <w:rPr>
          <w:sz w:val="22"/>
          <w:szCs w:val="22"/>
        </w:rPr>
        <w:t xml:space="preserve">coastal location makes the city suitable for water sports like sailing, windsurfing and kayaking. Swansea also might be the place where </w:t>
      </w:r>
      <w:r w:rsidR="001863E1">
        <w:rPr>
          <w:sz w:val="22"/>
          <w:szCs w:val="22"/>
        </w:rPr>
        <w:t>r</w:t>
      </w:r>
      <w:r w:rsidR="00961A0E">
        <w:rPr>
          <w:sz w:val="22"/>
          <w:szCs w:val="22"/>
        </w:rPr>
        <w:t xml:space="preserve">ugby or </w:t>
      </w:r>
      <w:r w:rsidR="001863E1">
        <w:rPr>
          <w:sz w:val="22"/>
          <w:szCs w:val="22"/>
        </w:rPr>
        <w:t>f</w:t>
      </w:r>
      <w:r w:rsidR="00961A0E">
        <w:rPr>
          <w:sz w:val="22"/>
          <w:szCs w:val="22"/>
        </w:rPr>
        <w:t xml:space="preserve">ootball games takes place. The Liberty Stadium even with small capacity comparing to both </w:t>
      </w:r>
      <w:r w:rsidR="00E4254E">
        <w:rPr>
          <w:sz w:val="22"/>
          <w:szCs w:val="22"/>
        </w:rPr>
        <w:t>Cardiff’s</w:t>
      </w:r>
      <w:r w:rsidR="00961A0E">
        <w:rPr>
          <w:sz w:val="22"/>
          <w:szCs w:val="22"/>
        </w:rPr>
        <w:t xml:space="preserve"> stadiums, is suitable to host at least a European Conference League Final. </w:t>
      </w:r>
      <w:r w:rsidR="00E4254E">
        <w:rPr>
          <w:sz w:val="22"/>
          <w:szCs w:val="22"/>
        </w:rPr>
        <w:t>However, there are some challenges to consider. There might be not enough places for people to stay, especially if it would be a big event and getting around the city could be a bit problematic</w:t>
      </w:r>
      <w:r w:rsidR="00996300">
        <w:rPr>
          <w:sz w:val="22"/>
          <w:szCs w:val="22"/>
        </w:rPr>
        <w:t xml:space="preserve"> for potential spectators</w:t>
      </w:r>
      <w:r w:rsidR="00E4254E">
        <w:rPr>
          <w:sz w:val="22"/>
          <w:szCs w:val="22"/>
        </w:rPr>
        <w:t>. The weather also can be unpredictable, which might affect outdoor events. Despite these challenges, hosting sport event in Swansea could bring in more money, lead to improvements in infrastructure and attract more visitors to the city.</w:t>
      </w:r>
      <w:r w:rsidR="00E4254E">
        <w:rPr>
          <w:sz w:val="22"/>
          <w:szCs w:val="22"/>
        </w:rPr>
        <w:br/>
        <w:t>To make it successful, organizers need to plan carefully and work with local authorities and community.</w:t>
      </w:r>
      <w:r w:rsidR="00E90826">
        <w:rPr>
          <w:sz w:val="22"/>
          <w:szCs w:val="22"/>
        </w:rPr>
        <w:br/>
      </w:r>
      <w:r w:rsidR="00E90826">
        <w:rPr>
          <w:sz w:val="22"/>
          <w:szCs w:val="22"/>
        </w:rPr>
        <w:br/>
      </w:r>
      <w:r w:rsidR="00E4254E" w:rsidRPr="00E4254E">
        <w:rPr>
          <w:b/>
          <w:bCs/>
          <w:sz w:val="22"/>
          <w:szCs w:val="22"/>
        </w:rPr>
        <w:t>REFERENCE LIST:</w:t>
      </w:r>
      <w:r w:rsidR="00D97B22">
        <w:rPr>
          <w:sz w:val="22"/>
          <w:szCs w:val="22"/>
        </w:rPr>
        <w:br/>
      </w:r>
      <w:r w:rsidR="00AC57F4" w:rsidRPr="003D122D">
        <w:rPr>
          <w:sz w:val="22"/>
          <w:szCs w:val="22"/>
        </w:rPr>
        <w:br/>
      </w:r>
      <w:r w:rsidR="00D97B22">
        <w:rPr>
          <w:sz w:val="22"/>
          <w:szCs w:val="22"/>
        </w:rPr>
        <w:t xml:space="preserve">GOV.UK (2023) </w:t>
      </w:r>
      <w:r w:rsidR="00D97B22" w:rsidRPr="00D97B22">
        <w:rPr>
          <w:i/>
          <w:iCs/>
          <w:sz w:val="22"/>
          <w:szCs w:val="22"/>
        </w:rPr>
        <w:t>Birmingham 2022 contributes £870 million to UK economy.</w:t>
      </w:r>
      <w:r w:rsidR="00D97B22">
        <w:rPr>
          <w:sz w:val="22"/>
          <w:szCs w:val="22"/>
        </w:rPr>
        <w:t xml:space="preserve"> Available at: </w:t>
      </w:r>
      <w:hyperlink r:id="rId5" w:history="1">
        <w:r w:rsidR="00D97B22" w:rsidRPr="003132E0">
          <w:rPr>
            <w:rStyle w:val="Hyperlink"/>
            <w:sz w:val="22"/>
            <w:szCs w:val="22"/>
          </w:rPr>
          <w:t>https://www.gov.uk/government/news/birmingham-2022-contributes-870-million-to-uk-economy</w:t>
        </w:r>
      </w:hyperlink>
      <w:r w:rsidR="00D97B22">
        <w:rPr>
          <w:sz w:val="22"/>
          <w:szCs w:val="22"/>
        </w:rPr>
        <w:t xml:space="preserve"> (Accessed at: 19</w:t>
      </w:r>
      <w:r w:rsidR="00D97B22" w:rsidRPr="00D97B22">
        <w:rPr>
          <w:sz w:val="22"/>
          <w:szCs w:val="22"/>
          <w:vertAlign w:val="superscript"/>
        </w:rPr>
        <w:t>th</w:t>
      </w:r>
      <w:r w:rsidR="00D97B22">
        <w:rPr>
          <w:sz w:val="22"/>
          <w:szCs w:val="22"/>
        </w:rPr>
        <w:t xml:space="preserve"> January 2024)</w:t>
      </w:r>
      <w:r w:rsidR="00D97B22">
        <w:rPr>
          <w:sz w:val="22"/>
          <w:szCs w:val="22"/>
        </w:rPr>
        <w:br/>
      </w:r>
      <w:r w:rsidR="00423329" w:rsidRPr="003D122D">
        <w:rPr>
          <w:sz w:val="22"/>
          <w:szCs w:val="22"/>
        </w:rPr>
        <w:br/>
      </w:r>
      <w:r w:rsidR="00677A31" w:rsidRPr="003D122D">
        <w:rPr>
          <w:sz w:val="22"/>
          <w:szCs w:val="22"/>
        </w:rPr>
        <w:t xml:space="preserve">Horne, J. (2007) </w:t>
      </w:r>
      <w:r w:rsidR="00677A31" w:rsidRPr="00D97B22">
        <w:rPr>
          <w:i/>
          <w:iCs/>
          <w:sz w:val="22"/>
          <w:szCs w:val="22"/>
        </w:rPr>
        <w:t xml:space="preserve">The Four </w:t>
      </w:r>
      <w:r w:rsidR="003D122D" w:rsidRPr="00D97B22">
        <w:rPr>
          <w:i/>
          <w:iCs/>
          <w:sz w:val="22"/>
          <w:szCs w:val="22"/>
        </w:rPr>
        <w:t>‘</w:t>
      </w:r>
      <w:r w:rsidR="00677A31" w:rsidRPr="00D97B22">
        <w:rPr>
          <w:i/>
          <w:iCs/>
          <w:sz w:val="22"/>
          <w:szCs w:val="22"/>
        </w:rPr>
        <w:t>Knows</w:t>
      </w:r>
      <w:r w:rsidR="003D122D" w:rsidRPr="00D97B22">
        <w:rPr>
          <w:i/>
          <w:iCs/>
          <w:sz w:val="22"/>
          <w:szCs w:val="22"/>
        </w:rPr>
        <w:t>’</w:t>
      </w:r>
      <w:r w:rsidR="00677A31" w:rsidRPr="00D97B22">
        <w:rPr>
          <w:i/>
          <w:iCs/>
          <w:sz w:val="22"/>
          <w:szCs w:val="22"/>
        </w:rPr>
        <w:t xml:space="preserve"> of Sport Mega- Events</w:t>
      </w:r>
      <w:r w:rsidR="00677A31" w:rsidRPr="003D122D">
        <w:rPr>
          <w:sz w:val="22"/>
          <w:szCs w:val="22"/>
        </w:rPr>
        <w:t>. Leisure studies26, no.1. pp 81-96</w:t>
      </w:r>
      <w:r w:rsidR="00AC57F4" w:rsidRPr="003D122D">
        <w:rPr>
          <w:sz w:val="22"/>
          <w:szCs w:val="22"/>
        </w:rPr>
        <w:t xml:space="preserve"> Avaliable at: </w:t>
      </w:r>
      <w:hyperlink r:id="rId6" w:history="1">
        <w:r w:rsidR="00AC57F4" w:rsidRPr="003D122D">
          <w:rPr>
            <w:rStyle w:val="Hyperlink"/>
            <w:sz w:val="22"/>
            <w:szCs w:val="22"/>
          </w:rPr>
          <w:t>https://www.researchgate.net/publication/232847620_The_Four_'Knowns'_of_Sports_Mega-Events</w:t>
        </w:r>
      </w:hyperlink>
      <w:r w:rsidR="00AC57F4" w:rsidRPr="003D122D">
        <w:rPr>
          <w:sz w:val="22"/>
          <w:szCs w:val="22"/>
        </w:rPr>
        <w:t xml:space="preserve"> (Accessed at: 19</w:t>
      </w:r>
      <w:r w:rsidR="00AC57F4" w:rsidRPr="003D122D">
        <w:rPr>
          <w:sz w:val="22"/>
          <w:szCs w:val="22"/>
          <w:vertAlign w:val="superscript"/>
        </w:rPr>
        <w:t>th</w:t>
      </w:r>
      <w:r w:rsidR="00AC57F4" w:rsidRPr="003D122D">
        <w:rPr>
          <w:sz w:val="22"/>
          <w:szCs w:val="22"/>
        </w:rPr>
        <w:t xml:space="preserve"> January 2024)</w:t>
      </w:r>
      <w:r w:rsidR="00677A31" w:rsidRPr="003D122D">
        <w:rPr>
          <w:sz w:val="22"/>
          <w:szCs w:val="22"/>
        </w:rPr>
        <w:br/>
      </w:r>
      <w:r w:rsidR="00AC57F4" w:rsidRPr="003D122D">
        <w:rPr>
          <w:sz w:val="22"/>
          <w:szCs w:val="22"/>
        </w:rPr>
        <w:br/>
        <w:t xml:space="preserve">Pettinger, T. (2017) </w:t>
      </w:r>
      <w:r w:rsidR="00AC57F4" w:rsidRPr="00D97B22">
        <w:rPr>
          <w:i/>
          <w:iCs/>
          <w:sz w:val="22"/>
          <w:szCs w:val="22"/>
        </w:rPr>
        <w:t>Advantages of hosting a major event</w:t>
      </w:r>
      <w:r w:rsidR="00AC57F4" w:rsidRPr="003D122D">
        <w:rPr>
          <w:sz w:val="22"/>
          <w:szCs w:val="22"/>
        </w:rPr>
        <w:t xml:space="preserve">. Available at: </w:t>
      </w:r>
      <w:hyperlink r:id="rId7" w:history="1">
        <w:r w:rsidR="00AC57F4" w:rsidRPr="003D122D">
          <w:rPr>
            <w:rStyle w:val="Hyperlink"/>
            <w:sz w:val="22"/>
            <w:szCs w:val="22"/>
          </w:rPr>
          <w:t>https://rainford.org.uk/wp-content/uploads/2019/09/9.4-Advantages-of-hosting-a-major-event.pdf</w:t>
        </w:r>
      </w:hyperlink>
      <w:r w:rsidR="00D36A6C">
        <w:rPr>
          <w:rStyle w:val="Hyperlink"/>
          <w:sz w:val="22"/>
          <w:szCs w:val="22"/>
        </w:rPr>
        <w:t xml:space="preserve"> </w:t>
      </w:r>
      <w:r w:rsidR="00D36A6C">
        <w:rPr>
          <w:rStyle w:val="Hyperlink"/>
          <w:sz w:val="22"/>
          <w:szCs w:val="22"/>
        </w:rPr>
        <w:br/>
      </w:r>
      <w:r w:rsidR="00AC57F4" w:rsidRPr="003D122D">
        <w:rPr>
          <w:sz w:val="22"/>
          <w:szCs w:val="22"/>
        </w:rPr>
        <w:t>(Accessed at: 19</w:t>
      </w:r>
      <w:r w:rsidR="00AC57F4" w:rsidRPr="003D122D">
        <w:rPr>
          <w:sz w:val="22"/>
          <w:szCs w:val="22"/>
          <w:vertAlign w:val="superscript"/>
        </w:rPr>
        <w:t>th</w:t>
      </w:r>
      <w:r w:rsidR="00AC57F4" w:rsidRPr="003D122D">
        <w:rPr>
          <w:sz w:val="22"/>
          <w:szCs w:val="22"/>
        </w:rPr>
        <w:t xml:space="preserve"> January 2024) </w:t>
      </w:r>
      <w:r w:rsidR="00AC57F4" w:rsidRPr="003D122D">
        <w:rPr>
          <w:sz w:val="22"/>
          <w:szCs w:val="22"/>
        </w:rPr>
        <w:br/>
      </w:r>
      <w:r w:rsidR="00423329" w:rsidRPr="003D122D">
        <w:rPr>
          <w:sz w:val="22"/>
          <w:szCs w:val="22"/>
        </w:rPr>
        <w:br/>
      </w:r>
      <w:r w:rsidR="00423329" w:rsidRPr="003D122D">
        <w:rPr>
          <w:color w:val="333333"/>
          <w:sz w:val="22"/>
          <w:szCs w:val="22"/>
        </w:rPr>
        <w:t xml:space="preserve">Shushu, C. et. al (2022) </w:t>
      </w:r>
      <w:r w:rsidR="00423329" w:rsidRPr="00D97B22">
        <w:rPr>
          <w:i/>
          <w:iCs/>
          <w:color w:val="333333"/>
          <w:sz w:val="22"/>
          <w:szCs w:val="22"/>
        </w:rPr>
        <w:t>Urban development, city planning, and hosting major events: the cases of Birmingham and Guangzhou</w:t>
      </w:r>
      <w:r w:rsidR="00423329" w:rsidRPr="003D122D">
        <w:rPr>
          <w:color w:val="333333"/>
          <w:sz w:val="22"/>
          <w:szCs w:val="22"/>
        </w:rPr>
        <w:t xml:space="preserve">. Available at: </w:t>
      </w:r>
      <w:hyperlink r:id="rId8" w:history="1">
        <w:r w:rsidR="00423329" w:rsidRPr="003D122D">
          <w:rPr>
            <w:rStyle w:val="Hyperlink"/>
            <w:rFonts w:eastAsiaTheme="majorEastAsia"/>
            <w:color w:val="006DB4"/>
            <w:sz w:val="22"/>
            <w:szCs w:val="22"/>
          </w:rPr>
          <w:t>https://doi.org/10.1080/17430437.2022.2152676</w:t>
        </w:r>
      </w:hyperlink>
      <w:r w:rsidR="00423329" w:rsidRPr="003D122D">
        <w:rPr>
          <w:color w:val="333333"/>
          <w:sz w:val="22"/>
          <w:szCs w:val="22"/>
        </w:rPr>
        <w:t xml:space="preserve"> (Accessed at</w:t>
      </w:r>
      <w:r w:rsidR="001863E1">
        <w:rPr>
          <w:color w:val="333333"/>
          <w:sz w:val="22"/>
          <w:szCs w:val="22"/>
        </w:rPr>
        <w:t>:</w:t>
      </w:r>
      <w:r w:rsidR="00423329" w:rsidRPr="003D122D">
        <w:rPr>
          <w:color w:val="333333"/>
          <w:sz w:val="22"/>
          <w:szCs w:val="22"/>
        </w:rPr>
        <w:t xml:space="preserve"> 19</w:t>
      </w:r>
      <w:r w:rsidR="00423329" w:rsidRPr="003D122D">
        <w:rPr>
          <w:color w:val="333333"/>
          <w:sz w:val="22"/>
          <w:szCs w:val="22"/>
          <w:vertAlign w:val="superscript"/>
        </w:rPr>
        <w:t>th</w:t>
      </w:r>
      <w:r w:rsidR="00423329" w:rsidRPr="003D122D">
        <w:rPr>
          <w:color w:val="333333"/>
          <w:sz w:val="22"/>
          <w:szCs w:val="22"/>
        </w:rPr>
        <w:t xml:space="preserve"> January 2024)</w:t>
      </w:r>
      <w:r w:rsidRPr="003D122D">
        <w:rPr>
          <w:sz w:val="22"/>
          <w:szCs w:val="22"/>
        </w:rPr>
        <w:br/>
      </w:r>
      <w:r w:rsidRPr="003D122D">
        <w:rPr>
          <w:sz w:val="22"/>
          <w:szCs w:val="22"/>
        </w:rPr>
        <w:br/>
        <w:t xml:space="preserve">Wilson, R. (2006) </w:t>
      </w:r>
      <w:r w:rsidRPr="00D97B22">
        <w:rPr>
          <w:i/>
          <w:iCs/>
          <w:sz w:val="22"/>
          <w:szCs w:val="22"/>
        </w:rPr>
        <w:t>The Economic Impact of Local Sports Events – significant, limited or otherwise? A case study of four swimming events.</w:t>
      </w:r>
      <w:r w:rsidRPr="003D122D">
        <w:rPr>
          <w:sz w:val="22"/>
          <w:szCs w:val="22"/>
        </w:rPr>
        <w:t xml:space="preserve"> Managing Leisure (11) pp. 57-70 </w:t>
      </w:r>
      <w:r w:rsidRPr="003D122D">
        <w:rPr>
          <w:sz w:val="22"/>
          <w:szCs w:val="22"/>
        </w:rPr>
        <w:br/>
        <w:t xml:space="preserve">Available at: </w:t>
      </w:r>
      <w:hyperlink r:id="rId9" w:history="1">
        <w:r w:rsidRPr="003D122D">
          <w:rPr>
            <w:rStyle w:val="Hyperlink"/>
            <w:sz w:val="22"/>
            <w:szCs w:val="22"/>
          </w:rPr>
          <w:t>http://dx.doi.org/10.1080/13606710500445718</w:t>
        </w:r>
      </w:hyperlink>
      <w:r w:rsidRPr="003D122D">
        <w:rPr>
          <w:sz w:val="22"/>
          <w:szCs w:val="22"/>
        </w:rPr>
        <w:t xml:space="preserve"> (Accessed at: 19</w:t>
      </w:r>
      <w:r w:rsidRPr="003D122D">
        <w:rPr>
          <w:sz w:val="22"/>
          <w:szCs w:val="22"/>
          <w:vertAlign w:val="superscript"/>
        </w:rPr>
        <w:t>th</w:t>
      </w:r>
      <w:r w:rsidRPr="003D122D">
        <w:rPr>
          <w:sz w:val="22"/>
          <w:szCs w:val="22"/>
        </w:rPr>
        <w:t xml:space="preserve"> January 2024)</w:t>
      </w:r>
      <w:r w:rsidRPr="00AC57F4">
        <w:rPr>
          <w:sz w:val="22"/>
          <w:szCs w:val="22"/>
        </w:rPr>
        <w:t xml:space="preserve"> </w:t>
      </w:r>
    </w:p>
    <w:sectPr w:rsidR="00CE1559" w:rsidRPr="00AC57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8C1B0C"/>
    <w:multiLevelType w:val="multilevel"/>
    <w:tmpl w:val="C358B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265834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FC2B9B"/>
    <w:rsid w:val="0016318D"/>
    <w:rsid w:val="001863E1"/>
    <w:rsid w:val="003D122D"/>
    <w:rsid w:val="00423329"/>
    <w:rsid w:val="00592B79"/>
    <w:rsid w:val="00601328"/>
    <w:rsid w:val="00677A31"/>
    <w:rsid w:val="00961A0E"/>
    <w:rsid w:val="00996300"/>
    <w:rsid w:val="00AC57F4"/>
    <w:rsid w:val="00CE1559"/>
    <w:rsid w:val="00D36A6C"/>
    <w:rsid w:val="00D97B22"/>
    <w:rsid w:val="00E4254E"/>
    <w:rsid w:val="00E90826"/>
    <w:rsid w:val="00FC2B9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8F27FB"/>
  <w15:chartTrackingRefBased/>
  <w15:docId w15:val="{DB110DEB-915A-48D1-911C-F2261DB1DF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2B9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C2B9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C2B9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2B9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2B9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2B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2B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2B9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2B9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2B9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C2B9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C2B9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C2B9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2B9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2B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2B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2B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2B9B"/>
    <w:rPr>
      <w:rFonts w:eastAsiaTheme="majorEastAsia" w:cstheme="majorBidi"/>
      <w:color w:val="272727" w:themeColor="text1" w:themeTint="D8"/>
    </w:rPr>
  </w:style>
  <w:style w:type="paragraph" w:styleId="Title">
    <w:name w:val="Title"/>
    <w:basedOn w:val="Normal"/>
    <w:next w:val="Normal"/>
    <w:link w:val="TitleChar"/>
    <w:uiPriority w:val="10"/>
    <w:qFormat/>
    <w:rsid w:val="00FC2B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2B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2B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2B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2B9B"/>
    <w:pPr>
      <w:spacing w:before="160"/>
      <w:jc w:val="center"/>
    </w:pPr>
    <w:rPr>
      <w:i/>
      <w:iCs/>
      <w:color w:val="404040" w:themeColor="text1" w:themeTint="BF"/>
    </w:rPr>
  </w:style>
  <w:style w:type="character" w:customStyle="1" w:styleId="QuoteChar">
    <w:name w:val="Quote Char"/>
    <w:basedOn w:val="DefaultParagraphFont"/>
    <w:link w:val="Quote"/>
    <w:uiPriority w:val="29"/>
    <w:rsid w:val="00FC2B9B"/>
    <w:rPr>
      <w:i/>
      <w:iCs/>
      <w:color w:val="404040" w:themeColor="text1" w:themeTint="BF"/>
    </w:rPr>
  </w:style>
  <w:style w:type="paragraph" w:styleId="ListParagraph">
    <w:name w:val="List Paragraph"/>
    <w:basedOn w:val="Normal"/>
    <w:uiPriority w:val="34"/>
    <w:qFormat/>
    <w:rsid w:val="00FC2B9B"/>
    <w:pPr>
      <w:ind w:left="720"/>
      <w:contextualSpacing/>
    </w:pPr>
  </w:style>
  <w:style w:type="character" w:styleId="IntenseEmphasis">
    <w:name w:val="Intense Emphasis"/>
    <w:basedOn w:val="DefaultParagraphFont"/>
    <w:uiPriority w:val="21"/>
    <w:qFormat/>
    <w:rsid w:val="00FC2B9B"/>
    <w:rPr>
      <w:i/>
      <w:iCs/>
      <w:color w:val="0F4761" w:themeColor="accent1" w:themeShade="BF"/>
    </w:rPr>
  </w:style>
  <w:style w:type="paragraph" w:styleId="IntenseQuote">
    <w:name w:val="Intense Quote"/>
    <w:basedOn w:val="Normal"/>
    <w:next w:val="Normal"/>
    <w:link w:val="IntenseQuoteChar"/>
    <w:uiPriority w:val="30"/>
    <w:qFormat/>
    <w:rsid w:val="00FC2B9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2B9B"/>
    <w:rPr>
      <w:i/>
      <w:iCs/>
      <w:color w:val="0F4761" w:themeColor="accent1" w:themeShade="BF"/>
    </w:rPr>
  </w:style>
  <w:style w:type="character" w:styleId="IntenseReference">
    <w:name w:val="Intense Reference"/>
    <w:basedOn w:val="DefaultParagraphFont"/>
    <w:uiPriority w:val="32"/>
    <w:qFormat/>
    <w:rsid w:val="00FC2B9B"/>
    <w:rPr>
      <w:b/>
      <w:bCs/>
      <w:smallCaps/>
      <w:color w:val="0F4761" w:themeColor="accent1" w:themeShade="BF"/>
      <w:spacing w:val="5"/>
    </w:rPr>
  </w:style>
  <w:style w:type="character" w:styleId="Hyperlink">
    <w:name w:val="Hyperlink"/>
    <w:basedOn w:val="DefaultParagraphFont"/>
    <w:uiPriority w:val="99"/>
    <w:unhideWhenUsed/>
    <w:rsid w:val="00FC2B9B"/>
    <w:rPr>
      <w:color w:val="467886" w:themeColor="hyperlink"/>
      <w:u w:val="single"/>
    </w:rPr>
  </w:style>
  <w:style w:type="character" w:styleId="UnresolvedMention">
    <w:name w:val="Unresolved Mention"/>
    <w:basedOn w:val="DefaultParagraphFont"/>
    <w:uiPriority w:val="99"/>
    <w:semiHidden/>
    <w:unhideWhenUsed/>
    <w:rsid w:val="00FC2B9B"/>
    <w:rPr>
      <w:color w:val="605E5C"/>
      <w:shd w:val="clear" w:color="auto" w:fill="E1DFDD"/>
    </w:rPr>
  </w:style>
  <w:style w:type="paragraph" w:customStyle="1" w:styleId="dx-doi">
    <w:name w:val="dx-doi"/>
    <w:basedOn w:val="Normal"/>
    <w:rsid w:val="00423329"/>
    <w:pPr>
      <w:spacing w:before="100" w:beforeAutospacing="1" w:after="100" w:afterAutospacing="1" w:line="240" w:lineRule="auto"/>
    </w:pPr>
    <w:rPr>
      <w:rFonts w:ascii="Times New Roman" w:eastAsia="Times New Roman" w:hAnsi="Times New Roman" w:cs="Times New Roman"/>
      <w:kern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1011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7430437.2022.2152676" TargetMode="External"/><Relationship Id="rId3" Type="http://schemas.openxmlformats.org/officeDocument/2006/relationships/settings" Target="settings.xml"/><Relationship Id="rId7" Type="http://schemas.openxmlformats.org/officeDocument/2006/relationships/hyperlink" Target="https://rainford.org.uk/wp-content/uploads/2019/09/9.4-Advantages-of-hosting-a-major-event.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researchgate.net/publication/232847620_The_Four_'Knowns'_of_Sports_Mega-Events" TargetMode="External"/><Relationship Id="rId11" Type="http://schemas.openxmlformats.org/officeDocument/2006/relationships/theme" Target="theme/theme1.xml"/><Relationship Id="rId5" Type="http://schemas.openxmlformats.org/officeDocument/2006/relationships/hyperlink" Target="https://www.gov.uk/government/news/birmingham-2022-contributes-870-million-to-uk-economy"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dx.doi.org/10.1080/136067105004457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128</TotalTime>
  <Pages>1</Pages>
  <Words>770</Words>
  <Characters>4391</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Piotr Florczak (1918113)</dc:creator>
  <cp:keywords/>
  <dc:description/>
  <cp:lastModifiedBy>Piotr Florczak (1918113)</cp:lastModifiedBy>
  <cp:revision>5</cp:revision>
  <dcterms:created xsi:type="dcterms:W3CDTF">2024-01-19T09:09:00Z</dcterms:created>
  <dcterms:modified xsi:type="dcterms:W3CDTF">2024-01-19T11:18:00Z</dcterms:modified>
</cp:coreProperties>
</file>