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E8780" w14:textId="5CCB16C0" w:rsidR="009A6241" w:rsidRPr="0028621D" w:rsidRDefault="0028621D" w:rsidP="0028621D">
      <w:pPr>
        <w:jc w:val="center"/>
        <w:rPr>
          <w:rFonts w:ascii="Arial" w:hAnsi="Arial" w:cs="Arial"/>
          <w:b/>
          <w:bCs/>
          <w:sz w:val="24"/>
          <w:szCs w:val="24"/>
          <w:u w:val="single"/>
        </w:rPr>
      </w:pPr>
      <w:r>
        <w:rPr>
          <w:rFonts w:ascii="Arial" w:hAnsi="Arial" w:cs="Arial"/>
          <w:b/>
          <w:bCs/>
          <w:color w:val="000000"/>
          <w:sz w:val="24"/>
          <w:szCs w:val="24"/>
          <w:u w:val="single"/>
        </w:rPr>
        <w:t>Gwerthusiad beirniadol sut y gellir defnyddio Asesu ar gyfer Dysgu mewn cyfres o gyfleoedd dysgu i hybu cynnydd ar draws y meysydd dysgu a phrofiad a ddewiswyd.</w:t>
      </w:r>
    </w:p>
    <w:p w14:paraId="743FEE97" w14:textId="401C4295" w:rsidR="00DC51DC" w:rsidRPr="00FA7943" w:rsidRDefault="0028621D">
      <w:pPr>
        <w:rPr>
          <w:rFonts w:ascii="Arial" w:hAnsi="Arial" w:cs="Arial"/>
          <w:sz w:val="20"/>
          <w:szCs w:val="20"/>
        </w:rPr>
      </w:pPr>
      <w:r>
        <w:rPr>
          <w:rFonts w:ascii="Arial" w:hAnsi="Arial" w:cs="Arial"/>
          <w:sz w:val="20"/>
          <w:szCs w:val="20"/>
        </w:rPr>
        <w:t>Yn ystod yr aseiniad yma fyddwn yn siarad am fathau gwahanol o Asesu ar gyfer Dysgu (AagD) yn wersi gwahanol. Y dosbarth mae'r gwersi yn cael ei aneli at yw dosbarth o 25 plentyn blwyddyn 3 sef  7 i 8 mlwydd oed. Yn y dosbarth yma mae grŵp o chwech plant mwy abl a thalentog, grŵp o bump sydd angen help ychwanegol a dau grŵp o saith (Undeg pedwar plentyn) sydd ar lefel canolig. Mae’r plant yma ond wedi symud i flwyddyn 3 yn Medi felly fydd rhai o’r sgiliau fydden nhw yn dysgu yn y gwersi yn rhywbeth newydd iddyn nhw. Y tri Maes Dysgu a Phrofiad (PDPh) fyddwn yn defnyddio yn y gwersi fydd Gwyddoniaeth a Thechnoleg, Mathemateg a Rhifedd ac Iaith.  Yn ystod pob gwers fyddwn yn defnyddio mathau gwahanol o AagD i helpu'r plant i lwyddo yn y ffordd fwyaf effeithiol a chael y canlyniadau dysgu gorau am y dosbarth cyfan. Mae’n bwysig defnyddio mathau o wahanol o AagD yn bwysig felly yn yr aseiniad yma fyddwn yn trafod mathau gwahanol fesul grwpiau unigol ac fel dosbarth yn dibynnu ar y dasg a beth fydd yn gweithio yn well gyda'r dysgwyr yn ystod y dasg benodol. Fyddwn yn edrych i mewn i'r agweddau positif a negyddol o fathau gwahanol o AagD yn y dosbarth ac am feysydd dysgu gwahanol.</w:t>
      </w:r>
    </w:p>
    <w:p w14:paraId="49999522" w14:textId="2DDF62A5" w:rsidR="007E7E6F" w:rsidRPr="00FA7943" w:rsidRDefault="0028621D">
      <w:pPr>
        <w:rPr>
          <w:rFonts w:ascii="Arial" w:hAnsi="Arial" w:cs="Arial"/>
          <w:sz w:val="20"/>
          <w:szCs w:val="20"/>
        </w:rPr>
      </w:pPr>
      <w:r>
        <w:rPr>
          <w:rFonts w:ascii="Arial" w:hAnsi="Arial" w:cs="Arial"/>
          <w:sz w:val="20"/>
          <w:szCs w:val="20"/>
        </w:rPr>
        <w:t>Fydd y dasg Mathemateg a Rhifedd yn cael ei wneud gyda'r grŵp mwy abl a thalentog, fyddwn yn gwneud y dasg yma gyda'r plant mwy abl a thalentog oherwydd fydd rhaid adio arian (punnoedd a cheiniogau) i weithio allan y pris i fynd ar daith i Baris i wylio gem rygbi. Bydd rhaid iddyn nhw adio'r pris y tocyn i’r gêm a'r tocyn am yr awyren. Rydym wedi cael gwersi blaenorol ar adio arian felly rydw i yn gwybod fod y plant sydd yn cael y dasg yma yn deall y gwahaniaeth rhwng ceiniogau a phunnoedd ac yn deall sut i adio'r ddau gyda’i gilydd. Fyddwn ond yn rhoi'r dasg i’r plant rydw i yn gwybod bydd yn deall sut i adio arian o edrych dros y gwaith rydym wedi gwneud yn flaenorol.</w:t>
      </w:r>
    </w:p>
    <w:p w14:paraId="20EC55A5" w14:textId="78EC0383" w:rsidR="00194262" w:rsidRPr="00FA7943" w:rsidRDefault="0028621D">
      <w:pPr>
        <w:rPr>
          <w:rFonts w:ascii="Arial" w:hAnsi="Arial" w:cs="Arial"/>
          <w:sz w:val="20"/>
          <w:szCs w:val="20"/>
        </w:rPr>
      </w:pPr>
      <w:r>
        <w:rPr>
          <w:rFonts w:ascii="Arial" w:hAnsi="Arial" w:cs="Arial"/>
          <w:sz w:val="20"/>
          <w:szCs w:val="20"/>
        </w:rPr>
        <w:t>Yr ail wers fydd gwers aeth i’r holl ddosbarth, yn y wers yma bydd y pedwar grŵp yn cael gwledydd gwahanol oedden nhw wedi archwilio yn y wers flaenorol a fydden nhw yn ysgrifennu ffeil ffeithiau am y gwledydd gwahanol. Bydd rhaid i’r plant deall beth yw ffaith bwysig am y wlad a beth sydd ddim i roi yn y ffeil ffeithiau fydden nhw yn cynhyrchu. Yn wersi blaenorol fydden nhw wedi gweld esiamplau o ffeil ffeithiau felly fydden yn gwybod beth i gynnwys a beth sy’n bwysig a sut i osod ffeil ffeithiau hefyd. Fyddwn yn gallu gweld cynnydd y plant yn ystod y dasg yma wrth edrych ar y ffeil ffeithiau maen nhw wedi cynhyrchu gan maen nhw wedi edrych dros ffeil ffeithiau'r wers cyn felly maen nhw yn gwybod beth maen nhw angen cynnwys a sut i osod ffeil ffeithiau.  Bydd hyn yn ffordd dda iddyn nhw ddysgu am wledydd gwahanol ac ar ddiwedd y wers bydd rhai o’r plant o’r grwpiau yn gallu dangos ac esbonio ei ffeil ffeithiau o flaen y dosbarth felly bydd pob grŵp yn dysgu ffeithiau am y holl wledydd oedden nhw wedi dysgu amdano.</w:t>
      </w:r>
    </w:p>
    <w:p w14:paraId="3B3304A9" w14:textId="10580872" w:rsidR="00886021" w:rsidRDefault="0028621D">
      <w:pPr>
        <w:rPr>
          <w:rFonts w:ascii="Arial" w:hAnsi="Arial" w:cs="Arial"/>
          <w:sz w:val="20"/>
          <w:szCs w:val="20"/>
        </w:rPr>
      </w:pPr>
      <w:r>
        <w:rPr>
          <w:rFonts w:ascii="Arial" w:hAnsi="Arial" w:cs="Arial"/>
          <w:sz w:val="20"/>
          <w:szCs w:val="20"/>
        </w:rPr>
        <w:t>Y drydedd wers fydd gwers gwyddoniaeth a thechnoleg ble fydd y plant yn cymryd y ffeithiau oeddyn nhw wedi rhoi yn ei ffeil ffeithiau yn y wers flaenorol i greu poster rhyngweithiol. Fydd hyn yn dasg grŵp ble fydd rhai dewis pum ffaith a fydd rhaid i’r plant cysylltu gwifrau o dan y poster i gysylltu'r ffaith i’r teitl cywir ac ar y diwedd fydden nhw yn rhoi'r poster i grŵp arall i weld os ydyn nhw yn gallu cysylltu'r ffaith i’r teitl cywir, os fydden nhw yn cysylltu'r ffaith i’r teitl cywir fydd y swnydd yn gwneud sŵn a fydden yn gwybod cawsant nhw'r ateb cywir. Am y dasg yma oedd y plant wedi dysgu am gylchredau trydan yn ei gwersi gwyddoniaeth a thechnoleg felly maen nhw yn gwybod sut mae cylchred yn gweithio a hefyd mae’n dangos bod y plant o grwpiau arall wedi dysgu ffeithiau am y gwledydd oedd y grwpiau arall wedi dysgu amdano.</w:t>
      </w:r>
    </w:p>
    <w:p w14:paraId="735847E4" w14:textId="77777777" w:rsidR="00A35802" w:rsidRPr="005826D6" w:rsidRDefault="00A35802">
      <w:pPr>
        <w:rPr>
          <w:rFonts w:ascii="Arial" w:hAnsi="Arial" w:cs="Arial"/>
          <w:sz w:val="20"/>
          <w:szCs w:val="20"/>
        </w:rPr>
      </w:pPr>
    </w:p>
    <w:p w14:paraId="67673036" w14:textId="6CC9CCF5" w:rsidR="00B946C6" w:rsidRPr="009611DF" w:rsidRDefault="0028621D" w:rsidP="00B946C6">
      <w:pPr>
        <w:rPr>
          <w:rFonts w:ascii="Times New Roman" w:eastAsia="Times New Roman" w:hAnsi="Times New Roman" w:cs="Times New Roman"/>
          <w:kern w:val="0"/>
          <w:sz w:val="24"/>
          <w:szCs w:val="24"/>
          <w:lang w:eastAsia="en-GB"/>
          <w14:ligatures w14:val="none"/>
        </w:rPr>
      </w:pPr>
      <w:r>
        <w:rPr>
          <w:rFonts w:ascii="Arial" w:hAnsi="Arial" w:cs="Arial"/>
          <w:sz w:val="20"/>
          <w:szCs w:val="20"/>
        </w:rPr>
        <w:t>Mae llawer o farnau gwahanol ar lawer o dechnegau AagD gwahanol allan yna i edrych i mewn i a llawer o bobl yn ddweud ei fod un strategaeth yn wych a gall person arall ddweud fod yr un dechneg yn ddiwerth ac mae rhaid llwyo trwy'r holl farnau gwahanol a ffurfio barn eich hun gydag eich dosbarth chi. Mae llawer o ymchwil wedi mynd i mewn i AagD i dangos pam ei fod yn effeithiol a'r technegau fwyaf effeithiol i ddefnyddio. Mae papur gan (</w:t>
      </w:r>
      <w:r>
        <w:rPr>
          <w:rFonts w:ascii="Arial" w:hAnsi="Arial" w:cs="Arial"/>
          <w:kern w:val="0"/>
          <w:sz w:val="20"/>
          <w:szCs w:val="20"/>
          <w:lang w:val="en-GB"/>
        </w:rPr>
        <w:t xml:space="preserve">Black, Paul., Harrison, Chris., Lee, Clara., Marshall, Bethan., &amp; Wiliam, Dylan. (2007). Yn </w:t>
      </w:r>
      <w:r>
        <w:rPr>
          <w:rFonts w:ascii="Arial" w:hAnsi="Arial" w:cs="Arial"/>
          <w:kern w:val="0"/>
          <w:sz w:val="20"/>
          <w:szCs w:val="20"/>
        </w:rPr>
        <w:t xml:space="preserve">dangos pa mor effeithiol mae AagD y gallu fod nid yn unig yn y dosbarth ond yn yr holl ysgol ac mae’n dangos y gwelliannau mae’r plant yn y dosbarthiadau sy’n </w:t>
      </w:r>
      <w:r>
        <w:rPr>
          <w:rFonts w:ascii="Arial" w:hAnsi="Arial" w:cs="Arial"/>
          <w:kern w:val="0"/>
          <w:sz w:val="20"/>
          <w:szCs w:val="20"/>
        </w:rPr>
        <w:lastRenderedPageBreak/>
        <w:t>defnyddio AagD yn gwyneud i gymharu i’r dosbarthiadau sydd ddim yn defnyddio'r technegau yma. Y mathau gwahanol o AagD i gyd yn cael ochrau positif a negyddol fel popeth ni fydd y technegau yma yn hollol berffaith i bob athro i bob dosbarth felly bydd rhaid defnyddio amrywiaeth o dechnegau sy’n mynd i weithio'r gorau i'r dosbarth rydych chi yn dysgu dydy AagD ddim yn un maent yn addas i bawb felly fel arfer mae athrawon yn defnyddio cymysg o dechnegau. Mae (Donaldson, 2015) yn ddweud ei fod eisiau ymgysylltu plant yn asesu gwaith ei hun, mae hyn yn hybu  plant i gymryd fwy o sylw ar ddysgu ei hun gan maen nhw'r rhai sy’n marcio gwaith ei hun ac felly mae'n rhoi'r cyfle iddyn nhw i weld y cynnydd maen nhw yn gwyneud yn ffordd wahanol i ond gweld pen yr athro ar ei gwaith nhw. Mae (Brown ,2019) yn anghytuno fod AagD yn ffordd o asesu wrth ddweud oherwydd y nodweddion rhyngweithiol ac yn y funud mae AagD mae'n methu'r gofynion o asesu. Mae  hyn yn yr ochor arall o’r ddadl mae llawer o bobl yn ddweud fod AagD y peth da ond wrth edrych ar beth mae Brown yn ddweud rydym yn gallu gweld fod yna ochrau negyddol i AagD gan nad yw yn asesu plant yn y ffordd draddodiadol o gael prawf a gweld beth mae’r disgyblion wedi dysgu ond mae yn tynnu'r plant i mewn i'w dysgu ei hun ac yn cael nhw i wella gwaith nhw a gweld sut y gallant nhw gynyddu safon ei gwaith. Mae (Hargreaves, 2013) wedi gwneud astudiaeth ar ddosbarth o blant i edrych ar farn nhw ar AagD ac mae’n dangos bod nhw yn teimlo ei bod nhw yn cael ei chefnogi gan awgrymiadau o adborth ond mae awgrymiadau positif neu negyddol yn pryfocio emosiynau sy’n gallu effeithio ar y dysgu neu ei gefnogi, mae'r erthygl yn cloi gyda'r cydsyniad bod AagD yn sgwrs yr ystafell dosbarth lle mae'r plant yn ogystal i'r athro yn asesu sut mae adborth athrawon yn berthnasol i ddysgu plant a fydd yn gyfraniad mawr at eu dysgu annibynnol. Mae hyn yn cefnogi syniad Donaldson fod AagD yn bwysig yn y dosbarth i hybu dysgu ac asesu annibynnol o’r plant ac mae’n hefyd yn lleihau'r straen o farcio llyfrau sydd ar athrawon ar hyn o bryd. Mae’r erthygl yma hefyd yn dangos yr ochr negyddol gan fod yr awgrymiadau negyddol yn gallu pryfocio emosiynau yn y plant a gall hyn niweidio’r hyder mae’r plentyn yn cael yn ei gwaith ac achosi nhw i beidio eisiau dangos gwaith i’r athro o ofn o gael adborth negyddol felly mae rhaid cofio i fod yn ofalus sut y rydych yn geirio'r adborth i'r plentyn. Yr holl reswm rydym yn defnyddio AagD yw rhoi adborth mewn ffordd wella gwaith y plant yn ffordd effeithiol ac i gael y plant i gymryd fwy o ran yn ei phroses dysgu.</w:t>
      </w:r>
    </w:p>
    <w:p w14:paraId="4171F767" w14:textId="7CB163ED" w:rsidR="00B23A97" w:rsidRPr="00ED2F24" w:rsidRDefault="00B23A97">
      <w:pPr>
        <w:rPr>
          <w:rFonts w:ascii="Arial" w:hAnsi="Arial" w:cs="Arial"/>
          <w:sz w:val="20"/>
          <w:szCs w:val="20"/>
        </w:rPr>
      </w:pPr>
    </w:p>
    <w:p w14:paraId="2B70BA06" w14:textId="57A7A4D4" w:rsidR="009D094D" w:rsidRPr="009839D1" w:rsidRDefault="0028621D" w:rsidP="00FA7943">
      <w:pPr>
        <w:pStyle w:val="NormalWeb"/>
        <w:spacing w:before="240" w:beforeAutospacing="0" w:after="240" w:afterAutospacing="0"/>
        <w:rPr>
          <w:lang w:val="cy-GB"/>
        </w:rPr>
      </w:pPr>
      <w:r w:rsidRPr="009839D1">
        <w:rPr>
          <w:rFonts w:ascii="Arial" w:hAnsi="Arial" w:cs="Arial"/>
          <w:sz w:val="20"/>
          <w:szCs w:val="20"/>
          <w:lang w:val="cy-GB"/>
        </w:rPr>
        <w:t>Mae’r wers gyntaf fyddwn y trafod yw’r wers mathemateg a rhifedd, rydw i wedi dewis y wers a maes dysgu a phrofiad yma oherwydd mae’n ffocysu ar wthio'r plant mwy abl a thalentog yn y dosbarth i ddatblygu ei sgiliau gweithio gydag arian. I ddechrau byddwn yn esbonio'r bwriad y wers i’r dysgwyr a gofyn nhw i ddangos bodiau lan neu lawr i ddangos ei dilywodraeth am y dasg mae hyn yn ffordd dda i fi fel yr athrawes i weld os oedd fy esboniad ar ddechrau'r wers i’r plant yn dda ac effeithiol i’r plant ac os fydd rhaid ail esbonio yn ffordd wahanol i’r plant cael dealltwriaeth well. Ochor negyddol o ddefnyddio bodiau lan neu lawr yw bod plant yn gallu teimlo embaras ac yn swil i roi bodiau lawr os nad ydyn yn deall ac mae ei ffrindiau i gyd yn deall felly gallant nhw ddweud celwydd a rhoi ei bodiau i fynnu ond dydyn nhw ddim yn deall y gwaith o gwbl, ffordd i osgoi hwy fydd i gael y plant i gau ei llygaid wrth wneud hwn i osgoi nhw ddweud celwydd a fyddwn yn gallu rhoi fwy o gymorth i'r plant sydd ddim yn deall cant y cant eto. Mae (Dunn 2017) yn cytuno efo hyn a hefyd yn ddweud i gael y plant i gau ei llygaid wrth ddefnyddio'r dull hwn. Yn ystod y wers fyddwn yn defnyddio marcio byw sef edrych dros waith y plant a marcio'r gwaith wrth i’r plant gwyneud y gwaith wrth ddefnyddio uwch-oleuwyr lliwiau gwahanol, mae hyn yn ffordd dda i weld os yw’r plant yn deall y gwaith yn ystod y wers ac os ydyn nhw ddim rydych yn gallu rhoi nhw ar y trywydd cywir yn ystod y wers yn lle'r plentyn yn cael adborth ar ôl gorffen y gwaith. Mae hyn yn effeithiol gan ei fod yn helpu i chi gweld cynnydd y plant hyd yn oed yn y wers gan eich bod yn gallu gweld os maen nhw wedi gwneud rhywbeth yn anghywir rydych yn arogleuo'r ateb ac mae’r plant yn cywiro gwaith ei hun ac yn rhoi'r ateb cywir i mewn a fydden nhw yn fwy tebygol o gofio sut i gwyneud y gwaith y tro nesaf gan maen nhw yn gallu gweld ble aethant nhw yn anghywir a beth i wneud y lle. Mae Dylan William  hefyd yn ddweud fod yn bwysig i roi adborth yn ystod gwersi i blant gweld y cynnydd maen nhw yn gwyneud (Llywodraeth Cymru, 2010) hefyd nid ond ni fel yr athrawon yn gweld ei cynydd</w:t>
      </w:r>
      <w:r w:rsidRPr="009839D1">
        <w:rPr>
          <w:rFonts w:ascii="Arial" w:hAnsi="Arial" w:cs="Arial"/>
          <w:color w:val="C00000"/>
          <w:sz w:val="20"/>
          <w:szCs w:val="20"/>
          <w:lang w:val="cy-GB"/>
        </w:rPr>
        <w:t xml:space="preserve"> </w:t>
      </w:r>
      <w:r w:rsidRPr="009839D1">
        <w:rPr>
          <w:rFonts w:ascii="Arial" w:hAnsi="Arial" w:cs="Arial"/>
          <w:sz w:val="20"/>
          <w:szCs w:val="20"/>
          <w:lang w:val="cy-GB"/>
        </w:rPr>
        <w:t xml:space="preserve">(Teaches TV/UK department of education, 2005). Ffordd arall o AagD fyddwn yn defnyddio yw byrddau gwyn bach a gweithio fel grŵp i weithio allan yr atebion cyn ysgrifennu ar y taflennu gwaith felly rydych yn gallu gweld os yw’r plant yn deall y gwaith ac yn gallu gwneud y dasg. Mae hyn yn ffordd dda i weithio gyda grŵp bach gan fod y plant yn gallu helpu ei gilydd i weithio trwy'r problemau ac esbonio i'w gilydd sut i weithio allan y problemau. Cyn i'r plant ysgrifennu pob ateb mae rhaid iddyn nhw dangos i mi'r ateb ar fwrdd gwyn bach i weld yr atebion i wneud yn siŵr bod y plant yn deall sut i adio punnoedd a cheiniogau wrth </w:t>
      </w:r>
      <w:r w:rsidRPr="009839D1">
        <w:rPr>
          <w:rFonts w:ascii="Arial" w:hAnsi="Arial" w:cs="Arial"/>
          <w:sz w:val="20"/>
          <w:szCs w:val="20"/>
          <w:lang w:val="cy-GB"/>
        </w:rPr>
        <w:lastRenderedPageBreak/>
        <w:t xml:space="preserve">dangos y byrddau gwyn rydw i yn gallu gweld os maen nhw yn deall ac os maen nhw yn cael yr ateb yn anghywir rydych yn gallu gweld ble maen nhw wedi mynd yn anghywir rydych yn gallu cywiro nhw a rhoi nhw ar y trywydd cywir. Mae hyn hefyd yn rhoi'r gallu i bob plentyn i gymryd rhan yn y wers.(Teaches TV/UK department of education, 2005) Mae (T Sherrington , S Stafford, 2018)  hefyd yn cytuno ac yn ddweud bod defnyddio byrddau gwyn bach yn ffordd dda i gymryd risg gan fod y gwaith ddim yn barhaol. Yn olaf wrth gau'r wers fyddwn yn cwestiynu i blant i gadarnhau fod nhw wedi deall y gwaith yn ystod y sesiwn neu oes rhaid mynd yn ol at rannau sbesiffig yn y gwersi yn y dyfodol i helpu'r plant i ddeall y gywir sut i adio ceiniogau a phunnoedd. Mae Dylan William yn ddweud fod cwestiynu yn bwysig i weld os yw plant yn deall beth rydych chi fel yr athro yn ceisio dysgu (Llywodraeth Cymru, 2010) </w:t>
      </w:r>
      <w:r w:rsidRPr="009839D1">
        <w:rPr>
          <w:rFonts w:ascii="Arial" w:hAnsi="Arial" w:cs="Arial"/>
          <w:color w:val="C00000"/>
          <w:sz w:val="20"/>
          <w:szCs w:val="20"/>
          <w:lang w:val="cy-GB"/>
        </w:rPr>
        <w:t xml:space="preserve"> </w:t>
      </w:r>
      <w:r w:rsidRPr="009839D1">
        <w:rPr>
          <w:rFonts w:ascii="Arial" w:hAnsi="Arial" w:cs="Arial"/>
          <w:sz w:val="20"/>
          <w:szCs w:val="20"/>
          <w:lang w:val="cy-GB"/>
        </w:rPr>
        <w:t>os dydy'r plant ddim yn deall beth rydych chi yn ceisio dysgu efallai mai hi’n well i fynd yn ol i'r dechrau ac edrych ar sut rydych chi wedi esbonio'r wers a sut y gallwch wella yn y gwersi dyfodol.</w:t>
      </w:r>
    </w:p>
    <w:p w14:paraId="08207DFE" w14:textId="4CCD639A" w:rsidR="00E2477D" w:rsidRPr="009839D1" w:rsidRDefault="0028621D">
      <w:pPr>
        <w:rPr>
          <w:rFonts w:ascii="Arial" w:hAnsi="Arial" w:cs="Arial"/>
          <w:color w:val="C00000"/>
          <w:sz w:val="20"/>
          <w:szCs w:val="20"/>
        </w:rPr>
      </w:pPr>
      <w:r w:rsidRPr="009839D1">
        <w:rPr>
          <w:rFonts w:ascii="Arial" w:hAnsi="Arial" w:cs="Arial"/>
          <w:sz w:val="20"/>
          <w:szCs w:val="20"/>
        </w:rPr>
        <w:t>Yn ystod yr ail wers sef gwers aeth a llythrennedd ble fydd y plant yn ysgrifennu ffeil ffeithiau am y wlad oeddyn nhw wedi ymchwilio yn ystod y wers cyn. Bydd hyn yn dasg unigol felly bydd rhaid o bob plentyn ysgrifennu ffeil ffeithiau unigol ond maen nhw yn gallu gweithio fel grŵp i atgoffa ei gilydd am ffeithiau os yw rhai plant yn y grŵp yn anghofio pethau sydd angen mynd yn y ffeil ffeithiau. Yn ystod yr agoriad y wers fyddwn eto yn defnyddio bodiau i fynnu neu i lawr a chwestiynu i weld os yw'r plant yn deall beth sydd rhaid i gwyneud yn ystod y wers. Yn ystod y brif dasg byddwn yn defnyddio marcio byw eto i wneud yn siŵr bod y plant ar y trywydd cywir yn ystod y dasg. Hefyd fyddwn yn defnyddio asesu cyfoedion a meddwl pari rannu. Bydd asesu cyfoedion yn effeithiol yn y wers yma gan fydd y plant yn gallu helpu ei gilydd sillafu neu sut i osod allan y ffeil ffeithiau, mae hyn yn effeithiol gan fydd hyn yn rhoi amser i fi helpu plant sy’n angen fwy o help ac mae’r plant yn gallu helpu ei gilydd gyda chwestiynau mwy syml. (Colognesi, S., Vassart, C., Blondeau, B., &amp; Coertjens, L., 2020)</w:t>
      </w:r>
      <w:r w:rsidRPr="009839D1">
        <w:rPr>
          <w:rFonts w:ascii="Arial" w:hAnsi="Arial" w:cs="Arial"/>
          <w:color w:val="ED7D31"/>
          <w:sz w:val="20"/>
          <w:szCs w:val="20"/>
        </w:rPr>
        <w:t xml:space="preserve"> </w:t>
      </w:r>
      <w:r w:rsidRPr="009839D1">
        <w:rPr>
          <w:rFonts w:ascii="Arial" w:hAnsi="Arial" w:cs="Arial"/>
          <w:sz w:val="20"/>
          <w:szCs w:val="20"/>
        </w:rPr>
        <w:t>Wrth ddefnyddio asesu cyfoedion mae’n ffordd dda i’r plant gweithio nid yn unig ar waith ei hun ond yn helpu ei chyfoedion gyda phethau fel sillafu a fydd y plant mwy gwybodus yn gwthio ei hun wrth helpu ei chyfoedion gwella gwaith nhw hefyd. Mae arbrawf wnaeth (Babaii, E., &amp; Adeh, A., 2019) gwyneud yn 2019 yn dangos bod plant yn ddosbarth ble oedd asesu cyfoedion yn cael ei defnyddio yn dangos fwy o dwf yn ei pherfformiad nag y dosbarthiadau oedd ddim yn defnyddio asesu cyfoedion. Fyddwn hefyd yn defnyddio meddwl pari rannu felly bydd y plant trafod mewn par sut i osod y wybodaeth yn y ffeil ffeithiau yn ffordd effeithiol ac yn edrych yn glir. Mae (Joseph Parker, 2021) yn ddweud fod meddwl pari rannu yn helpu'r plant dysgu yn ford hwylus ac yn codi diddordeb a hyder y plant.</w:t>
      </w:r>
      <w:r w:rsidRPr="009839D1">
        <w:rPr>
          <w:rFonts w:ascii="Arial" w:hAnsi="Arial" w:cs="Arial"/>
          <w:color w:val="C00000"/>
          <w:sz w:val="20"/>
          <w:szCs w:val="20"/>
        </w:rPr>
        <w:t xml:space="preserve"> </w:t>
      </w:r>
      <w:r w:rsidRPr="009839D1">
        <w:rPr>
          <w:rFonts w:ascii="Arial" w:hAnsi="Arial" w:cs="Arial"/>
          <w:sz w:val="20"/>
          <w:szCs w:val="20"/>
        </w:rPr>
        <w:t>Mae meddwl pari rannu hefyd yn ffordd dda i’r plant cyfathrebu a rhannu syniadau gwahanol sydd gyda nhw am y gwaith maen nhw yn cynhyrchu. Yn ystod y dasg cloi bydd plant o grwpiau gwahanol yn cyflwyno ei ffeil ffeithiau i adael y dosbarth i ddangos beth maen nhw wedi dysgu am y wlad oeddent nhw wedi archwilio i ddysgu ei chyfoedion ffeithiau gwahanol am wledydd gwahanol, yn ystod yr amser yma fyddwn yn defnyddio asesu cyfoedion a dwy seren a dymuniad. Gyda'r asesu cyfoedion yn y rhan yma gall y plant oedd wedi archwilio'r un wlad rhoi ffeithiau pwysig efallai oedd ei chyfoedion wedi anghofio i gynnwys yn ffeil ffeithiau nhw i’r dosbarth a gall y plentyn yna gallu ychwanegu'r ffaith honna i'w ffeil ffeithiau nhw hefyd ar ol iddyn nhw gyflwyno ei gwaith os maen nhw eisiau, mae hyn yn ffordd dda o wneud yn siŵr bod yr holl wybodaeth bwysig yn  waith y plant heb i ni'r athrawon angen mynd o gwmpas pob plentyn a gwneud yn siŵr bod pob ffaith bwysig yn y gwaith yn ystod y wers. Hefyd fyddwn yn defnyddio dwy seren a dymuniad bydd hyn yn ble fydd plant y dosbarth yn ddweud dau peth da am waith ei chyfoedion ac un peth gallen nhw gwyneud fach yn well y tro nesaf oddi ar y meini prawf llwyddiant i leihau plant yn ddweud pethau cas neu amherthnasol. Mae (P Black , J Jones, 2006) yn ddweud wrth am blant ddod yn fwy cyfforddus wrth ddweud sylwadau ar sut i wella gwaith ei chyfoedion fydden nhw yn rhoi sylwadau fwy spesiffig yn y dosbarth ac mae’n cynhyrchu twyllant o gefnogaeth yn y dosbarth.</w:t>
      </w:r>
    </w:p>
    <w:p w14:paraId="1AC2EF41" w14:textId="3F8EFCF4" w:rsidR="008E636B" w:rsidRPr="00FA7943" w:rsidRDefault="0028621D" w:rsidP="00302641">
      <w:pPr>
        <w:spacing w:before="240"/>
        <w:rPr>
          <w:rFonts w:ascii="Arial" w:hAnsi="Arial" w:cs="Arial"/>
          <w:color w:val="ED7D31" w:themeColor="accent2"/>
          <w:sz w:val="20"/>
          <w:szCs w:val="20"/>
          <w:shd w:val="clear" w:color="auto" w:fill="FFFFFF"/>
        </w:rPr>
      </w:pPr>
      <w:r w:rsidRPr="009839D1">
        <w:rPr>
          <w:rFonts w:ascii="Arial" w:hAnsi="Arial" w:cs="Arial"/>
          <w:sz w:val="20"/>
          <w:szCs w:val="20"/>
        </w:rPr>
        <w:t>Yn ystod y drydedd wers sef Gwyddoniaeth a thechnoleg bydd y plant yn cynhyrchu poster rhyngweithiol ble fydd rhaid rhoi teitlau gwahanol ar y poster a ffeithiau sy’n mynd gyda'r teitlau dros y poster i gyd. Yn gyflwyniad i'r wers fyddwn yn defnyddio cwestiynu ac asesu cyfoedion i atgoffa'r plant ar y ffeithiau oeddyn nhw wedi dysgu yn y wers cyn. Mae cwestiynu effeithiol yn dda gan ei fod yn ffordd i'r plant arwain ei dysgu a bydd hyn hefyd yn orfod i’r plant i gofio nôl gwers i ddod o hyd i’r wybodaeth maen nhw angen i ateb y cwestiynnau ar ddechrau'r wers. Mae (Valverde Caravaca, R. ,2019) yn ddweud bod rhan fwyaf o ryngweithiadau'r dosbarth yn golygu ymateb i gwestiynau arddangos yn unig ac yn gorfodi'r angen i gofio, mae hyn</w:t>
      </w:r>
      <w:r>
        <w:rPr>
          <w:rFonts w:ascii="Arial" w:hAnsi="Arial" w:cs="Arial"/>
          <w:sz w:val="20"/>
          <w:szCs w:val="20"/>
        </w:rPr>
        <w:t xml:space="preserve"> yn un rheswm pam mae cwestiynnu yn </w:t>
      </w:r>
      <w:r>
        <w:rPr>
          <w:rFonts w:ascii="Arial" w:hAnsi="Arial" w:cs="Arial"/>
          <w:sz w:val="20"/>
          <w:szCs w:val="20"/>
        </w:rPr>
        <w:lastRenderedPageBreak/>
        <w:t>bwysig gan o fod yn gorfodi'r plant i gofio a pheidio ond yn dibynnu ar y gwaith yn fod ar y bwrdd gwyn yn y dosbarth.</w:t>
      </w:r>
      <w:r>
        <w:rPr>
          <w:rFonts w:ascii="Arial" w:hAnsi="Arial" w:cs="Arial"/>
          <w:color w:val="ED7D31"/>
          <w:sz w:val="20"/>
          <w:szCs w:val="20"/>
        </w:rPr>
        <w:t xml:space="preserve"> </w:t>
      </w:r>
      <w:r>
        <w:rPr>
          <w:rFonts w:ascii="Arial" w:hAnsi="Arial" w:cs="Arial"/>
          <w:sz w:val="20"/>
          <w:szCs w:val="20"/>
        </w:rPr>
        <w:t>Wrth gael y plant asesu cyfoedion fan hyn yn y wers yn gweithio yn dda gyda chwestiynu gan fydd y plant yn gallu cywiro ei gilydd os fydden nhw yn rhoi'r ateb anghywir wrthym ni fynd dros beth ddysgasom ni yn ystod y wers cyn. Maer dau fath o AagD yma yn gweithio yn dda gyda'i gilydd gan fod y plant yn cymryd rhan yn dysgu ei hun gan fod nhw yn cywiro ei gilydd a dydw i'r athrawes ddim yn ddweud wrth amdanyn nhw ei fod yn anghywir neu gywiro nhw triwyr amser sy’n yn y hir dymor yn hybu hyder y plant. Mae (J Parker, 2021) yn cytuno gyda hyn ac yn ddweud bod meddwl pari rannu yn dechneg dysgu sy’n hybu cymell ac ymgysylltu i’r gwaith.</w:t>
      </w:r>
      <w:r>
        <w:rPr>
          <w:rFonts w:ascii="Arial" w:hAnsi="Arial" w:cs="Arial"/>
          <w:color w:val="ED7D31"/>
          <w:sz w:val="20"/>
          <w:szCs w:val="20"/>
        </w:rPr>
        <w:t xml:space="preserve"> </w:t>
      </w:r>
      <w:r>
        <w:rPr>
          <w:rFonts w:ascii="Arial" w:hAnsi="Arial" w:cs="Arial"/>
          <w:sz w:val="20"/>
          <w:szCs w:val="20"/>
        </w:rPr>
        <w:t>Yn y brif dasg bydd y plant yn cynhyrchu ei phoster rhyngweithiol fel grŵp felly bydd rhaid fel grŵp penderfynu pa ffeithiau i gynnwys a sut i osod y ffeithiau ar y poster, mae gweithio fel hyn mewn grŵp yn hybu sgiliau cyfathrebu'r plant hefyd mae (Colognesi, S., Vassart, C., Blondeau, B., &amp; Coertjens, L., 2020) yn ddweud pan mae plant yn trafod adborth gydai gilydd maen nhw yn gwneud fwy o awgrymiadau</w:t>
      </w:r>
      <w:r>
        <w:rPr>
          <w:rFonts w:ascii="Arial" w:hAnsi="Arial" w:cs="Arial"/>
          <w:color w:val="C00000"/>
          <w:sz w:val="20"/>
          <w:szCs w:val="20"/>
        </w:rPr>
        <w:t xml:space="preserve"> </w:t>
      </w:r>
      <w:r>
        <w:rPr>
          <w:rFonts w:ascii="Arial" w:hAnsi="Arial" w:cs="Arial"/>
          <w:sz w:val="20"/>
          <w:szCs w:val="20"/>
        </w:rPr>
        <w:t>, mae hyn yn dangos fod gweithio mewn grŵp yn hybu syniadau ac yn gwthio'r plant i gynhyrchu gwaith o safon uchel. Mae hefyd rhaid i'r plant cofio dol i’r gwersi gwyddoniaeth a thechnoleg cyn i gofio sut i greu cylchred trydanol, cael hyn yn gywir yn bwysig gan fod rhaid i hyn cael ei chreu yn gywir i'r poster fod yn rhyngweithiol. Yn y rhan yma o’r wers fyddwn i fel yr athrawes yn rhoi adborth ar lafar i'r grwpiau i wneud yn siwr bod pawb ar y trywydd cywir. Maer (Llywodraeth Cymru 2010) yn ddweud wrth adborth fod yn effeithioldylau fod mor syth â phosib, dylai fod yn glir a dylai wneud i’r dysgwyr feddwl. Y peth fwyaf pwysig i gofio wrth roi adborth llafar i'r dosbarth mae ansawdd yr adborth angen fod yn dda iddo fod yn effeithiol mae rhaid i chi feddwl bydd yr adborth yma yn helpu'r plant cynyddu a gwella ei gwaith. (Llywodraeth Cymru ,2010)</w:t>
      </w:r>
      <w:r>
        <w:rPr>
          <w:rFonts w:ascii="Arial" w:hAnsi="Arial" w:cs="Arial"/>
          <w:color w:val="ED7D31"/>
          <w:sz w:val="20"/>
          <w:szCs w:val="20"/>
        </w:rPr>
        <w:t xml:space="preserve"> </w:t>
      </w:r>
      <w:r>
        <w:rPr>
          <w:rFonts w:ascii="Arial" w:hAnsi="Arial" w:cs="Arial"/>
          <w:sz w:val="20"/>
          <w:szCs w:val="20"/>
        </w:rPr>
        <w:t>I gloi'r dasg eto fyddwn yn mynd yn ol i ddefnyddio cwestiynnu ac asesu cyfoedion fel ein mathau o AagD yn y sesiwn cloi'r wers, rydw i wedi dewis i ddefnyddio'r ddau yma eto gydai gilydd oherwydd maen nhw yn gweithio yn dda gyda'i gilydd ac yn gweithio yn dda mewn trafodaeth dosbarth gan fod trafodaeth dosbarth yn naturiol yn ofyn cwestiynau ac yn rhoi siawns i bob plentyn rhoi ei barn a rhoi adborth i'w cyfoedion. Mae (Dunn 2017) yn ddweud nad fydd asesu cyfoedion yn mynd i fod yn effeithiol os nad yw'r plant yn deall beth maen nhw yn asesu a chi fel yr athro heb roi'r meini prawf iddyn nhw i ddeall beth yw ffaith dda a beth sydd ddim yn ffaith dda.</w:t>
      </w:r>
    </w:p>
    <w:p w14:paraId="28F7E4FA" w14:textId="618B4063" w:rsidR="00FD447A" w:rsidRDefault="0028621D" w:rsidP="00302641">
      <w:pPr>
        <w:spacing w:before="240"/>
        <w:rPr>
          <w:rFonts w:ascii="Arial" w:hAnsi="Arial" w:cs="Arial"/>
          <w:sz w:val="20"/>
          <w:szCs w:val="20"/>
        </w:rPr>
      </w:pPr>
      <w:r>
        <w:rPr>
          <w:rFonts w:ascii="Arial" w:hAnsi="Arial" w:cs="Arial"/>
          <w:sz w:val="20"/>
          <w:szCs w:val="20"/>
        </w:rPr>
        <w:t>Wrth gynllunio'r tair gwers rydw i wedi siarad am yn y paragraffau uchod oeddwn i yn ceisio ychwanegu mathau o AagD sy’n mynd i fod y fwyaf effeithiol i gynyddu ei dysgu a gwthio'r plant i gynhyrchu'r gwaith gorau gallen nhw. Felly'r holl fathau o AagD wnes i ddefnyddio yn ystod y tair gwers oedd Bodiau lan neu lawr, marcio byw, asesu cyfoedion, gweithio mewn grŵp, meddwl pari rannu, byrddau gwyn bach, dwy seren a dymuniad ac adborth llafar mae pob un o’r technegau yma yn cael agweddau positif ond mae rhaid cofio nid maen nhw yn berffaith ac mae ganddyn nhw elfennau negyddol felly i ddod dros hyn a chael gwaith o safon uchel maen nhw yn gweithio yn well os rydych yn defnyddio fwy nag un dechneg ar y tro mewn ffordd synhwyrol. Dewisais i'r holl dechnegau yma oherwydd maen nhw yn cydweithio yn dda gydai gilydd i helpu'r plant i lwyddo yn y dosbarth, mae defnyddio mwy nag un dechneg ar yr un pryd yn ffordd dda i geisio osgoi'r ochrau negyddol sydd gan dechnegau gwahanol. Mae technegau AagD gwahanol yn mynd i weithio yn wahanol i ddosbarthiadau gwahanol felly'r technegau rydw i wedi defnyddio fan hyn efallai ddim yn mynd i weithio gyda dosbarth arall. Mae defnyddio AagD yn bwysig i ddefnyddio yn y dosbarth ac yr holl fordd trwy'r ysgol gan ei fod yn helpu chi fel athro gan ei fod yn lleihau'r straen marcio ar athrawon ac yn rhoi adborth i’r disgyblion ar y man. Mae’r rhoi'r adborth i’r disgyblion ar y man yn fwy buddiol i’r dysgwyr gan ei fod yn gallu gweld ble yn union maen nhw wedi mynd yn anghywir a chywiro ei hun ar gwestiwn un yn lle dysgu ei bod nhw wedi gwneud popeth yn anghywir y dydd wedyn.</w:t>
      </w:r>
    </w:p>
    <w:p w14:paraId="14C5311D" w14:textId="77777777" w:rsidR="00FC754C" w:rsidRDefault="00FC754C" w:rsidP="00302641">
      <w:pPr>
        <w:spacing w:before="240"/>
        <w:rPr>
          <w:rFonts w:ascii="Arial" w:hAnsi="Arial" w:cs="Arial"/>
          <w:sz w:val="20"/>
          <w:szCs w:val="20"/>
        </w:rPr>
      </w:pPr>
    </w:p>
    <w:p w14:paraId="719F4C67" w14:textId="77777777" w:rsidR="00576E1D" w:rsidRDefault="00576E1D" w:rsidP="00FC754C">
      <w:pPr>
        <w:spacing w:before="240"/>
        <w:jc w:val="center"/>
        <w:rPr>
          <w:rFonts w:ascii="Arial" w:hAnsi="Arial" w:cs="Arial"/>
          <w:b/>
          <w:bCs/>
          <w:sz w:val="20"/>
          <w:szCs w:val="20"/>
          <w:u w:val="single"/>
        </w:rPr>
      </w:pPr>
      <w:bookmarkStart w:id="0" w:name="cysill"/>
      <w:bookmarkEnd w:id="0"/>
    </w:p>
    <w:p w14:paraId="2FBA802F" w14:textId="77777777" w:rsidR="00576E1D" w:rsidRDefault="00576E1D" w:rsidP="00FC754C">
      <w:pPr>
        <w:spacing w:before="240"/>
        <w:jc w:val="center"/>
        <w:rPr>
          <w:rFonts w:ascii="Arial" w:hAnsi="Arial" w:cs="Arial"/>
          <w:b/>
          <w:bCs/>
          <w:sz w:val="20"/>
          <w:szCs w:val="20"/>
          <w:u w:val="single"/>
        </w:rPr>
      </w:pPr>
    </w:p>
    <w:p w14:paraId="10190C35" w14:textId="77777777" w:rsidR="00576E1D" w:rsidRDefault="00576E1D" w:rsidP="00FC754C">
      <w:pPr>
        <w:spacing w:before="240"/>
        <w:jc w:val="center"/>
        <w:rPr>
          <w:rFonts w:ascii="Arial" w:hAnsi="Arial" w:cs="Arial"/>
          <w:b/>
          <w:bCs/>
          <w:sz w:val="20"/>
          <w:szCs w:val="20"/>
          <w:u w:val="single"/>
        </w:rPr>
      </w:pPr>
    </w:p>
    <w:p w14:paraId="192D6499" w14:textId="77777777" w:rsidR="00576E1D" w:rsidRDefault="00576E1D" w:rsidP="00FC754C">
      <w:pPr>
        <w:spacing w:before="240"/>
        <w:jc w:val="center"/>
        <w:rPr>
          <w:rFonts w:ascii="Arial" w:hAnsi="Arial" w:cs="Arial"/>
          <w:b/>
          <w:bCs/>
          <w:sz w:val="20"/>
          <w:szCs w:val="20"/>
          <w:u w:val="single"/>
        </w:rPr>
      </w:pPr>
    </w:p>
    <w:p w14:paraId="25806510" w14:textId="77777777" w:rsidR="00576E1D" w:rsidRDefault="00576E1D" w:rsidP="00FC754C">
      <w:pPr>
        <w:spacing w:before="240"/>
        <w:jc w:val="center"/>
        <w:rPr>
          <w:rFonts w:ascii="Arial" w:hAnsi="Arial" w:cs="Arial"/>
          <w:b/>
          <w:bCs/>
          <w:sz w:val="20"/>
          <w:szCs w:val="20"/>
          <w:u w:val="single"/>
        </w:rPr>
      </w:pPr>
    </w:p>
    <w:p w14:paraId="4579413E" w14:textId="77777777" w:rsidR="00576E1D" w:rsidRDefault="00576E1D" w:rsidP="00FC754C">
      <w:pPr>
        <w:spacing w:before="240"/>
        <w:jc w:val="center"/>
        <w:rPr>
          <w:rFonts w:ascii="Arial" w:hAnsi="Arial" w:cs="Arial"/>
          <w:b/>
          <w:bCs/>
          <w:sz w:val="20"/>
          <w:szCs w:val="20"/>
          <w:u w:val="single"/>
        </w:rPr>
      </w:pPr>
    </w:p>
    <w:p w14:paraId="6CECE3E7" w14:textId="49B1CFAF" w:rsidR="00FC754C" w:rsidRDefault="00FC754C" w:rsidP="00FC754C">
      <w:pPr>
        <w:spacing w:before="240"/>
        <w:jc w:val="center"/>
        <w:rPr>
          <w:rFonts w:ascii="Arial" w:hAnsi="Arial" w:cs="Arial"/>
          <w:b/>
          <w:bCs/>
          <w:sz w:val="20"/>
          <w:szCs w:val="20"/>
          <w:u w:val="single"/>
        </w:rPr>
      </w:pPr>
      <w:r w:rsidRPr="00CD5627">
        <w:rPr>
          <w:rFonts w:ascii="Arial" w:hAnsi="Arial" w:cs="Arial"/>
          <w:b/>
          <w:bCs/>
          <w:sz w:val="20"/>
          <w:szCs w:val="20"/>
          <w:u w:val="single"/>
        </w:rPr>
        <w:t>Atodiadau</w:t>
      </w:r>
    </w:p>
    <w:p w14:paraId="4AEDB2FC" w14:textId="5153D5F7" w:rsidR="0079065C" w:rsidRDefault="00324A75" w:rsidP="00D0364C">
      <w:pPr>
        <w:spacing w:before="240"/>
        <w:rPr>
          <w:rFonts w:ascii="Arial" w:hAnsi="Arial" w:cs="Arial"/>
          <w:b/>
          <w:bCs/>
          <w:sz w:val="20"/>
          <w:szCs w:val="20"/>
          <w:u w:val="single"/>
        </w:rPr>
      </w:pPr>
      <w:r>
        <w:rPr>
          <w:rFonts w:ascii="Arial" w:hAnsi="Arial" w:cs="Arial"/>
          <w:b/>
          <w:bCs/>
          <w:sz w:val="20"/>
          <w:szCs w:val="20"/>
          <w:u w:val="single"/>
        </w:rPr>
        <w:t>Gwers 1</w:t>
      </w:r>
    </w:p>
    <w:p w14:paraId="1D33C585" w14:textId="3C70BC0F" w:rsidR="0079065C" w:rsidRDefault="004D57AA" w:rsidP="0079065C">
      <w:pPr>
        <w:spacing w:before="240"/>
        <w:rPr>
          <w:rFonts w:ascii="Arial" w:hAnsi="Arial" w:cs="Arial"/>
          <w:b/>
          <w:bCs/>
          <w:sz w:val="20"/>
          <w:szCs w:val="20"/>
          <w:u w:val="single"/>
        </w:rPr>
      </w:pPr>
      <w:r>
        <w:rPr>
          <w:rFonts w:ascii="Arial" w:hAnsi="Arial" w:cs="Arial"/>
          <w:b/>
          <w:bCs/>
          <w:noProof/>
          <w:sz w:val="20"/>
          <w:szCs w:val="20"/>
          <w:u w:val="single"/>
        </w:rPr>
        <w:drawing>
          <wp:inline distT="0" distB="0" distL="0" distR="0" wp14:anchorId="7C2B402F" wp14:editId="1CF045B2">
            <wp:extent cx="5731510" cy="3913505"/>
            <wp:effectExtent l="0" t="0" r="0" b="0"/>
            <wp:docPr id="20364366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43666" name="Picture 8"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913505"/>
                    </a:xfrm>
                    <a:prstGeom prst="rect">
                      <a:avLst/>
                    </a:prstGeom>
                  </pic:spPr>
                </pic:pic>
              </a:graphicData>
            </a:graphic>
          </wp:inline>
        </w:drawing>
      </w:r>
    </w:p>
    <w:p w14:paraId="200E3307" w14:textId="38208B8F" w:rsidR="0079065C" w:rsidRPr="00CD5627" w:rsidRDefault="007C4FE7" w:rsidP="0079065C">
      <w:pPr>
        <w:spacing w:before="240"/>
        <w:rPr>
          <w:rFonts w:ascii="Arial" w:hAnsi="Arial" w:cs="Arial"/>
          <w:b/>
          <w:bCs/>
          <w:sz w:val="20"/>
          <w:szCs w:val="20"/>
          <w:u w:val="single"/>
        </w:rPr>
      </w:pPr>
      <w:r>
        <w:rPr>
          <w:rFonts w:ascii="Arial" w:hAnsi="Arial" w:cs="Arial"/>
          <w:b/>
          <w:bCs/>
          <w:noProof/>
          <w:sz w:val="20"/>
          <w:szCs w:val="20"/>
          <w:u w:val="single"/>
        </w:rPr>
        <w:lastRenderedPageBreak/>
        <w:drawing>
          <wp:anchor distT="0" distB="0" distL="114300" distR="114300" simplePos="0" relativeHeight="251671552" behindDoc="0" locked="0" layoutInCell="1" allowOverlap="1" wp14:anchorId="51E0CAE6" wp14:editId="57866563">
            <wp:simplePos x="0" y="0"/>
            <wp:positionH relativeFrom="column">
              <wp:posOffset>0</wp:posOffset>
            </wp:positionH>
            <wp:positionV relativeFrom="paragraph">
              <wp:posOffset>0</wp:posOffset>
            </wp:positionV>
            <wp:extent cx="5731510" cy="4512945"/>
            <wp:effectExtent l="0" t="0" r="0" b="0"/>
            <wp:wrapSquare wrapText="bothSides"/>
            <wp:docPr id="139710748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107484" name="Picture 9"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512945"/>
                    </a:xfrm>
                    <a:prstGeom prst="rect">
                      <a:avLst/>
                    </a:prstGeom>
                  </pic:spPr>
                </pic:pic>
              </a:graphicData>
            </a:graphic>
          </wp:anchor>
        </w:drawing>
      </w:r>
      <w:r>
        <w:rPr>
          <w:rFonts w:ascii="Arial" w:hAnsi="Arial" w:cs="Arial"/>
          <w:b/>
          <w:bCs/>
          <w:noProof/>
          <w:sz w:val="20"/>
          <w:szCs w:val="20"/>
          <w:u w:val="single"/>
        </w:rPr>
        <w:drawing>
          <wp:inline distT="0" distB="0" distL="0" distR="0" wp14:anchorId="5DA6552F" wp14:editId="081A9151">
            <wp:extent cx="5731510" cy="4457700"/>
            <wp:effectExtent l="0" t="0" r="0" b="0"/>
            <wp:docPr id="259882794" name="Picture 1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82794" name="Picture 10" descr="A screenshot of a computer scree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457700"/>
                    </a:xfrm>
                    <a:prstGeom prst="rect">
                      <a:avLst/>
                    </a:prstGeom>
                  </pic:spPr>
                </pic:pic>
              </a:graphicData>
            </a:graphic>
          </wp:inline>
        </w:drawing>
      </w:r>
      <w:r>
        <w:rPr>
          <w:rFonts w:ascii="Arial" w:hAnsi="Arial" w:cs="Arial"/>
          <w:b/>
          <w:bCs/>
          <w:noProof/>
          <w:sz w:val="20"/>
          <w:szCs w:val="20"/>
          <w:u w:val="single"/>
        </w:rPr>
        <w:lastRenderedPageBreak/>
        <w:drawing>
          <wp:inline distT="0" distB="0" distL="0" distR="0" wp14:anchorId="42C44176" wp14:editId="70EA188C">
            <wp:extent cx="5731510" cy="2138045"/>
            <wp:effectExtent l="0" t="0" r="0" b="0"/>
            <wp:docPr id="1727296676" name="Picture 11" descr="A white sheet with black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296676" name="Picture 11" descr="A white sheet with black and yellow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138045"/>
                    </a:xfrm>
                    <a:prstGeom prst="rect">
                      <a:avLst/>
                    </a:prstGeom>
                  </pic:spPr>
                </pic:pic>
              </a:graphicData>
            </a:graphic>
          </wp:inline>
        </w:drawing>
      </w:r>
    </w:p>
    <w:p w14:paraId="10F30CA0" w14:textId="77777777" w:rsidR="005D6585" w:rsidRDefault="005D6585">
      <w:pPr>
        <w:rPr>
          <w:rFonts w:ascii="Arial" w:hAnsi="Arial" w:cs="Arial"/>
          <w:color w:val="C00000"/>
          <w:sz w:val="20"/>
          <w:szCs w:val="20"/>
        </w:rPr>
      </w:pPr>
    </w:p>
    <w:p w14:paraId="1B930D98" w14:textId="06D1ADD8" w:rsidR="005D6585" w:rsidRDefault="005D6585">
      <w:pPr>
        <w:rPr>
          <w:rFonts w:ascii="Arial" w:hAnsi="Arial" w:cs="Arial"/>
          <w:color w:val="C00000"/>
          <w:sz w:val="20"/>
          <w:szCs w:val="20"/>
        </w:rPr>
      </w:pPr>
    </w:p>
    <w:p w14:paraId="27D886F2" w14:textId="704509EB" w:rsidR="005D6585" w:rsidRPr="00262F19" w:rsidRDefault="00324A75">
      <w:pPr>
        <w:rPr>
          <w:rFonts w:ascii="Arial" w:hAnsi="Arial" w:cs="Arial"/>
          <w:b/>
          <w:bCs/>
          <w:sz w:val="20"/>
          <w:szCs w:val="20"/>
          <w:u w:val="single"/>
        </w:rPr>
      </w:pPr>
      <w:r>
        <w:rPr>
          <w:noProof/>
          <w:color w:val="C00000"/>
          <w:sz w:val="20"/>
          <w:szCs w:val="20"/>
        </w:rPr>
        <w:drawing>
          <wp:anchor distT="0" distB="0" distL="114300" distR="114300" simplePos="0" relativeHeight="251556864" behindDoc="0" locked="0" layoutInCell="1" allowOverlap="1" wp14:anchorId="6ED7AFCF" wp14:editId="11816311">
            <wp:simplePos x="0" y="0"/>
            <wp:positionH relativeFrom="column">
              <wp:posOffset>-594360</wp:posOffset>
            </wp:positionH>
            <wp:positionV relativeFrom="paragraph">
              <wp:posOffset>358140</wp:posOffset>
            </wp:positionV>
            <wp:extent cx="5731510" cy="3085465"/>
            <wp:effectExtent l="0" t="0" r="0" b="0"/>
            <wp:wrapSquare wrapText="bothSides"/>
            <wp:docPr id="44396205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62052" name="Picture 1" descr="A close-up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anchor>
        </w:drawing>
      </w:r>
      <w:r w:rsidR="005D6585" w:rsidRPr="00262F19">
        <w:rPr>
          <w:rFonts w:ascii="Arial" w:hAnsi="Arial" w:cs="Arial"/>
          <w:b/>
          <w:bCs/>
          <w:sz w:val="20"/>
          <w:szCs w:val="20"/>
          <w:u w:val="single"/>
        </w:rPr>
        <w:t>Gwers 2</w:t>
      </w:r>
    </w:p>
    <w:p w14:paraId="223B2572" w14:textId="31802B93" w:rsidR="00FC754C" w:rsidRPr="005D6585" w:rsidRDefault="00324A75">
      <w:pPr>
        <w:rPr>
          <w:rFonts w:ascii="Arial" w:hAnsi="Arial" w:cs="Arial"/>
          <w:color w:val="C00000"/>
          <w:sz w:val="20"/>
          <w:szCs w:val="20"/>
        </w:rPr>
      </w:pPr>
      <w:r>
        <w:rPr>
          <w:noProof/>
          <w:color w:val="C00000"/>
          <w:sz w:val="20"/>
          <w:szCs w:val="20"/>
        </w:rPr>
        <w:drawing>
          <wp:anchor distT="0" distB="0" distL="114300" distR="114300" simplePos="0" relativeHeight="251604992" behindDoc="0" locked="0" layoutInCell="1" allowOverlap="1" wp14:anchorId="2E7E26F6" wp14:editId="7ECF6A04">
            <wp:simplePos x="0" y="0"/>
            <wp:positionH relativeFrom="column">
              <wp:posOffset>-5845810</wp:posOffset>
            </wp:positionH>
            <wp:positionV relativeFrom="paragraph">
              <wp:posOffset>3249930</wp:posOffset>
            </wp:positionV>
            <wp:extent cx="5731510" cy="2594610"/>
            <wp:effectExtent l="0" t="0" r="0" b="0"/>
            <wp:wrapSquare wrapText="bothSides"/>
            <wp:docPr id="196431576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15769" name="Picture 2"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594610"/>
                    </a:xfrm>
                    <a:prstGeom prst="rect">
                      <a:avLst/>
                    </a:prstGeom>
                  </pic:spPr>
                </pic:pic>
              </a:graphicData>
            </a:graphic>
          </wp:anchor>
        </w:drawing>
      </w:r>
      <w:r w:rsidR="00D87123" w:rsidRPr="005D6585">
        <w:rPr>
          <w:rFonts w:ascii="Arial" w:hAnsi="Arial" w:cs="Arial"/>
          <w:sz w:val="20"/>
          <w:szCs w:val="20"/>
        </w:rPr>
        <w:br w:type="page"/>
      </w:r>
    </w:p>
    <w:p w14:paraId="6BD3A498" w14:textId="1E70D68E" w:rsidR="00D91D69" w:rsidRPr="00863EF6" w:rsidRDefault="00863EF6">
      <w:pPr>
        <w:rPr>
          <w:rFonts w:ascii="Arial" w:hAnsi="Arial" w:cs="Arial"/>
          <w:color w:val="C00000"/>
          <w:sz w:val="20"/>
          <w:szCs w:val="20"/>
        </w:rPr>
      </w:pPr>
      <w:r>
        <w:rPr>
          <w:noProof/>
          <w:color w:val="C00000"/>
          <w:sz w:val="20"/>
          <w:szCs w:val="20"/>
        </w:rPr>
        <w:lastRenderedPageBreak/>
        <w:drawing>
          <wp:anchor distT="0" distB="0" distL="114300" distR="114300" simplePos="0" relativeHeight="251742208" behindDoc="0" locked="0" layoutInCell="1" allowOverlap="1" wp14:anchorId="4ECB9956" wp14:editId="7C3E69A3">
            <wp:simplePos x="0" y="0"/>
            <wp:positionH relativeFrom="column">
              <wp:posOffset>-295366</wp:posOffset>
            </wp:positionH>
            <wp:positionV relativeFrom="paragraph">
              <wp:posOffset>4169410</wp:posOffset>
            </wp:positionV>
            <wp:extent cx="5731510" cy="4335145"/>
            <wp:effectExtent l="0" t="0" r="0" b="0"/>
            <wp:wrapSquare wrapText="bothSides"/>
            <wp:docPr id="914451457" name="Picture 6"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451457" name="Picture 6" descr="A white rectangular box with black 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4335145"/>
                    </a:xfrm>
                    <a:prstGeom prst="rect">
                      <a:avLst/>
                    </a:prstGeom>
                  </pic:spPr>
                </pic:pic>
              </a:graphicData>
            </a:graphic>
          </wp:anchor>
        </w:drawing>
      </w:r>
      <w:r w:rsidR="00531FF5">
        <w:rPr>
          <w:noProof/>
          <w:color w:val="C00000"/>
          <w:sz w:val="20"/>
          <w:szCs w:val="20"/>
        </w:rPr>
        <w:drawing>
          <wp:anchor distT="0" distB="0" distL="114300" distR="114300" simplePos="0" relativeHeight="251704320" behindDoc="0" locked="0" layoutInCell="1" allowOverlap="1" wp14:anchorId="75D12A2B" wp14:editId="7BC516D0">
            <wp:simplePos x="0" y="0"/>
            <wp:positionH relativeFrom="column">
              <wp:posOffset>-272143</wp:posOffset>
            </wp:positionH>
            <wp:positionV relativeFrom="paragraph">
              <wp:posOffset>2721882</wp:posOffset>
            </wp:positionV>
            <wp:extent cx="5731510" cy="1429385"/>
            <wp:effectExtent l="0" t="0" r="0" b="0"/>
            <wp:wrapSquare wrapText="bothSides"/>
            <wp:docPr id="2135863765" name="Picture 5" descr="A close-up of a blu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63765" name="Picture 5" descr="A close-up of a blue box&#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429385"/>
                    </a:xfrm>
                    <a:prstGeom prst="rect">
                      <a:avLst/>
                    </a:prstGeom>
                  </pic:spPr>
                </pic:pic>
              </a:graphicData>
            </a:graphic>
          </wp:anchor>
        </w:drawing>
      </w:r>
      <w:r w:rsidR="00605C4C">
        <w:rPr>
          <w:noProof/>
          <w:color w:val="C00000"/>
          <w:sz w:val="20"/>
          <w:szCs w:val="20"/>
        </w:rPr>
        <w:drawing>
          <wp:anchor distT="0" distB="0" distL="114300" distR="114300" simplePos="0" relativeHeight="251659264" behindDoc="0" locked="0" layoutInCell="1" allowOverlap="1" wp14:anchorId="0A90FBF1" wp14:editId="62E1B23A">
            <wp:simplePos x="0" y="0"/>
            <wp:positionH relativeFrom="column">
              <wp:posOffset>-274320</wp:posOffset>
            </wp:positionH>
            <wp:positionV relativeFrom="paragraph">
              <wp:posOffset>635</wp:posOffset>
            </wp:positionV>
            <wp:extent cx="5731510" cy="2586355"/>
            <wp:effectExtent l="0" t="0" r="0" b="0"/>
            <wp:wrapSquare wrapText="bothSides"/>
            <wp:docPr id="199889184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91842" name="Picture 3"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586355"/>
                    </a:xfrm>
                    <a:prstGeom prst="rect">
                      <a:avLst/>
                    </a:prstGeom>
                  </pic:spPr>
                </pic:pic>
              </a:graphicData>
            </a:graphic>
          </wp:anchor>
        </w:drawing>
      </w:r>
    </w:p>
    <w:p w14:paraId="09BE28D1" w14:textId="781BBF83" w:rsidR="00D91D69" w:rsidRDefault="00863EF6">
      <w:pPr>
        <w:rPr>
          <w:b/>
          <w:bCs/>
          <w:sz w:val="20"/>
          <w:szCs w:val="20"/>
          <w:u w:val="single"/>
        </w:rPr>
      </w:pPr>
      <w:r>
        <w:rPr>
          <w:noProof/>
          <w:color w:val="C00000"/>
          <w:sz w:val="20"/>
          <w:szCs w:val="20"/>
        </w:rPr>
        <w:lastRenderedPageBreak/>
        <w:drawing>
          <wp:anchor distT="0" distB="0" distL="114300" distR="114300" simplePos="0" relativeHeight="251510784" behindDoc="0" locked="0" layoutInCell="1" allowOverlap="1" wp14:anchorId="3DBE942E" wp14:editId="49840E65">
            <wp:simplePos x="0" y="0"/>
            <wp:positionH relativeFrom="column">
              <wp:posOffset>-348343</wp:posOffset>
            </wp:positionH>
            <wp:positionV relativeFrom="paragraph">
              <wp:posOffset>241482</wp:posOffset>
            </wp:positionV>
            <wp:extent cx="5731510" cy="2700020"/>
            <wp:effectExtent l="0" t="0" r="0" b="0"/>
            <wp:wrapSquare wrapText="bothSides"/>
            <wp:docPr id="806208690" name="Picture 7" descr="A white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08690" name="Picture 7" descr="A white page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700020"/>
                    </a:xfrm>
                    <a:prstGeom prst="rect">
                      <a:avLst/>
                    </a:prstGeom>
                  </pic:spPr>
                </pic:pic>
              </a:graphicData>
            </a:graphic>
          </wp:anchor>
        </w:drawing>
      </w:r>
    </w:p>
    <w:p w14:paraId="01B43687" w14:textId="40C3C2AE" w:rsidR="00606AC8" w:rsidRDefault="00606AC8" w:rsidP="008D4FA2">
      <w:pPr>
        <w:jc w:val="center"/>
        <w:rPr>
          <w:b/>
          <w:bCs/>
          <w:sz w:val="20"/>
          <w:szCs w:val="20"/>
          <w:u w:val="single"/>
        </w:rPr>
      </w:pPr>
    </w:p>
    <w:p w14:paraId="3301B94D" w14:textId="77777777" w:rsidR="00DC02C5" w:rsidRDefault="00DC02C5" w:rsidP="00CE1160">
      <w:pPr>
        <w:rPr>
          <w:sz w:val="20"/>
          <w:szCs w:val="20"/>
        </w:rPr>
      </w:pPr>
    </w:p>
    <w:p w14:paraId="1C31AD3F" w14:textId="77777777" w:rsidR="00C51725" w:rsidRDefault="00C51725">
      <w:pPr>
        <w:rPr>
          <w:sz w:val="20"/>
          <w:szCs w:val="20"/>
        </w:rPr>
      </w:pPr>
    </w:p>
    <w:p w14:paraId="1FB5F942" w14:textId="77777777" w:rsidR="00C51725" w:rsidRDefault="00C51725">
      <w:pPr>
        <w:rPr>
          <w:sz w:val="20"/>
          <w:szCs w:val="20"/>
        </w:rPr>
      </w:pPr>
    </w:p>
    <w:p w14:paraId="567A8162" w14:textId="77777777" w:rsidR="00C51725" w:rsidRDefault="00C51725">
      <w:pPr>
        <w:rPr>
          <w:sz w:val="20"/>
          <w:szCs w:val="20"/>
        </w:rPr>
      </w:pPr>
    </w:p>
    <w:p w14:paraId="235092A9" w14:textId="77777777" w:rsidR="00C51725" w:rsidRDefault="00C51725">
      <w:pPr>
        <w:rPr>
          <w:sz w:val="20"/>
          <w:szCs w:val="20"/>
        </w:rPr>
      </w:pPr>
    </w:p>
    <w:p w14:paraId="0C92A1F9" w14:textId="77777777" w:rsidR="00C51725" w:rsidRDefault="00C51725" w:rsidP="00C51725">
      <w:pPr>
        <w:rPr>
          <w:sz w:val="20"/>
          <w:szCs w:val="20"/>
        </w:rPr>
      </w:pPr>
    </w:p>
    <w:p w14:paraId="2A1E27BA" w14:textId="77777777" w:rsidR="00C51725" w:rsidRDefault="00C51725" w:rsidP="00C51725">
      <w:pPr>
        <w:rPr>
          <w:sz w:val="20"/>
          <w:szCs w:val="20"/>
        </w:rPr>
      </w:pPr>
    </w:p>
    <w:p w14:paraId="706B321C" w14:textId="77777777" w:rsidR="00C51725" w:rsidRDefault="00C51725" w:rsidP="00C51725">
      <w:pPr>
        <w:rPr>
          <w:sz w:val="20"/>
          <w:szCs w:val="20"/>
        </w:rPr>
      </w:pPr>
    </w:p>
    <w:p w14:paraId="311D402E" w14:textId="77777777" w:rsidR="00C51725" w:rsidRDefault="00C51725" w:rsidP="00C51725">
      <w:pPr>
        <w:rPr>
          <w:sz w:val="20"/>
          <w:szCs w:val="20"/>
        </w:rPr>
      </w:pPr>
    </w:p>
    <w:p w14:paraId="0691017B" w14:textId="77777777" w:rsidR="00C51725" w:rsidRDefault="00C51725" w:rsidP="00C51725">
      <w:pPr>
        <w:rPr>
          <w:sz w:val="20"/>
          <w:szCs w:val="20"/>
        </w:rPr>
      </w:pPr>
    </w:p>
    <w:p w14:paraId="68227255" w14:textId="595B07B4" w:rsidR="00DC02C5" w:rsidRDefault="00DC02C5" w:rsidP="00C51725">
      <w:pPr>
        <w:rPr>
          <w:sz w:val="20"/>
          <w:szCs w:val="20"/>
        </w:rPr>
      </w:pPr>
      <w:r>
        <w:rPr>
          <w:b/>
          <w:bCs/>
          <w:noProof/>
          <w:sz w:val="20"/>
          <w:szCs w:val="20"/>
          <w:u w:val="single"/>
        </w:rPr>
        <w:drawing>
          <wp:anchor distT="0" distB="0" distL="114300" distR="114300" simplePos="0" relativeHeight="251752448" behindDoc="0" locked="0" layoutInCell="1" allowOverlap="1" wp14:anchorId="31AE55DC" wp14:editId="6F1973C2">
            <wp:simplePos x="0" y="0"/>
            <wp:positionH relativeFrom="column">
              <wp:posOffset>-381000</wp:posOffset>
            </wp:positionH>
            <wp:positionV relativeFrom="paragraph">
              <wp:posOffset>964746</wp:posOffset>
            </wp:positionV>
            <wp:extent cx="5731510" cy="4276725"/>
            <wp:effectExtent l="0" t="0" r="0" b="0"/>
            <wp:wrapSquare wrapText="bothSides"/>
            <wp:docPr id="117668834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88347" name="Picture 12"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276725"/>
                    </a:xfrm>
                    <a:prstGeom prst="rect">
                      <a:avLst/>
                    </a:prstGeom>
                  </pic:spPr>
                </pic:pic>
              </a:graphicData>
            </a:graphic>
          </wp:anchor>
        </w:drawing>
      </w:r>
      <w:r w:rsidR="00D0364C">
        <w:rPr>
          <w:sz w:val="20"/>
          <w:szCs w:val="20"/>
        </w:rPr>
        <w:t>Gwers 3</w:t>
      </w:r>
      <w:r>
        <w:rPr>
          <w:sz w:val="20"/>
          <w:szCs w:val="20"/>
        </w:rPr>
        <w:br w:type="page"/>
      </w:r>
    </w:p>
    <w:p w14:paraId="60D42582" w14:textId="39332D43" w:rsidR="00DC02C5" w:rsidRDefault="00DC02C5" w:rsidP="00CE1160">
      <w:pPr>
        <w:rPr>
          <w:sz w:val="20"/>
          <w:szCs w:val="20"/>
        </w:rPr>
      </w:pPr>
      <w:r>
        <w:rPr>
          <w:b/>
          <w:bCs/>
          <w:noProof/>
          <w:sz w:val="20"/>
          <w:szCs w:val="20"/>
          <w:u w:val="single"/>
        </w:rPr>
        <w:lastRenderedPageBreak/>
        <w:drawing>
          <wp:anchor distT="0" distB="0" distL="114300" distR="114300" simplePos="0" relativeHeight="251774976" behindDoc="0" locked="0" layoutInCell="1" allowOverlap="1" wp14:anchorId="2F710C5F" wp14:editId="12788667">
            <wp:simplePos x="0" y="0"/>
            <wp:positionH relativeFrom="column">
              <wp:posOffset>-358140</wp:posOffset>
            </wp:positionH>
            <wp:positionV relativeFrom="paragraph">
              <wp:posOffset>314870</wp:posOffset>
            </wp:positionV>
            <wp:extent cx="5731510" cy="3844290"/>
            <wp:effectExtent l="0" t="0" r="0" b="0"/>
            <wp:wrapSquare wrapText="bothSides"/>
            <wp:docPr id="346490174"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90174" name="Picture 13"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844290"/>
                    </a:xfrm>
                    <a:prstGeom prst="rect">
                      <a:avLst/>
                    </a:prstGeom>
                  </pic:spPr>
                </pic:pic>
              </a:graphicData>
            </a:graphic>
          </wp:anchor>
        </w:drawing>
      </w:r>
    </w:p>
    <w:p w14:paraId="061CEB85" w14:textId="7C0E1C36" w:rsidR="00DC02C5" w:rsidRDefault="00DC02C5">
      <w:pPr>
        <w:rPr>
          <w:sz w:val="20"/>
          <w:szCs w:val="20"/>
        </w:rPr>
      </w:pPr>
      <w:r>
        <w:rPr>
          <w:b/>
          <w:bCs/>
          <w:noProof/>
          <w:sz w:val="20"/>
          <w:szCs w:val="20"/>
          <w:u w:val="single"/>
        </w:rPr>
        <w:drawing>
          <wp:anchor distT="0" distB="0" distL="114300" distR="114300" simplePos="0" relativeHeight="251795456" behindDoc="0" locked="0" layoutInCell="1" allowOverlap="1" wp14:anchorId="26108D6F" wp14:editId="58283E5F">
            <wp:simplePos x="0" y="0"/>
            <wp:positionH relativeFrom="column">
              <wp:posOffset>-5857784</wp:posOffset>
            </wp:positionH>
            <wp:positionV relativeFrom="paragraph">
              <wp:posOffset>4197169</wp:posOffset>
            </wp:positionV>
            <wp:extent cx="5731510" cy="4238625"/>
            <wp:effectExtent l="0" t="0" r="0" b="0"/>
            <wp:wrapSquare wrapText="bothSides"/>
            <wp:docPr id="1202955879" name="Picture 14"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55879" name="Picture 14" descr="A white rectangular box with black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238625"/>
                    </a:xfrm>
                    <a:prstGeom prst="rect">
                      <a:avLst/>
                    </a:prstGeom>
                  </pic:spPr>
                </pic:pic>
              </a:graphicData>
            </a:graphic>
          </wp:anchor>
        </w:drawing>
      </w:r>
      <w:r>
        <w:rPr>
          <w:sz w:val="20"/>
          <w:szCs w:val="20"/>
        </w:rPr>
        <w:br w:type="page"/>
      </w:r>
    </w:p>
    <w:p w14:paraId="79A4F688" w14:textId="793A976A" w:rsidR="00D0364C" w:rsidRDefault="00D0364C" w:rsidP="00CE1160">
      <w:pPr>
        <w:rPr>
          <w:sz w:val="20"/>
          <w:szCs w:val="20"/>
        </w:rPr>
      </w:pPr>
      <w:r>
        <w:rPr>
          <w:b/>
          <w:bCs/>
          <w:noProof/>
          <w:sz w:val="20"/>
          <w:szCs w:val="20"/>
          <w:u w:val="single"/>
        </w:rPr>
        <w:lastRenderedPageBreak/>
        <w:drawing>
          <wp:anchor distT="0" distB="0" distL="114300" distR="114300" simplePos="0" relativeHeight="251815936" behindDoc="0" locked="0" layoutInCell="1" allowOverlap="1" wp14:anchorId="70FAE553" wp14:editId="779B1E45">
            <wp:simplePos x="0" y="0"/>
            <wp:positionH relativeFrom="column">
              <wp:posOffset>-271962</wp:posOffset>
            </wp:positionH>
            <wp:positionV relativeFrom="paragraph">
              <wp:posOffset>328477</wp:posOffset>
            </wp:positionV>
            <wp:extent cx="5731510" cy="4408805"/>
            <wp:effectExtent l="0" t="0" r="0" b="0"/>
            <wp:wrapSquare wrapText="bothSides"/>
            <wp:docPr id="230548022" name="Picture 15" descr="A white grid with black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548022" name="Picture 15" descr="A white grid with black and red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408805"/>
                    </a:xfrm>
                    <a:prstGeom prst="rect">
                      <a:avLst/>
                    </a:prstGeom>
                  </pic:spPr>
                </pic:pic>
              </a:graphicData>
            </a:graphic>
          </wp:anchor>
        </w:drawing>
      </w:r>
    </w:p>
    <w:p w14:paraId="3E60B15A" w14:textId="0E088DF5" w:rsidR="00D0364C" w:rsidRDefault="00D0364C">
      <w:pPr>
        <w:rPr>
          <w:sz w:val="20"/>
          <w:szCs w:val="20"/>
        </w:rPr>
      </w:pPr>
      <w:r>
        <w:rPr>
          <w:sz w:val="20"/>
          <w:szCs w:val="20"/>
        </w:rPr>
        <w:br w:type="page"/>
      </w:r>
    </w:p>
    <w:p w14:paraId="39AECBFF" w14:textId="77777777" w:rsidR="00070672" w:rsidRPr="00070672" w:rsidRDefault="00070672" w:rsidP="00070672">
      <w:pPr>
        <w:spacing w:before="240" w:after="240" w:line="240" w:lineRule="auto"/>
        <w:jc w:val="center"/>
        <w:rPr>
          <w:rFonts w:ascii="Times New Roman" w:eastAsia="Times New Roman" w:hAnsi="Times New Roman" w:cs="Times New Roman"/>
          <w:kern w:val="0"/>
          <w:sz w:val="24"/>
          <w:szCs w:val="24"/>
          <w:lang w:val="en-GB" w:eastAsia="en-GB"/>
          <w14:ligatures w14:val="none"/>
        </w:rPr>
      </w:pPr>
      <w:proofErr w:type="spellStart"/>
      <w:r w:rsidRPr="00070672">
        <w:rPr>
          <w:rFonts w:ascii="Arial" w:eastAsia="Times New Roman" w:hAnsi="Arial" w:cs="Arial"/>
          <w:color w:val="3A3A3A"/>
          <w:kern w:val="0"/>
          <w:sz w:val="20"/>
          <w:szCs w:val="20"/>
          <w:u w:val="single"/>
          <w:lang w:val="en-GB" w:eastAsia="en-GB"/>
          <w14:ligatures w14:val="none"/>
        </w:rPr>
        <w:lastRenderedPageBreak/>
        <w:t>Cyfernodi</w:t>
      </w:r>
      <w:proofErr w:type="spellEnd"/>
    </w:p>
    <w:p w14:paraId="132486D7" w14:textId="728B7342" w:rsidR="00070672" w:rsidRPr="00070672" w:rsidRDefault="00070672" w:rsidP="00070672">
      <w:pPr>
        <w:spacing w:before="240"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 </w:t>
      </w:r>
      <w:proofErr w:type="spellStart"/>
      <w:r w:rsidRPr="00070672">
        <w:rPr>
          <w:rFonts w:ascii="Arial" w:eastAsia="Times New Roman" w:hAnsi="Arial" w:cs="Arial"/>
          <w:color w:val="3A3A3A"/>
          <w:kern w:val="0"/>
          <w:sz w:val="20"/>
          <w:szCs w:val="20"/>
          <w:lang w:val="en-GB" w:eastAsia="en-GB"/>
          <w14:ligatures w14:val="none"/>
        </w:rPr>
        <w:t>Babaii</w:t>
      </w:r>
      <w:proofErr w:type="spellEnd"/>
      <w:r w:rsidRPr="00070672">
        <w:rPr>
          <w:rFonts w:ascii="Arial" w:eastAsia="Times New Roman" w:hAnsi="Arial" w:cs="Arial"/>
          <w:color w:val="3A3A3A"/>
          <w:kern w:val="0"/>
          <w:sz w:val="20"/>
          <w:szCs w:val="20"/>
          <w:lang w:val="en-GB" w:eastAsia="en-GB"/>
          <w14:ligatures w14:val="none"/>
        </w:rPr>
        <w:t xml:space="preserve">, E., &amp; </w:t>
      </w:r>
      <w:proofErr w:type="spellStart"/>
      <w:r w:rsidRPr="00070672">
        <w:rPr>
          <w:rFonts w:ascii="Arial" w:eastAsia="Times New Roman" w:hAnsi="Arial" w:cs="Arial"/>
          <w:color w:val="3A3A3A"/>
          <w:kern w:val="0"/>
          <w:sz w:val="20"/>
          <w:szCs w:val="20"/>
          <w:lang w:val="en-GB" w:eastAsia="en-GB"/>
          <w14:ligatures w14:val="none"/>
        </w:rPr>
        <w:t>Adeh</w:t>
      </w:r>
      <w:proofErr w:type="spellEnd"/>
      <w:r w:rsidRPr="00070672">
        <w:rPr>
          <w:rFonts w:ascii="Arial" w:eastAsia="Times New Roman" w:hAnsi="Arial" w:cs="Arial"/>
          <w:color w:val="3A3A3A"/>
          <w:kern w:val="0"/>
          <w:sz w:val="20"/>
          <w:szCs w:val="20"/>
          <w:lang w:val="en-GB" w:eastAsia="en-GB"/>
          <w14:ligatures w14:val="none"/>
        </w:rPr>
        <w:t xml:space="preserve">, A. (2019). One, Two, </w:t>
      </w:r>
      <w:proofErr w:type="gramStart"/>
      <w:r w:rsidRPr="00070672">
        <w:rPr>
          <w:rFonts w:ascii="Arial" w:eastAsia="Times New Roman" w:hAnsi="Arial" w:cs="Arial"/>
          <w:color w:val="3A3A3A"/>
          <w:kern w:val="0"/>
          <w:sz w:val="20"/>
          <w:szCs w:val="20"/>
          <w:lang w:val="en-GB" w:eastAsia="en-GB"/>
          <w14:ligatures w14:val="none"/>
        </w:rPr>
        <w:t>... ,</w:t>
      </w:r>
      <w:proofErr w:type="gramEnd"/>
      <w:r w:rsidRPr="00070672">
        <w:rPr>
          <w:rFonts w:ascii="Arial" w:eastAsia="Times New Roman" w:hAnsi="Arial" w:cs="Arial"/>
          <w:color w:val="3A3A3A"/>
          <w:kern w:val="0"/>
          <w:sz w:val="20"/>
          <w:szCs w:val="20"/>
          <w:lang w:val="en-GB" w:eastAsia="en-GB"/>
          <w14:ligatures w14:val="none"/>
        </w:rPr>
        <w:t xml:space="preserve"> Many : The Outcomes of Paired Peer Assessment, Group Peer Assessment, and Teacher Assessment in EFL Writing. </w:t>
      </w:r>
      <w:r w:rsidRPr="00070672">
        <w:rPr>
          <w:rFonts w:ascii="Arial" w:eastAsia="Times New Roman" w:hAnsi="Arial" w:cs="Arial"/>
          <w:i/>
          <w:iCs/>
          <w:color w:val="3A3A3A"/>
          <w:kern w:val="0"/>
          <w:sz w:val="20"/>
          <w:szCs w:val="20"/>
          <w:lang w:val="en-GB" w:eastAsia="en-GB"/>
          <w14:ligatures w14:val="none"/>
        </w:rPr>
        <w:t>Journal</w:t>
      </w:r>
      <w:r w:rsidR="002C6BE7">
        <w:rPr>
          <w:rFonts w:ascii="Arial" w:eastAsia="Times New Roman" w:hAnsi="Arial" w:cs="Arial"/>
          <w:i/>
          <w:iCs/>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of Asia TEFL</w:t>
      </w:r>
      <w:r w:rsidRPr="00070672">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16</w:t>
      </w:r>
      <w:r w:rsidRPr="00070672">
        <w:rPr>
          <w:rFonts w:ascii="Arial" w:eastAsia="Times New Roman" w:hAnsi="Arial" w:cs="Arial"/>
          <w:color w:val="3A3A3A"/>
          <w:kern w:val="0"/>
          <w:sz w:val="20"/>
          <w:szCs w:val="20"/>
          <w:lang w:val="en-GB" w:eastAsia="en-GB"/>
          <w14:ligatures w14:val="none"/>
        </w:rPr>
        <w:t>(1),53–66.</w:t>
      </w:r>
      <w:hyperlink r:id="rId24"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https://doi.org/10.18823/asiatefl.2019.16.1.4.53</w:t>
        </w:r>
      </w:hyperlink>
    </w:p>
    <w:p w14:paraId="7B559A1A" w14:textId="77777777" w:rsidR="00070672" w:rsidRPr="00070672" w:rsidRDefault="00070672" w:rsidP="00070672">
      <w:pPr>
        <w:spacing w:before="240"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 xml:space="preserve">Black, Paul., Harrison, Chris., Lee, Clara., Marshall, Bethan., &amp; Wiliam, Dylan. (2007). </w:t>
      </w:r>
      <w:r w:rsidRPr="00070672">
        <w:rPr>
          <w:rFonts w:ascii="Arial" w:eastAsia="Times New Roman" w:hAnsi="Arial" w:cs="Arial"/>
          <w:i/>
          <w:iCs/>
          <w:color w:val="3A3A3A"/>
          <w:kern w:val="0"/>
          <w:sz w:val="20"/>
          <w:szCs w:val="20"/>
          <w:lang w:val="en-GB" w:eastAsia="en-GB"/>
          <w14:ligatures w14:val="none"/>
        </w:rPr>
        <w:t xml:space="preserve">Assessment for </w:t>
      </w:r>
      <w:proofErr w:type="gramStart"/>
      <w:r w:rsidRPr="00070672">
        <w:rPr>
          <w:rFonts w:ascii="Arial" w:eastAsia="Times New Roman" w:hAnsi="Arial" w:cs="Arial"/>
          <w:i/>
          <w:iCs/>
          <w:color w:val="3A3A3A"/>
          <w:kern w:val="0"/>
          <w:sz w:val="20"/>
          <w:szCs w:val="20"/>
          <w:lang w:val="en-GB" w:eastAsia="en-GB"/>
          <w14:ligatures w14:val="none"/>
        </w:rPr>
        <w:t>Learning :</w:t>
      </w:r>
      <w:proofErr w:type="gramEnd"/>
      <w:r w:rsidRPr="00070672">
        <w:rPr>
          <w:rFonts w:ascii="Arial" w:eastAsia="Times New Roman" w:hAnsi="Arial" w:cs="Arial"/>
          <w:i/>
          <w:iCs/>
          <w:color w:val="3A3A3A"/>
          <w:kern w:val="0"/>
          <w:sz w:val="20"/>
          <w:szCs w:val="20"/>
          <w:lang w:val="en-GB" w:eastAsia="en-GB"/>
          <w14:ligatures w14:val="none"/>
        </w:rPr>
        <w:t xml:space="preserve"> putting it into practice</w:t>
      </w:r>
      <w:r w:rsidRPr="00070672">
        <w:rPr>
          <w:rFonts w:ascii="Arial" w:eastAsia="Times New Roman" w:hAnsi="Arial" w:cs="Arial"/>
          <w:color w:val="3A3A3A"/>
          <w:kern w:val="0"/>
          <w:sz w:val="20"/>
          <w:szCs w:val="20"/>
          <w:lang w:val="en-GB" w:eastAsia="en-GB"/>
          <w14:ligatures w14:val="none"/>
        </w:rPr>
        <w:t>. McGraw-Hill Education.</w:t>
      </w:r>
    </w:p>
    <w:p w14:paraId="1E05D9E6" w14:textId="77777777" w:rsidR="00070672" w:rsidRPr="00070672" w:rsidRDefault="00070672" w:rsidP="00070672">
      <w:pPr>
        <w:spacing w:before="240"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 xml:space="preserve">Brown, G. T. L. (2019). Is Assessment for Learning Really Assessment? </w:t>
      </w:r>
      <w:r w:rsidRPr="00070672">
        <w:rPr>
          <w:rFonts w:ascii="Arial" w:eastAsia="Times New Roman" w:hAnsi="Arial" w:cs="Arial"/>
          <w:i/>
          <w:iCs/>
          <w:color w:val="3A3A3A"/>
          <w:kern w:val="0"/>
          <w:sz w:val="20"/>
          <w:szCs w:val="20"/>
          <w:lang w:val="en-GB" w:eastAsia="en-GB"/>
          <w14:ligatures w14:val="none"/>
        </w:rPr>
        <w:t>Frontiers in Education (Lausanne)</w:t>
      </w:r>
      <w:r w:rsidRPr="00070672">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4</w:t>
      </w:r>
      <w:r w:rsidRPr="00070672">
        <w:rPr>
          <w:rFonts w:ascii="Arial" w:eastAsia="Times New Roman" w:hAnsi="Arial" w:cs="Arial"/>
          <w:color w:val="3A3A3A"/>
          <w:kern w:val="0"/>
          <w:sz w:val="20"/>
          <w:szCs w:val="20"/>
          <w:lang w:val="en-GB" w:eastAsia="en-GB"/>
          <w14:ligatures w14:val="none"/>
        </w:rPr>
        <w:t>.</w:t>
      </w:r>
      <w:hyperlink r:id="rId25"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https://doi.org/10.3389/feduc.2019.00064</w:t>
        </w:r>
      </w:hyperlink>
    </w:p>
    <w:p w14:paraId="4DE21BDF" w14:textId="32E411CB" w:rsidR="00070672" w:rsidRPr="00070672" w:rsidRDefault="00070672" w:rsidP="00F318AD">
      <w:pPr>
        <w:spacing w:after="240" w:line="240" w:lineRule="auto"/>
        <w:rPr>
          <w:rFonts w:ascii="Times New Roman" w:eastAsia="Times New Roman" w:hAnsi="Times New Roman" w:cs="Times New Roman"/>
          <w:kern w:val="0"/>
          <w:sz w:val="24"/>
          <w:szCs w:val="24"/>
          <w:lang w:val="en-GB" w:eastAsia="en-GB"/>
          <w14:ligatures w14:val="none"/>
        </w:rPr>
      </w:pPr>
      <w:proofErr w:type="spellStart"/>
      <w:r w:rsidRPr="00070672">
        <w:rPr>
          <w:rFonts w:ascii="Arial" w:eastAsia="Times New Roman" w:hAnsi="Arial" w:cs="Arial"/>
          <w:color w:val="3A3A3A"/>
          <w:kern w:val="0"/>
          <w:sz w:val="20"/>
          <w:szCs w:val="20"/>
          <w:lang w:val="en-GB" w:eastAsia="en-GB"/>
          <w14:ligatures w14:val="none"/>
        </w:rPr>
        <w:t>Colognesi</w:t>
      </w:r>
      <w:proofErr w:type="spellEnd"/>
      <w:r w:rsidRPr="00070672">
        <w:rPr>
          <w:rFonts w:ascii="Arial" w:eastAsia="Times New Roman" w:hAnsi="Arial" w:cs="Arial"/>
          <w:color w:val="3A3A3A"/>
          <w:kern w:val="0"/>
          <w:sz w:val="20"/>
          <w:szCs w:val="20"/>
          <w:lang w:val="en-GB" w:eastAsia="en-GB"/>
          <w14:ligatures w14:val="none"/>
        </w:rPr>
        <w:t xml:space="preserve">, S., </w:t>
      </w:r>
      <w:proofErr w:type="spellStart"/>
      <w:r w:rsidRPr="00070672">
        <w:rPr>
          <w:rFonts w:ascii="Arial" w:eastAsia="Times New Roman" w:hAnsi="Arial" w:cs="Arial"/>
          <w:color w:val="3A3A3A"/>
          <w:kern w:val="0"/>
          <w:sz w:val="20"/>
          <w:szCs w:val="20"/>
          <w:lang w:val="en-GB" w:eastAsia="en-GB"/>
          <w14:ligatures w14:val="none"/>
        </w:rPr>
        <w:t>Vassart</w:t>
      </w:r>
      <w:proofErr w:type="spellEnd"/>
      <w:r w:rsidRPr="00070672">
        <w:rPr>
          <w:rFonts w:ascii="Arial" w:eastAsia="Times New Roman" w:hAnsi="Arial" w:cs="Arial"/>
          <w:color w:val="3A3A3A"/>
          <w:kern w:val="0"/>
          <w:sz w:val="20"/>
          <w:szCs w:val="20"/>
          <w:lang w:val="en-GB" w:eastAsia="en-GB"/>
          <w14:ligatures w14:val="none"/>
        </w:rPr>
        <w:t xml:space="preserve">, C., Blondeau, B., &amp; </w:t>
      </w:r>
      <w:proofErr w:type="spellStart"/>
      <w:r w:rsidRPr="00070672">
        <w:rPr>
          <w:rFonts w:ascii="Arial" w:eastAsia="Times New Roman" w:hAnsi="Arial" w:cs="Arial"/>
          <w:color w:val="3A3A3A"/>
          <w:kern w:val="0"/>
          <w:sz w:val="20"/>
          <w:szCs w:val="20"/>
          <w:lang w:val="en-GB" w:eastAsia="en-GB"/>
          <w14:ligatures w14:val="none"/>
        </w:rPr>
        <w:t>Coertjens</w:t>
      </w:r>
      <w:proofErr w:type="spellEnd"/>
      <w:r w:rsidRPr="00070672">
        <w:rPr>
          <w:rFonts w:ascii="Arial" w:eastAsia="Times New Roman" w:hAnsi="Arial" w:cs="Arial"/>
          <w:color w:val="3A3A3A"/>
          <w:kern w:val="0"/>
          <w:sz w:val="20"/>
          <w:szCs w:val="20"/>
          <w:lang w:val="en-GB" w:eastAsia="en-GB"/>
          <w14:ligatures w14:val="none"/>
        </w:rPr>
        <w:t>, L. (2020</w:t>
      </w:r>
      <w:proofErr w:type="gramStart"/>
      <w:r w:rsidRPr="00070672">
        <w:rPr>
          <w:rFonts w:ascii="Arial" w:eastAsia="Times New Roman" w:hAnsi="Arial" w:cs="Arial"/>
          <w:color w:val="3A3A3A"/>
          <w:kern w:val="0"/>
          <w:sz w:val="20"/>
          <w:szCs w:val="20"/>
          <w:lang w:val="en-GB" w:eastAsia="en-GB"/>
          <w14:ligatures w14:val="none"/>
        </w:rPr>
        <w:t>).Formative</w:t>
      </w:r>
      <w:proofErr w:type="gramEnd"/>
      <w:r w:rsidRPr="00070672">
        <w:rPr>
          <w:rFonts w:ascii="Arial" w:eastAsia="Times New Roman" w:hAnsi="Arial" w:cs="Arial"/>
          <w:color w:val="3A3A3A"/>
          <w:kern w:val="0"/>
          <w:sz w:val="20"/>
          <w:szCs w:val="20"/>
          <w:lang w:val="en-GB" w:eastAsia="en-GB"/>
          <w14:ligatures w14:val="none"/>
        </w:rPr>
        <w:t xml:space="preserve"> peer assessment to enhance primary school pupils’ oral skills:</w:t>
      </w:r>
      <w:r w:rsidR="002C6BE7">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Comparison of written feedback without discussion or oral feedback during a</w:t>
      </w:r>
      <w:r w:rsidR="002C6BE7">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 xml:space="preserve">discussion. </w:t>
      </w:r>
      <w:r w:rsidRPr="00070672">
        <w:rPr>
          <w:rFonts w:ascii="Arial" w:eastAsia="Times New Roman" w:hAnsi="Arial" w:cs="Arial"/>
          <w:i/>
          <w:iCs/>
          <w:color w:val="3A3A3A"/>
          <w:kern w:val="0"/>
          <w:sz w:val="20"/>
          <w:szCs w:val="20"/>
          <w:lang w:val="en-GB" w:eastAsia="en-GB"/>
          <w14:ligatures w14:val="none"/>
        </w:rPr>
        <w:t xml:space="preserve">Studies in </w:t>
      </w:r>
      <w:r w:rsidR="00167AAA" w:rsidRPr="00070672">
        <w:rPr>
          <w:rFonts w:ascii="Arial" w:eastAsia="Times New Roman" w:hAnsi="Arial" w:cs="Arial"/>
          <w:i/>
          <w:iCs/>
          <w:color w:val="3A3A3A"/>
          <w:kern w:val="0"/>
          <w:sz w:val="20"/>
          <w:szCs w:val="20"/>
          <w:lang w:val="en-GB" w:eastAsia="en-GB"/>
          <w14:ligatures w14:val="none"/>
        </w:rPr>
        <w:t>Educational Evaluation</w:t>
      </w:r>
      <w:r w:rsidRPr="00070672">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67</w:t>
      </w:r>
      <w:r w:rsidRPr="00070672">
        <w:rPr>
          <w:rFonts w:ascii="Arial" w:eastAsia="Times New Roman" w:hAnsi="Arial" w:cs="Arial"/>
          <w:color w:val="3A3A3A"/>
          <w:kern w:val="0"/>
          <w:sz w:val="20"/>
          <w:szCs w:val="20"/>
          <w:lang w:val="en-GB" w:eastAsia="en-GB"/>
          <w14:ligatures w14:val="none"/>
        </w:rPr>
        <w:t>,100917-.</w:t>
      </w:r>
      <w:hyperlink r:id="rId26"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https://doi.org/10.1016/j.stueduc.2020.100917</w:t>
        </w:r>
      </w:hyperlink>
    </w:p>
    <w:p w14:paraId="292B8AA9" w14:textId="178316D2" w:rsidR="00070672" w:rsidRPr="00070672" w:rsidRDefault="00070672" w:rsidP="00F318AD">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 xml:space="preserve">Donaldson, G. (2015). </w:t>
      </w:r>
      <w:r w:rsidRPr="00070672">
        <w:rPr>
          <w:rFonts w:ascii="Arial" w:eastAsia="Times New Roman" w:hAnsi="Arial" w:cs="Arial"/>
          <w:i/>
          <w:iCs/>
          <w:color w:val="3A3A3A"/>
          <w:kern w:val="0"/>
          <w:sz w:val="20"/>
          <w:szCs w:val="20"/>
          <w:lang w:val="en-GB" w:eastAsia="en-GB"/>
          <w14:ligatures w14:val="none"/>
        </w:rPr>
        <w:t>Successful</w:t>
      </w:r>
      <w:r w:rsidR="00167AAA">
        <w:rPr>
          <w:rFonts w:ascii="Arial" w:eastAsia="Times New Roman" w:hAnsi="Arial" w:cs="Arial"/>
          <w:i/>
          <w:iCs/>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Futures Independent Review of Curriculum and Assessment Arrangements in Wales</w:t>
      </w:r>
      <w:r w:rsidRPr="00070672">
        <w:rPr>
          <w:rFonts w:ascii="Arial" w:eastAsia="Times New Roman" w:hAnsi="Arial" w:cs="Arial"/>
          <w:color w:val="3A3A3A"/>
          <w:kern w:val="0"/>
          <w:sz w:val="20"/>
          <w:szCs w:val="20"/>
          <w:lang w:val="en-GB" w:eastAsia="en-GB"/>
          <w14:ligatures w14:val="none"/>
        </w:rPr>
        <w:t>. [online] Available at:</w:t>
      </w:r>
      <w:hyperlink r:id="rId27"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https://www.gov.wales/sites/default/files/publications/2018-03/successful-futures.pdf</w:t>
        </w:r>
      </w:hyperlink>
      <w:r w:rsidRPr="00070672">
        <w:rPr>
          <w:rFonts w:ascii="Arial" w:eastAsia="Times New Roman" w:hAnsi="Arial" w:cs="Arial"/>
          <w:color w:val="3A3A3A"/>
          <w:kern w:val="0"/>
          <w:sz w:val="20"/>
          <w:szCs w:val="20"/>
          <w:lang w:val="en-GB" w:eastAsia="en-GB"/>
          <w14:ligatures w14:val="none"/>
        </w:rPr>
        <w:t>.</w:t>
      </w:r>
    </w:p>
    <w:p w14:paraId="7FAEB57B" w14:textId="6BB27045" w:rsidR="00070672" w:rsidRPr="00070672" w:rsidRDefault="00070672" w:rsidP="00F318AD">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 xml:space="preserve">Dunn, David. </w:t>
      </w:r>
      <w:r w:rsidRPr="00070672">
        <w:rPr>
          <w:rFonts w:ascii="Arial" w:eastAsia="Times New Roman" w:hAnsi="Arial" w:cs="Arial"/>
          <w:i/>
          <w:iCs/>
          <w:color w:val="3A3A3A"/>
          <w:kern w:val="0"/>
          <w:sz w:val="20"/>
          <w:szCs w:val="20"/>
          <w:lang w:val="en-GB" w:eastAsia="en-GB"/>
          <w14:ligatures w14:val="none"/>
        </w:rPr>
        <w:t>How to Be an</w:t>
      </w:r>
      <w:r w:rsidR="00167AAA">
        <w:rPr>
          <w:rFonts w:ascii="Arial" w:eastAsia="Times New Roman" w:hAnsi="Arial" w:cs="Arial"/>
          <w:i/>
          <w:iCs/>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Outstanding Primary School Teacher 2nd Edition</w:t>
      </w:r>
      <w:r w:rsidRPr="00070672">
        <w:rPr>
          <w:rFonts w:ascii="Arial" w:eastAsia="Times New Roman" w:hAnsi="Arial" w:cs="Arial"/>
          <w:color w:val="3A3A3A"/>
          <w:kern w:val="0"/>
          <w:sz w:val="20"/>
          <w:szCs w:val="20"/>
          <w:lang w:val="en-GB" w:eastAsia="en-GB"/>
          <w14:ligatures w14:val="none"/>
        </w:rPr>
        <w:t>, Bloomsbury Publishing Plc, 2017.</w:t>
      </w:r>
      <w:r w:rsidRPr="00070672">
        <w:rPr>
          <w:rFonts w:ascii="Arial" w:eastAsia="Times New Roman" w:hAnsi="Arial" w:cs="Arial"/>
          <w:i/>
          <w:iCs/>
          <w:color w:val="3A3A3A"/>
          <w:kern w:val="0"/>
          <w:sz w:val="20"/>
          <w:szCs w:val="20"/>
          <w:lang w:val="en-GB" w:eastAsia="en-GB"/>
          <w14:ligatures w14:val="none"/>
        </w:rPr>
        <w:t xml:space="preserve"> ProQuest </w:t>
      </w:r>
      <w:proofErr w:type="spellStart"/>
      <w:r w:rsidRPr="00070672">
        <w:rPr>
          <w:rFonts w:ascii="Arial" w:eastAsia="Times New Roman" w:hAnsi="Arial" w:cs="Arial"/>
          <w:i/>
          <w:iCs/>
          <w:color w:val="3A3A3A"/>
          <w:kern w:val="0"/>
          <w:sz w:val="20"/>
          <w:szCs w:val="20"/>
          <w:lang w:val="en-GB" w:eastAsia="en-GB"/>
          <w14:ligatures w14:val="none"/>
        </w:rPr>
        <w:t>Ebook</w:t>
      </w:r>
      <w:proofErr w:type="spellEnd"/>
      <w:r w:rsidRPr="00070672">
        <w:rPr>
          <w:rFonts w:ascii="Arial" w:eastAsia="Times New Roman" w:hAnsi="Arial" w:cs="Arial"/>
          <w:i/>
          <w:iCs/>
          <w:color w:val="3A3A3A"/>
          <w:kern w:val="0"/>
          <w:sz w:val="20"/>
          <w:szCs w:val="20"/>
          <w:lang w:val="en-GB" w:eastAsia="en-GB"/>
          <w14:ligatures w14:val="none"/>
        </w:rPr>
        <w:t xml:space="preserve"> Central</w:t>
      </w:r>
      <w:r w:rsidRPr="00070672">
        <w:rPr>
          <w:rFonts w:ascii="Arial" w:eastAsia="Times New Roman" w:hAnsi="Arial" w:cs="Arial"/>
          <w:color w:val="3A3A3A"/>
          <w:kern w:val="0"/>
          <w:sz w:val="20"/>
          <w:szCs w:val="20"/>
          <w:lang w:val="en-GB" w:eastAsia="en-GB"/>
          <w14:ligatures w14:val="none"/>
        </w:rPr>
        <w:t>,</w:t>
      </w:r>
      <w:hyperlink r:id="rId28"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http://ebookcentral.proquest.com/lib/trinity/detail.action?docID=4987833</w:t>
        </w:r>
      </w:hyperlink>
      <w:r w:rsidRPr="00070672">
        <w:rPr>
          <w:rFonts w:ascii="Arial" w:eastAsia="Times New Roman" w:hAnsi="Arial" w:cs="Arial"/>
          <w:color w:val="3A3A3A"/>
          <w:kern w:val="0"/>
          <w:sz w:val="20"/>
          <w:szCs w:val="20"/>
          <w:lang w:val="en-GB" w:eastAsia="en-GB"/>
          <w14:ligatures w14:val="none"/>
        </w:rPr>
        <w:t>.</w:t>
      </w:r>
    </w:p>
    <w:p w14:paraId="37EE5001" w14:textId="6DDA5316"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i/>
          <w:iCs/>
          <w:color w:val="3A3A3A"/>
          <w:kern w:val="0"/>
          <w:sz w:val="20"/>
          <w:szCs w:val="20"/>
          <w:lang w:val="en-GB" w:eastAsia="en-GB"/>
          <w14:ligatures w14:val="none"/>
        </w:rPr>
        <w:t>Effective</w:t>
      </w:r>
      <w:r w:rsidR="00167AAA">
        <w:rPr>
          <w:rFonts w:ascii="Arial" w:eastAsia="Times New Roman" w:hAnsi="Arial" w:cs="Arial"/>
          <w:i/>
          <w:iCs/>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questioning</w:t>
      </w:r>
      <w:r w:rsidRPr="00070672">
        <w:rPr>
          <w:rFonts w:ascii="Arial" w:eastAsia="Times New Roman" w:hAnsi="Arial" w:cs="Arial"/>
          <w:color w:val="3A3A3A"/>
          <w:kern w:val="0"/>
          <w:sz w:val="20"/>
          <w:szCs w:val="20"/>
          <w:lang w:val="en-GB" w:eastAsia="en-GB"/>
          <w14:ligatures w14:val="none"/>
        </w:rPr>
        <w:t xml:space="preserve"> (Vol. 2). (2005). Teachers TV/UK Department of</w:t>
      </w:r>
      <w:r w:rsidR="00167AAA">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Education.</w:t>
      </w:r>
    </w:p>
    <w:p w14:paraId="62494EFE" w14:textId="0F092B99"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proofErr w:type="spellStart"/>
      <w:proofErr w:type="gramStart"/>
      <w:r w:rsidRPr="00070672">
        <w:rPr>
          <w:rFonts w:ascii="Arial" w:eastAsia="Times New Roman" w:hAnsi="Arial" w:cs="Arial"/>
          <w:color w:val="3A3A3A"/>
          <w:kern w:val="0"/>
          <w:sz w:val="20"/>
          <w:szCs w:val="20"/>
          <w:lang w:val="en-GB" w:eastAsia="en-GB"/>
          <w14:ligatures w14:val="none"/>
        </w:rPr>
        <w:t>Hargreaves,E</w:t>
      </w:r>
      <w:proofErr w:type="spellEnd"/>
      <w:r w:rsidRPr="00070672">
        <w:rPr>
          <w:rFonts w:ascii="Arial" w:eastAsia="Times New Roman" w:hAnsi="Arial" w:cs="Arial"/>
          <w:color w:val="3A3A3A"/>
          <w:kern w:val="0"/>
          <w:sz w:val="20"/>
          <w:szCs w:val="20"/>
          <w:lang w:val="en-GB" w:eastAsia="en-GB"/>
          <w14:ligatures w14:val="none"/>
        </w:rPr>
        <w:t>.</w:t>
      </w:r>
      <w:proofErr w:type="gramEnd"/>
      <w:r w:rsidRPr="00070672">
        <w:rPr>
          <w:rFonts w:ascii="Arial" w:eastAsia="Times New Roman" w:hAnsi="Arial" w:cs="Arial"/>
          <w:color w:val="3A3A3A"/>
          <w:kern w:val="0"/>
          <w:sz w:val="20"/>
          <w:szCs w:val="20"/>
          <w:lang w:val="en-GB" w:eastAsia="en-GB"/>
          <w14:ligatures w14:val="none"/>
        </w:rPr>
        <w:t xml:space="preserve"> (2013). Inquiring into children’s experiences of teacher feedback:</w:t>
      </w:r>
      <w:r w:rsidR="00167AAA">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 xml:space="preserve">reconceptualising Assessment for Learning. </w:t>
      </w:r>
      <w:r w:rsidRPr="00070672">
        <w:rPr>
          <w:rFonts w:ascii="Arial" w:eastAsia="Times New Roman" w:hAnsi="Arial" w:cs="Arial"/>
          <w:i/>
          <w:iCs/>
          <w:color w:val="3A3A3A"/>
          <w:kern w:val="0"/>
          <w:sz w:val="20"/>
          <w:szCs w:val="20"/>
          <w:lang w:val="en-GB" w:eastAsia="en-GB"/>
          <w14:ligatures w14:val="none"/>
        </w:rPr>
        <w:t>Oxford Review of Education</w:t>
      </w:r>
      <w:r w:rsidRPr="00070672">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39</w:t>
      </w:r>
      <w:r w:rsidRPr="00070672">
        <w:rPr>
          <w:rFonts w:ascii="Arial" w:eastAsia="Times New Roman" w:hAnsi="Arial" w:cs="Arial"/>
          <w:color w:val="3A3A3A"/>
          <w:kern w:val="0"/>
          <w:sz w:val="20"/>
          <w:szCs w:val="20"/>
          <w:lang w:val="en-GB" w:eastAsia="en-GB"/>
          <w14:ligatures w14:val="none"/>
        </w:rPr>
        <w:t>(2),229–246. https://doi.org/10.1080/03054985.2013.787922</w:t>
      </w:r>
    </w:p>
    <w:p w14:paraId="55A803A0" w14:textId="327EF0B0"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Joseph</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Parker, &amp; IK. (2021). Teacher Trainees Perceptions of Think-Pair-Share</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Technique in Teaching Classification of Living Organisms in Colleges of</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 xml:space="preserve">Education – Ghana. </w:t>
      </w:r>
      <w:r w:rsidRPr="00070672">
        <w:rPr>
          <w:rFonts w:ascii="Arial" w:eastAsia="Times New Roman" w:hAnsi="Arial" w:cs="Arial"/>
          <w:i/>
          <w:iCs/>
          <w:color w:val="3A3A3A"/>
          <w:kern w:val="0"/>
          <w:sz w:val="20"/>
          <w:szCs w:val="20"/>
          <w:lang w:val="en-GB" w:eastAsia="en-GB"/>
          <w14:ligatures w14:val="none"/>
        </w:rPr>
        <w:t>Science Education International</w:t>
      </w:r>
      <w:r w:rsidRPr="00070672">
        <w:rPr>
          <w:rFonts w:ascii="Arial" w:eastAsia="Times New Roman" w:hAnsi="Arial" w:cs="Arial"/>
          <w:color w:val="3A3A3A"/>
          <w:kern w:val="0"/>
          <w:sz w:val="20"/>
          <w:szCs w:val="20"/>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32</w:t>
      </w:r>
      <w:r w:rsidRPr="00070672">
        <w:rPr>
          <w:rFonts w:ascii="Arial" w:eastAsia="Times New Roman" w:hAnsi="Arial" w:cs="Arial"/>
          <w:color w:val="3A3A3A"/>
          <w:kern w:val="0"/>
          <w:sz w:val="20"/>
          <w:szCs w:val="20"/>
          <w:lang w:val="en-GB" w:eastAsia="en-GB"/>
          <w14:ligatures w14:val="none"/>
        </w:rPr>
        <w:t>(4),</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368–373.</w:t>
      </w:r>
      <w:hyperlink r:id="rId29"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https://doi.org/10.33828/sei.v32.i4.12</w:t>
        </w:r>
      </w:hyperlink>
    </w:p>
    <w:p w14:paraId="33E1286D" w14:textId="1D277D93"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Paul Black, Jane Jones (2006). Formative assessment and the learning and</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teaching of MFL: sharing the language learning road map with the learners</w:t>
      </w:r>
      <w:hyperlink r:id="rId30"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https://www.ittmfl.org.uk/modules/teaching/1e/paper1e5.pdf</w:t>
        </w:r>
      </w:hyperlink>
    </w:p>
    <w:p w14:paraId="395B6DCC" w14:textId="34814478"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Sherrington, T. and Stafford, S. (n.d.). Available at:</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https://my.chartered.college/wp-content/uploads/2018/10/9.-Mini-Whiteboards.pdf.</w:t>
      </w:r>
    </w:p>
    <w:p w14:paraId="0B17B6E0" w14:textId="34309DEE"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 xml:space="preserve">Welsh Government (2010). </w:t>
      </w:r>
      <w:r w:rsidRPr="00070672">
        <w:rPr>
          <w:rFonts w:ascii="Arial" w:eastAsia="Times New Roman" w:hAnsi="Arial" w:cs="Arial"/>
          <w:i/>
          <w:iCs/>
          <w:color w:val="3A3A3A"/>
          <w:kern w:val="0"/>
          <w:sz w:val="20"/>
          <w:szCs w:val="20"/>
          <w:lang w:val="en-GB" w:eastAsia="en-GB"/>
          <w14:ligatures w14:val="none"/>
        </w:rPr>
        <w:t>How to develop thinking and assessment for</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learning in the classroom</w:t>
      </w:r>
      <w:r w:rsidRPr="00070672">
        <w:rPr>
          <w:rFonts w:ascii="Arial" w:eastAsia="Times New Roman" w:hAnsi="Arial" w:cs="Arial"/>
          <w:color w:val="3A3A3A"/>
          <w:kern w:val="0"/>
          <w:sz w:val="20"/>
          <w:szCs w:val="20"/>
          <w:lang w:val="en-GB" w:eastAsia="en-GB"/>
          <w14:ligatures w14:val="none"/>
        </w:rPr>
        <w:t>.</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[online] Available at:</w:t>
      </w:r>
      <w:hyperlink r:id="rId31"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1155CC"/>
            <w:kern w:val="0"/>
            <w:sz w:val="20"/>
            <w:szCs w:val="20"/>
            <w:u w:val="single"/>
            <w:lang w:val="en-GB" w:eastAsia="en-GB"/>
            <w14:ligatures w14:val="none"/>
          </w:rPr>
          <w:t>https://hwb.gov.wales/api/storage/663d00fd-9c3b-4003-9a1f-0012bad39fad/how-to-develop-thinking-and-assessment-for-learning-in-the-classroom.pdf</w:t>
        </w:r>
      </w:hyperlink>
      <w:r w:rsidRPr="00070672">
        <w:rPr>
          <w:rFonts w:ascii="Arial" w:eastAsia="Times New Roman" w:hAnsi="Arial" w:cs="Arial"/>
          <w:color w:val="3A3A3A"/>
          <w:kern w:val="0"/>
          <w:sz w:val="20"/>
          <w:szCs w:val="20"/>
          <w:lang w:val="en-GB" w:eastAsia="en-GB"/>
          <w14:ligatures w14:val="none"/>
        </w:rPr>
        <w:t>.</w:t>
      </w:r>
    </w:p>
    <w:p w14:paraId="4379ACB5" w14:textId="4FD2B42B" w:rsidR="00070672" w:rsidRPr="00070672" w:rsidRDefault="00070672" w:rsidP="00167AAA">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3A3A3A"/>
          <w:kern w:val="0"/>
          <w:sz w:val="20"/>
          <w:szCs w:val="20"/>
          <w:lang w:val="en-GB" w:eastAsia="en-GB"/>
          <w14:ligatures w14:val="none"/>
        </w:rPr>
        <w:t>Wiliam,</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 xml:space="preserve">D. (1999). Formative Assessment in Mathematics Part 1: Rich questioning. </w:t>
      </w:r>
      <w:r w:rsidRPr="00070672">
        <w:rPr>
          <w:rFonts w:ascii="Arial" w:eastAsia="Times New Roman" w:hAnsi="Arial" w:cs="Arial"/>
          <w:i/>
          <w:iCs/>
          <w:color w:val="3A3A3A"/>
          <w:kern w:val="0"/>
          <w:sz w:val="20"/>
          <w:szCs w:val="20"/>
          <w:lang w:val="en-GB" w:eastAsia="en-GB"/>
          <w14:ligatures w14:val="none"/>
        </w:rPr>
        <w:t>Equals:</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i/>
          <w:iCs/>
          <w:color w:val="3A3A3A"/>
          <w:kern w:val="0"/>
          <w:sz w:val="20"/>
          <w:szCs w:val="20"/>
          <w:lang w:val="en-GB" w:eastAsia="en-GB"/>
          <w14:ligatures w14:val="none"/>
        </w:rPr>
        <w:t>Mathematics and Special Educational Needs</w:t>
      </w:r>
      <w:r w:rsidRPr="00070672">
        <w:rPr>
          <w:rFonts w:ascii="Arial" w:eastAsia="Times New Roman" w:hAnsi="Arial" w:cs="Arial"/>
          <w:color w:val="3A3A3A"/>
          <w:kern w:val="0"/>
          <w:sz w:val="20"/>
          <w:szCs w:val="20"/>
          <w:lang w:val="en-GB" w:eastAsia="en-GB"/>
          <w14:ligatures w14:val="none"/>
        </w:rPr>
        <w:t>, [online] 5(2), pp.15–18.</w:t>
      </w:r>
      <w:r w:rsidR="00167AAA">
        <w:rPr>
          <w:rFonts w:ascii="Times New Roman" w:eastAsia="Times New Roman" w:hAnsi="Times New Roman" w:cs="Times New Roman"/>
          <w:kern w:val="0"/>
          <w:sz w:val="24"/>
          <w:szCs w:val="24"/>
          <w:lang w:val="en-GB" w:eastAsia="en-GB"/>
          <w14:ligatures w14:val="none"/>
        </w:rPr>
        <w:t xml:space="preserve"> </w:t>
      </w:r>
      <w:r w:rsidRPr="00070672">
        <w:rPr>
          <w:rFonts w:ascii="Arial" w:eastAsia="Times New Roman" w:hAnsi="Arial" w:cs="Arial"/>
          <w:color w:val="3A3A3A"/>
          <w:kern w:val="0"/>
          <w:sz w:val="20"/>
          <w:szCs w:val="20"/>
          <w:lang w:val="en-GB" w:eastAsia="en-GB"/>
          <w14:ligatures w14:val="none"/>
        </w:rPr>
        <w:t>Available at:</w:t>
      </w:r>
      <w:hyperlink r:id="rId32" w:history="1">
        <w:r w:rsidRPr="00070672">
          <w:rPr>
            <w:rFonts w:ascii="Arial" w:eastAsia="Times New Roman" w:hAnsi="Arial" w:cs="Arial"/>
            <w:color w:val="3A3A3A"/>
            <w:kern w:val="0"/>
            <w:sz w:val="20"/>
            <w:szCs w:val="20"/>
            <w:u w:val="single"/>
            <w:lang w:val="en-GB" w:eastAsia="en-GB"/>
            <w14:ligatures w14:val="none"/>
          </w:rPr>
          <w:t xml:space="preserve"> </w:t>
        </w:r>
        <w:r w:rsidRPr="00070672">
          <w:rPr>
            <w:rFonts w:ascii="Arial" w:eastAsia="Times New Roman" w:hAnsi="Arial" w:cs="Arial"/>
            <w:color w:val="000000"/>
            <w:kern w:val="0"/>
            <w:sz w:val="20"/>
            <w:szCs w:val="20"/>
            <w:u w:val="single"/>
            <w:lang w:val="en-GB" w:eastAsia="en-GB"/>
            <w14:ligatures w14:val="none"/>
          </w:rPr>
          <w:t>https://discovery.ucl.ac.uk/id/eprint/10001150/1/Wiliam1999Formativepart115.pdf</w:t>
        </w:r>
      </w:hyperlink>
      <w:r w:rsidRPr="00070672">
        <w:rPr>
          <w:rFonts w:ascii="Arial" w:eastAsia="Times New Roman" w:hAnsi="Arial" w:cs="Arial"/>
          <w:color w:val="3A3A3A"/>
          <w:kern w:val="0"/>
          <w:sz w:val="20"/>
          <w:szCs w:val="20"/>
          <w:lang w:val="en-GB" w:eastAsia="en-GB"/>
          <w14:ligatures w14:val="none"/>
        </w:rPr>
        <w:t>.</w:t>
      </w:r>
    </w:p>
    <w:p w14:paraId="0A459858" w14:textId="21175776" w:rsidR="00070672" w:rsidRPr="00070672" w:rsidRDefault="00070672" w:rsidP="002C6BE7">
      <w:pPr>
        <w:spacing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000000"/>
          <w:kern w:val="0"/>
          <w:sz w:val="20"/>
          <w:szCs w:val="20"/>
          <w:lang w:val="en-GB" w:eastAsia="en-GB"/>
          <w14:ligatures w14:val="none"/>
        </w:rPr>
        <w:t xml:space="preserve">Valverde Caravaca, R. (2019). Effective questioning in CLIL classrooms: empowering thinking. </w:t>
      </w:r>
      <w:r w:rsidRPr="00070672">
        <w:rPr>
          <w:rFonts w:ascii="Arial" w:eastAsia="Times New Roman" w:hAnsi="Arial" w:cs="Arial"/>
          <w:i/>
          <w:iCs/>
          <w:color w:val="000000"/>
          <w:kern w:val="0"/>
          <w:sz w:val="20"/>
          <w:szCs w:val="20"/>
          <w:lang w:val="en-GB" w:eastAsia="en-GB"/>
          <w14:ligatures w14:val="none"/>
        </w:rPr>
        <w:t>ELT Journal</w:t>
      </w:r>
      <w:r w:rsidRPr="00070672">
        <w:rPr>
          <w:rFonts w:ascii="Arial" w:eastAsia="Times New Roman" w:hAnsi="Arial" w:cs="Arial"/>
          <w:color w:val="000000"/>
          <w:kern w:val="0"/>
          <w:sz w:val="20"/>
          <w:szCs w:val="20"/>
          <w:lang w:val="en-GB" w:eastAsia="en-GB"/>
          <w14:ligatures w14:val="none"/>
        </w:rPr>
        <w:t xml:space="preserve">, </w:t>
      </w:r>
      <w:r w:rsidRPr="00070672">
        <w:rPr>
          <w:rFonts w:ascii="Arial" w:eastAsia="Times New Roman" w:hAnsi="Arial" w:cs="Arial"/>
          <w:i/>
          <w:iCs/>
          <w:color w:val="000000"/>
          <w:kern w:val="0"/>
          <w:sz w:val="20"/>
          <w:szCs w:val="20"/>
          <w:lang w:val="en-GB" w:eastAsia="en-GB"/>
          <w14:ligatures w14:val="none"/>
        </w:rPr>
        <w:t>73</w:t>
      </w:r>
      <w:r w:rsidRPr="00070672">
        <w:rPr>
          <w:rFonts w:ascii="Arial" w:eastAsia="Times New Roman" w:hAnsi="Arial" w:cs="Arial"/>
          <w:color w:val="000000"/>
          <w:kern w:val="0"/>
          <w:sz w:val="20"/>
          <w:szCs w:val="20"/>
          <w:lang w:val="en-GB" w:eastAsia="en-GB"/>
          <w14:ligatures w14:val="none"/>
        </w:rPr>
        <w:t xml:space="preserve">(4), 367–376. </w:t>
      </w:r>
      <w:hyperlink r:id="rId33" w:history="1">
        <w:r w:rsidRPr="00070672">
          <w:rPr>
            <w:rFonts w:ascii="Arial" w:eastAsia="Times New Roman" w:hAnsi="Arial" w:cs="Arial"/>
            <w:color w:val="1155CC"/>
            <w:kern w:val="0"/>
            <w:sz w:val="20"/>
            <w:szCs w:val="20"/>
            <w:u w:val="single"/>
            <w:lang w:val="en-GB" w:eastAsia="en-GB"/>
            <w14:ligatures w14:val="none"/>
          </w:rPr>
          <w:t>https://doi.org/10.1093/elt/ccz030</w:t>
        </w:r>
      </w:hyperlink>
      <w:r w:rsidRPr="00070672">
        <w:rPr>
          <w:rFonts w:ascii="Arial" w:eastAsia="Times New Roman" w:hAnsi="Arial" w:cs="Arial"/>
          <w:color w:val="000000"/>
          <w:kern w:val="0"/>
          <w:sz w:val="20"/>
          <w:szCs w:val="20"/>
          <w:lang w:val="en-GB" w:eastAsia="en-GB"/>
          <w14:ligatures w14:val="none"/>
        </w:rPr>
        <w:t> </w:t>
      </w:r>
    </w:p>
    <w:p w14:paraId="2AF20FE8" w14:textId="77777777" w:rsidR="00070672" w:rsidRPr="00070672" w:rsidRDefault="00070672" w:rsidP="00070672">
      <w:pPr>
        <w:spacing w:after="0" w:line="240" w:lineRule="auto"/>
        <w:rPr>
          <w:rFonts w:ascii="Times New Roman" w:eastAsia="Times New Roman" w:hAnsi="Times New Roman" w:cs="Times New Roman"/>
          <w:kern w:val="0"/>
          <w:sz w:val="24"/>
          <w:szCs w:val="24"/>
          <w:lang w:val="en-GB" w:eastAsia="en-GB"/>
          <w14:ligatures w14:val="none"/>
        </w:rPr>
      </w:pPr>
    </w:p>
    <w:p w14:paraId="23590A01" w14:textId="77777777" w:rsidR="00070672" w:rsidRPr="00070672" w:rsidRDefault="00070672" w:rsidP="00070672">
      <w:pPr>
        <w:spacing w:before="240" w:after="240" w:line="240" w:lineRule="auto"/>
        <w:rPr>
          <w:rFonts w:ascii="Times New Roman" w:eastAsia="Times New Roman" w:hAnsi="Times New Roman" w:cs="Times New Roman"/>
          <w:kern w:val="0"/>
          <w:sz w:val="24"/>
          <w:szCs w:val="24"/>
          <w:lang w:val="en-GB" w:eastAsia="en-GB"/>
          <w14:ligatures w14:val="none"/>
        </w:rPr>
      </w:pPr>
      <w:r w:rsidRPr="00070672">
        <w:rPr>
          <w:rFonts w:ascii="Arial" w:eastAsia="Times New Roman" w:hAnsi="Arial" w:cs="Arial"/>
          <w:color w:val="000000"/>
          <w:kern w:val="0"/>
          <w:sz w:val="20"/>
          <w:szCs w:val="20"/>
          <w:lang w:val="en-GB" w:eastAsia="en-GB"/>
          <w14:ligatures w14:val="none"/>
        </w:rPr>
        <w:t>‌</w:t>
      </w:r>
    </w:p>
    <w:p w14:paraId="6876A0F0" w14:textId="29E19039" w:rsidR="00070672" w:rsidRDefault="00070672" w:rsidP="00070672">
      <w:pPr>
        <w:rPr>
          <w:sz w:val="20"/>
          <w:szCs w:val="20"/>
        </w:rPr>
      </w:pPr>
      <w:r w:rsidRPr="00070672">
        <w:rPr>
          <w:rFonts w:ascii="Times New Roman" w:eastAsia="Times New Roman" w:hAnsi="Times New Roman" w:cs="Times New Roman"/>
          <w:kern w:val="0"/>
          <w:sz w:val="24"/>
          <w:szCs w:val="24"/>
          <w:lang w:val="en-GB" w:eastAsia="en-GB"/>
          <w14:ligatures w14:val="none"/>
        </w:rPr>
        <w:br/>
      </w:r>
    </w:p>
    <w:p w14:paraId="53DD54C6" w14:textId="77777777" w:rsidR="00955249" w:rsidRPr="00955249" w:rsidRDefault="00955249" w:rsidP="00955249">
      <w:pPr>
        <w:spacing w:before="240" w:after="240" w:line="240" w:lineRule="auto"/>
        <w:rPr>
          <w:rFonts w:ascii="Times New Roman" w:eastAsia="Times New Roman" w:hAnsi="Times New Roman" w:cs="Times New Roman"/>
          <w:kern w:val="0"/>
          <w:sz w:val="24"/>
          <w:szCs w:val="24"/>
          <w:lang w:val="en-GB" w:eastAsia="en-GB"/>
          <w14:ligatures w14:val="none"/>
        </w:rPr>
      </w:pPr>
    </w:p>
    <w:p w14:paraId="7A67DAE2" w14:textId="77777777" w:rsidR="00955249" w:rsidRDefault="00955249" w:rsidP="006F638E">
      <w:pPr>
        <w:rPr>
          <w:rFonts w:ascii="Georgia" w:hAnsi="Georgia"/>
          <w:color w:val="757575"/>
          <w:sz w:val="27"/>
          <w:szCs w:val="27"/>
        </w:rPr>
      </w:pPr>
    </w:p>
    <w:p w14:paraId="10FDF4D3" w14:textId="77777777" w:rsidR="00F710E3" w:rsidRDefault="00F710E3" w:rsidP="006F638E"/>
    <w:p w14:paraId="554AE7A1" w14:textId="77777777" w:rsidR="00704F4F" w:rsidRPr="006F638E" w:rsidRDefault="00704F4F" w:rsidP="006F638E">
      <w:pPr>
        <w:rPr>
          <w:sz w:val="20"/>
          <w:szCs w:val="20"/>
        </w:rPr>
      </w:pPr>
    </w:p>
    <w:sectPr w:rsidR="00704F4F" w:rsidRPr="006F638E" w:rsidSect="00EF76A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B6A29" w14:textId="77777777" w:rsidR="00A77759" w:rsidRDefault="00A77759" w:rsidP="00A77759">
      <w:pPr>
        <w:spacing w:after="0" w:line="240" w:lineRule="auto"/>
      </w:pPr>
      <w:r>
        <w:separator/>
      </w:r>
    </w:p>
  </w:endnote>
  <w:endnote w:type="continuationSeparator" w:id="0">
    <w:p w14:paraId="5C37E5BE" w14:textId="77777777" w:rsidR="00A77759" w:rsidRDefault="00A77759" w:rsidP="00A77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C0E9A" w14:textId="77777777" w:rsidR="00A77759" w:rsidRDefault="00A77759" w:rsidP="00A77759">
      <w:pPr>
        <w:spacing w:after="0" w:line="240" w:lineRule="auto"/>
      </w:pPr>
      <w:r>
        <w:separator/>
      </w:r>
    </w:p>
  </w:footnote>
  <w:footnote w:type="continuationSeparator" w:id="0">
    <w:p w14:paraId="77659311" w14:textId="77777777" w:rsidR="00A77759" w:rsidRDefault="00A77759" w:rsidP="00A777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80171" w14:textId="3BCE5B61" w:rsidR="00A77759" w:rsidRDefault="00A77759">
    <w:pPr>
      <w:pStyle w:val="Header"/>
    </w:pPr>
    <w:r>
      <w:t>Kaitlyn Faith Davies</w:t>
    </w:r>
  </w:p>
  <w:p w14:paraId="398A0830" w14:textId="63306036" w:rsidR="00A77759" w:rsidRDefault="00556B21">
    <w:pPr>
      <w:pStyle w:val="Header"/>
    </w:pPr>
    <w:r>
      <w:t>2100850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B40"/>
    <w:rsid w:val="0000061B"/>
    <w:rsid w:val="0000167F"/>
    <w:rsid w:val="00002FDC"/>
    <w:rsid w:val="000057D4"/>
    <w:rsid w:val="0000673D"/>
    <w:rsid w:val="000114E1"/>
    <w:rsid w:val="00012D05"/>
    <w:rsid w:val="00016D6B"/>
    <w:rsid w:val="000175EA"/>
    <w:rsid w:val="00024EE3"/>
    <w:rsid w:val="00027D3D"/>
    <w:rsid w:val="000332B8"/>
    <w:rsid w:val="0003434E"/>
    <w:rsid w:val="000368A9"/>
    <w:rsid w:val="000376C2"/>
    <w:rsid w:val="00040D6A"/>
    <w:rsid w:val="00045621"/>
    <w:rsid w:val="00046A0D"/>
    <w:rsid w:val="00050223"/>
    <w:rsid w:val="00051C1D"/>
    <w:rsid w:val="00057EA9"/>
    <w:rsid w:val="00060BBB"/>
    <w:rsid w:val="000637AF"/>
    <w:rsid w:val="00064986"/>
    <w:rsid w:val="00070345"/>
    <w:rsid w:val="00070672"/>
    <w:rsid w:val="0007512B"/>
    <w:rsid w:val="00077B5C"/>
    <w:rsid w:val="0008258E"/>
    <w:rsid w:val="000825BE"/>
    <w:rsid w:val="00084CB5"/>
    <w:rsid w:val="000850DD"/>
    <w:rsid w:val="000909E7"/>
    <w:rsid w:val="00090E65"/>
    <w:rsid w:val="0009252D"/>
    <w:rsid w:val="000931A5"/>
    <w:rsid w:val="000936CA"/>
    <w:rsid w:val="000942A8"/>
    <w:rsid w:val="000A3EFE"/>
    <w:rsid w:val="000B08EE"/>
    <w:rsid w:val="000B1226"/>
    <w:rsid w:val="000B291C"/>
    <w:rsid w:val="000C5A80"/>
    <w:rsid w:val="000C5BA4"/>
    <w:rsid w:val="000C7B60"/>
    <w:rsid w:val="000D438B"/>
    <w:rsid w:val="000D4BC0"/>
    <w:rsid w:val="000E5644"/>
    <w:rsid w:val="000F0132"/>
    <w:rsid w:val="000F331E"/>
    <w:rsid w:val="000F3C47"/>
    <w:rsid w:val="000F6442"/>
    <w:rsid w:val="001012E9"/>
    <w:rsid w:val="00106C75"/>
    <w:rsid w:val="00110127"/>
    <w:rsid w:val="00112772"/>
    <w:rsid w:val="00120060"/>
    <w:rsid w:val="00124714"/>
    <w:rsid w:val="00133788"/>
    <w:rsid w:val="00135000"/>
    <w:rsid w:val="00136863"/>
    <w:rsid w:val="001374A2"/>
    <w:rsid w:val="00137C11"/>
    <w:rsid w:val="00137C66"/>
    <w:rsid w:val="00140261"/>
    <w:rsid w:val="00140B60"/>
    <w:rsid w:val="00142784"/>
    <w:rsid w:val="00145837"/>
    <w:rsid w:val="001474CF"/>
    <w:rsid w:val="00150406"/>
    <w:rsid w:val="00152697"/>
    <w:rsid w:val="00155106"/>
    <w:rsid w:val="00156814"/>
    <w:rsid w:val="00157A48"/>
    <w:rsid w:val="00162A8F"/>
    <w:rsid w:val="0016398D"/>
    <w:rsid w:val="00165156"/>
    <w:rsid w:val="00167AAA"/>
    <w:rsid w:val="00172111"/>
    <w:rsid w:val="0019136C"/>
    <w:rsid w:val="00194262"/>
    <w:rsid w:val="001A16B4"/>
    <w:rsid w:val="001A2635"/>
    <w:rsid w:val="001B2C42"/>
    <w:rsid w:val="001B4919"/>
    <w:rsid w:val="001B64A9"/>
    <w:rsid w:val="001B6D67"/>
    <w:rsid w:val="001C3A28"/>
    <w:rsid w:val="001C5759"/>
    <w:rsid w:val="001C71AC"/>
    <w:rsid w:val="001E1942"/>
    <w:rsid w:val="001E36C1"/>
    <w:rsid w:val="001F23E9"/>
    <w:rsid w:val="001F3BB7"/>
    <w:rsid w:val="001F3CE8"/>
    <w:rsid w:val="0020162F"/>
    <w:rsid w:val="00205DBE"/>
    <w:rsid w:val="00207270"/>
    <w:rsid w:val="00211206"/>
    <w:rsid w:val="0021318D"/>
    <w:rsid w:val="0022423F"/>
    <w:rsid w:val="00225807"/>
    <w:rsid w:val="0023109C"/>
    <w:rsid w:val="00233200"/>
    <w:rsid w:val="00235EBA"/>
    <w:rsid w:val="002411DD"/>
    <w:rsid w:val="00254F2F"/>
    <w:rsid w:val="00255C02"/>
    <w:rsid w:val="00256401"/>
    <w:rsid w:val="00260F96"/>
    <w:rsid w:val="00260FF9"/>
    <w:rsid w:val="00262F19"/>
    <w:rsid w:val="002647E3"/>
    <w:rsid w:val="0026520A"/>
    <w:rsid w:val="00265884"/>
    <w:rsid w:val="00266A98"/>
    <w:rsid w:val="00270381"/>
    <w:rsid w:val="002721BF"/>
    <w:rsid w:val="00274835"/>
    <w:rsid w:val="00277764"/>
    <w:rsid w:val="002811A3"/>
    <w:rsid w:val="00281C9C"/>
    <w:rsid w:val="00284303"/>
    <w:rsid w:val="0028621D"/>
    <w:rsid w:val="0028660C"/>
    <w:rsid w:val="00295AF5"/>
    <w:rsid w:val="00295B25"/>
    <w:rsid w:val="002A6A31"/>
    <w:rsid w:val="002B082D"/>
    <w:rsid w:val="002B289C"/>
    <w:rsid w:val="002C0EA5"/>
    <w:rsid w:val="002C3EAB"/>
    <w:rsid w:val="002C6BE7"/>
    <w:rsid w:val="002D7C8C"/>
    <w:rsid w:val="002E2358"/>
    <w:rsid w:val="002E4CEA"/>
    <w:rsid w:val="002F0B6E"/>
    <w:rsid w:val="00301D4F"/>
    <w:rsid w:val="00302023"/>
    <w:rsid w:val="00302085"/>
    <w:rsid w:val="00302641"/>
    <w:rsid w:val="0030455A"/>
    <w:rsid w:val="003078C5"/>
    <w:rsid w:val="00314718"/>
    <w:rsid w:val="00321F3A"/>
    <w:rsid w:val="00324A75"/>
    <w:rsid w:val="00326FFB"/>
    <w:rsid w:val="00330BF5"/>
    <w:rsid w:val="00334178"/>
    <w:rsid w:val="003373AD"/>
    <w:rsid w:val="00340AC1"/>
    <w:rsid w:val="00340C40"/>
    <w:rsid w:val="003418D7"/>
    <w:rsid w:val="00342F0A"/>
    <w:rsid w:val="003506E8"/>
    <w:rsid w:val="0035167A"/>
    <w:rsid w:val="00351AB9"/>
    <w:rsid w:val="0035332C"/>
    <w:rsid w:val="00353A88"/>
    <w:rsid w:val="00357C21"/>
    <w:rsid w:val="003600FB"/>
    <w:rsid w:val="00360F5D"/>
    <w:rsid w:val="00362188"/>
    <w:rsid w:val="0037457C"/>
    <w:rsid w:val="003804EB"/>
    <w:rsid w:val="00382207"/>
    <w:rsid w:val="00383A3A"/>
    <w:rsid w:val="003874E9"/>
    <w:rsid w:val="00391D8B"/>
    <w:rsid w:val="00393D99"/>
    <w:rsid w:val="00395C5C"/>
    <w:rsid w:val="003964CB"/>
    <w:rsid w:val="00397919"/>
    <w:rsid w:val="003A7220"/>
    <w:rsid w:val="003A7736"/>
    <w:rsid w:val="003B218B"/>
    <w:rsid w:val="003B2651"/>
    <w:rsid w:val="003C0523"/>
    <w:rsid w:val="003C4C35"/>
    <w:rsid w:val="003C5F86"/>
    <w:rsid w:val="003D28D9"/>
    <w:rsid w:val="003D7D79"/>
    <w:rsid w:val="003F0A13"/>
    <w:rsid w:val="003F53E7"/>
    <w:rsid w:val="003F5638"/>
    <w:rsid w:val="003F6D1B"/>
    <w:rsid w:val="003F6DBF"/>
    <w:rsid w:val="004029EC"/>
    <w:rsid w:val="00402A64"/>
    <w:rsid w:val="0041457C"/>
    <w:rsid w:val="004215A4"/>
    <w:rsid w:val="0043649C"/>
    <w:rsid w:val="004422B2"/>
    <w:rsid w:val="0045276B"/>
    <w:rsid w:val="004529D9"/>
    <w:rsid w:val="00454BB3"/>
    <w:rsid w:val="00455229"/>
    <w:rsid w:val="0046190B"/>
    <w:rsid w:val="00461F32"/>
    <w:rsid w:val="00463859"/>
    <w:rsid w:val="00466EDE"/>
    <w:rsid w:val="0047607D"/>
    <w:rsid w:val="004848BD"/>
    <w:rsid w:val="00484D08"/>
    <w:rsid w:val="004902E0"/>
    <w:rsid w:val="00492CDD"/>
    <w:rsid w:val="00495B30"/>
    <w:rsid w:val="004A0F92"/>
    <w:rsid w:val="004A25FC"/>
    <w:rsid w:val="004A4E2E"/>
    <w:rsid w:val="004B3ADC"/>
    <w:rsid w:val="004C15FE"/>
    <w:rsid w:val="004C770C"/>
    <w:rsid w:val="004D03E7"/>
    <w:rsid w:val="004D1A3A"/>
    <w:rsid w:val="004D2D84"/>
    <w:rsid w:val="004D57AA"/>
    <w:rsid w:val="004D77C8"/>
    <w:rsid w:val="004E3041"/>
    <w:rsid w:val="004F1C2A"/>
    <w:rsid w:val="004F402F"/>
    <w:rsid w:val="004F42BC"/>
    <w:rsid w:val="005011AB"/>
    <w:rsid w:val="00506EB4"/>
    <w:rsid w:val="0051237E"/>
    <w:rsid w:val="00512C89"/>
    <w:rsid w:val="00514BE1"/>
    <w:rsid w:val="00515FF7"/>
    <w:rsid w:val="0052477D"/>
    <w:rsid w:val="0052537F"/>
    <w:rsid w:val="005270C2"/>
    <w:rsid w:val="00531C03"/>
    <w:rsid w:val="00531FF5"/>
    <w:rsid w:val="00533EC1"/>
    <w:rsid w:val="00535765"/>
    <w:rsid w:val="00536C9D"/>
    <w:rsid w:val="005410C8"/>
    <w:rsid w:val="0054318D"/>
    <w:rsid w:val="00550F33"/>
    <w:rsid w:val="00554363"/>
    <w:rsid w:val="00556B21"/>
    <w:rsid w:val="00560805"/>
    <w:rsid w:val="00560ED1"/>
    <w:rsid w:val="005612AC"/>
    <w:rsid w:val="00562819"/>
    <w:rsid w:val="00573A39"/>
    <w:rsid w:val="00573E20"/>
    <w:rsid w:val="00576BC5"/>
    <w:rsid w:val="00576E1D"/>
    <w:rsid w:val="005775C1"/>
    <w:rsid w:val="00581AD7"/>
    <w:rsid w:val="005826D6"/>
    <w:rsid w:val="00583FC6"/>
    <w:rsid w:val="0059506F"/>
    <w:rsid w:val="005A6E06"/>
    <w:rsid w:val="005B26E0"/>
    <w:rsid w:val="005B423B"/>
    <w:rsid w:val="005B603E"/>
    <w:rsid w:val="005C7358"/>
    <w:rsid w:val="005D046D"/>
    <w:rsid w:val="005D2440"/>
    <w:rsid w:val="005D2FD8"/>
    <w:rsid w:val="005D361B"/>
    <w:rsid w:val="005D405E"/>
    <w:rsid w:val="005D59D1"/>
    <w:rsid w:val="005D5C3E"/>
    <w:rsid w:val="005D6585"/>
    <w:rsid w:val="005E51E7"/>
    <w:rsid w:val="005E53FB"/>
    <w:rsid w:val="005F01A4"/>
    <w:rsid w:val="005F1B45"/>
    <w:rsid w:val="005F3E02"/>
    <w:rsid w:val="00603498"/>
    <w:rsid w:val="00605C4C"/>
    <w:rsid w:val="00606AC8"/>
    <w:rsid w:val="0061057D"/>
    <w:rsid w:val="00610899"/>
    <w:rsid w:val="00613776"/>
    <w:rsid w:val="006237FB"/>
    <w:rsid w:val="00623C50"/>
    <w:rsid w:val="0062581D"/>
    <w:rsid w:val="006343BB"/>
    <w:rsid w:val="00634CDD"/>
    <w:rsid w:val="0063671B"/>
    <w:rsid w:val="00636943"/>
    <w:rsid w:val="00643448"/>
    <w:rsid w:val="006462C9"/>
    <w:rsid w:val="00656887"/>
    <w:rsid w:val="00661029"/>
    <w:rsid w:val="006614AA"/>
    <w:rsid w:val="00661C43"/>
    <w:rsid w:val="00662AC3"/>
    <w:rsid w:val="006657EE"/>
    <w:rsid w:val="00666CB1"/>
    <w:rsid w:val="006676DF"/>
    <w:rsid w:val="00670DE3"/>
    <w:rsid w:val="00674F7B"/>
    <w:rsid w:val="006800B0"/>
    <w:rsid w:val="006805CC"/>
    <w:rsid w:val="006817F6"/>
    <w:rsid w:val="00683F8B"/>
    <w:rsid w:val="0068631C"/>
    <w:rsid w:val="00686C5A"/>
    <w:rsid w:val="0069157F"/>
    <w:rsid w:val="006B3577"/>
    <w:rsid w:val="006B41BE"/>
    <w:rsid w:val="006B7932"/>
    <w:rsid w:val="006C35EE"/>
    <w:rsid w:val="006C4857"/>
    <w:rsid w:val="006C56C9"/>
    <w:rsid w:val="006C752F"/>
    <w:rsid w:val="006D3E48"/>
    <w:rsid w:val="006D71F1"/>
    <w:rsid w:val="006D7592"/>
    <w:rsid w:val="006E2D00"/>
    <w:rsid w:val="006E6CDD"/>
    <w:rsid w:val="006E704F"/>
    <w:rsid w:val="006F4A7E"/>
    <w:rsid w:val="006F5C92"/>
    <w:rsid w:val="006F5DF1"/>
    <w:rsid w:val="006F638E"/>
    <w:rsid w:val="0070078F"/>
    <w:rsid w:val="00704F4F"/>
    <w:rsid w:val="00706F9D"/>
    <w:rsid w:val="0070730F"/>
    <w:rsid w:val="00707A5A"/>
    <w:rsid w:val="0071315D"/>
    <w:rsid w:val="00714044"/>
    <w:rsid w:val="007154E2"/>
    <w:rsid w:val="00717690"/>
    <w:rsid w:val="00720131"/>
    <w:rsid w:val="007207D1"/>
    <w:rsid w:val="00720E7C"/>
    <w:rsid w:val="00722BB2"/>
    <w:rsid w:val="007249DE"/>
    <w:rsid w:val="0072523B"/>
    <w:rsid w:val="00730787"/>
    <w:rsid w:val="00730DB5"/>
    <w:rsid w:val="00731EAA"/>
    <w:rsid w:val="007320F9"/>
    <w:rsid w:val="00732D5F"/>
    <w:rsid w:val="00744E0E"/>
    <w:rsid w:val="00745430"/>
    <w:rsid w:val="00746540"/>
    <w:rsid w:val="00753F5C"/>
    <w:rsid w:val="0076078B"/>
    <w:rsid w:val="0076565D"/>
    <w:rsid w:val="00765BF5"/>
    <w:rsid w:val="007676C2"/>
    <w:rsid w:val="00775855"/>
    <w:rsid w:val="00776DC2"/>
    <w:rsid w:val="00777490"/>
    <w:rsid w:val="00784C09"/>
    <w:rsid w:val="0079065C"/>
    <w:rsid w:val="007954D2"/>
    <w:rsid w:val="00796731"/>
    <w:rsid w:val="007975C9"/>
    <w:rsid w:val="007A5A06"/>
    <w:rsid w:val="007A6EC3"/>
    <w:rsid w:val="007B013B"/>
    <w:rsid w:val="007B11DF"/>
    <w:rsid w:val="007B3B8B"/>
    <w:rsid w:val="007B6F1C"/>
    <w:rsid w:val="007B6F4E"/>
    <w:rsid w:val="007C03D6"/>
    <w:rsid w:val="007C4FE7"/>
    <w:rsid w:val="007C5537"/>
    <w:rsid w:val="007C6A60"/>
    <w:rsid w:val="007D1E4F"/>
    <w:rsid w:val="007D7AFC"/>
    <w:rsid w:val="007E1C15"/>
    <w:rsid w:val="007E24B0"/>
    <w:rsid w:val="007E7E6F"/>
    <w:rsid w:val="007F4B27"/>
    <w:rsid w:val="007F78F5"/>
    <w:rsid w:val="00801831"/>
    <w:rsid w:val="00806B24"/>
    <w:rsid w:val="008077E5"/>
    <w:rsid w:val="008106FC"/>
    <w:rsid w:val="00812A45"/>
    <w:rsid w:val="0081582C"/>
    <w:rsid w:val="00816139"/>
    <w:rsid w:val="00822CDC"/>
    <w:rsid w:val="008303FE"/>
    <w:rsid w:val="00835DC0"/>
    <w:rsid w:val="0083680A"/>
    <w:rsid w:val="008379AA"/>
    <w:rsid w:val="00840064"/>
    <w:rsid w:val="00840A64"/>
    <w:rsid w:val="00850B81"/>
    <w:rsid w:val="00851043"/>
    <w:rsid w:val="008511AF"/>
    <w:rsid w:val="00860150"/>
    <w:rsid w:val="00863EF6"/>
    <w:rsid w:val="0087382F"/>
    <w:rsid w:val="00874886"/>
    <w:rsid w:val="00876811"/>
    <w:rsid w:val="00876E64"/>
    <w:rsid w:val="00877B33"/>
    <w:rsid w:val="00881D55"/>
    <w:rsid w:val="00881FD0"/>
    <w:rsid w:val="008829DD"/>
    <w:rsid w:val="00885455"/>
    <w:rsid w:val="00885B87"/>
    <w:rsid w:val="00886021"/>
    <w:rsid w:val="00890262"/>
    <w:rsid w:val="0089410C"/>
    <w:rsid w:val="00897739"/>
    <w:rsid w:val="008A2819"/>
    <w:rsid w:val="008A5343"/>
    <w:rsid w:val="008A5887"/>
    <w:rsid w:val="008B0C8E"/>
    <w:rsid w:val="008B1802"/>
    <w:rsid w:val="008B6893"/>
    <w:rsid w:val="008B73A6"/>
    <w:rsid w:val="008C54B6"/>
    <w:rsid w:val="008D003D"/>
    <w:rsid w:val="008D39A7"/>
    <w:rsid w:val="008D4FA2"/>
    <w:rsid w:val="008D66FD"/>
    <w:rsid w:val="008E2E19"/>
    <w:rsid w:val="008E636B"/>
    <w:rsid w:val="008E7FC2"/>
    <w:rsid w:val="008F1703"/>
    <w:rsid w:val="008F6BC4"/>
    <w:rsid w:val="009224FA"/>
    <w:rsid w:val="00924400"/>
    <w:rsid w:val="009322DC"/>
    <w:rsid w:val="009360E3"/>
    <w:rsid w:val="009420D0"/>
    <w:rsid w:val="0094270A"/>
    <w:rsid w:val="009452F3"/>
    <w:rsid w:val="009454FE"/>
    <w:rsid w:val="0095006C"/>
    <w:rsid w:val="00955249"/>
    <w:rsid w:val="009559C7"/>
    <w:rsid w:val="009611DF"/>
    <w:rsid w:val="00967D5C"/>
    <w:rsid w:val="00972D11"/>
    <w:rsid w:val="00973F29"/>
    <w:rsid w:val="00982462"/>
    <w:rsid w:val="00982BE0"/>
    <w:rsid w:val="009839D1"/>
    <w:rsid w:val="00986A51"/>
    <w:rsid w:val="009906AB"/>
    <w:rsid w:val="009936A6"/>
    <w:rsid w:val="00994853"/>
    <w:rsid w:val="00994C53"/>
    <w:rsid w:val="0099578F"/>
    <w:rsid w:val="00997926"/>
    <w:rsid w:val="009A3C98"/>
    <w:rsid w:val="009A55F5"/>
    <w:rsid w:val="009A6241"/>
    <w:rsid w:val="009B1389"/>
    <w:rsid w:val="009B3793"/>
    <w:rsid w:val="009B38C6"/>
    <w:rsid w:val="009B6E2E"/>
    <w:rsid w:val="009C18D6"/>
    <w:rsid w:val="009D094D"/>
    <w:rsid w:val="009D0A9F"/>
    <w:rsid w:val="009D2A2F"/>
    <w:rsid w:val="009D6131"/>
    <w:rsid w:val="009D7D5A"/>
    <w:rsid w:val="009E10AF"/>
    <w:rsid w:val="009E283A"/>
    <w:rsid w:val="009E3AE9"/>
    <w:rsid w:val="009F0647"/>
    <w:rsid w:val="009F1368"/>
    <w:rsid w:val="009F6231"/>
    <w:rsid w:val="00A0196E"/>
    <w:rsid w:val="00A02C92"/>
    <w:rsid w:val="00A03F54"/>
    <w:rsid w:val="00A2205D"/>
    <w:rsid w:val="00A3072C"/>
    <w:rsid w:val="00A329E3"/>
    <w:rsid w:val="00A32BF0"/>
    <w:rsid w:val="00A33E51"/>
    <w:rsid w:val="00A34A76"/>
    <w:rsid w:val="00A35802"/>
    <w:rsid w:val="00A41238"/>
    <w:rsid w:val="00A421EE"/>
    <w:rsid w:val="00A4269C"/>
    <w:rsid w:val="00A44E0A"/>
    <w:rsid w:val="00A46CCA"/>
    <w:rsid w:val="00A50FC6"/>
    <w:rsid w:val="00A5187A"/>
    <w:rsid w:val="00A57870"/>
    <w:rsid w:val="00A61648"/>
    <w:rsid w:val="00A65A25"/>
    <w:rsid w:val="00A75384"/>
    <w:rsid w:val="00A76CCB"/>
    <w:rsid w:val="00A77759"/>
    <w:rsid w:val="00A80AEB"/>
    <w:rsid w:val="00A84BAB"/>
    <w:rsid w:val="00A86F71"/>
    <w:rsid w:val="00A90FE8"/>
    <w:rsid w:val="00AA1017"/>
    <w:rsid w:val="00AA5AC4"/>
    <w:rsid w:val="00AA673A"/>
    <w:rsid w:val="00AA7830"/>
    <w:rsid w:val="00AB13E6"/>
    <w:rsid w:val="00AB56EB"/>
    <w:rsid w:val="00AC087A"/>
    <w:rsid w:val="00AC679F"/>
    <w:rsid w:val="00AC6806"/>
    <w:rsid w:val="00AE3BF8"/>
    <w:rsid w:val="00AE43FB"/>
    <w:rsid w:val="00AE4862"/>
    <w:rsid w:val="00AF5587"/>
    <w:rsid w:val="00B003FC"/>
    <w:rsid w:val="00B0280F"/>
    <w:rsid w:val="00B0641A"/>
    <w:rsid w:val="00B15579"/>
    <w:rsid w:val="00B17B2A"/>
    <w:rsid w:val="00B223B4"/>
    <w:rsid w:val="00B23A97"/>
    <w:rsid w:val="00B30FAF"/>
    <w:rsid w:val="00B31590"/>
    <w:rsid w:val="00B3159B"/>
    <w:rsid w:val="00B33614"/>
    <w:rsid w:val="00B33E9E"/>
    <w:rsid w:val="00B379F9"/>
    <w:rsid w:val="00B40BE7"/>
    <w:rsid w:val="00B43F70"/>
    <w:rsid w:val="00B45BA2"/>
    <w:rsid w:val="00B46B42"/>
    <w:rsid w:val="00B476FB"/>
    <w:rsid w:val="00B511D7"/>
    <w:rsid w:val="00B5376A"/>
    <w:rsid w:val="00B62B35"/>
    <w:rsid w:val="00B63651"/>
    <w:rsid w:val="00B658D6"/>
    <w:rsid w:val="00B711D8"/>
    <w:rsid w:val="00B72EB6"/>
    <w:rsid w:val="00B730C1"/>
    <w:rsid w:val="00B75EB9"/>
    <w:rsid w:val="00B7791F"/>
    <w:rsid w:val="00B84E86"/>
    <w:rsid w:val="00B91BA1"/>
    <w:rsid w:val="00B946C6"/>
    <w:rsid w:val="00BB571A"/>
    <w:rsid w:val="00BB6CFE"/>
    <w:rsid w:val="00BB7936"/>
    <w:rsid w:val="00BC1F48"/>
    <w:rsid w:val="00BC4A8B"/>
    <w:rsid w:val="00BC4D49"/>
    <w:rsid w:val="00BC61FD"/>
    <w:rsid w:val="00BD122F"/>
    <w:rsid w:val="00BD1ED2"/>
    <w:rsid w:val="00BD549C"/>
    <w:rsid w:val="00BD56C4"/>
    <w:rsid w:val="00BE0600"/>
    <w:rsid w:val="00BE14ED"/>
    <w:rsid w:val="00BE1847"/>
    <w:rsid w:val="00BE2BC9"/>
    <w:rsid w:val="00BF3E38"/>
    <w:rsid w:val="00C2119E"/>
    <w:rsid w:val="00C22C6D"/>
    <w:rsid w:val="00C35674"/>
    <w:rsid w:val="00C359EB"/>
    <w:rsid w:val="00C37778"/>
    <w:rsid w:val="00C433C6"/>
    <w:rsid w:val="00C51725"/>
    <w:rsid w:val="00C525FE"/>
    <w:rsid w:val="00C54512"/>
    <w:rsid w:val="00C54F44"/>
    <w:rsid w:val="00C5524D"/>
    <w:rsid w:val="00C60433"/>
    <w:rsid w:val="00C642C2"/>
    <w:rsid w:val="00C72C95"/>
    <w:rsid w:val="00C7586F"/>
    <w:rsid w:val="00C76155"/>
    <w:rsid w:val="00C82DC7"/>
    <w:rsid w:val="00C84611"/>
    <w:rsid w:val="00C8532C"/>
    <w:rsid w:val="00C85783"/>
    <w:rsid w:val="00C96FF0"/>
    <w:rsid w:val="00C971C3"/>
    <w:rsid w:val="00C97D93"/>
    <w:rsid w:val="00CA181A"/>
    <w:rsid w:val="00CA1936"/>
    <w:rsid w:val="00CA304F"/>
    <w:rsid w:val="00CA4025"/>
    <w:rsid w:val="00CA51E9"/>
    <w:rsid w:val="00CA6C3A"/>
    <w:rsid w:val="00CA6FA9"/>
    <w:rsid w:val="00CB1A11"/>
    <w:rsid w:val="00CB57A3"/>
    <w:rsid w:val="00CB64B5"/>
    <w:rsid w:val="00CB670F"/>
    <w:rsid w:val="00CC0BC2"/>
    <w:rsid w:val="00CC14AE"/>
    <w:rsid w:val="00CC287D"/>
    <w:rsid w:val="00CC7981"/>
    <w:rsid w:val="00CD5627"/>
    <w:rsid w:val="00CD5763"/>
    <w:rsid w:val="00CE1160"/>
    <w:rsid w:val="00CF20C5"/>
    <w:rsid w:val="00CF2BD4"/>
    <w:rsid w:val="00CF4633"/>
    <w:rsid w:val="00CF4CAF"/>
    <w:rsid w:val="00D027E8"/>
    <w:rsid w:val="00D0364C"/>
    <w:rsid w:val="00D14AB5"/>
    <w:rsid w:val="00D15396"/>
    <w:rsid w:val="00D20353"/>
    <w:rsid w:val="00D2210B"/>
    <w:rsid w:val="00D30B43"/>
    <w:rsid w:val="00D353FA"/>
    <w:rsid w:val="00D3777B"/>
    <w:rsid w:val="00D42FBD"/>
    <w:rsid w:val="00D45D2B"/>
    <w:rsid w:val="00D530B5"/>
    <w:rsid w:val="00D530CD"/>
    <w:rsid w:val="00D61A8B"/>
    <w:rsid w:val="00D76ED6"/>
    <w:rsid w:val="00D82F51"/>
    <w:rsid w:val="00D87123"/>
    <w:rsid w:val="00D903BD"/>
    <w:rsid w:val="00D90918"/>
    <w:rsid w:val="00D91D69"/>
    <w:rsid w:val="00D91FE2"/>
    <w:rsid w:val="00D95D62"/>
    <w:rsid w:val="00DB0256"/>
    <w:rsid w:val="00DB2D0F"/>
    <w:rsid w:val="00DB32E2"/>
    <w:rsid w:val="00DB3351"/>
    <w:rsid w:val="00DB4DE8"/>
    <w:rsid w:val="00DB7F13"/>
    <w:rsid w:val="00DC02C5"/>
    <w:rsid w:val="00DC51DC"/>
    <w:rsid w:val="00DD2284"/>
    <w:rsid w:val="00DD2A6A"/>
    <w:rsid w:val="00DD572F"/>
    <w:rsid w:val="00DD6DCE"/>
    <w:rsid w:val="00DE00F2"/>
    <w:rsid w:val="00DE0957"/>
    <w:rsid w:val="00DE5BFF"/>
    <w:rsid w:val="00DF0BA2"/>
    <w:rsid w:val="00DF1057"/>
    <w:rsid w:val="00DF6CEC"/>
    <w:rsid w:val="00E0502C"/>
    <w:rsid w:val="00E114C2"/>
    <w:rsid w:val="00E16152"/>
    <w:rsid w:val="00E200E4"/>
    <w:rsid w:val="00E21713"/>
    <w:rsid w:val="00E21F27"/>
    <w:rsid w:val="00E22894"/>
    <w:rsid w:val="00E2477D"/>
    <w:rsid w:val="00E45F05"/>
    <w:rsid w:val="00E47802"/>
    <w:rsid w:val="00E55CE9"/>
    <w:rsid w:val="00E567DC"/>
    <w:rsid w:val="00E56EDC"/>
    <w:rsid w:val="00E57A38"/>
    <w:rsid w:val="00E6164B"/>
    <w:rsid w:val="00E72147"/>
    <w:rsid w:val="00E737AA"/>
    <w:rsid w:val="00E75081"/>
    <w:rsid w:val="00E7599D"/>
    <w:rsid w:val="00E7742B"/>
    <w:rsid w:val="00E81753"/>
    <w:rsid w:val="00E83897"/>
    <w:rsid w:val="00E85F7C"/>
    <w:rsid w:val="00E91C44"/>
    <w:rsid w:val="00E9510D"/>
    <w:rsid w:val="00EA2CC4"/>
    <w:rsid w:val="00EA364A"/>
    <w:rsid w:val="00EA7182"/>
    <w:rsid w:val="00EB2EAF"/>
    <w:rsid w:val="00EB47C7"/>
    <w:rsid w:val="00EB4A0C"/>
    <w:rsid w:val="00EC452C"/>
    <w:rsid w:val="00ED0264"/>
    <w:rsid w:val="00ED2F24"/>
    <w:rsid w:val="00ED38F2"/>
    <w:rsid w:val="00ED48F4"/>
    <w:rsid w:val="00ED4B41"/>
    <w:rsid w:val="00ED7FDC"/>
    <w:rsid w:val="00EE1238"/>
    <w:rsid w:val="00EE1B06"/>
    <w:rsid w:val="00EE46D1"/>
    <w:rsid w:val="00EE6049"/>
    <w:rsid w:val="00EE63A4"/>
    <w:rsid w:val="00EE65CB"/>
    <w:rsid w:val="00EE6813"/>
    <w:rsid w:val="00EE7EF4"/>
    <w:rsid w:val="00EF76A7"/>
    <w:rsid w:val="00F02FC2"/>
    <w:rsid w:val="00F06400"/>
    <w:rsid w:val="00F15EE6"/>
    <w:rsid w:val="00F16420"/>
    <w:rsid w:val="00F1689A"/>
    <w:rsid w:val="00F24DE9"/>
    <w:rsid w:val="00F268C8"/>
    <w:rsid w:val="00F276B0"/>
    <w:rsid w:val="00F318AD"/>
    <w:rsid w:val="00F35208"/>
    <w:rsid w:val="00F36C88"/>
    <w:rsid w:val="00F376A4"/>
    <w:rsid w:val="00F42585"/>
    <w:rsid w:val="00F4404D"/>
    <w:rsid w:val="00F44AA7"/>
    <w:rsid w:val="00F46B7E"/>
    <w:rsid w:val="00F60F44"/>
    <w:rsid w:val="00F640B3"/>
    <w:rsid w:val="00F6456A"/>
    <w:rsid w:val="00F67C99"/>
    <w:rsid w:val="00F710E3"/>
    <w:rsid w:val="00F72F11"/>
    <w:rsid w:val="00F75801"/>
    <w:rsid w:val="00F76CD8"/>
    <w:rsid w:val="00F77F78"/>
    <w:rsid w:val="00F82B4C"/>
    <w:rsid w:val="00F82CEA"/>
    <w:rsid w:val="00F90B40"/>
    <w:rsid w:val="00F95A42"/>
    <w:rsid w:val="00FA476F"/>
    <w:rsid w:val="00FA7943"/>
    <w:rsid w:val="00FB2A9D"/>
    <w:rsid w:val="00FB371D"/>
    <w:rsid w:val="00FB6A7D"/>
    <w:rsid w:val="00FC019D"/>
    <w:rsid w:val="00FC5FE7"/>
    <w:rsid w:val="00FC6379"/>
    <w:rsid w:val="00FC754C"/>
    <w:rsid w:val="00FC7607"/>
    <w:rsid w:val="00FD1D03"/>
    <w:rsid w:val="00FD447A"/>
    <w:rsid w:val="00FE042D"/>
    <w:rsid w:val="00FE36FD"/>
    <w:rsid w:val="00FE5BCE"/>
    <w:rsid w:val="00FE6E53"/>
    <w:rsid w:val="00FE74AA"/>
    <w:rsid w:val="00FF773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6C2B4"/>
  <w15:chartTrackingRefBased/>
  <w15:docId w15:val="{F0764504-9A9A-4A3A-8BFE-B6E075B1E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7690"/>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paragraph" w:styleId="Header">
    <w:name w:val="header"/>
    <w:basedOn w:val="Normal"/>
    <w:link w:val="HeaderChar"/>
    <w:uiPriority w:val="99"/>
    <w:unhideWhenUsed/>
    <w:rsid w:val="00A77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759"/>
    <w:rPr>
      <w:lang w:val="cy-GB"/>
    </w:rPr>
  </w:style>
  <w:style w:type="paragraph" w:styleId="Footer">
    <w:name w:val="footer"/>
    <w:basedOn w:val="Normal"/>
    <w:link w:val="FooterChar"/>
    <w:uiPriority w:val="99"/>
    <w:unhideWhenUsed/>
    <w:rsid w:val="00A77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759"/>
    <w:rPr>
      <w:lang w:val="cy-GB"/>
    </w:rPr>
  </w:style>
  <w:style w:type="character" w:styleId="Hyperlink">
    <w:name w:val="Hyperlink"/>
    <w:basedOn w:val="DefaultParagraphFont"/>
    <w:uiPriority w:val="99"/>
    <w:unhideWhenUsed/>
    <w:rsid w:val="00704F4F"/>
    <w:rPr>
      <w:color w:val="0000FF"/>
      <w:u w:val="single"/>
    </w:rPr>
  </w:style>
  <w:style w:type="character" w:styleId="UnresolvedMention">
    <w:name w:val="Unresolved Mention"/>
    <w:basedOn w:val="DefaultParagraphFont"/>
    <w:uiPriority w:val="99"/>
    <w:semiHidden/>
    <w:unhideWhenUsed/>
    <w:rsid w:val="00725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77327">
      <w:bodyDiv w:val="1"/>
      <w:marLeft w:val="0"/>
      <w:marRight w:val="0"/>
      <w:marTop w:val="0"/>
      <w:marBottom w:val="0"/>
      <w:divBdr>
        <w:top w:val="none" w:sz="0" w:space="0" w:color="auto"/>
        <w:left w:val="none" w:sz="0" w:space="0" w:color="auto"/>
        <w:bottom w:val="none" w:sz="0" w:space="0" w:color="auto"/>
        <w:right w:val="none" w:sz="0" w:space="0" w:color="auto"/>
      </w:divBdr>
    </w:div>
    <w:div w:id="299964032">
      <w:bodyDiv w:val="1"/>
      <w:marLeft w:val="0"/>
      <w:marRight w:val="0"/>
      <w:marTop w:val="0"/>
      <w:marBottom w:val="0"/>
      <w:divBdr>
        <w:top w:val="none" w:sz="0" w:space="0" w:color="auto"/>
        <w:left w:val="none" w:sz="0" w:space="0" w:color="auto"/>
        <w:bottom w:val="none" w:sz="0" w:space="0" w:color="auto"/>
        <w:right w:val="none" w:sz="0" w:space="0" w:color="auto"/>
      </w:divBdr>
    </w:div>
    <w:div w:id="424495043">
      <w:bodyDiv w:val="1"/>
      <w:marLeft w:val="0"/>
      <w:marRight w:val="0"/>
      <w:marTop w:val="0"/>
      <w:marBottom w:val="0"/>
      <w:divBdr>
        <w:top w:val="none" w:sz="0" w:space="0" w:color="auto"/>
        <w:left w:val="none" w:sz="0" w:space="0" w:color="auto"/>
        <w:bottom w:val="none" w:sz="0" w:space="0" w:color="auto"/>
        <w:right w:val="none" w:sz="0" w:space="0" w:color="auto"/>
      </w:divBdr>
    </w:div>
    <w:div w:id="502206027">
      <w:bodyDiv w:val="1"/>
      <w:marLeft w:val="0"/>
      <w:marRight w:val="0"/>
      <w:marTop w:val="0"/>
      <w:marBottom w:val="0"/>
      <w:divBdr>
        <w:top w:val="none" w:sz="0" w:space="0" w:color="auto"/>
        <w:left w:val="none" w:sz="0" w:space="0" w:color="auto"/>
        <w:bottom w:val="none" w:sz="0" w:space="0" w:color="auto"/>
        <w:right w:val="none" w:sz="0" w:space="0" w:color="auto"/>
      </w:divBdr>
    </w:div>
    <w:div w:id="537014434">
      <w:bodyDiv w:val="1"/>
      <w:marLeft w:val="0"/>
      <w:marRight w:val="0"/>
      <w:marTop w:val="0"/>
      <w:marBottom w:val="0"/>
      <w:divBdr>
        <w:top w:val="none" w:sz="0" w:space="0" w:color="auto"/>
        <w:left w:val="none" w:sz="0" w:space="0" w:color="auto"/>
        <w:bottom w:val="none" w:sz="0" w:space="0" w:color="auto"/>
        <w:right w:val="none" w:sz="0" w:space="0" w:color="auto"/>
      </w:divBdr>
    </w:div>
    <w:div w:id="562255701">
      <w:bodyDiv w:val="1"/>
      <w:marLeft w:val="0"/>
      <w:marRight w:val="0"/>
      <w:marTop w:val="0"/>
      <w:marBottom w:val="0"/>
      <w:divBdr>
        <w:top w:val="none" w:sz="0" w:space="0" w:color="auto"/>
        <w:left w:val="none" w:sz="0" w:space="0" w:color="auto"/>
        <w:bottom w:val="none" w:sz="0" w:space="0" w:color="auto"/>
        <w:right w:val="none" w:sz="0" w:space="0" w:color="auto"/>
      </w:divBdr>
      <w:divsChild>
        <w:div w:id="505364302">
          <w:marLeft w:val="0"/>
          <w:marRight w:val="0"/>
          <w:marTop w:val="0"/>
          <w:marBottom w:val="0"/>
          <w:divBdr>
            <w:top w:val="none" w:sz="0" w:space="0" w:color="auto"/>
            <w:left w:val="none" w:sz="0" w:space="0" w:color="auto"/>
            <w:bottom w:val="none" w:sz="0" w:space="0" w:color="auto"/>
            <w:right w:val="none" w:sz="0" w:space="0" w:color="auto"/>
          </w:divBdr>
          <w:divsChild>
            <w:div w:id="51657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447680">
      <w:bodyDiv w:val="1"/>
      <w:marLeft w:val="0"/>
      <w:marRight w:val="0"/>
      <w:marTop w:val="0"/>
      <w:marBottom w:val="0"/>
      <w:divBdr>
        <w:top w:val="none" w:sz="0" w:space="0" w:color="auto"/>
        <w:left w:val="none" w:sz="0" w:space="0" w:color="auto"/>
        <w:bottom w:val="none" w:sz="0" w:space="0" w:color="auto"/>
        <w:right w:val="none" w:sz="0" w:space="0" w:color="auto"/>
      </w:divBdr>
    </w:div>
    <w:div w:id="190343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oi.org/10.1016/j.stueduc.2020.100917" TargetMode="Externa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3389/feduc.2019.00064" TargetMode="External"/><Relationship Id="rId33" Type="http://schemas.openxmlformats.org/officeDocument/2006/relationships/hyperlink" Target="https://doi.org/10.1093/elt/ccz030"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doi.org/10.33828/sei.v32.i4.1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oi.org/10.18823/asiatefl.2019.16.1.4.53" TargetMode="External"/><Relationship Id="rId32" Type="http://schemas.openxmlformats.org/officeDocument/2006/relationships/hyperlink" Target="https://discovery.ucl.ac.uk/id/eprint/10001150/1/Wiliam1999Formativepart115.pdf"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ebookcentral.proquest.com/lib/trinity/detail.action?docID=4987833"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hwb.gov.wales/api/storage/663d00fd-9c3b-4003-9a1f-0012bad39fad/how-to-develop-thinking-and-assessment-for-learning-in-the-classroom.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gov.wales/sites/default/files/publications/2018-03/successful-futures.pdf" TargetMode="External"/><Relationship Id="rId30" Type="http://schemas.openxmlformats.org/officeDocument/2006/relationships/hyperlink" Target="https://www.ittmfl.org.uk/modules/teaching/1e/paper1e5.pdf"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192a9d654aa62fae18a50dc067ae51a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34ee64722c834fffb83edcaced77eb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5AEE0-8911-4300-8BD5-6DC9D861D623}">
  <ds:schemaRefs>
    <ds:schemaRef ds:uri="http://schemas.microsoft.com/sharepoint/v3/contenttype/forms"/>
  </ds:schemaRefs>
</ds:datastoreItem>
</file>

<file path=customXml/itemProps2.xml><?xml version="1.0" encoding="utf-8"?>
<ds:datastoreItem xmlns:ds="http://schemas.openxmlformats.org/officeDocument/2006/customXml" ds:itemID="{CD9DB0D0-9DAC-4829-9CAD-38EC434F5FE8}">
  <ds:schemaRefs>
    <ds:schemaRef ds:uri="be49ff73-cec0-4379-9da8-63ff3cc411bb"/>
    <ds:schemaRef ds:uri="http://purl.org/dc/elements/1.1/"/>
    <ds:schemaRef ds:uri="http://schemas.openxmlformats.org/package/2006/metadata/core-properties"/>
    <ds:schemaRef ds:uri="http://schemas.microsoft.com/office/infopath/2007/PartnerControls"/>
    <ds:schemaRef ds:uri="90b58af8-24e5-4252-ab67-b2f2985aee88"/>
    <ds:schemaRef ds:uri="http://schemas.microsoft.com/office/2006/documentManagement/types"/>
    <ds:schemaRef ds:uri="http://schemas.microsoft.com/office/2006/metadata/properties"/>
    <ds:schemaRef ds:uri="http://www.w3.org/XML/1998/namespace"/>
    <ds:schemaRef ds:uri="http://purl.org/dc/dcmitype/"/>
    <ds:schemaRef ds:uri="http://purl.org/dc/terms/"/>
  </ds:schemaRefs>
</ds:datastoreItem>
</file>

<file path=customXml/itemProps3.xml><?xml version="1.0" encoding="utf-8"?>
<ds:datastoreItem xmlns:ds="http://schemas.openxmlformats.org/officeDocument/2006/customXml" ds:itemID="{2BB293C5-DBD8-4556-B9DA-CD9468F336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FF85BF-6257-4205-AA0C-C7D5A349D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3483</Words>
  <Characters>19856</Characters>
  <Application>Microsoft Office Word</Application>
  <DocSecurity>0</DocSecurity>
  <Lines>165</Lines>
  <Paragraphs>46</Paragraphs>
  <ScaleCrop>false</ScaleCrop>
  <Company/>
  <LinksUpToDate>false</LinksUpToDate>
  <CharactersWithSpaces>23293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dc:creator>
  <cp:keywords/>
  <dc:description/>
  <cp:lastModifiedBy>Kaitlyn Davies</cp:lastModifiedBy>
  <cp:revision>2</cp:revision>
  <dcterms:created xsi:type="dcterms:W3CDTF">2024-01-09T19:11:00Z</dcterms:created>
  <dcterms:modified xsi:type="dcterms:W3CDTF">2024-01-09T19:11:00Z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