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6A348" w14:textId="333E8DE9" w:rsidR="7B5EAB99" w:rsidRPr="00BB0D1F" w:rsidRDefault="7B5EAB99" w:rsidP="00BB0D1F">
      <w:pPr>
        <w:spacing w:line="360" w:lineRule="auto"/>
        <w:rPr>
          <w:rFonts w:ascii="Arial" w:hAnsi="Arial" w:cs="Arial"/>
          <w:sz w:val="22"/>
          <w:szCs w:val="22"/>
          <w:lang w:val="en-US"/>
        </w:rPr>
      </w:pPr>
      <w:r w:rsidRPr="00BB0D1F">
        <w:rPr>
          <w:rFonts w:ascii="Arial" w:hAnsi="Arial" w:cs="Arial"/>
          <w:b/>
          <w:bCs/>
          <w:sz w:val="22"/>
          <w:szCs w:val="22"/>
        </w:rPr>
        <w:t>Student name and number</w:t>
      </w:r>
      <w:r w:rsidRPr="00BB0D1F">
        <w:rPr>
          <w:rFonts w:ascii="Arial" w:hAnsi="Arial" w:cs="Arial"/>
          <w:sz w:val="22"/>
          <w:szCs w:val="22"/>
        </w:rPr>
        <w:t>: Marcia Miller (2406690)</w:t>
      </w:r>
    </w:p>
    <w:p w14:paraId="6CB959FE" w14:textId="7A02E8E9" w:rsidR="7B5EAB99" w:rsidRPr="00BB0D1F" w:rsidRDefault="7B5EAB99" w:rsidP="00BB0D1F">
      <w:pPr>
        <w:spacing w:line="360" w:lineRule="auto"/>
        <w:rPr>
          <w:rFonts w:ascii="Arial" w:hAnsi="Arial" w:cs="Arial"/>
          <w:sz w:val="22"/>
          <w:szCs w:val="22"/>
          <w:lang w:val="en-US"/>
        </w:rPr>
      </w:pPr>
      <w:r w:rsidRPr="00BB0D1F">
        <w:rPr>
          <w:rFonts w:ascii="Arial" w:hAnsi="Arial" w:cs="Arial"/>
          <w:b/>
          <w:bCs/>
          <w:sz w:val="22"/>
          <w:szCs w:val="22"/>
        </w:rPr>
        <w:t>Module title and code:</w:t>
      </w:r>
      <w:r w:rsidRPr="00BB0D1F">
        <w:rPr>
          <w:rFonts w:ascii="Arial" w:hAnsi="Arial" w:cs="Arial"/>
          <w:sz w:val="22"/>
          <w:szCs w:val="22"/>
        </w:rPr>
        <w:t xml:space="preserve"> Principles of Health and Social Care Practice (</w:t>
      </w:r>
      <w:r w:rsidR="1D42422D" w:rsidRPr="00BB0D1F">
        <w:rPr>
          <w:rFonts w:ascii="Arial" w:hAnsi="Arial" w:cs="Arial"/>
          <w:sz w:val="22"/>
          <w:szCs w:val="22"/>
        </w:rPr>
        <w:t>BMHP5016</w:t>
      </w:r>
      <w:r w:rsidRPr="00BB0D1F">
        <w:rPr>
          <w:rFonts w:ascii="Arial" w:hAnsi="Arial" w:cs="Arial"/>
          <w:sz w:val="22"/>
          <w:szCs w:val="22"/>
        </w:rPr>
        <w:t>)</w:t>
      </w:r>
    </w:p>
    <w:p w14:paraId="7D7998B7" w14:textId="4C959C98" w:rsidR="7B5EAB99" w:rsidRPr="00BB0D1F" w:rsidRDefault="7B5EAB99" w:rsidP="00BB0D1F">
      <w:pPr>
        <w:spacing w:line="360" w:lineRule="auto"/>
        <w:rPr>
          <w:rFonts w:ascii="Arial" w:hAnsi="Arial" w:cs="Arial"/>
          <w:sz w:val="22"/>
          <w:szCs w:val="22"/>
          <w:lang w:val="en-US"/>
        </w:rPr>
      </w:pPr>
      <w:r w:rsidRPr="00BB0D1F">
        <w:rPr>
          <w:rFonts w:ascii="Arial" w:hAnsi="Arial" w:cs="Arial"/>
          <w:b/>
          <w:bCs/>
          <w:sz w:val="22"/>
          <w:szCs w:val="22"/>
        </w:rPr>
        <w:t>Assignment title:</w:t>
      </w:r>
      <w:r w:rsidRPr="00BB0D1F">
        <w:rPr>
          <w:rFonts w:ascii="Arial" w:hAnsi="Arial" w:cs="Arial"/>
          <w:sz w:val="22"/>
          <w:szCs w:val="22"/>
        </w:rPr>
        <w:t xml:space="preserve"> </w:t>
      </w:r>
      <w:r w:rsidR="7F037EE9" w:rsidRPr="00BB0D1F">
        <w:rPr>
          <w:rFonts w:ascii="Arial" w:hAnsi="Arial" w:cs="Arial"/>
          <w:sz w:val="22"/>
          <w:szCs w:val="22"/>
        </w:rPr>
        <w:t>Component 2: Written Assignment (Report)</w:t>
      </w:r>
      <w:r w:rsidRPr="00BB0D1F">
        <w:rPr>
          <w:rFonts w:ascii="Arial" w:hAnsi="Arial" w:cs="Arial"/>
          <w:sz w:val="22"/>
          <w:szCs w:val="22"/>
        </w:rPr>
        <w:t xml:space="preserve"> </w:t>
      </w:r>
    </w:p>
    <w:p w14:paraId="2DE2E67B" w14:textId="3BF126A6" w:rsidR="7B5EAB99" w:rsidRPr="00BB0D1F" w:rsidRDefault="7B5EAB99" w:rsidP="00BB0D1F">
      <w:pPr>
        <w:spacing w:line="360" w:lineRule="auto"/>
        <w:rPr>
          <w:rFonts w:ascii="Arial" w:hAnsi="Arial" w:cs="Arial"/>
          <w:sz w:val="22"/>
          <w:szCs w:val="22"/>
        </w:rPr>
      </w:pPr>
      <w:r w:rsidRPr="00BB0D1F">
        <w:rPr>
          <w:rFonts w:ascii="Arial" w:hAnsi="Arial" w:cs="Arial"/>
          <w:b/>
          <w:bCs/>
          <w:sz w:val="22"/>
          <w:szCs w:val="22"/>
        </w:rPr>
        <w:t xml:space="preserve">Lecturer: </w:t>
      </w:r>
      <w:r w:rsidR="1899EC0F" w:rsidRPr="00BB0D1F">
        <w:rPr>
          <w:rFonts w:ascii="Arial" w:hAnsi="Arial" w:cs="Arial"/>
          <w:sz w:val="22"/>
          <w:szCs w:val="22"/>
        </w:rPr>
        <w:t>Junaid Shaikh</w:t>
      </w:r>
    </w:p>
    <w:p w14:paraId="616CB001" w14:textId="7486593B" w:rsidR="7B5EAB99" w:rsidRPr="00BB0D1F" w:rsidRDefault="7B5EAB99" w:rsidP="00BB0D1F">
      <w:pPr>
        <w:spacing w:line="360" w:lineRule="auto"/>
        <w:rPr>
          <w:rFonts w:ascii="Arial" w:hAnsi="Arial" w:cs="Arial"/>
          <w:sz w:val="22"/>
          <w:szCs w:val="22"/>
        </w:rPr>
      </w:pPr>
      <w:r w:rsidRPr="00BB0D1F">
        <w:rPr>
          <w:rFonts w:ascii="Arial" w:hAnsi="Arial" w:cs="Arial"/>
          <w:b/>
          <w:bCs/>
          <w:sz w:val="22"/>
          <w:szCs w:val="22"/>
        </w:rPr>
        <w:t xml:space="preserve">Word count: </w:t>
      </w:r>
      <w:r w:rsidR="79F6A4BB" w:rsidRPr="00BB0D1F">
        <w:rPr>
          <w:rFonts w:ascii="Arial" w:hAnsi="Arial" w:cs="Arial"/>
          <w:b/>
          <w:bCs/>
          <w:sz w:val="22"/>
          <w:szCs w:val="22"/>
        </w:rPr>
        <w:t xml:space="preserve"> </w:t>
      </w:r>
      <w:r w:rsidR="79F6A4BB" w:rsidRPr="00BB0D1F">
        <w:rPr>
          <w:rFonts w:ascii="Arial" w:hAnsi="Arial" w:cs="Arial"/>
          <w:sz w:val="22"/>
          <w:szCs w:val="22"/>
        </w:rPr>
        <w:t>2,1</w:t>
      </w:r>
      <w:r w:rsidR="4471EB35" w:rsidRPr="00BB0D1F">
        <w:rPr>
          <w:rFonts w:ascii="Arial" w:hAnsi="Arial" w:cs="Arial"/>
          <w:sz w:val="22"/>
          <w:szCs w:val="22"/>
        </w:rPr>
        <w:t>9</w:t>
      </w:r>
      <w:r w:rsidR="00BB0D1F">
        <w:rPr>
          <w:rFonts w:ascii="Arial" w:hAnsi="Arial" w:cs="Arial"/>
          <w:sz w:val="22"/>
          <w:szCs w:val="22"/>
        </w:rPr>
        <w:t>6</w:t>
      </w:r>
    </w:p>
    <w:p w14:paraId="6BEF75C1" w14:textId="676D36C4" w:rsidR="3390061C" w:rsidRPr="00BB0D1F" w:rsidRDefault="3390061C" w:rsidP="00BB0D1F">
      <w:pPr>
        <w:spacing w:line="360" w:lineRule="auto"/>
        <w:rPr>
          <w:rFonts w:ascii="Arial" w:hAnsi="Arial" w:cs="Arial"/>
          <w:b/>
          <w:bCs/>
          <w:sz w:val="22"/>
          <w:szCs w:val="22"/>
        </w:rPr>
      </w:pPr>
    </w:p>
    <w:p w14:paraId="5EB2469B" w14:textId="75ADC912" w:rsidR="3390061C" w:rsidRPr="00BB0D1F" w:rsidRDefault="3390061C" w:rsidP="00BB0D1F">
      <w:pPr>
        <w:spacing w:line="360" w:lineRule="auto"/>
        <w:rPr>
          <w:rFonts w:ascii="Arial" w:hAnsi="Arial" w:cs="Arial"/>
          <w:b/>
          <w:bCs/>
          <w:sz w:val="22"/>
          <w:szCs w:val="22"/>
        </w:rPr>
      </w:pPr>
    </w:p>
    <w:p w14:paraId="0BDBF1BB" w14:textId="06E3D5C1" w:rsidR="3390061C" w:rsidRPr="00BB0D1F" w:rsidRDefault="3390061C" w:rsidP="00BB0D1F">
      <w:pPr>
        <w:spacing w:line="360" w:lineRule="auto"/>
        <w:rPr>
          <w:rFonts w:ascii="Arial" w:hAnsi="Arial" w:cs="Arial"/>
          <w:sz w:val="22"/>
          <w:szCs w:val="22"/>
        </w:rPr>
      </w:pPr>
      <w:r w:rsidRPr="00BB0D1F">
        <w:rPr>
          <w:rFonts w:ascii="Arial" w:hAnsi="Arial" w:cs="Arial"/>
          <w:sz w:val="22"/>
          <w:szCs w:val="22"/>
        </w:rPr>
        <w:br w:type="page"/>
      </w:r>
    </w:p>
    <w:p w14:paraId="68C107CA" w14:textId="48F42A2C" w:rsidR="7413778C" w:rsidRPr="00BB0D1F" w:rsidRDefault="7413778C" w:rsidP="00BB0D1F">
      <w:pPr>
        <w:spacing w:line="360" w:lineRule="auto"/>
        <w:rPr>
          <w:rFonts w:ascii="Arial" w:hAnsi="Arial" w:cs="Arial"/>
          <w:b/>
          <w:bCs/>
          <w:sz w:val="22"/>
          <w:szCs w:val="22"/>
        </w:rPr>
      </w:pPr>
      <w:r w:rsidRPr="00BB0D1F">
        <w:rPr>
          <w:rFonts w:ascii="Arial" w:hAnsi="Arial" w:cs="Arial"/>
          <w:b/>
          <w:bCs/>
          <w:sz w:val="22"/>
          <w:szCs w:val="22"/>
        </w:rPr>
        <w:t>Contents page</w:t>
      </w:r>
    </w:p>
    <w:sdt>
      <w:sdtPr>
        <w:rPr>
          <w:rStyle w:val="Hyperlink"/>
          <w:rFonts w:ascii="Arial" w:hAnsi="Arial" w:cs="Arial"/>
          <w:color w:val="auto"/>
          <w:sz w:val="22"/>
          <w:szCs w:val="22"/>
        </w:rPr>
        <w:id w:val="1248871140"/>
        <w:docPartObj>
          <w:docPartGallery w:val="Table of Contents"/>
          <w:docPartUnique/>
        </w:docPartObj>
      </w:sdtPr>
      <w:sdtContent>
        <w:p w14:paraId="12F26627" w14:textId="37519D4F"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r w:rsidRPr="00BB0D1F">
            <w:rPr>
              <w:rFonts w:ascii="Arial" w:hAnsi="Arial" w:cs="Arial"/>
              <w:sz w:val="22"/>
              <w:szCs w:val="22"/>
            </w:rPr>
            <w:fldChar w:fldCharType="begin"/>
          </w:r>
          <w:r w:rsidRPr="00BB0D1F">
            <w:rPr>
              <w:rFonts w:ascii="Arial" w:hAnsi="Arial" w:cs="Arial"/>
              <w:sz w:val="22"/>
              <w:szCs w:val="22"/>
            </w:rPr>
            <w:instrText>TOC \o \z \u \h</w:instrText>
          </w:r>
          <w:r w:rsidRPr="00BB0D1F">
            <w:rPr>
              <w:rFonts w:ascii="Arial" w:hAnsi="Arial" w:cs="Arial"/>
              <w:sz w:val="22"/>
              <w:szCs w:val="22"/>
            </w:rPr>
            <w:fldChar w:fldCharType="separate"/>
          </w:r>
          <w:hyperlink w:anchor="_Toc953869303">
            <w:r w:rsidRPr="00BB0D1F">
              <w:rPr>
                <w:rStyle w:val="Hyperlink"/>
                <w:rFonts w:ascii="Arial" w:hAnsi="Arial" w:cs="Arial"/>
                <w:noProof/>
                <w:color w:val="auto"/>
                <w:sz w:val="22"/>
                <w:szCs w:val="22"/>
              </w:rPr>
              <w:t>Abstract</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_Toc953869303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3</w:t>
            </w:r>
            <w:r w:rsidRPr="00BB0D1F">
              <w:rPr>
                <w:rFonts w:ascii="Arial" w:hAnsi="Arial" w:cs="Arial"/>
                <w:noProof/>
                <w:sz w:val="22"/>
                <w:szCs w:val="22"/>
              </w:rPr>
              <w:fldChar w:fldCharType="end"/>
            </w:r>
          </w:hyperlink>
        </w:p>
        <w:p w14:paraId="28E7D67A" w14:textId="6D3F2DBF"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14814981">
            <w:r w:rsidRPr="00BB0D1F">
              <w:rPr>
                <w:rStyle w:val="Hyperlink"/>
                <w:rFonts w:ascii="Arial" w:hAnsi="Arial" w:cs="Arial"/>
                <w:noProof/>
                <w:color w:val="auto"/>
                <w:sz w:val="22"/>
                <w:szCs w:val="22"/>
              </w:rPr>
              <w:t>Introduction</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_Toc14814981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3</w:t>
            </w:r>
            <w:r w:rsidRPr="00BB0D1F">
              <w:rPr>
                <w:rFonts w:ascii="Arial" w:hAnsi="Arial" w:cs="Arial"/>
                <w:noProof/>
                <w:sz w:val="22"/>
                <w:szCs w:val="22"/>
              </w:rPr>
              <w:fldChar w:fldCharType="end"/>
            </w:r>
          </w:hyperlink>
        </w:p>
        <w:p w14:paraId="0DDE8CEF" w14:textId="575C4782"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864830969">
            <w:r w:rsidRPr="00BB0D1F">
              <w:rPr>
                <w:rStyle w:val="Hyperlink"/>
                <w:rFonts w:ascii="Arial" w:hAnsi="Arial" w:cs="Arial"/>
                <w:noProof/>
                <w:color w:val="auto"/>
                <w:sz w:val="22"/>
                <w:szCs w:val="22"/>
              </w:rPr>
              <w:t>Definition of Person-Centred Care</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_Toc864830969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4</w:t>
            </w:r>
            <w:r w:rsidRPr="00BB0D1F">
              <w:rPr>
                <w:rFonts w:ascii="Arial" w:hAnsi="Arial" w:cs="Arial"/>
                <w:noProof/>
                <w:sz w:val="22"/>
                <w:szCs w:val="22"/>
              </w:rPr>
              <w:fldChar w:fldCharType="end"/>
            </w:r>
          </w:hyperlink>
        </w:p>
        <w:p w14:paraId="409BFDF3" w14:textId="535E6AA0"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1442677380">
            <w:r w:rsidRPr="00BB0D1F">
              <w:rPr>
                <w:rStyle w:val="Hyperlink"/>
                <w:rFonts w:ascii="Arial" w:hAnsi="Arial" w:cs="Arial"/>
                <w:noProof/>
                <w:color w:val="auto"/>
                <w:sz w:val="22"/>
                <w:szCs w:val="22"/>
              </w:rPr>
              <w:t>Relevant Theories Supporting Person-Centred Care</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_Toc1442677380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5</w:t>
            </w:r>
            <w:r w:rsidRPr="00BB0D1F">
              <w:rPr>
                <w:rFonts w:ascii="Arial" w:hAnsi="Arial" w:cs="Arial"/>
                <w:noProof/>
                <w:sz w:val="22"/>
                <w:szCs w:val="22"/>
              </w:rPr>
              <w:fldChar w:fldCharType="end"/>
            </w:r>
          </w:hyperlink>
        </w:p>
        <w:p w14:paraId="41CBD445" w14:textId="3B4EC10E"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475724748">
            <w:r w:rsidRPr="00BB0D1F">
              <w:rPr>
                <w:rStyle w:val="Hyperlink"/>
                <w:rFonts w:ascii="Arial" w:hAnsi="Arial" w:cs="Arial"/>
                <w:noProof/>
                <w:color w:val="auto"/>
                <w:sz w:val="22"/>
                <w:szCs w:val="22"/>
              </w:rPr>
              <w:t>Ethical Fundamentals in Health and Social Care</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_Toc475724748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5</w:t>
            </w:r>
            <w:r w:rsidRPr="00BB0D1F">
              <w:rPr>
                <w:rFonts w:ascii="Arial" w:hAnsi="Arial" w:cs="Arial"/>
                <w:noProof/>
                <w:sz w:val="22"/>
                <w:szCs w:val="22"/>
              </w:rPr>
              <w:fldChar w:fldCharType="end"/>
            </w:r>
          </w:hyperlink>
        </w:p>
        <w:p w14:paraId="0FC76054" w14:textId="2B3CD3AC"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1118314394">
            <w:r w:rsidRPr="00BB0D1F">
              <w:rPr>
                <w:rStyle w:val="Hyperlink"/>
                <w:rFonts w:ascii="Arial" w:hAnsi="Arial" w:cs="Arial"/>
                <w:noProof/>
                <w:color w:val="auto"/>
                <w:sz w:val="22"/>
                <w:szCs w:val="22"/>
              </w:rPr>
              <w:t>Evaluation of Partnership Working in Health and Social Care</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_Toc1118314394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6</w:t>
            </w:r>
            <w:r w:rsidRPr="00BB0D1F">
              <w:rPr>
                <w:rFonts w:ascii="Arial" w:hAnsi="Arial" w:cs="Arial"/>
                <w:noProof/>
                <w:sz w:val="22"/>
                <w:szCs w:val="22"/>
              </w:rPr>
              <w:fldChar w:fldCharType="end"/>
            </w:r>
          </w:hyperlink>
        </w:p>
        <w:p w14:paraId="06D88F70" w14:textId="5CCCB29E"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347512810">
            <w:r w:rsidRPr="00BB0D1F">
              <w:rPr>
                <w:rStyle w:val="Hyperlink"/>
                <w:rFonts w:ascii="Arial" w:hAnsi="Arial" w:cs="Arial"/>
                <w:noProof/>
                <w:color w:val="auto"/>
                <w:sz w:val="22"/>
                <w:szCs w:val="22"/>
              </w:rPr>
              <w:t>Policy and Legislation</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_Toc347512810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7</w:t>
            </w:r>
            <w:r w:rsidRPr="00BB0D1F">
              <w:rPr>
                <w:rFonts w:ascii="Arial" w:hAnsi="Arial" w:cs="Arial"/>
                <w:noProof/>
                <w:sz w:val="22"/>
                <w:szCs w:val="22"/>
              </w:rPr>
              <w:fldChar w:fldCharType="end"/>
            </w:r>
          </w:hyperlink>
        </w:p>
        <w:p w14:paraId="235C6C4B" w14:textId="234791BD"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2126896305">
            <w:r w:rsidRPr="00BB0D1F">
              <w:rPr>
                <w:rStyle w:val="Hyperlink"/>
                <w:rFonts w:ascii="Arial" w:hAnsi="Arial" w:cs="Arial"/>
                <w:noProof/>
                <w:color w:val="auto"/>
                <w:sz w:val="22"/>
                <w:szCs w:val="22"/>
              </w:rPr>
              <w:t>Recommendations</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_Toc2126896305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8</w:t>
            </w:r>
            <w:r w:rsidRPr="00BB0D1F">
              <w:rPr>
                <w:rFonts w:ascii="Arial" w:hAnsi="Arial" w:cs="Arial"/>
                <w:noProof/>
                <w:sz w:val="22"/>
                <w:szCs w:val="22"/>
              </w:rPr>
              <w:fldChar w:fldCharType="end"/>
            </w:r>
          </w:hyperlink>
        </w:p>
        <w:p w14:paraId="16319C17" w14:textId="339818B2"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1275693467">
            <w:r w:rsidRPr="00BB0D1F">
              <w:rPr>
                <w:rStyle w:val="Hyperlink"/>
                <w:rFonts w:ascii="Arial" w:hAnsi="Arial" w:cs="Arial"/>
                <w:noProof/>
                <w:color w:val="auto"/>
                <w:sz w:val="22"/>
                <w:szCs w:val="22"/>
              </w:rPr>
              <w:t>Conclusion</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_Toc1275693467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9</w:t>
            </w:r>
            <w:r w:rsidRPr="00BB0D1F">
              <w:rPr>
                <w:rFonts w:ascii="Arial" w:hAnsi="Arial" w:cs="Arial"/>
                <w:noProof/>
                <w:sz w:val="22"/>
                <w:szCs w:val="22"/>
              </w:rPr>
              <w:fldChar w:fldCharType="end"/>
            </w:r>
          </w:hyperlink>
        </w:p>
        <w:p w14:paraId="7332B270" w14:textId="6329AAD4" w:rsidR="3390061C" w:rsidRPr="00BB0D1F" w:rsidRDefault="3390061C" w:rsidP="00BB0D1F">
          <w:pPr>
            <w:pStyle w:val="TOC2"/>
            <w:tabs>
              <w:tab w:val="right" w:leader="dot" w:pos="9360"/>
            </w:tabs>
            <w:spacing w:line="360" w:lineRule="auto"/>
            <w:rPr>
              <w:rStyle w:val="Hyperlink"/>
              <w:rFonts w:ascii="Arial" w:hAnsi="Arial" w:cs="Arial"/>
              <w:color w:val="auto"/>
              <w:sz w:val="22"/>
              <w:szCs w:val="22"/>
            </w:rPr>
          </w:pPr>
          <w:hyperlink w:anchor="_Toc1525170356">
            <w:r w:rsidRPr="00BB0D1F">
              <w:rPr>
                <w:rStyle w:val="Hyperlink"/>
                <w:rFonts w:ascii="Arial" w:hAnsi="Arial" w:cs="Arial"/>
                <w:noProof/>
                <w:color w:val="auto"/>
                <w:sz w:val="22"/>
                <w:szCs w:val="22"/>
              </w:rPr>
              <w:t>References</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_Toc1525170356 \h</w:instrText>
            </w:r>
            <w:r w:rsidRPr="00BB0D1F">
              <w:rPr>
                <w:rFonts w:ascii="Arial" w:hAnsi="Arial" w:cs="Arial"/>
                <w:noProof/>
                <w:sz w:val="22"/>
                <w:szCs w:val="22"/>
              </w:rPr>
            </w:r>
            <w:r w:rsidRPr="00BB0D1F">
              <w:rPr>
                <w:rFonts w:ascii="Arial" w:hAnsi="Arial" w:cs="Arial"/>
                <w:noProof/>
                <w:sz w:val="22"/>
                <w:szCs w:val="22"/>
              </w:rPr>
              <w:fldChar w:fldCharType="separate"/>
            </w:r>
            <w:r w:rsidR="006E49A1" w:rsidRPr="00BB0D1F">
              <w:rPr>
                <w:rFonts w:ascii="Arial" w:hAnsi="Arial" w:cs="Arial"/>
                <w:noProof/>
                <w:sz w:val="22"/>
                <w:szCs w:val="22"/>
              </w:rPr>
              <w:t>10</w:t>
            </w:r>
            <w:r w:rsidRPr="00BB0D1F">
              <w:rPr>
                <w:rFonts w:ascii="Arial" w:hAnsi="Arial" w:cs="Arial"/>
                <w:noProof/>
                <w:sz w:val="22"/>
                <w:szCs w:val="22"/>
              </w:rPr>
              <w:fldChar w:fldCharType="end"/>
            </w:r>
          </w:hyperlink>
          <w:r w:rsidRPr="00BB0D1F">
            <w:rPr>
              <w:rFonts w:ascii="Arial" w:hAnsi="Arial" w:cs="Arial"/>
              <w:sz w:val="22"/>
              <w:szCs w:val="22"/>
            </w:rPr>
            <w:fldChar w:fldCharType="end"/>
          </w:r>
        </w:p>
      </w:sdtContent>
    </w:sdt>
    <w:p w14:paraId="74341A18" w14:textId="112E5E24" w:rsidR="3390061C" w:rsidRPr="00BB0D1F" w:rsidRDefault="3390061C" w:rsidP="00BB0D1F">
      <w:pPr>
        <w:spacing w:line="360" w:lineRule="auto"/>
        <w:rPr>
          <w:rFonts w:ascii="Arial" w:hAnsi="Arial" w:cs="Arial"/>
          <w:b/>
          <w:bCs/>
          <w:sz w:val="22"/>
          <w:szCs w:val="22"/>
        </w:rPr>
      </w:pPr>
    </w:p>
    <w:p w14:paraId="0561DA3E" w14:textId="0E885CFB" w:rsidR="3390061C" w:rsidRPr="00BB0D1F" w:rsidRDefault="3390061C" w:rsidP="00BB0D1F">
      <w:pPr>
        <w:spacing w:line="360" w:lineRule="auto"/>
        <w:rPr>
          <w:rFonts w:ascii="Arial" w:hAnsi="Arial" w:cs="Arial"/>
          <w:b/>
          <w:bCs/>
          <w:sz w:val="22"/>
          <w:szCs w:val="22"/>
        </w:rPr>
      </w:pPr>
    </w:p>
    <w:p w14:paraId="3AE03607" w14:textId="0D8424CC" w:rsidR="3390061C" w:rsidRPr="00BB0D1F" w:rsidRDefault="3390061C" w:rsidP="00BB0D1F">
      <w:pPr>
        <w:spacing w:line="360" w:lineRule="auto"/>
        <w:rPr>
          <w:rFonts w:ascii="Arial" w:hAnsi="Arial" w:cs="Arial"/>
          <w:b/>
          <w:bCs/>
          <w:sz w:val="22"/>
          <w:szCs w:val="22"/>
        </w:rPr>
      </w:pPr>
    </w:p>
    <w:p w14:paraId="29391DC5" w14:textId="6F4FA771" w:rsidR="3390061C" w:rsidRPr="00BB0D1F" w:rsidRDefault="3390061C" w:rsidP="00BB0D1F">
      <w:pPr>
        <w:spacing w:line="360" w:lineRule="auto"/>
        <w:rPr>
          <w:rFonts w:ascii="Arial" w:hAnsi="Arial" w:cs="Arial"/>
          <w:b/>
          <w:bCs/>
          <w:sz w:val="22"/>
          <w:szCs w:val="22"/>
        </w:rPr>
      </w:pPr>
    </w:p>
    <w:p w14:paraId="1E21653C" w14:textId="6E228DFF" w:rsidR="3390061C" w:rsidRPr="00BB0D1F" w:rsidRDefault="3390061C" w:rsidP="00BB0D1F">
      <w:pPr>
        <w:spacing w:line="360" w:lineRule="auto"/>
        <w:rPr>
          <w:rFonts w:ascii="Arial" w:hAnsi="Arial" w:cs="Arial"/>
          <w:b/>
          <w:bCs/>
          <w:sz w:val="22"/>
          <w:szCs w:val="22"/>
        </w:rPr>
      </w:pPr>
    </w:p>
    <w:p w14:paraId="6068B181" w14:textId="4576D220" w:rsidR="3390061C" w:rsidRPr="00BB0D1F" w:rsidRDefault="3390061C" w:rsidP="00BB0D1F">
      <w:pPr>
        <w:spacing w:line="360" w:lineRule="auto"/>
        <w:rPr>
          <w:rFonts w:ascii="Arial" w:hAnsi="Arial" w:cs="Arial"/>
          <w:b/>
          <w:bCs/>
          <w:sz w:val="22"/>
          <w:szCs w:val="22"/>
        </w:rPr>
      </w:pPr>
    </w:p>
    <w:p w14:paraId="119C897D" w14:textId="52B3135C" w:rsidR="3390061C" w:rsidRPr="00BB0D1F" w:rsidRDefault="3390061C" w:rsidP="00BB0D1F">
      <w:pPr>
        <w:spacing w:line="360" w:lineRule="auto"/>
        <w:rPr>
          <w:rFonts w:ascii="Arial" w:hAnsi="Arial" w:cs="Arial"/>
          <w:b/>
          <w:bCs/>
          <w:sz w:val="22"/>
          <w:szCs w:val="22"/>
        </w:rPr>
      </w:pPr>
    </w:p>
    <w:p w14:paraId="70B493F3" w14:textId="13C36ADA" w:rsidR="3390061C" w:rsidRPr="00BB0D1F" w:rsidRDefault="3390061C" w:rsidP="00BB0D1F">
      <w:pPr>
        <w:spacing w:line="360" w:lineRule="auto"/>
        <w:rPr>
          <w:rFonts w:ascii="Arial" w:hAnsi="Arial" w:cs="Arial"/>
          <w:b/>
          <w:bCs/>
          <w:sz w:val="22"/>
          <w:szCs w:val="22"/>
        </w:rPr>
      </w:pPr>
    </w:p>
    <w:p w14:paraId="187EBA77" w14:textId="40EE665B" w:rsidR="3390061C" w:rsidRPr="00BB0D1F" w:rsidRDefault="3390061C" w:rsidP="00BB0D1F">
      <w:pPr>
        <w:spacing w:line="360" w:lineRule="auto"/>
        <w:rPr>
          <w:rFonts w:ascii="Arial" w:hAnsi="Arial" w:cs="Arial"/>
          <w:b/>
          <w:bCs/>
          <w:sz w:val="22"/>
          <w:szCs w:val="22"/>
        </w:rPr>
      </w:pPr>
    </w:p>
    <w:p w14:paraId="059D5D9A" w14:textId="13FCC8CC" w:rsidR="3390061C" w:rsidRPr="00BB0D1F" w:rsidRDefault="3390061C" w:rsidP="00BB0D1F">
      <w:pPr>
        <w:spacing w:line="360" w:lineRule="auto"/>
        <w:rPr>
          <w:rFonts w:ascii="Arial" w:hAnsi="Arial" w:cs="Arial"/>
          <w:b/>
          <w:bCs/>
          <w:sz w:val="22"/>
          <w:szCs w:val="22"/>
        </w:rPr>
      </w:pPr>
    </w:p>
    <w:p w14:paraId="561A9D63" w14:textId="575AD968" w:rsidR="3390061C" w:rsidRPr="00BB0D1F" w:rsidRDefault="3390061C" w:rsidP="00BB0D1F">
      <w:pPr>
        <w:spacing w:line="360" w:lineRule="auto"/>
        <w:rPr>
          <w:rFonts w:ascii="Arial" w:hAnsi="Arial" w:cs="Arial"/>
          <w:b/>
          <w:bCs/>
          <w:sz w:val="22"/>
          <w:szCs w:val="22"/>
        </w:rPr>
      </w:pPr>
    </w:p>
    <w:p w14:paraId="1C970E24" w14:textId="44E74034" w:rsidR="3390061C" w:rsidRPr="00BB0D1F" w:rsidRDefault="3390061C" w:rsidP="00BB0D1F">
      <w:pPr>
        <w:spacing w:line="360" w:lineRule="auto"/>
        <w:rPr>
          <w:rFonts w:ascii="Arial" w:hAnsi="Arial" w:cs="Arial"/>
          <w:b/>
          <w:bCs/>
          <w:sz w:val="22"/>
          <w:szCs w:val="22"/>
        </w:rPr>
      </w:pPr>
    </w:p>
    <w:p w14:paraId="6C3FD752" w14:textId="148A9921" w:rsidR="3390061C" w:rsidRPr="00BB0D1F" w:rsidRDefault="3390061C" w:rsidP="00BB0D1F">
      <w:pPr>
        <w:spacing w:line="360" w:lineRule="auto"/>
        <w:rPr>
          <w:rFonts w:ascii="Arial" w:hAnsi="Arial" w:cs="Arial"/>
          <w:b/>
          <w:bCs/>
          <w:sz w:val="22"/>
          <w:szCs w:val="22"/>
        </w:rPr>
      </w:pPr>
    </w:p>
    <w:p w14:paraId="000E711C" w14:textId="3466AF72" w:rsidR="3390061C" w:rsidRPr="00BB0D1F" w:rsidRDefault="3390061C" w:rsidP="00BB0D1F">
      <w:pPr>
        <w:spacing w:line="360" w:lineRule="auto"/>
        <w:rPr>
          <w:rFonts w:ascii="Arial" w:hAnsi="Arial" w:cs="Arial"/>
          <w:b/>
          <w:bCs/>
          <w:sz w:val="22"/>
          <w:szCs w:val="22"/>
        </w:rPr>
      </w:pPr>
    </w:p>
    <w:p w14:paraId="4F019364" w14:textId="56B97925" w:rsidR="2DCAAE11" w:rsidRPr="00BB0D1F" w:rsidRDefault="2DCAAE11" w:rsidP="00BB0D1F">
      <w:pPr>
        <w:pStyle w:val="Heading2"/>
        <w:spacing w:line="360" w:lineRule="auto"/>
        <w:rPr>
          <w:rFonts w:ascii="Arial" w:eastAsiaTheme="minorEastAsia" w:hAnsi="Arial" w:cs="Arial"/>
          <w:b/>
          <w:bCs/>
          <w:color w:val="auto"/>
          <w:sz w:val="22"/>
          <w:szCs w:val="22"/>
        </w:rPr>
      </w:pPr>
      <w:bookmarkStart w:id="0" w:name="_Toc953869303"/>
      <w:r w:rsidRPr="00BB0D1F">
        <w:rPr>
          <w:rFonts w:ascii="Arial" w:eastAsiaTheme="minorEastAsia" w:hAnsi="Arial" w:cs="Arial"/>
          <w:b/>
          <w:bCs/>
          <w:color w:val="auto"/>
          <w:sz w:val="22"/>
          <w:szCs w:val="22"/>
        </w:rPr>
        <w:t>Abstract</w:t>
      </w:r>
      <w:bookmarkEnd w:id="0"/>
    </w:p>
    <w:p w14:paraId="7450E4D5" w14:textId="34CE7DC7"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This report explores the concepts of Person-Centred Care (PCC) and Partnership Working (PW) and evaluates how they function together within professional health and social care policy and hospital practice. Person-centred care </w:t>
      </w:r>
      <w:r w:rsidR="314B5061" w:rsidRPr="00BB0D1F">
        <w:rPr>
          <w:rFonts w:ascii="Arial" w:hAnsi="Arial" w:cs="Arial"/>
          <w:sz w:val="22"/>
          <w:szCs w:val="22"/>
        </w:rPr>
        <w:t>treats</w:t>
      </w:r>
      <w:r w:rsidRPr="00BB0D1F">
        <w:rPr>
          <w:rFonts w:ascii="Arial" w:hAnsi="Arial" w:cs="Arial"/>
          <w:sz w:val="22"/>
          <w:szCs w:val="22"/>
        </w:rPr>
        <w:t xml:space="preserve"> individuals with respect, dignity, and compassion, ensuring their needs and preferences guide decisions. Partnership working, meanwhile, emphasises collaboration between professionals, patients, families, and organisations to achieve coordinated, high-quality care.</w:t>
      </w:r>
    </w:p>
    <w:p w14:paraId="1560FADC" w14:textId="46EEB156"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Using hospitals as the practical setting</w:t>
      </w:r>
      <w:r w:rsidR="5D7C8C83" w:rsidRPr="00BB0D1F">
        <w:rPr>
          <w:rFonts w:ascii="Arial" w:hAnsi="Arial" w:cs="Arial"/>
          <w:sz w:val="22"/>
          <w:szCs w:val="22"/>
        </w:rPr>
        <w:t xml:space="preserve"> for this </w:t>
      </w:r>
      <w:r w:rsidRPr="00BB0D1F">
        <w:rPr>
          <w:rFonts w:ascii="Arial" w:hAnsi="Arial" w:cs="Arial"/>
          <w:sz w:val="22"/>
          <w:szCs w:val="22"/>
        </w:rPr>
        <w:t>report</w:t>
      </w:r>
      <w:r w:rsidR="16916738" w:rsidRPr="00BB0D1F">
        <w:rPr>
          <w:rFonts w:ascii="Arial" w:hAnsi="Arial" w:cs="Arial"/>
          <w:sz w:val="22"/>
          <w:szCs w:val="22"/>
        </w:rPr>
        <w:t xml:space="preserve">, </w:t>
      </w:r>
      <w:r w:rsidR="03BD2078" w:rsidRPr="00BB0D1F">
        <w:rPr>
          <w:rFonts w:ascii="Arial" w:hAnsi="Arial" w:cs="Arial"/>
          <w:sz w:val="22"/>
          <w:szCs w:val="22"/>
        </w:rPr>
        <w:t xml:space="preserve">shows </w:t>
      </w:r>
      <w:r w:rsidRPr="00BB0D1F">
        <w:rPr>
          <w:rFonts w:ascii="Arial" w:hAnsi="Arial" w:cs="Arial"/>
          <w:sz w:val="22"/>
          <w:szCs w:val="22"/>
        </w:rPr>
        <w:t xml:space="preserve">the theoretical foundations of PCC, particularly through Bradshaw’s Taxonomy of Social Needs (1972) and analyses the ethical principles that underpin care delivery. </w:t>
      </w:r>
      <w:r w:rsidR="10997F0D" w:rsidRPr="00BB0D1F">
        <w:rPr>
          <w:rFonts w:ascii="Arial" w:hAnsi="Arial" w:cs="Arial"/>
          <w:sz w:val="22"/>
          <w:szCs w:val="22"/>
        </w:rPr>
        <w:t>F</w:t>
      </w:r>
      <w:r w:rsidRPr="00BB0D1F">
        <w:rPr>
          <w:rFonts w:ascii="Arial" w:hAnsi="Arial" w:cs="Arial"/>
          <w:sz w:val="22"/>
          <w:szCs w:val="22"/>
        </w:rPr>
        <w:t>urther evaluat</w:t>
      </w:r>
      <w:r w:rsidR="2520BB3D" w:rsidRPr="00BB0D1F">
        <w:rPr>
          <w:rFonts w:ascii="Arial" w:hAnsi="Arial" w:cs="Arial"/>
          <w:sz w:val="22"/>
          <w:szCs w:val="22"/>
        </w:rPr>
        <w:t>ing</w:t>
      </w:r>
      <w:r w:rsidRPr="00BB0D1F">
        <w:rPr>
          <w:rFonts w:ascii="Arial" w:hAnsi="Arial" w:cs="Arial"/>
          <w:sz w:val="22"/>
          <w:szCs w:val="22"/>
        </w:rPr>
        <w:t xml:space="preserve"> how partnership working </w:t>
      </w:r>
      <w:r w:rsidR="21DF9BB3" w:rsidRPr="00BB0D1F">
        <w:rPr>
          <w:rFonts w:ascii="Arial" w:hAnsi="Arial" w:cs="Arial"/>
          <w:sz w:val="22"/>
          <w:szCs w:val="22"/>
        </w:rPr>
        <w:t xml:space="preserve">can improve </w:t>
      </w:r>
      <w:r w:rsidRPr="00BB0D1F">
        <w:rPr>
          <w:rFonts w:ascii="Arial" w:hAnsi="Arial" w:cs="Arial"/>
          <w:sz w:val="22"/>
          <w:szCs w:val="22"/>
        </w:rPr>
        <w:t>service efficiency and patient outcomes</w:t>
      </w:r>
      <w:r w:rsidR="25109F0B" w:rsidRPr="00BB0D1F">
        <w:rPr>
          <w:rFonts w:ascii="Arial" w:hAnsi="Arial" w:cs="Arial"/>
          <w:sz w:val="22"/>
          <w:szCs w:val="22"/>
        </w:rPr>
        <w:t>, all</w:t>
      </w:r>
      <w:r w:rsidRPr="00BB0D1F">
        <w:rPr>
          <w:rFonts w:ascii="Arial" w:hAnsi="Arial" w:cs="Arial"/>
          <w:sz w:val="22"/>
          <w:szCs w:val="22"/>
        </w:rPr>
        <w:t xml:space="preserve"> </w:t>
      </w:r>
      <w:r w:rsidR="4598074B" w:rsidRPr="00BB0D1F">
        <w:rPr>
          <w:rFonts w:ascii="Arial" w:hAnsi="Arial" w:cs="Arial"/>
          <w:sz w:val="22"/>
          <w:szCs w:val="22"/>
        </w:rPr>
        <w:t>whilst</w:t>
      </w:r>
      <w:r w:rsidRPr="00BB0D1F">
        <w:rPr>
          <w:rFonts w:ascii="Arial" w:hAnsi="Arial" w:cs="Arial"/>
          <w:sz w:val="22"/>
          <w:szCs w:val="22"/>
        </w:rPr>
        <w:t xml:space="preserve"> acknowledging challenges</w:t>
      </w:r>
      <w:r w:rsidR="360D5E26" w:rsidRPr="00BB0D1F">
        <w:rPr>
          <w:rFonts w:ascii="Arial" w:hAnsi="Arial" w:cs="Arial"/>
          <w:sz w:val="22"/>
          <w:szCs w:val="22"/>
        </w:rPr>
        <w:t xml:space="preserve"> like</w:t>
      </w:r>
      <w:r w:rsidRPr="00BB0D1F">
        <w:rPr>
          <w:rFonts w:ascii="Arial" w:hAnsi="Arial" w:cs="Arial"/>
          <w:sz w:val="22"/>
          <w:szCs w:val="22"/>
        </w:rPr>
        <w:t xml:space="preserve"> communication barriers and resource constraints. </w:t>
      </w:r>
    </w:p>
    <w:p w14:paraId="77315765" w14:textId="179E9F4A"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Relevant legislation, including the Care Act (2014), Health and Social Care Act (2012), and Equality Act (2010), is </w:t>
      </w:r>
      <w:r w:rsidR="3C85DE51" w:rsidRPr="00BB0D1F">
        <w:rPr>
          <w:rFonts w:ascii="Arial" w:hAnsi="Arial" w:cs="Arial"/>
          <w:sz w:val="22"/>
          <w:szCs w:val="22"/>
        </w:rPr>
        <w:t xml:space="preserve">looked at </w:t>
      </w:r>
      <w:r w:rsidRPr="00BB0D1F">
        <w:rPr>
          <w:rFonts w:ascii="Arial" w:hAnsi="Arial" w:cs="Arial"/>
          <w:sz w:val="22"/>
          <w:szCs w:val="22"/>
        </w:rPr>
        <w:t xml:space="preserve">to understand their influence on practice. The report </w:t>
      </w:r>
      <w:r w:rsidR="5BBE8E95" w:rsidRPr="00BB0D1F">
        <w:rPr>
          <w:rFonts w:ascii="Arial" w:hAnsi="Arial" w:cs="Arial"/>
          <w:sz w:val="22"/>
          <w:szCs w:val="22"/>
        </w:rPr>
        <w:t>outlines</w:t>
      </w:r>
      <w:r w:rsidRPr="00BB0D1F">
        <w:rPr>
          <w:rFonts w:ascii="Arial" w:hAnsi="Arial" w:cs="Arial"/>
          <w:sz w:val="22"/>
          <w:szCs w:val="22"/>
        </w:rPr>
        <w:t xml:space="preserve"> recommendations for improving PCC and PW in hospitals, including enhanced staff training, digital integration, and more inclusive co-production with patients. </w:t>
      </w:r>
    </w:p>
    <w:p w14:paraId="6A2EC9CC" w14:textId="04708CEA"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Overall, it highlights that while significant progress has been made, continued commitment and innovation are needed to ensure care in UK hospitals remains both person-centred and collaborative.</w:t>
      </w:r>
    </w:p>
    <w:p w14:paraId="6133737E" w14:textId="5C4E45D5"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1" w:name="_Toc14814981"/>
      <w:r w:rsidRPr="00BB0D1F">
        <w:rPr>
          <w:rFonts w:ascii="Arial" w:eastAsiaTheme="minorEastAsia" w:hAnsi="Arial" w:cs="Arial"/>
          <w:b/>
          <w:bCs/>
          <w:color w:val="auto"/>
          <w:sz w:val="22"/>
          <w:szCs w:val="22"/>
        </w:rPr>
        <w:t>Introduction</w:t>
      </w:r>
      <w:bookmarkEnd w:id="1"/>
    </w:p>
    <w:p w14:paraId="3D58804C" w14:textId="2391D349"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In modern health and social care, person-centred care and partnership working are fundamental principles shaping how services are delivered. These approaches recognise that effective care goes beyond treating illness; it involves </w:t>
      </w:r>
      <w:r w:rsidR="6E6B747D" w:rsidRPr="00BB0D1F">
        <w:rPr>
          <w:rFonts w:ascii="Arial" w:hAnsi="Arial" w:cs="Arial"/>
          <w:sz w:val="22"/>
          <w:szCs w:val="22"/>
        </w:rPr>
        <w:t>really getting to know the person, their experiences, and what matters to them, while making sure different professionals work together to give the best support.</w:t>
      </w:r>
    </w:p>
    <w:p w14:paraId="49A82411" w14:textId="7804E335" w:rsidR="6E6B747D" w:rsidRPr="00BB0D1F" w:rsidRDefault="6E6B747D" w:rsidP="00BB0D1F">
      <w:pPr>
        <w:spacing w:before="240" w:after="240" w:line="360" w:lineRule="auto"/>
        <w:rPr>
          <w:rFonts w:ascii="Arial" w:hAnsi="Arial" w:cs="Arial"/>
          <w:sz w:val="22"/>
          <w:szCs w:val="22"/>
        </w:rPr>
      </w:pPr>
      <w:r w:rsidRPr="00BB0D1F">
        <w:rPr>
          <w:rFonts w:ascii="Arial" w:hAnsi="Arial" w:cs="Arial"/>
          <w:sz w:val="22"/>
          <w:szCs w:val="22"/>
        </w:rPr>
        <w:t>The purpose of this report is to explore these two connected concepts, discuss the theories and ethical principles behind them, and consider how they are applied in UK hospital settings. Hospitals provide an ideal example, as they bring together a wide range of professionals, such as doctors, nurses, and therapists, who must work collaboratively to deliver safe, effective, and compassionate care.</w:t>
      </w:r>
    </w:p>
    <w:p w14:paraId="7994A576" w14:textId="7AB43C6B"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The report begins with a definition of PCC, followed by a discussion of relevant theories such as Bradshaw’s Taxonomy of Social Needs. It then examines ethical fundamentals, evaluates partnership working in hospitals, and analyses the role of policy and legislation. Finally, it presents recommendations for improving the implementation of PCC and PW across UK hospitals before concluding with a summary of key findings.</w:t>
      </w:r>
    </w:p>
    <w:p w14:paraId="7A634B58" w14:textId="587270D4"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2" w:name="_Toc864830969"/>
      <w:r w:rsidRPr="00BB0D1F">
        <w:rPr>
          <w:rFonts w:ascii="Arial" w:eastAsiaTheme="minorEastAsia" w:hAnsi="Arial" w:cs="Arial"/>
          <w:b/>
          <w:bCs/>
          <w:color w:val="auto"/>
          <w:sz w:val="22"/>
          <w:szCs w:val="22"/>
        </w:rPr>
        <w:t>Definition of Person-Centred Care</w:t>
      </w:r>
      <w:bookmarkEnd w:id="2"/>
    </w:p>
    <w:p w14:paraId="30A30A4C" w14:textId="5C333120"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Person-centred care (PCC) is an approach that recognises patients as active participants in their care, valuing their preferences, needs, and values in every clinical decision. The Health Foundation (2016) defines PCC as care that is “respectful of and responsive to the preferences, needs, and values of individuals</w:t>
      </w:r>
      <w:r w:rsidR="0742B34D" w:rsidRPr="00BB0D1F">
        <w:rPr>
          <w:rFonts w:ascii="Arial" w:hAnsi="Arial" w:cs="Arial"/>
          <w:sz w:val="22"/>
          <w:szCs w:val="22"/>
        </w:rPr>
        <w:t>”</w:t>
      </w:r>
      <w:r w:rsidRPr="00BB0D1F">
        <w:rPr>
          <w:rFonts w:ascii="Arial" w:hAnsi="Arial" w:cs="Arial"/>
          <w:sz w:val="22"/>
          <w:szCs w:val="22"/>
        </w:rPr>
        <w:t>, ensuring that these values guide all clinical decisions.</w:t>
      </w:r>
      <w:r w:rsidR="62ECF484" w:rsidRPr="00BB0D1F">
        <w:rPr>
          <w:rFonts w:ascii="Arial" w:hAnsi="Arial" w:cs="Arial"/>
          <w:sz w:val="22"/>
          <w:szCs w:val="22"/>
        </w:rPr>
        <w:t xml:space="preserve"> </w:t>
      </w:r>
      <w:r w:rsidR="2B84ED25" w:rsidRPr="00BB0D1F">
        <w:rPr>
          <w:rFonts w:ascii="Arial" w:hAnsi="Arial" w:cs="Arial"/>
          <w:sz w:val="22"/>
          <w:szCs w:val="22"/>
        </w:rPr>
        <w:t>In hospitals, this means really listening to patients, involving them in planning their treatment, and moving away from a one-size-fits-all approach</w:t>
      </w:r>
      <w:r w:rsidR="7738FA1A" w:rsidRPr="00BB0D1F">
        <w:rPr>
          <w:rFonts w:ascii="Arial" w:hAnsi="Arial" w:cs="Arial"/>
          <w:sz w:val="22"/>
          <w:szCs w:val="22"/>
        </w:rPr>
        <w:t xml:space="preserve">. It’s about </w:t>
      </w:r>
      <w:r w:rsidR="2B84ED25" w:rsidRPr="00BB0D1F">
        <w:rPr>
          <w:rFonts w:ascii="Arial" w:hAnsi="Arial" w:cs="Arial"/>
          <w:sz w:val="22"/>
          <w:szCs w:val="22"/>
        </w:rPr>
        <w:t>empathy, individuality, and mutual respect</w:t>
      </w:r>
      <w:r w:rsidR="35C6F883" w:rsidRPr="00BB0D1F">
        <w:rPr>
          <w:rFonts w:ascii="Arial" w:hAnsi="Arial" w:cs="Arial"/>
          <w:sz w:val="22"/>
          <w:szCs w:val="22"/>
        </w:rPr>
        <w:t xml:space="preserve"> (Gilbar, &amp; Miola, 2015).</w:t>
      </w:r>
      <w:r w:rsidR="53480CED" w:rsidRPr="00BB0D1F">
        <w:rPr>
          <w:rFonts w:ascii="Arial" w:hAnsi="Arial" w:cs="Arial"/>
          <w:sz w:val="22"/>
          <w:szCs w:val="22"/>
        </w:rPr>
        <w:t xml:space="preserve"> </w:t>
      </w:r>
    </w:p>
    <w:p w14:paraId="19C16905" w14:textId="7721C139"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The benefits of PCC in hospital settings </w:t>
      </w:r>
      <w:r w:rsidR="4B8F1745" w:rsidRPr="00BB0D1F">
        <w:rPr>
          <w:rFonts w:ascii="Arial" w:hAnsi="Arial" w:cs="Arial"/>
          <w:sz w:val="22"/>
          <w:szCs w:val="22"/>
        </w:rPr>
        <w:t xml:space="preserve">is that it </w:t>
      </w:r>
      <w:r w:rsidR="3FAB47CA" w:rsidRPr="00BB0D1F">
        <w:rPr>
          <w:rFonts w:ascii="Arial" w:hAnsi="Arial" w:cs="Arial"/>
          <w:sz w:val="22"/>
          <w:szCs w:val="22"/>
        </w:rPr>
        <w:t xml:space="preserve">improves </w:t>
      </w:r>
      <w:r w:rsidRPr="00BB0D1F">
        <w:rPr>
          <w:rFonts w:ascii="Arial" w:hAnsi="Arial" w:cs="Arial"/>
          <w:sz w:val="22"/>
          <w:szCs w:val="22"/>
        </w:rPr>
        <w:t>patient satisfaction, improves adherence to treatment, and contributes to better recovery outcomes (Coulter &amp; Oldham, 2016)</w:t>
      </w:r>
      <w:r w:rsidR="7173602B" w:rsidRPr="00BB0D1F">
        <w:rPr>
          <w:rFonts w:ascii="Arial" w:hAnsi="Arial" w:cs="Arial"/>
          <w:sz w:val="22"/>
          <w:szCs w:val="22"/>
        </w:rPr>
        <w:t xml:space="preserve"> like other person-</w:t>
      </w:r>
      <w:r w:rsidR="50DF2523" w:rsidRPr="00BB0D1F">
        <w:rPr>
          <w:rFonts w:ascii="Arial" w:hAnsi="Arial" w:cs="Arial"/>
          <w:sz w:val="22"/>
          <w:szCs w:val="22"/>
        </w:rPr>
        <w:t>centred</w:t>
      </w:r>
      <w:r w:rsidR="7173602B" w:rsidRPr="00BB0D1F">
        <w:rPr>
          <w:rFonts w:ascii="Arial" w:hAnsi="Arial" w:cs="Arial"/>
          <w:sz w:val="22"/>
          <w:szCs w:val="22"/>
        </w:rPr>
        <w:t xml:space="preserve"> care settings</w:t>
      </w:r>
      <w:r w:rsidRPr="00BB0D1F">
        <w:rPr>
          <w:rFonts w:ascii="Arial" w:hAnsi="Arial" w:cs="Arial"/>
          <w:sz w:val="22"/>
          <w:szCs w:val="22"/>
        </w:rPr>
        <w:t xml:space="preserve">. When patients feel listened to and respected, they are more likely to trust healthcare staff, communicate openly, and engage actively in their care. </w:t>
      </w:r>
      <w:r w:rsidR="0A606967" w:rsidRPr="00BB0D1F">
        <w:rPr>
          <w:rFonts w:ascii="Arial" w:hAnsi="Arial" w:cs="Arial"/>
          <w:sz w:val="22"/>
          <w:szCs w:val="22"/>
        </w:rPr>
        <w:t>As, working in an environment that values respect and teamwork can lift morale and even help reduce burnout</w:t>
      </w:r>
      <w:r w:rsidR="2137C4BB" w:rsidRPr="00BB0D1F">
        <w:rPr>
          <w:rFonts w:ascii="Arial" w:hAnsi="Arial" w:cs="Arial"/>
          <w:sz w:val="22"/>
          <w:szCs w:val="22"/>
        </w:rPr>
        <w:t xml:space="preserve"> (Parlour, Slater</w:t>
      </w:r>
      <w:r w:rsidR="1EAA7769" w:rsidRPr="00BB0D1F">
        <w:rPr>
          <w:rFonts w:ascii="Arial" w:hAnsi="Arial" w:cs="Arial"/>
          <w:sz w:val="22"/>
          <w:szCs w:val="22"/>
        </w:rPr>
        <w:t xml:space="preserve"> </w:t>
      </w:r>
      <w:r w:rsidR="2137C4BB" w:rsidRPr="00BB0D1F">
        <w:rPr>
          <w:rFonts w:ascii="Arial" w:hAnsi="Arial" w:cs="Arial"/>
          <w:sz w:val="22"/>
          <w:szCs w:val="22"/>
        </w:rPr>
        <w:t xml:space="preserve">et al, 2014). </w:t>
      </w:r>
      <w:r w:rsidR="271BA99D" w:rsidRPr="00BB0D1F">
        <w:rPr>
          <w:rFonts w:ascii="Arial" w:hAnsi="Arial" w:cs="Arial"/>
          <w:sz w:val="22"/>
          <w:szCs w:val="22"/>
        </w:rPr>
        <w:t xml:space="preserve">  </w:t>
      </w:r>
      <w:r w:rsidR="54F399ED" w:rsidRPr="00BB0D1F">
        <w:rPr>
          <w:rFonts w:ascii="Arial" w:hAnsi="Arial" w:cs="Arial"/>
          <w:sz w:val="22"/>
          <w:szCs w:val="22"/>
        </w:rPr>
        <w:t xml:space="preserve"> </w:t>
      </w:r>
    </w:p>
    <w:p w14:paraId="665BD704" w14:textId="110F6210" w:rsidR="1C6B48E9" w:rsidRPr="00BB0D1F" w:rsidRDefault="1C6B48E9" w:rsidP="00BB0D1F">
      <w:pPr>
        <w:spacing w:before="240" w:after="240" w:line="360" w:lineRule="auto"/>
        <w:rPr>
          <w:rFonts w:ascii="Arial" w:hAnsi="Arial" w:cs="Arial"/>
          <w:sz w:val="22"/>
          <w:szCs w:val="22"/>
        </w:rPr>
      </w:pPr>
      <w:r w:rsidRPr="00BB0D1F">
        <w:rPr>
          <w:rFonts w:ascii="Arial" w:hAnsi="Arial" w:cs="Arial"/>
          <w:sz w:val="22"/>
          <w:szCs w:val="22"/>
        </w:rPr>
        <w:t>That said, PCC isn’t always easy to put into practice. Limited staff, time pressures, and a focus on efficiency can make it hard to deliver truly personalised care. Hospitals often prioritise quick results, which can clash with the slower, more relationship-based side of PCC</w:t>
      </w:r>
      <w:r w:rsidR="6DDA38B7" w:rsidRPr="00BB0D1F">
        <w:rPr>
          <w:rFonts w:ascii="Arial" w:hAnsi="Arial" w:cs="Arial"/>
          <w:sz w:val="22"/>
          <w:szCs w:val="22"/>
        </w:rPr>
        <w:t xml:space="preserve"> (Parlour, Slater et al, 2014)</w:t>
      </w:r>
      <w:r w:rsidRPr="00BB0D1F">
        <w:rPr>
          <w:rFonts w:ascii="Arial" w:hAnsi="Arial" w:cs="Arial"/>
          <w:sz w:val="22"/>
          <w:szCs w:val="22"/>
        </w:rPr>
        <w:t>. On top of that, some professionals may resist change, worrying that sharing decisions with patients could undermine their authority. Overcoming these barriers takes strong leadership, good training, and a supportive culture that truly values patient partnership.</w:t>
      </w:r>
    </w:p>
    <w:p w14:paraId="59211701" w14:textId="603F1F4C"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3" w:name="_Toc1442677380"/>
      <w:r w:rsidRPr="00BB0D1F">
        <w:rPr>
          <w:rFonts w:ascii="Arial" w:eastAsiaTheme="minorEastAsia" w:hAnsi="Arial" w:cs="Arial"/>
          <w:b/>
          <w:bCs/>
          <w:color w:val="auto"/>
          <w:sz w:val="22"/>
          <w:szCs w:val="22"/>
        </w:rPr>
        <w:t>Relevant Theories Supporting Person-Centred Care</w:t>
      </w:r>
      <w:bookmarkEnd w:id="3"/>
    </w:p>
    <w:p w14:paraId="43878B8E" w14:textId="6868B815"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A useful theoretical framework for understanding PCC in hospitals is Bradshaw’s Taxonomy of Social Needs (1972). Bradshaw identified four types of social need</w:t>
      </w:r>
      <w:r w:rsidR="1C1E669E" w:rsidRPr="00BB0D1F">
        <w:rPr>
          <w:rFonts w:ascii="Arial" w:hAnsi="Arial" w:cs="Arial"/>
          <w:sz w:val="22"/>
          <w:szCs w:val="22"/>
        </w:rPr>
        <w:t>, n</w:t>
      </w:r>
      <w:r w:rsidRPr="00BB0D1F">
        <w:rPr>
          <w:rFonts w:ascii="Arial" w:hAnsi="Arial" w:cs="Arial"/>
          <w:sz w:val="22"/>
          <w:szCs w:val="22"/>
        </w:rPr>
        <w:t>ormative, felt, expressed, and comparative</w:t>
      </w:r>
      <w:r w:rsidR="27F4E07B" w:rsidRPr="00BB0D1F">
        <w:rPr>
          <w:rFonts w:ascii="Arial" w:hAnsi="Arial" w:cs="Arial"/>
          <w:sz w:val="22"/>
          <w:szCs w:val="22"/>
        </w:rPr>
        <w:t xml:space="preserve">, </w:t>
      </w:r>
      <w:r w:rsidRPr="00BB0D1F">
        <w:rPr>
          <w:rFonts w:ascii="Arial" w:hAnsi="Arial" w:cs="Arial"/>
          <w:sz w:val="22"/>
          <w:szCs w:val="22"/>
        </w:rPr>
        <w:t xml:space="preserve">that help explain how health services can better align with the actual needs of individuals. Normative needs are those defined by professionals, such as </w:t>
      </w:r>
      <w:r w:rsidR="3C5917D2" w:rsidRPr="00BB0D1F">
        <w:rPr>
          <w:rFonts w:ascii="Arial" w:hAnsi="Arial" w:cs="Arial"/>
          <w:sz w:val="22"/>
          <w:szCs w:val="22"/>
        </w:rPr>
        <w:t xml:space="preserve">NHS </w:t>
      </w:r>
      <w:r w:rsidRPr="00BB0D1F">
        <w:rPr>
          <w:rFonts w:ascii="Arial" w:hAnsi="Arial" w:cs="Arial"/>
          <w:sz w:val="22"/>
          <w:szCs w:val="22"/>
        </w:rPr>
        <w:t>clinical guidelines or medical standards</w:t>
      </w:r>
      <w:r w:rsidR="1FED0452" w:rsidRPr="00BB0D1F">
        <w:rPr>
          <w:rFonts w:ascii="Arial" w:hAnsi="Arial" w:cs="Arial"/>
          <w:sz w:val="22"/>
          <w:szCs w:val="22"/>
        </w:rPr>
        <w:t xml:space="preserve"> (Glas, 2019</w:t>
      </w:r>
      <w:r w:rsidR="08F23953" w:rsidRPr="00BB0D1F">
        <w:rPr>
          <w:rFonts w:ascii="Arial" w:hAnsi="Arial" w:cs="Arial"/>
          <w:sz w:val="22"/>
          <w:szCs w:val="22"/>
        </w:rPr>
        <w:t>).</w:t>
      </w:r>
      <w:r w:rsidRPr="00BB0D1F">
        <w:rPr>
          <w:rFonts w:ascii="Arial" w:hAnsi="Arial" w:cs="Arial"/>
          <w:sz w:val="22"/>
          <w:szCs w:val="22"/>
        </w:rPr>
        <w:t xml:space="preserve"> Felt needs are what individuals perceive as necessary for their wellbeing, while expressed needs are those that people actively communicate when they seek help. Comparative needs involve identifying inequalities by comparing groups who have access to services with those who do</w:t>
      </w:r>
      <w:r w:rsidR="719F885D" w:rsidRPr="00BB0D1F">
        <w:rPr>
          <w:rFonts w:ascii="Arial" w:hAnsi="Arial" w:cs="Arial"/>
          <w:sz w:val="22"/>
          <w:szCs w:val="22"/>
        </w:rPr>
        <w:t>n’</w:t>
      </w:r>
      <w:r w:rsidRPr="00BB0D1F">
        <w:rPr>
          <w:rFonts w:ascii="Arial" w:hAnsi="Arial" w:cs="Arial"/>
          <w:sz w:val="22"/>
          <w:szCs w:val="22"/>
        </w:rPr>
        <w:t>t</w:t>
      </w:r>
      <w:r w:rsidR="0A2D7E97" w:rsidRPr="00BB0D1F">
        <w:rPr>
          <w:rFonts w:ascii="Arial" w:hAnsi="Arial" w:cs="Arial"/>
          <w:sz w:val="22"/>
          <w:szCs w:val="22"/>
        </w:rPr>
        <w:t xml:space="preserve"> (Glas, 2019)</w:t>
      </w:r>
      <w:r w:rsidRPr="00BB0D1F">
        <w:rPr>
          <w:rFonts w:ascii="Arial" w:hAnsi="Arial" w:cs="Arial"/>
          <w:sz w:val="22"/>
          <w:szCs w:val="22"/>
        </w:rPr>
        <w:t>.</w:t>
      </w:r>
      <w:r w:rsidR="7D73F9A1" w:rsidRPr="00BB0D1F">
        <w:rPr>
          <w:rFonts w:ascii="Arial" w:hAnsi="Arial" w:cs="Arial"/>
          <w:sz w:val="22"/>
          <w:szCs w:val="22"/>
        </w:rPr>
        <w:t xml:space="preserve"> </w:t>
      </w:r>
    </w:p>
    <w:p w14:paraId="5D6FBCA2" w14:textId="3356BFC2"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Applying Bradshaw’s model to hospital practice highlights how effective PCC depends on balancing professional expertise (normative need) with patients’ subjective experiences (felt and expressed needs). For example, a patient recovering from surgery may have a normative need for pain management as defined by medical professionals, but they may also express a </w:t>
      </w:r>
      <w:r w:rsidR="1967DFE0" w:rsidRPr="00BB0D1F">
        <w:rPr>
          <w:rFonts w:ascii="Arial" w:hAnsi="Arial" w:cs="Arial"/>
          <w:sz w:val="22"/>
          <w:szCs w:val="22"/>
        </w:rPr>
        <w:t>desire for emotional comfort.</w:t>
      </w:r>
      <w:r w:rsidRPr="00BB0D1F">
        <w:rPr>
          <w:rFonts w:ascii="Arial" w:hAnsi="Arial" w:cs="Arial"/>
          <w:sz w:val="22"/>
          <w:szCs w:val="22"/>
        </w:rPr>
        <w:t xml:space="preserve"> Recognising and addressing both aspects ensures care </w:t>
      </w:r>
      <w:r w:rsidR="0BDB5D84" w:rsidRPr="00BB0D1F">
        <w:rPr>
          <w:rFonts w:ascii="Arial" w:hAnsi="Arial" w:cs="Arial"/>
          <w:sz w:val="22"/>
          <w:szCs w:val="22"/>
        </w:rPr>
        <w:t xml:space="preserve">that’s </w:t>
      </w:r>
      <w:r w:rsidRPr="00BB0D1F">
        <w:rPr>
          <w:rFonts w:ascii="Arial" w:hAnsi="Arial" w:cs="Arial"/>
          <w:sz w:val="22"/>
          <w:szCs w:val="22"/>
        </w:rPr>
        <w:t xml:space="preserve">genuinely person-centred. </w:t>
      </w:r>
      <w:r w:rsidR="32760156" w:rsidRPr="00BB0D1F">
        <w:rPr>
          <w:rFonts w:ascii="Arial" w:hAnsi="Arial" w:cs="Arial"/>
          <w:sz w:val="22"/>
          <w:szCs w:val="22"/>
        </w:rPr>
        <w:t>Comparative need also comes into play in hospitals, especially when health inequalities affect who gets access to care (Betancourt, Green et al., 2003). For example, patients from minority backgrounds or those who face language barriers might have unmet needs that call for more culturally sensitive and inclusive approaches.</w:t>
      </w:r>
    </w:p>
    <w:p w14:paraId="4EC64E5C" w14:textId="5F6E6159"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Bradshaw’s model supports the principles of PCC by emphasising the importance of understanding and responding to individual perspectives. In hospitals, this approach is applied through multidisciplinary care planning, patient feedback systems, and shared decision-making</w:t>
      </w:r>
      <w:r w:rsidR="5192CAE4" w:rsidRPr="00BB0D1F">
        <w:rPr>
          <w:rFonts w:ascii="Arial" w:hAnsi="Arial" w:cs="Arial"/>
          <w:sz w:val="22"/>
          <w:szCs w:val="22"/>
        </w:rPr>
        <w:t>( Harrison, Young et al, 2013)</w:t>
      </w:r>
      <w:r w:rsidRPr="00BB0D1F">
        <w:rPr>
          <w:rFonts w:ascii="Arial" w:hAnsi="Arial" w:cs="Arial"/>
          <w:sz w:val="22"/>
          <w:szCs w:val="22"/>
        </w:rPr>
        <w:t>. However, balancing professional judgement with patient preferences can sometimes create ethical or practical tension, especially when patient choices contradict evidence-based guidance. Despite these challenges, integrating Bradshaw’s taxonomy into hospital care encourages professionals to think critically about what “need” really means and to prioritise communication and empathy in their practice.</w:t>
      </w:r>
    </w:p>
    <w:p w14:paraId="0614E670" w14:textId="4D89AFCB"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4" w:name="_Toc475724748"/>
      <w:r w:rsidRPr="00BB0D1F">
        <w:rPr>
          <w:rFonts w:ascii="Arial" w:eastAsiaTheme="minorEastAsia" w:hAnsi="Arial" w:cs="Arial"/>
          <w:b/>
          <w:bCs/>
          <w:color w:val="auto"/>
          <w:sz w:val="22"/>
          <w:szCs w:val="22"/>
        </w:rPr>
        <w:t>Ethical Fundamentals in Health and Social Care</w:t>
      </w:r>
      <w:bookmarkEnd w:id="4"/>
    </w:p>
    <w:p w14:paraId="01A698A0" w14:textId="4AE320C5"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Ethical principles</w:t>
      </w:r>
      <w:r w:rsidR="6002EF04" w:rsidRPr="00BB0D1F">
        <w:rPr>
          <w:rFonts w:ascii="Arial" w:hAnsi="Arial" w:cs="Arial"/>
          <w:sz w:val="22"/>
          <w:szCs w:val="22"/>
        </w:rPr>
        <w:t xml:space="preserve"> are well needed and must be </w:t>
      </w:r>
      <w:r w:rsidR="1F6D9328" w:rsidRPr="00BB0D1F">
        <w:rPr>
          <w:rFonts w:ascii="Arial" w:hAnsi="Arial" w:cs="Arial"/>
          <w:sz w:val="22"/>
          <w:szCs w:val="22"/>
        </w:rPr>
        <w:t>executed</w:t>
      </w:r>
      <w:r w:rsidR="6002EF04" w:rsidRPr="00BB0D1F">
        <w:rPr>
          <w:rFonts w:ascii="Arial" w:hAnsi="Arial" w:cs="Arial"/>
          <w:sz w:val="22"/>
          <w:szCs w:val="22"/>
        </w:rPr>
        <w:t xml:space="preserve"> correctly in</w:t>
      </w:r>
      <w:r w:rsidRPr="00BB0D1F">
        <w:rPr>
          <w:rFonts w:ascii="Arial" w:hAnsi="Arial" w:cs="Arial"/>
          <w:sz w:val="22"/>
          <w:szCs w:val="22"/>
        </w:rPr>
        <w:t xml:space="preserve"> person-centred care and partnership working. Beauchamp and Childress (2019) identify four core ethical principles</w:t>
      </w:r>
      <w:r w:rsidR="5451D038" w:rsidRPr="00BB0D1F">
        <w:rPr>
          <w:rFonts w:ascii="Arial" w:hAnsi="Arial" w:cs="Arial"/>
          <w:sz w:val="22"/>
          <w:szCs w:val="22"/>
        </w:rPr>
        <w:t xml:space="preserve"> which is </w:t>
      </w:r>
      <w:r w:rsidRPr="00BB0D1F">
        <w:rPr>
          <w:rFonts w:ascii="Arial" w:hAnsi="Arial" w:cs="Arial"/>
          <w:sz w:val="22"/>
          <w:szCs w:val="22"/>
        </w:rPr>
        <w:t>autonomy, beneficence, non-maleficence, and justice</w:t>
      </w:r>
      <w:r w:rsidR="1A36C9E0" w:rsidRPr="00BB0D1F">
        <w:rPr>
          <w:rFonts w:ascii="Arial" w:hAnsi="Arial" w:cs="Arial"/>
          <w:sz w:val="22"/>
          <w:szCs w:val="22"/>
        </w:rPr>
        <w:t xml:space="preserve">, </w:t>
      </w:r>
      <w:r w:rsidRPr="00BB0D1F">
        <w:rPr>
          <w:rFonts w:ascii="Arial" w:hAnsi="Arial" w:cs="Arial"/>
          <w:sz w:val="22"/>
          <w:szCs w:val="22"/>
        </w:rPr>
        <w:t>which provide a foundation for decision-making in health and social care</w:t>
      </w:r>
      <w:r w:rsidR="5C87E451" w:rsidRPr="00BB0D1F">
        <w:rPr>
          <w:rFonts w:ascii="Arial" w:hAnsi="Arial" w:cs="Arial"/>
          <w:sz w:val="22"/>
          <w:szCs w:val="22"/>
        </w:rPr>
        <w:t xml:space="preserve"> </w:t>
      </w:r>
      <w:r w:rsidR="74F233FA" w:rsidRPr="00BB0D1F">
        <w:rPr>
          <w:rFonts w:ascii="Arial" w:hAnsi="Arial" w:cs="Arial"/>
          <w:sz w:val="22"/>
          <w:szCs w:val="22"/>
        </w:rPr>
        <w:t>(</w:t>
      </w:r>
      <w:r w:rsidR="5C87E451" w:rsidRPr="00BB0D1F">
        <w:rPr>
          <w:rFonts w:ascii="Arial" w:hAnsi="Arial" w:cs="Arial"/>
          <w:sz w:val="22"/>
          <w:szCs w:val="22"/>
        </w:rPr>
        <w:t>Glas, 2019</w:t>
      </w:r>
      <w:r w:rsidR="6E5BCA18" w:rsidRPr="00BB0D1F">
        <w:rPr>
          <w:rFonts w:ascii="Arial" w:hAnsi="Arial" w:cs="Arial"/>
          <w:sz w:val="22"/>
          <w:szCs w:val="22"/>
        </w:rPr>
        <w:t>)</w:t>
      </w:r>
      <w:r w:rsidRPr="00BB0D1F">
        <w:rPr>
          <w:rFonts w:ascii="Arial" w:hAnsi="Arial" w:cs="Arial"/>
          <w:sz w:val="22"/>
          <w:szCs w:val="22"/>
        </w:rPr>
        <w:t>. In hospitals, autonomy is particularly important because it ensures patients have the right to make informed choices about their treatment. Respecting autonomy means providing clear information, obtaining consent, and acknowledging a person’s right to refuse care. Beneficence and non-maleficence require professionals to act in the patient’s best interest and avoid causing harm, while justice relates to fairness and equality in the distribution of healthcare resources</w:t>
      </w:r>
      <w:r w:rsidR="62BD2118" w:rsidRPr="00BB0D1F">
        <w:rPr>
          <w:rFonts w:ascii="Arial" w:hAnsi="Arial" w:cs="Arial"/>
          <w:sz w:val="22"/>
          <w:szCs w:val="22"/>
        </w:rPr>
        <w:t xml:space="preserve"> </w:t>
      </w:r>
      <w:r w:rsidR="2B7203C3" w:rsidRPr="00BB0D1F">
        <w:rPr>
          <w:rFonts w:ascii="Arial" w:hAnsi="Arial" w:cs="Arial"/>
          <w:sz w:val="22"/>
          <w:szCs w:val="22"/>
        </w:rPr>
        <w:t>(Cheraghi, Valizadeh,et al, 2023).</w:t>
      </w:r>
    </w:p>
    <w:p w14:paraId="3C2B2CC3" w14:textId="0B2D1769"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These ethical principles align closely with the goals of PCC and PW. For example, promoting autonomy and beneficence reflects the essence of PCC</w:t>
      </w:r>
      <w:r w:rsidR="457C61EE" w:rsidRPr="00BB0D1F">
        <w:rPr>
          <w:rFonts w:ascii="Arial" w:hAnsi="Arial" w:cs="Arial"/>
          <w:sz w:val="22"/>
          <w:szCs w:val="22"/>
        </w:rPr>
        <w:t xml:space="preserve">, </w:t>
      </w:r>
      <w:r w:rsidRPr="00BB0D1F">
        <w:rPr>
          <w:rFonts w:ascii="Arial" w:hAnsi="Arial" w:cs="Arial"/>
          <w:sz w:val="22"/>
          <w:szCs w:val="22"/>
        </w:rPr>
        <w:t>supporting individuals to make choices that align with their own values and circumstances</w:t>
      </w:r>
      <w:r w:rsidR="4404C218" w:rsidRPr="00BB0D1F">
        <w:rPr>
          <w:rFonts w:ascii="Arial" w:hAnsi="Arial" w:cs="Arial"/>
          <w:sz w:val="22"/>
          <w:szCs w:val="22"/>
        </w:rPr>
        <w:t xml:space="preserve"> (Burley and Arai, 2023)</w:t>
      </w:r>
      <w:r w:rsidRPr="00BB0D1F">
        <w:rPr>
          <w:rFonts w:ascii="Arial" w:hAnsi="Arial" w:cs="Arial"/>
          <w:sz w:val="22"/>
          <w:szCs w:val="22"/>
        </w:rPr>
        <w:t>. In hospitals, ethical dilemmas often arise when these principles conflict. A common example involves patients who refuse life-saving treatment due to personal or religious beliefs. Healthcare professionals may struggle between respecting autonomy and fulfilling their duty of care. In such situations, partnership working can help by involving multidisciplinary teams, ethics committees, and family members in decision-making, ensuring that diverse perspectives are considered.</w:t>
      </w:r>
    </w:p>
    <w:p w14:paraId="52FA877D" w14:textId="2BD2293C"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Differing viewpoints within hospitals can complicate ethical decisions, but open communication and reflective practice can help resolve tensions. The NMC Code (2018) and the HCPC Standards (2023) emphasise that ethical, person-centred practice depends on empathy, transparency, and accountability. Upholding these principles in everyday hospital care ensures that patients are treated not just as recipients of treatment but as partners with rights, values, and individuality.</w:t>
      </w:r>
    </w:p>
    <w:p w14:paraId="6D913FAB" w14:textId="79F56F27"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5" w:name="_Toc1118314394"/>
      <w:r w:rsidRPr="00BB0D1F">
        <w:rPr>
          <w:rFonts w:ascii="Arial" w:eastAsiaTheme="minorEastAsia" w:hAnsi="Arial" w:cs="Arial"/>
          <w:b/>
          <w:bCs/>
          <w:color w:val="auto"/>
          <w:sz w:val="22"/>
          <w:szCs w:val="22"/>
        </w:rPr>
        <w:t>Evaluation of Partnership Working in Health and Social Care</w:t>
      </w:r>
      <w:bookmarkEnd w:id="5"/>
    </w:p>
    <w:p w14:paraId="30F9DF45" w14:textId="26C1C1D4"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Partnership working (PW) refers to the process of professionals, organisations, and service users working collaboratively to plan and deliver care that meets shared goals. The Department of Health (2009) describes partnership working as a collaborative approach built on mutual trust, respect, and shared responsibility. In hospitals, partnership working involves coordination between doctors, nurses, social workers, physiotherapists, and external agencies to provide </w:t>
      </w:r>
      <w:r w:rsidR="3AA382F0" w:rsidRPr="00BB0D1F">
        <w:rPr>
          <w:rFonts w:ascii="Arial" w:hAnsi="Arial" w:cs="Arial"/>
          <w:sz w:val="22"/>
          <w:szCs w:val="22"/>
        </w:rPr>
        <w:t xml:space="preserve">smooth </w:t>
      </w:r>
      <w:r w:rsidRPr="00BB0D1F">
        <w:rPr>
          <w:rFonts w:ascii="Arial" w:hAnsi="Arial" w:cs="Arial"/>
          <w:sz w:val="22"/>
          <w:szCs w:val="22"/>
        </w:rPr>
        <w:t>care transitions between hospital and community settings</w:t>
      </w:r>
      <w:r w:rsidR="1B37B08E" w:rsidRPr="00BB0D1F">
        <w:rPr>
          <w:rFonts w:ascii="Arial" w:hAnsi="Arial" w:cs="Arial"/>
          <w:sz w:val="22"/>
          <w:szCs w:val="22"/>
        </w:rPr>
        <w:t xml:space="preserve"> (Asadi-Lari, Packham and Gray, 2003)</w:t>
      </w:r>
      <w:r w:rsidRPr="00BB0D1F">
        <w:rPr>
          <w:rFonts w:ascii="Arial" w:hAnsi="Arial" w:cs="Arial"/>
          <w:sz w:val="22"/>
          <w:szCs w:val="22"/>
        </w:rPr>
        <w:t>.</w:t>
      </w:r>
    </w:p>
    <w:p w14:paraId="5B9AE7AC" w14:textId="5D0AAB48" w:rsidR="4402FD2E" w:rsidRPr="00BB0D1F" w:rsidRDefault="4402FD2E" w:rsidP="00BB0D1F">
      <w:pPr>
        <w:spacing w:before="240" w:after="240" w:line="360" w:lineRule="auto"/>
        <w:rPr>
          <w:rFonts w:ascii="Arial" w:hAnsi="Arial" w:cs="Arial"/>
          <w:sz w:val="22"/>
          <w:szCs w:val="22"/>
        </w:rPr>
      </w:pPr>
      <w:r w:rsidRPr="00BB0D1F">
        <w:rPr>
          <w:rFonts w:ascii="Arial" w:hAnsi="Arial" w:cs="Arial"/>
          <w:sz w:val="22"/>
          <w:szCs w:val="22"/>
        </w:rPr>
        <w:t>The benefits of partnership working in hospitals are significant</w:t>
      </w:r>
      <w:r w:rsidR="742A2D94" w:rsidRPr="00BB0D1F">
        <w:rPr>
          <w:rFonts w:ascii="Arial" w:hAnsi="Arial" w:cs="Arial"/>
          <w:sz w:val="22"/>
          <w:szCs w:val="22"/>
        </w:rPr>
        <w:t xml:space="preserve"> because </w:t>
      </w:r>
      <w:r w:rsidRPr="00BB0D1F">
        <w:rPr>
          <w:rFonts w:ascii="Arial" w:hAnsi="Arial" w:cs="Arial"/>
          <w:sz w:val="22"/>
          <w:szCs w:val="22"/>
        </w:rPr>
        <w:t>helps improve communication between teams, avoids duplication of services, and ensures patients get smoother, more coordinated care (NHS England, 2022</w:t>
      </w:r>
      <w:r w:rsidR="36C9496E" w:rsidRPr="00BB0D1F">
        <w:rPr>
          <w:rFonts w:ascii="Arial" w:hAnsi="Arial" w:cs="Arial"/>
          <w:sz w:val="22"/>
          <w:szCs w:val="22"/>
        </w:rPr>
        <w:t>)</w:t>
      </w:r>
      <w:r w:rsidRPr="00BB0D1F">
        <w:rPr>
          <w:rFonts w:ascii="Arial" w:hAnsi="Arial" w:cs="Arial"/>
          <w:sz w:val="22"/>
          <w:szCs w:val="22"/>
        </w:rPr>
        <w:t>. When medical, psychological, and social support are joined up, patients tend to have better outcomes and are generally more satisfied with their experience</w:t>
      </w:r>
      <w:r w:rsidR="3245E2E5" w:rsidRPr="00BB0D1F">
        <w:rPr>
          <w:rFonts w:ascii="Arial" w:hAnsi="Arial" w:cs="Arial"/>
          <w:sz w:val="22"/>
          <w:szCs w:val="22"/>
        </w:rPr>
        <w:t xml:space="preserve"> (Rycroft-Malone, Burton et al, 2016)</w:t>
      </w:r>
      <w:r w:rsidRPr="00BB0D1F">
        <w:rPr>
          <w:rFonts w:ascii="Arial" w:hAnsi="Arial" w:cs="Arial"/>
          <w:sz w:val="22"/>
          <w:szCs w:val="22"/>
        </w:rPr>
        <w:t xml:space="preserve">. The introduction of Integrated Care Systems (ICSs) in the UK is a step toward this kind of collaboration. ICSs are designed to connect hospitals with primary care, community health, and social services so that care feels more seamless for patients. </w:t>
      </w:r>
      <w:r w:rsidR="4F0BB28A" w:rsidRPr="00BB0D1F">
        <w:rPr>
          <w:rFonts w:ascii="Arial" w:hAnsi="Arial" w:cs="Arial"/>
          <w:sz w:val="22"/>
          <w:szCs w:val="22"/>
        </w:rPr>
        <w:t>ICSs are designed to improve population health and reduce inequalities by encouraging joint decision-making and resource sharing</w:t>
      </w:r>
      <w:r w:rsidRPr="00BB0D1F">
        <w:rPr>
          <w:rFonts w:ascii="Arial" w:hAnsi="Arial" w:cs="Arial"/>
          <w:sz w:val="22"/>
          <w:szCs w:val="22"/>
        </w:rPr>
        <w:t xml:space="preserve"> (Ham, 2021)</w:t>
      </w:r>
      <w:r w:rsidR="5A325925" w:rsidRPr="00BB0D1F">
        <w:rPr>
          <w:rFonts w:ascii="Arial" w:hAnsi="Arial" w:cs="Arial"/>
          <w:sz w:val="22"/>
          <w:szCs w:val="22"/>
        </w:rPr>
        <w:t>.</w:t>
      </w:r>
    </w:p>
    <w:p w14:paraId="351B306F" w14:textId="319583C3" w:rsidR="5A325925" w:rsidRPr="00BB0D1F" w:rsidRDefault="5A325925" w:rsidP="00BB0D1F">
      <w:pPr>
        <w:spacing w:before="240" w:after="240" w:line="360" w:lineRule="auto"/>
        <w:rPr>
          <w:rFonts w:ascii="Arial" w:hAnsi="Arial" w:cs="Arial"/>
          <w:sz w:val="22"/>
          <w:szCs w:val="22"/>
        </w:rPr>
      </w:pPr>
      <w:r w:rsidRPr="00BB0D1F">
        <w:rPr>
          <w:rFonts w:ascii="Arial" w:hAnsi="Arial" w:cs="Arial"/>
          <w:sz w:val="22"/>
          <w:szCs w:val="22"/>
        </w:rPr>
        <w:t>Nevertheless, partnership working also faces challenges.</w:t>
      </w:r>
      <w:r w:rsidR="4402FD2E" w:rsidRPr="00BB0D1F">
        <w:rPr>
          <w:rFonts w:ascii="Arial" w:hAnsi="Arial" w:cs="Arial"/>
          <w:sz w:val="22"/>
          <w:szCs w:val="22"/>
        </w:rPr>
        <w:t xml:space="preserve"> Hospitals often have </w:t>
      </w:r>
      <w:r w:rsidR="05525153" w:rsidRPr="00BB0D1F">
        <w:rPr>
          <w:rFonts w:ascii="Arial" w:hAnsi="Arial" w:cs="Arial"/>
          <w:sz w:val="22"/>
          <w:szCs w:val="22"/>
        </w:rPr>
        <w:t>rigid</w:t>
      </w:r>
      <w:r w:rsidR="4402FD2E" w:rsidRPr="00BB0D1F">
        <w:rPr>
          <w:rFonts w:ascii="Arial" w:hAnsi="Arial" w:cs="Arial"/>
          <w:sz w:val="22"/>
          <w:szCs w:val="22"/>
        </w:rPr>
        <w:t xml:space="preserve"> hierarchies, which can make collaboration tricky (Ferlie &amp; Shortell, 2001). </w:t>
      </w:r>
      <w:r w:rsidR="3ECFDB44" w:rsidRPr="00BB0D1F">
        <w:rPr>
          <w:rFonts w:ascii="Arial" w:hAnsi="Arial" w:cs="Arial"/>
          <w:sz w:val="22"/>
          <w:szCs w:val="22"/>
        </w:rPr>
        <w:t>Since</w:t>
      </w:r>
      <w:r w:rsidR="3FED14D4" w:rsidRPr="00BB0D1F">
        <w:rPr>
          <w:rFonts w:ascii="Arial" w:hAnsi="Arial" w:cs="Arial"/>
          <w:sz w:val="22"/>
          <w:szCs w:val="22"/>
        </w:rPr>
        <w:t>, c</w:t>
      </w:r>
      <w:r w:rsidR="4402FD2E" w:rsidRPr="00BB0D1F">
        <w:rPr>
          <w:rFonts w:ascii="Arial" w:hAnsi="Arial" w:cs="Arial"/>
          <w:sz w:val="22"/>
          <w:szCs w:val="22"/>
        </w:rPr>
        <w:t>ommunication breakdowns between departments can lead to gaps in care, and differences in organisational culture, funding, and professional priorities can slow down progress (Hudson, Hardy, Henwood &amp; Wistow, 1999). A common example is delayed hospital discharge</w:t>
      </w:r>
      <w:r w:rsidR="081B0ABA" w:rsidRPr="00BB0D1F">
        <w:rPr>
          <w:rFonts w:ascii="Arial" w:hAnsi="Arial" w:cs="Arial"/>
          <w:sz w:val="22"/>
          <w:szCs w:val="22"/>
        </w:rPr>
        <w:t xml:space="preserve">, </w:t>
      </w:r>
      <w:r w:rsidR="4402FD2E" w:rsidRPr="00BB0D1F">
        <w:rPr>
          <w:rFonts w:ascii="Arial" w:hAnsi="Arial" w:cs="Arial"/>
          <w:sz w:val="22"/>
          <w:szCs w:val="22"/>
        </w:rPr>
        <w:t>something that often happens when hospital and community teams aren’t fully aligned. Even with these challenges, when partnership working is backed by strong leadership, open communication, and shared goals, it can really boost both efficiency and patient experience in hospital settings (Curry &amp; Ham, 2010</w:t>
      </w:r>
      <w:r w:rsidR="1EFE7C25" w:rsidRPr="00BB0D1F">
        <w:rPr>
          <w:rFonts w:ascii="Arial" w:hAnsi="Arial" w:cs="Arial"/>
          <w:sz w:val="22"/>
          <w:szCs w:val="22"/>
        </w:rPr>
        <w:t>)</w:t>
      </w:r>
      <w:r w:rsidR="4402FD2E" w:rsidRPr="00BB0D1F">
        <w:rPr>
          <w:rFonts w:ascii="Arial" w:hAnsi="Arial" w:cs="Arial"/>
          <w:sz w:val="22"/>
          <w:szCs w:val="22"/>
        </w:rPr>
        <w:t>.</w:t>
      </w:r>
    </w:p>
    <w:p w14:paraId="03921F2F" w14:textId="78F762B9"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6" w:name="_Toc347512810"/>
      <w:r w:rsidRPr="00BB0D1F">
        <w:rPr>
          <w:rFonts w:ascii="Arial" w:eastAsiaTheme="minorEastAsia" w:hAnsi="Arial" w:cs="Arial"/>
          <w:b/>
          <w:bCs/>
          <w:color w:val="auto"/>
          <w:sz w:val="22"/>
          <w:szCs w:val="22"/>
        </w:rPr>
        <w:t>Policy and Legislation</w:t>
      </w:r>
      <w:bookmarkEnd w:id="6"/>
    </w:p>
    <w:p w14:paraId="30306D49" w14:textId="536E1BFB"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UK health and social care policy provides a comprehensive framework supporting both PCC and PW. The Health and Social Care Act (2012) and the more recent Health and Care Act (2022) emphasise the need for integrated services and patient-centred decision-making. The Care Act (2014) places the wellbeing of individuals at the core of social care law, making personalisation a legal duty. The Equality Act (2010) ensures that services are delivered fairly, without discrimination based on protected characteristics such as age, disability, or race. The Human Rights Act (1998) further protects individuals’ rights to dignity, respect, and autonomy in healthcare.</w:t>
      </w:r>
    </w:p>
    <w:p w14:paraId="360E00EF" w14:textId="142EAEDA"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In hospitals, these laws and policies influence everyday practice. For instance, the Equality Act guides staff to provide accessible services for patients with disabilities, while the Care Act promotes collaboration between hospital discharge teams and community care providers. The Health and Care Act (2022) reinforces the importance of Integrated Care Systems, which require hospitals to work in partnership with other local organisations to deliver coordinated care. However, implementing these policies can be challenging due to financial pressures and staffing shortages. Even with strong legislative support, hospitals may struggle to meet the expectations of fully person-centred and integrated care without adequate resources.</w:t>
      </w:r>
    </w:p>
    <w:p w14:paraId="0D1D7F21" w14:textId="3CC87AF1"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7" w:name="_Toc2126896305"/>
      <w:r w:rsidRPr="00BB0D1F">
        <w:rPr>
          <w:rFonts w:ascii="Arial" w:eastAsiaTheme="minorEastAsia" w:hAnsi="Arial" w:cs="Arial"/>
          <w:b/>
          <w:bCs/>
          <w:color w:val="auto"/>
          <w:sz w:val="22"/>
          <w:szCs w:val="22"/>
        </w:rPr>
        <w:t>Recommendations</w:t>
      </w:r>
      <w:r w:rsidR="7E5FE159" w:rsidRPr="00BB0D1F">
        <w:rPr>
          <w:rFonts w:ascii="Arial" w:eastAsiaTheme="minorEastAsia" w:hAnsi="Arial" w:cs="Arial"/>
          <w:b/>
          <w:bCs/>
          <w:color w:val="auto"/>
          <w:sz w:val="22"/>
          <w:szCs w:val="22"/>
        </w:rPr>
        <w:t xml:space="preserve"> </w:t>
      </w:r>
      <w:bookmarkEnd w:id="7"/>
    </w:p>
    <w:p w14:paraId="03BE5793" w14:textId="0D96EA09" w:rsidR="0DFFBFF5" w:rsidRPr="00BB0D1F" w:rsidRDefault="0DFFBFF5" w:rsidP="00BB0D1F">
      <w:pPr>
        <w:spacing w:before="240" w:after="240" w:line="360" w:lineRule="auto"/>
        <w:rPr>
          <w:rFonts w:ascii="Arial" w:hAnsi="Arial" w:cs="Arial"/>
          <w:sz w:val="22"/>
          <w:szCs w:val="22"/>
        </w:rPr>
      </w:pPr>
      <w:r w:rsidRPr="00BB0D1F">
        <w:rPr>
          <w:rFonts w:ascii="Arial" w:hAnsi="Arial" w:cs="Arial"/>
          <w:sz w:val="22"/>
          <w:szCs w:val="22"/>
        </w:rPr>
        <w:t xml:space="preserve">While hospitals in the UK have made progress in delivering person-centred and collaborative care, targeted improvements in workforce training remain essential. Evidence shows that training programmes focused on communication, empathy, and shared decision-making significantly improve patient experience and sustain person-centred interactions, even under high-pressure conditions (BMC Medical Education, 2019). </w:t>
      </w:r>
    </w:p>
    <w:p w14:paraId="26C4DC39" w14:textId="0E9B9664" w:rsidR="2646A272" w:rsidRPr="00BB0D1F" w:rsidRDefault="2646A272" w:rsidP="00BB0D1F">
      <w:pPr>
        <w:spacing w:before="240" w:after="240" w:line="360" w:lineRule="auto"/>
        <w:rPr>
          <w:rFonts w:ascii="Arial" w:hAnsi="Arial" w:cs="Arial"/>
          <w:sz w:val="22"/>
          <w:szCs w:val="22"/>
        </w:rPr>
      </w:pPr>
      <w:r w:rsidRPr="00BB0D1F">
        <w:rPr>
          <w:rFonts w:ascii="Arial" w:hAnsi="Arial" w:cs="Arial"/>
          <w:sz w:val="22"/>
          <w:szCs w:val="22"/>
        </w:rPr>
        <w:t xml:space="preserve">This can be achieved by embedding regular reflective practice, such as structured feedback or peer review, which strengthens staff skills and promotes ethical care. </w:t>
      </w:r>
      <w:r w:rsidR="1DC19F65" w:rsidRPr="00BB0D1F">
        <w:rPr>
          <w:rFonts w:ascii="Arial" w:hAnsi="Arial" w:cs="Arial"/>
          <w:sz w:val="22"/>
          <w:szCs w:val="22"/>
        </w:rPr>
        <w:t xml:space="preserve">Mann, </w:t>
      </w:r>
      <w:r w:rsidR="0020EFDE" w:rsidRPr="00BB0D1F">
        <w:rPr>
          <w:rFonts w:ascii="Arial" w:hAnsi="Arial" w:cs="Arial"/>
          <w:sz w:val="22"/>
          <w:szCs w:val="22"/>
        </w:rPr>
        <w:t xml:space="preserve">Gordon and MacLeod, (2009) </w:t>
      </w:r>
      <w:r w:rsidRPr="00BB0D1F">
        <w:rPr>
          <w:rFonts w:ascii="Arial" w:hAnsi="Arial" w:cs="Arial"/>
          <w:sz w:val="22"/>
          <w:szCs w:val="22"/>
        </w:rPr>
        <w:t xml:space="preserve">shows that reflective practice improves empathy, communication, and ethical decision-making among healthcare professionals, enabling staff to respond more effectively to patient needs. For example, </w:t>
      </w:r>
      <w:r w:rsidR="3F2062A3" w:rsidRPr="00BB0D1F">
        <w:rPr>
          <w:rFonts w:ascii="Arial" w:hAnsi="Arial" w:cs="Arial"/>
          <w:sz w:val="22"/>
          <w:szCs w:val="22"/>
        </w:rPr>
        <w:t xml:space="preserve">a study of nursing undergraduates found that reflective practice </w:t>
      </w:r>
      <w:r w:rsidR="7E6C1E35" w:rsidRPr="00BB0D1F">
        <w:rPr>
          <w:rFonts w:ascii="Arial" w:hAnsi="Arial" w:cs="Arial"/>
          <w:sz w:val="22"/>
          <w:szCs w:val="22"/>
        </w:rPr>
        <w:t xml:space="preserve">enables </w:t>
      </w:r>
      <w:r w:rsidR="3F2062A3" w:rsidRPr="00BB0D1F">
        <w:rPr>
          <w:rFonts w:ascii="Arial" w:hAnsi="Arial" w:cs="Arial"/>
          <w:sz w:val="22"/>
          <w:szCs w:val="22"/>
        </w:rPr>
        <w:t>the ability to “think in another person’s shoes,” supporting more compassionate, patient</w:t>
      </w:r>
      <w:r w:rsidR="3F2062A3" w:rsidRPr="00BB0D1F">
        <w:rPr>
          <w:rFonts w:ascii="Cambria Math" w:hAnsi="Cambria Math" w:cs="Cambria Math"/>
          <w:sz w:val="22"/>
          <w:szCs w:val="22"/>
        </w:rPr>
        <w:t>‑</w:t>
      </w:r>
      <w:r w:rsidR="3F2062A3" w:rsidRPr="00BB0D1F">
        <w:rPr>
          <w:rFonts w:ascii="Arial" w:hAnsi="Arial" w:cs="Arial"/>
          <w:sz w:val="22"/>
          <w:szCs w:val="22"/>
        </w:rPr>
        <w:t>centred care</w:t>
      </w:r>
      <w:r w:rsidR="41BBAE5D" w:rsidRPr="00BB0D1F">
        <w:rPr>
          <w:rFonts w:ascii="Arial" w:hAnsi="Arial" w:cs="Arial"/>
          <w:sz w:val="22"/>
          <w:szCs w:val="22"/>
        </w:rPr>
        <w:t>,</w:t>
      </w:r>
      <w:r w:rsidR="46840BE3" w:rsidRPr="00BB0D1F">
        <w:rPr>
          <w:rFonts w:ascii="Arial" w:hAnsi="Arial" w:cs="Arial"/>
          <w:sz w:val="22"/>
          <w:szCs w:val="22"/>
        </w:rPr>
        <w:t xml:space="preserve"> </w:t>
      </w:r>
      <w:r w:rsidR="46840BE3" w:rsidRPr="00BB0D1F">
        <w:rPr>
          <w:rFonts w:ascii="Arial" w:eastAsia="Arial" w:hAnsi="Arial" w:cs="Arial"/>
          <w:sz w:val="22"/>
          <w:szCs w:val="22"/>
        </w:rPr>
        <w:t>suggest</w:t>
      </w:r>
      <w:r w:rsidR="5AF74D18" w:rsidRPr="00BB0D1F">
        <w:rPr>
          <w:rFonts w:ascii="Arial" w:eastAsia="Arial" w:hAnsi="Arial" w:cs="Arial"/>
          <w:sz w:val="22"/>
          <w:szCs w:val="22"/>
        </w:rPr>
        <w:t xml:space="preserve">ing </w:t>
      </w:r>
      <w:r w:rsidR="46840BE3" w:rsidRPr="00BB0D1F">
        <w:rPr>
          <w:rFonts w:ascii="Arial" w:eastAsia="Arial" w:hAnsi="Arial" w:cs="Arial"/>
          <w:sz w:val="22"/>
          <w:szCs w:val="22"/>
        </w:rPr>
        <w:t>that reflective practice helps develop moral reasoning</w:t>
      </w:r>
      <w:r w:rsidR="63E7FD38" w:rsidRPr="00BB0D1F">
        <w:rPr>
          <w:rFonts w:ascii="Arial" w:eastAsia="Arial" w:hAnsi="Arial" w:cs="Arial"/>
          <w:sz w:val="22"/>
          <w:szCs w:val="22"/>
        </w:rPr>
        <w:t xml:space="preserve"> </w:t>
      </w:r>
      <w:r w:rsidR="63E7FD38" w:rsidRPr="00BB0D1F">
        <w:rPr>
          <w:rFonts w:ascii="Arial" w:hAnsi="Arial" w:cs="Arial"/>
          <w:sz w:val="22"/>
          <w:szCs w:val="22"/>
        </w:rPr>
        <w:t xml:space="preserve">(Yang and Zou, 2025). </w:t>
      </w:r>
    </w:p>
    <w:p w14:paraId="39625155" w14:textId="2804D08D" w:rsidR="2E819649" w:rsidRPr="00BB0D1F" w:rsidRDefault="2E819649" w:rsidP="00BB0D1F">
      <w:pPr>
        <w:spacing w:before="240" w:after="240" w:line="360" w:lineRule="auto"/>
        <w:rPr>
          <w:rFonts w:ascii="Arial" w:eastAsia="Arial" w:hAnsi="Arial" w:cs="Arial"/>
          <w:sz w:val="22"/>
          <w:szCs w:val="22"/>
        </w:rPr>
      </w:pPr>
      <w:r w:rsidRPr="00BB0D1F">
        <w:rPr>
          <w:rFonts w:ascii="Arial" w:hAnsi="Arial" w:cs="Arial"/>
          <w:sz w:val="22"/>
          <w:szCs w:val="22"/>
        </w:rPr>
        <w:t>A</w:t>
      </w:r>
      <w:r w:rsidR="2646A272" w:rsidRPr="00BB0D1F">
        <w:rPr>
          <w:rFonts w:ascii="Arial" w:hAnsi="Arial" w:cs="Arial"/>
          <w:sz w:val="22"/>
          <w:szCs w:val="22"/>
        </w:rPr>
        <w:t>ddition</w:t>
      </w:r>
      <w:r w:rsidR="52B8C30E" w:rsidRPr="00BB0D1F">
        <w:rPr>
          <w:rFonts w:ascii="Arial" w:hAnsi="Arial" w:cs="Arial"/>
          <w:sz w:val="22"/>
          <w:szCs w:val="22"/>
        </w:rPr>
        <w:t>ally</w:t>
      </w:r>
      <w:r w:rsidR="2646A272" w:rsidRPr="00BB0D1F">
        <w:rPr>
          <w:rFonts w:ascii="Arial" w:hAnsi="Arial" w:cs="Arial"/>
          <w:sz w:val="22"/>
          <w:szCs w:val="22"/>
        </w:rPr>
        <w:t xml:space="preserve">, </w:t>
      </w:r>
      <w:r w:rsidR="6ED7BBDA" w:rsidRPr="00BB0D1F">
        <w:rPr>
          <w:rFonts w:ascii="Arial" w:hAnsi="Arial" w:cs="Arial"/>
          <w:sz w:val="22"/>
          <w:szCs w:val="22"/>
        </w:rPr>
        <w:t xml:space="preserve">investing in </w:t>
      </w:r>
      <w:r w:rsidR="2646A272" w:rsidRPr="00BB0D1F">
        <w:rPr>
          <w:rFonts w:ascii="Arial" w:hAnsi="Arial" w:cs="Arial"/>
          <w:sz w:val="22"/>
          <w:szCs w:val="22"/>
        </w:rPr>
        <w:t xml:space="preserve">digital tools </w:t>
      </w:r>
      <w:r w:rsidR="54C2CBB4" w:rsidRPr="00BB0D1F">
        <w:rPr>
          <w:rFonts w:ascii="Arial" w:hAnsi="Arial" w:cs="Arial"/>
          <w:sz w:val="22"/>
          <w:szCs w:val="22"/>
        </w:rPr>
        <w:t>like</w:t>
      </w:r>
      <w:r w:rsidR="2646A272" w:rsidRPr="00BB0D1F">
        <w:rPr>
          <w:rFonts w:ascii="Arial" w:hAnsi="Arial" w:cs="Arial"/>
          <w:sz w:val="22"/>
          <w:szCs w:val="22"/>
        </w:rPr>
        <w:t xml:space="preserve"> shared electronic health records (EHRs) improve</w:t>
      </w:r>
      <w:r w:rsidR="0CEE64F2" w:rsidRPr="00BB0D1F">
        <w:rPr>
          <w:rFonts w:ascii="Arial" w:hAnsi="Arial" w:cs="Arial"/>
          <w:sz w:val="22"/>
          <w:szCs w:val="22"/>
        </w:rPr>
        <w:t>s</w:t>
      </w:r>
      <w:r w:rsidR="2646A272" w:rsidRPr="00BB0D1F">
        <w:rPr>
          <w:rFonts w:ascii="Arial" w:hAnsi="Arial" w:cs="Arial"/>
          <w:sz w:val="22"/>
          <w:szCs w:val="22"/>
        </w:rPr>
        <w:t xml:space="preserve"> partnership working by enabling smoother coordination between hospital departments. </w:t>
      </w:r>
      <w:r w:rsidR="5F859C22" w:rsidRPr="00BB0D1F">
        <w:rPr>
          <w:rFonts w:ascii="Arial" w:hAnsi="Arial" w:cs="Arial"/>
          <w:sz w:val="22"/>
          <w:szCs w:val="22"/>
        </w:rPr>
        <w:t>According to Blease et al</w:t>
      </w:r>
      <w:r w:rsidR="6D8BBD5B" w:rsidRPr="00BB0D1F">
        <w:rPr>
          <w:rFonts w:ascii="Arial" w:hAnsi="Arial" w:cs="Arial"/>
          <w:sz w:val="22"/>
          <w:szCs w:val="22"/>
        </w:rPr>
        <w:t>,</w:t>
      </w:r>
      <w:r w:rsidR="5F859C22" w:rsidRPr="00BB0D1F">
        <w:rPr>
          <w:rFonts w:ascii="Arial" w:hAnsi="Arial" w:cs="Arial"/>
          <w:sz w:val="22"/>
          <w:szCs w:val="22"/>
        </w:rPr>
        <w:t xml:space="preserve"> (2020) </w:t>
      </w:r>
      <w:r w:rsidR="2646A272" w:rsidRPr="00BB0D1F">
        <w:rPr>
          <w:rFonts w:ascii="Arial" w:hAnsi="Arial" w:cs="Arial"/>
          <w:sz w:val="22"/>
          <w:szCs w:val="22"/>
        </w:rPr>
        <w:t xml:space="preserve">integrated EHRs enhance information sharing, reduce duplication of tests, and support timely, well-informed decision-making. </w:t>
      </w:r>
      <w:r w:rsidR="577CBE13" w:rsidRPr="00BB0D1F">
        <w:rPr>
          <w:rFonts w:ascii="Arial" w:eastAsia="Arial" w:hAnsi="Arial" w:cs="Arial"/>
          <w:sz w:val="22"/>
          <w:szCs w:val="22"/>
        </w:rPr>
        <w:t>NHS England likewise highlights that shared care records give clinicians access to up-to-date information across settings, which facilitates faster clinical decisions and improves safety</w:t>
      </w:r>
      <w:r w:rsidR="465BEB4D" w:rsidRPr="00BB0D1F">
        <w:rPr>
          <w:rFonts w:ascii="Arial" w:eastAsia="Arial" w:hAnsi="Arial" w:cs="Arial"/>
          <w:sz w:val="22"/>
          <w:szCs w:val="22"/>
        </w:rPr>
        <w:t xml:space="preserve">, </w:t>
      </w:r>
      <w:r w:rsidR="577CBE13" w:rsidRPr="00BB0D1F">
        <w:rPr>
          <w:rFonts w:ascii="Arial" w:eastAsia="Arial" w:hAnsi="Arial" w:cs="Arial"/>
          <w:sz w:val="22"/>
          <w:szCs w:val="22"/>
        </w:rPr>
        <w:t xml:space="preserve">for example, reconciling medications on admission </w:t>
      </w:r>
      <w:r w:rsidR="13D08D62" w:rsidRPr="00BB0D1F">
        <w:rPr>
          <w:rFonts w:ascii="Arial" w:eastAsia="Arial" w:hAnsi="Arial" w:cs="Arial"/>
          <w:sz w:val="22"/>
          <w:szCs w:val="22"/>
        </w:rPr>
        <w:t>(</w:t>
      </w:r>
      <w:r w:rsidR="577CBE13" w:rsidRPr="00BB0D1F">
        <w:rPr>
          <w:rFonts w:ascii="Arial" w:eastAsia="Arial" w:hAnsi="Arial" w:cs="Arial"/>
          <w:sz w:val="22"/>
          <w:szCs w:val="22"/>
        </w:rPr>
        <w:t>NHS England</w:t>
      </w:r>
      <w:r w:rsidR="4522A1B5" w:rsidRPr="00BB0D1F">
        <w:rPr>
          <w:rFonts w:ascii="Arial" w:eastAsia="Arial" w:hAnsi="Arial" w:cs="Arial"/>
          <w:sz w:val="22"/>
          <w:szCs w:val="22"/>
        </w:rPr>
        <w:t>, 2022)</w:t>
      </w:r>
      <w:r w:rsidR="6C9BD2C3" w:rsidRPr="00BB0D1F">
        <w:rPr>
          <w:rFonts w:ascii="Arial" w:eastAsia="Arial" w:hAnsi="Arial" w:cs="Arial"/>
          <w:sz w:val="22"/>
          <w:szCs w:val="22"/>
        </w:rPr>
        <w:t xml:space="preserve">. </w:t>
      </w:r>
      <w:r w:rsidR="0F6B44A7" w:rsidRPr="00BB0D1F">
        <w:rPr>
          <w:rFonts w:ascii="Arial" w:eastAsia="Arial" w:hAnsi="Arial" w:cs="Arial"/>
          <w:sz w:val="22"/>
          <w:szCs w:val="22"/>
        </w:rPr>
        <w:t>Also,</w:t>
      </w:r>
      <w:r w:rsidR="577CBE13" w:rsidRPr="00BB0D1F">
        <w:rPr>
          <w:rFonts w:ascii="Arial" w:eastAsia="Arial" w:hAnsi="Arial" w:cs="Arial"/>
          <w:sz w:val="22"/>
          <w:szCs w:val="22"/>
        </w:rPr>
        <w:t xml:space="preserve"> having systems that “talk” to each other is especially vital</w:t>
      </w:r>
      <w:r w:rsidR="6ABD9768" w:rsidRPr="00BB0D1F">
        <w:rPr>
          <w:rFonts w:ascii="Arial" w:eastAsia="Arial" w:hAnsi="Arial" w:cs="Arial"/>
          <w:sz w:val="22"/>
          <w:szCs w:val="22"/>
        </w:rPr>
        <w:t xml:space="preserve"> because </w:t>
      </w:r>
      <w:r w:rsidR="577CBE13" w:rsidRPr="00BB0D1F">
        <w:rPr>
          <w:rFonts w:ascii="Arial" w:eastAsia="Arial" w:hAnsi="Arial" w:cs="Arial"/>
          <w:sz w:val="22"/>
          <w:szCs w:val="22"/>
        </w:rPr>
        <w:t xml:space="preserve">shared, linked records support integrated care and reduce risks caused by fragmented data. </w:t>
      </w:r>
    </w:p>
    <w:p w14:paraId="55C3ED4F" w14:textId="677D6630" w:rsidR="2646A272" w:rsidRPr="00BB0D1F" w:rsidRDefault="2646A272" w:rsidP="00BB0D1F">
      <w:pPr>
        <w:spacing w:before="240" w:after="240" w:line="360" w:lineRule="auto"/>
        <w:rPr>
          <w:rFonts w:ascii="Arial" w:hAnsi="Arial" w:cs="Arial"/>
          <w:sz w:val="22"/>
          <w:szCs w:val="22"/>
        </w:rPr>
      </w:pPr>
      <w:r w:rsidRPr="00BB0D1F">
        <w:rPr>
          <w:rFonts w:ascii="Arial" w:hAnsi="Arial" w:cs="Arial"/>
          <w:sz w:val="22"/>
          <w:szCs w:val="22"/>
        </w:rPr>
        <w:t xml:space="preserve">However, successful implementation depends on proper staff training and governance, as poorly managed systems can cause errors, and patient safety risks (Munyisia, Yu and Hailey, 2021). Together, reflective practice and effective digital integration provide strong evidence </w:t>
      </w:r>
      <w:r w:rsidR="1041ABF8" w:rsidRPr="00BB0D1F">
        <w:rPr>
          <w:rFonts w:ascii="Arial" w:hAnsi="Arial" w:cs="Arial"/>
          <w:sz w:val="22"/>
          <w:szCs w:val="22"/>
        </w:rPr>
        <w:t xml:space="preserve">in </w:t>
      </w:r>
      <w:r w:rsidR="08498741" w:rsidRPr="00BB0D1F">
        <w:rPr>
          <w:rFonts w:ascii="Arial" w:hAnsi="Arial" w:cs="Arial"/>
          <w:sz w:val="22"/>
          <w:szCs w:val="22"/>
        </w:rPr>
        <w:t>recommendations</w:t>
      </w:r>
      <w:r w:rsidR="1041ABF8" w:rsidRPr="00BB0D1F">
        <w:rPr>
          <w:rFonts w:ascii="Arial" w:hAnsi="Arial" w:cs="Arial"/>
          <w:sz w:val="22"/>
          <w:szCs w:val="22"/>
        </w:rPr>
        <w:t xml:space="preserve"> </w:t>
      </w:r>
      <w:r w:rsidRPr="00BB0D1F">
        <w:rPr>
          <w:rFonts w:ascii="Arial" w:hAnsi="Arial" w:cs="Arial"/>
          <w:sz w:val="22"/>
          <w:szCs w:val="22"/>
        </w:rPr>
        <w:t xml:space="preserve">that improve person-centred and </w:t>
      </w:r>
      <w:r w:rsidR="4876A53D" w:rsidRPr="00BB0D1F">
        <w:rPr>
          <w:rFonts w:ascii="Arial" w:hAnsi="Arial" w:cs="Arial"/>
          <w:sz w:val="22"/>
          <w:szCs w:val="22"/>
        </w:rPr>
        <w:t xml:space="preserve">partnered working </w:t>
      </w:r>
      <w:r w:rsidRPr="00BB0D1F">
        <w:rPr>
          <w:rFonts w:ascii="Arial" w:hAnsi="Arial" w:cs="Arial"/>
          <w:sz w:val="22"/>
          <w:szCs w:val="22"/>
        </w:rPr>
        <w:t>in hospitals.</w:t>
      </w:r>
    </w:p>
    <w:p w14:paraId="512B8D07" w14:textId="3CCE7CFE"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8" w:name="_Toc1275693467"/>
      <w:r w:rsidRPr="00BB0D1F">
        <w:rPr>
          <w:rFonts w:ascii="Arial" w:eastAsiaTheme="minorEastAsia" w:hAnsi="Arial" w:cs="Arial"/>
          <w:b/>
          <w:bCs/>
          <w:color w:val="auto"/>
          <w:sz w:val="22"/>
          <w:szCs w:val="22"/>
        </w:rPr>
        <w:t>Conclusion</w:t>
      </w:r>
      <w:bookmarkEnd w:id="8"/>
    </w:p>
    <w:p w14:paraId="36CDAAF6" w14:textId="1824BB19"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In summary, person-centred care and partnership working are essential </w:t>
      </w:r>
      <w:r w:rsidR="47A58904" w:rsidRPr="00BB0D1F">
        <w:rPr>
          <w:rFonts w:ascii="Arial" w:hAnsi="Arial" w:cs="Arial"/>
          <w:sz w:val="22"/>
          <w:szCs w:val="22"/>
        </w:rPr>
        <w:t xml:space="preserve">in </w:t>
      </w:r>
      <w:r w:rsidRPr="00BB0D1F">
        <w:rPr>
          <w:rFonts w:ascii="Arial" w:hAnsi="Arial" w:cs="Arial"/>
          <w:sz w:val="22"/>
          <w:szCs w:val="22"/>
        </w:rPr>
        <w:t>modern hospital practice. Person-centred care focuses on recognising individuals as active participants in their care, ensuring that treatment aligns with their values, preferences, and needs. Partnership working complements this approach by promoting collaboration among professionals, patients, and organisations to deliver coordinated and efficient services.</w:t>
      </w:r>
    </w:p>
    <w:p w14:paraId="518382F6" w14:textId="1BD0765A" w:rsidR="0C542FBB" w:rsidRPr="00BB0D1F" w:rsidRDefault="0C542FBB" w:rsidP="00BB0D1F">
      <w:pPr>
        <w:spacing w:before="240" w:after="240" w:line="360" w:lineRule="auto"/>
        <w:rPr>
          <w:rFonts w:ascii="Arial" w:hAnsi="Arial" w:cs="Arial"/>
          <w:sz w:val="22"/>
          <w:szCs w:val="22"/>
        </w:rPr>
      </w:pPr>
      <w:r w:rsidRPr="00BB0D1F">
        <w:rPr>
          <w:rFonts w:ascii="Arial" w:hAnsi="Arial" w:cs="Arial"/>
          <w:sz w:val="22"/>
          <w:szCs w:val="22"/>
        </w:rPr>
        <w:t xml:space="preserve">Theories like Bradshaw’s Taxonomy of Social Needs </w:t>
      </w:r>
      <w:r w:rsidR="2D6CCF43" w:rsidRPr="00BB0D1F">
        <w:rPr>
          <w:rFonts w:ascii="Arial" w:hAnsi="Arial" w:cs="Arial"/>
          <w:sz w:val="22"/>
          <w:szCs w:val="22"/>
        </w:rPr>
        <w:t xml:space="preserve">(1972) </w:t>
      </w:r>
      <w:r w:rsidRPr="00BB0D1F">
        <w:rPr>
          <w:rFonts w:ascii="Arial" w:hAnsi="Arial" w:cs="Arial"/>
          <w:sz w:val="22"/>
          <w:szCs w:val="22"/>
        </w:rPr>
        <w:t>remind us how important it is to balance professional knowledge with what patients actually want and need. At the same time, ethical principles such as autonomy, beneficence, and justice help guide decision-making in complex hospital settings.</w:t>
      </w:r>
    </w:p>
    <w:p w14:paraId="0AFA159D" w14:textId="4DA850A1" w:rsidR="0C542FBB" w:rsidRPr="00BB0D1F" w:rsidRDefault="0C542FBB" w:rsidP="00BB0D1F">
      <w:pPr>
        <w:spacing w:before="240" w:after="240" w:line="360" w:lineRule="auto"/>
        <w:rPr>
          <w:rFonts w:ascii="Arial" w:hAnsi="Arial" w:cs="Arial"/>
          <w:sz w:val="22"/>
          <w:szCs w:val="22"/>
        </w:rPr>
      </w:pPr>
      <w:r w:rsidRPr="00BB0D1F">
        <w:rPr>
          <w:rFonts w:ascii="Arial" w:hAnsi="Arial" w:cs="Arial"/>
          <w:sz w:val="22"/>
          <w:szCs w:val="22"/>
        </w:rPr>
        <w:t>Even though UK policies and laws strongly support these ideas, putting them into practice isn’t always easy. Hospitals still face challenges like limited resources, communication gaps, and fragmented systems. Moving forward, improving staff training, investing in digital tools, and encouraging a culture of shared learning and co-production will be key to strengthening both person-centred care and partnership working</w:t>
      </w:r>
      <w:r w:rsidR="2DCAAE11" w:rsidRPr="00BB0D1F">
        <w:rPr>
          <w:rFonts w:ascii="Arial" w:hAnsi="Arial" w:cs="Arial"/>
          <w:sz w:val="22"/>
          <w:szCs w:val="22"/>
        </w:rPr>
        <w:t xml:space="preserve"> in the years ahead. Ultimately, achieving these goals will ensure that hospitals continue to deliver care that is clinically effective </w:t>
      </w:r>
      <w:r w:rsidR="5851A4F2" w:rsidRPr="00BB0D1F">
        <w:rPr>
          <w:rFonts w:ascii="Arial" w:hAnsi="Arial" w:cs="Arial"/>
          <w:sz w:val="22"/>
          <w:szCs w:val="22"/>
        </w:rPr>
        <w:t xml:space="preserve">and shows </w:t>
      </w:r>
      <w:r w:rsidR="2DCAAE11" w:rsidRPr="00BB0D1F">
        <w:rPr>
          <w:rFonts w:ascii="Arial" w:hAnsi="Arial" w:cs="Arial"/>
          <w:sz w:val="22"/>
          <w:szCs w:val="22"/>
        </w:rPr>
        <w:t>compassionate, inclusive, and truly person-centred</w:t>
      </w:r>
      <w:r w:rsidR="4E269C27" w:rsidRPr="00BB0D1F">
        <w:rPr>
          <w:rFonts w:ascii="Arial" w:hAnsi="Arial" w:cs="Arial"/>
          <w:sz w:val="22"/>
          <w:szCs w:val="22"/>
        </w:rPr>
        <w:t xml:space="preserve"> care</w:t>
      </w:r>
      <w:r w:rsidR="2DCAAE11" w:rsidRPr="00BB0D1F">
        <w:rPr>
          <w:rFonts w:ascii="Arial" w:hAnsi="Arial" w:cs="Arial"/>
          <w:sz w:val="22"/>
          <w:szCs w:val="22"/>
        </w:rPr>
        <w:t>.</w:t>
      </w:r>
    </w:p>
    <w:p w14:paraId="347CFAE7" w14:textId="46F7D0B2" w:rsidR="624230E3" w:rsidRPr="00BB0D1F" w:rsidRDefault="624230E3" w:rsidP="43C3AD1F">
      <w:pPr>
        <w:pStyle w:val="Heading2"/>
        <w:spacing w:before="299" w:after="299" w:line="360" w:lineRule="auto"/>
        <w:rPr>
          <w:rFonts w:ascii="Arial" w:eastAsiaTheme="minorEastAsia" w:hAnsi="Arial" w:cs="Arial"/>
          <w:b/>
          <w:bCs/>
          <w:color w:val="auto"/>
          <w:sz w:val="22"/>
          <w:szCs w:val="22"/>
          <w:lang w:val="en-US"/>
        </w:rPr>
      </w:pPr>
      <w:bookmarkStart w:id="9" w:name="_Toc1525170356"/>
      <w:r w:rsidRPr="43C3AD1F">
        <w:rPr>
          <w:rFonts w:ascii="Arial" w:eastAsiaTheme="minorEastAsia" w:hAnsi="Arial" w:cs="Arial"/>
          <w:b/>
          <w:bCs/>
          <w:color w:val="auto"/>
          <w:sz w:val="22"/>
          <w:szCs w:val="22"/>
        </w:rPr>
        <w:t>References</w:t>
      </w:r>
      <w:bookmarkEnd w:id="9"/>
    </w:p>
    <w:p w14:paraId="70437A1F" w14:textId="025FC8C5"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Asadi-Lari, M., Packham, C. and Gray, D. (2003) ‘Need for redefining needs’, Health and Quality of Life Outcomes, 1(1), p.34.</w:t>
      </w:r>
    </w:p>
    <w:p w14:paraId="16376AB6" w14:textId="27B53F51"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Beauchamp, T.L. and Childress, J.F. (2019) Principles of Biomedical Ethics. 8th edn. Oxford: Oxford University Press.</w:t>
      </w:r>
    </w:p>
    <w:p w14:paraId="72474F8C" w14:textId="19CC0ED9" w:rsidR="2DFEF968" w:rsidRPr="00BB0D1F" w:rsidRDefault="2DFEF968" w:rsidP="00BB0D1F">
      <w:pPr>
        <w:spacing w:before="240" w:after="240" w:line="360" w:lineRule="auto"/>
        <w:rPr>
          <w:rFonts w:ascii="Arial" w:hAnsi="Arial" w:cs="Arial"/>
          <w:sz w:val="22"/>
          <w:szCs w:val="22"/>
        </w:rPr>
      </w:pPr>
      <w:r w:rsidRPr="00BB0D1F">
        <w:rPr>
          <w:rFonts w:ascii="Arial" w:hAnsi="Arial" w:cs="Arial"/>
          <w:sz w:val="22"/>
          <w:szCs w:val="22"/>
        </w:rPr>
        <w:t>Betancourt, J.R., Green, A.R., Carrillo, J.E. and Ananeh-Firempong 2nd, O. (2003) ‘Defining cultural competence: a practical framework for addressing racial/ethnic disparities in health and health care’, Public Health Reports, 118(4), p.293.</w:t>
      </w:r>
    </w:p>
    <w:p w14:paraId="765D4EE3" w14:textId="181531DE"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Bradshaw, J. (1972) ‘The taxonomy of social need’, in McLachlan, G. (ed.) Problems and Progress in Medical Care: Essays on Current Research. London: Oxford University Press, pp. 69–82.</w:t>
      </w:r>
    </w:p>
    <w:p w14:paraId="06E6C2DA" w14:textId="70688545"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Bragadóttir, H., Kalisch, B.J., Flygenring, B.G. and Tryggvadóttir, G.B. (2023) ‘The relationship of nursing teamwork and job satisfaction in hospitals’, SAGE Open Nursing, 9, p.23779608231175027.</w:t>
      </w:r>
    </w:p>
    <w:p w14:paraId="78349B8F" w14:textId="3403290F"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Brooker, D. and Latham, I. (2016) Person-Centred Dementia Care: Making Services Better. 2nd edn. London: Jessica Kingsley Publishers.</w:t>
      </w:r>
    </w:p>
    <w:p w14:paraId="3A1E027B" w14:textId="03C0479C"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Burley, G. and Arai, L. (2023) ‘Ethics and ethical dilemmas in health and social care’, in Foundations for 21st-Century Health and Social Care. Abingdon: Routledge, pp. 188–199.</w:t>
      </w:r>
    </w:p>
    <w:p w14:paraId="1D982D1C" w14:textId="6B20CADD"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Care Act 2014 (c.23). London: The Stationery Office.</w:t>
      </w:r>
    </w:p>
    <w:p w14:paraId="279628CB" w14:textId="004B56F0"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Cheraghi, R., Valizadeh, L., Zamanzadeh, V., Hassankhani, H. and Jafarzadeh, A. (2023) ‘Clarification of ethical principle of the beneficence in nursing care: an integrative review’, BMC Nursing, 22(1), p.89.</w:t>
      </w:r>
    </w:p>
    <w:p w14:paraId="40573C55" w14:textId="0520C63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Coulter, A. and Oldham, J. (2016) ‘Person-centred care: What is it and how do we get there?’, Future Hospital Journal, 3(2), pp.114–116.</w:t>
      </w:r>
    </w:p>
    <w:p w14:paraId="399FF4D2" w14:textId="295AC2B8"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Curry, N. and Ham, C. (2010) Clinical and Service Integration: The Route to Improved Outcomes. London: The King’s Fund.</w:t>
      </w:r>
    </w:p>
    <w:p w14:paraId="21575617" w14:textId="3A3295D1"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Department of Health (2009) Partnership Working in Health and Social Care: A Framework for Action. London: Department of Health.</w:t>
      </w:r>
    </w:p>
    <w:p w14:paraId="427A1523" w14:textId="2DB9B704"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Equality Act 2010 (c.15). London: The Stationery Office.</w:t>
      </w:r>
    </w:p>
    <w:p w14:paraId="601D03C6" w14:textId="4C9CCD5E"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Ferlie, E. and Shortell, S.M. (2001) ‘Improving the quality of health care in the United Kingdom and the United States: A framework for change’, The Milbank Quarterly, 79(2), pp.281–315.</w:t>
      </w:r>
    </w:p>
    <w:p w14:paraId="180DE6F3" w14:textId="6ECAE54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Glas, G. (2019) ‘A normative practice approach to health care’, in The Normative Nature of Social Practices and Ethics in Professional Environments. Hershey, PA: IGI Global, pp.164–184.</w:t>
      </w:r>
    </w:p>
    <w:p w14:paraId="7AB868D4" w14:textId="229A377C"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Glasby, J. and Dickinson, H. (2014) Partnership Working in Health and Social Care: What is Integrated Care and How Can We Deliver It? 2nd edn. Bristol: Policy Press.</w:t>
      </w:r>
    </w:p>
    <w:p w14:paraId="22986585" w14:textId="08CAA108"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Gilbar, R. and Miola, J. (2015) ‘One size fits all? On patient autonomy, medical decision-making, and the impact of culture’, Medical Law Review, 23(3), pp.375–399.</w:t>
      </w:r>
    </w:p>
    <w:p w14:paraId="7853C17C" w14:textId="6AA17614"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Ham, C. (2021) Integrated Care Systems Explained: Making Sense of Systems, Places and Neighbourhoods. London: The King’s Fund.</w:t>
      </w:r>
    </w:p>
    <w:p w14:paraId="119C2A3C" w14:textId="12383FC5"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Harrison, J.D., Young, J.M., Butow, P.N. and Solomon, M.J. (2013) ‘Needs in health care: what beast is that?’, International Journal of Health Services, 43(3), pp.567–585.</w:t>
      </w:r>
    </w:p>
    <w:p w14:paraId="643EA6F3" w14:textId="49C34EAF"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Health and Care Act 2022 (c.31). London: The Stationery Office.</w:t>
      </w:r>
    </w:p>
    <w:p w14:paraId="7C50AE20" w14:textId="3C80FB4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Health and Care Professions Council (HCPC) (2023) Standards of Conduct, Performance and Ethics. London: HCPC. Available at: https://www.hcpc-uk.org/standards/standards-of-conduct-performance-and-ethics/ (Accessed: 10 November 2025).</w:t>
      </w:r>
    </w:p>
    <w:p w14:paraId="3905D880" w14:textId="6766860D"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Health and Social Care Act 2012 (c.7). London: The Stationery Office.</w:t>
      </w:r>
    </w:p>
    <w:p w14:paraId="3FADE152" w14:textId="62BCC54A"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Health Foundation (2016) Person-Centred Care Made Simple: What Everyone Should Know about Person-Centred Care. London: The Health Foundation. Available at: https://www.health.org.uk/publications/person-centred-care-made-simple (Accessed: 10 November 2025).</w:t>
      </w:r>
    </w:p>
    <w:p w14:paraId="139598A4" w14:textId="5E694EAE"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Hudson, B., Hardy, B., Henwood, M. and Wistow, G. (1999) ‘In pursuit of inter-agency collaboration in the public sector’, Public Management Review, 1(2), pp.235–260.</w:t>
      </w:r>
    </w:p>
    <w:p w14:paraId="6039BA75" w14:textId="6179B1E7"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Human Rights Act 1998 (c.42). London: The Stationery Office.</w:t>
      </w:r>
    </w:p>
    <w:p w14:paraId="3C066C9F" w14:textId="6F8FC90C"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Kitwood, T. (1997) Dementia Reconsidered: The Person Comes First. Buckingham: Open University Press.</w:t>
      </w:r>
    </w:p>
    <w:p w14:paraId="0801EEAF" w14:textId="6EE4B8D5" w:rsidR="4EDF9CF9" w:rsidRPr="00BB0D1F" w:rsidRDefault="4EDF9CF9" w:rsidP="00BB0D1F">
      <w:pPr>
        <w:spacing w:before="240" w:after="240" w:line="360" w:lineRule="auto"/>
        <w:rPr>
          <w:rFonts w:ascii="Arial" w:hAnsi="Arial" w:cs="Arial"/>
          <w:sz w:val="22"/>
          <w:szCs w:val="22"/>
        </w:rPr>
      </w:pPr>
      <w:r w:rsidRPr="00BB0D1F">
        <w:rPr>
          <w:rFonts w:ascii="Arial" w:hAnsi="Arial" w:cs="Arial"/>
          <w:sz w:val="22"/>
          <w:szCs w:val="22"/>
        </w:rPr>
        <w:t>Mann, K., Gordon, J. and MacLeod, A., 2009. Reflection and reflective practice in health professions education: a systematic review. Advances in Health Sciences Education, 14(4), pp.595-621.</w:t>
      </w:r>
    </w:p>
    <w:p w14:paraId="08B56574" w14:textId="4C329C15"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McCormack, B. and McCance, T. (2017) Person-Centred Practice in Nursing and Health Care: Theory and Practice. 2nd edn. Oxford: Wiley-Blackwell.</w:t>
      </w:r>
    </w:p>
    <w:p w14:paraId="4BD52E33" w14:textId="5769993A"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NHS England (2019) The NHS Long Term Plan. London: NHS England. Available at: https://www.longtermplan.nhs.uk/ (Accessed: 10 November 2025).</w:t>
      </w:r>
    </w:p>
    <w:p w14:paraId="040CDABD" w14:textId="6B199A3C"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NHS England (2022) What Are Integrated Care Systems (ICSs)? Available at: https://www.england.nhs.uk/integratedcare/what-is-integrated-care/ (Accessed: 13 November 2025).</w:t>
      </w:r>
    </w:p>
    <w:p w14:paraId="00DF015E" w14:textId="3C868C9D"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Nursing and Midwifery Council (NMC) (2018) The Code: Professional Standards of Practice and Behaviour for Nurses, Midwives and Nursing Associates. London: NMC. Available at: https://www.nmc.org.uk/standards/code/ (Accessed: 10 November 2025).</w:t>
      </w:r>
    </w:p>
    <w:p w14:paraId="4350CECD" w14:textId="3177469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Parlour, R., Slater, P.F., McCormack, B., Gallen, A. and Kavanagh, P. (2014) ‘The relationship between positive patient experience in acute hospitals and person-centred care’, International Journal of Research in Nursing, 5(1), pp.27–36.</w:t>
      </w:r>
    </w:p>
    <w:p w14:paraId="02C7A236" w14:textId="3F89D1D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Rycroft-Malone, J., Burton, C.R., Bucknall, T., Graham, I.D., Hutchinson, A.M. and Stacey, D. (2013) ‘Collaboration and co-production of knowledge in healthcare: Opportunities and challenges’, Implementation Science, 8(1), p.22.</w:t>
      </w:r>
    </w:p>
    <w:p w14:paraId="4261C95A" w14:textId="318A7120" w:rsidR="3390061C" w:rsidRPr="00BB0D1F" w:rsidRDefault="5B25FFB4" w:rsidP="00BB0D1F">
      <w:pPr>
        <w:spacing w:before="240" w:after="240" w:line="360" w:lineRule="auto"/>
        <w:rPr>
          <w:rFonts w:ascii="Arial" w:hAnsi="Arial" w:cs="Arial"/>
          <w:sz w:val="22"/>
          <w:szCs w:val="22"/>
        </w:rPr>
      </w:pPr>
      <w:r w:rsidRPr="00BB0D1F">
        <w:rPr>
          <w:rFonts w:ascii="Arial" w:hAnsi="Arial" w:cs="Arial"/>
          <w:sz w:val="22"/>
          <w:szCs w:val="22"/>
        </w:rPr>
        <w:t xml:space="preserve">Yang, Q. and Zou, W. (2025). The impact of reflective practice on the development of nursing undergraduate students. BMC Medical Education, 25(1). </w:t>
      </w:r>
      <w:proofErr w:type="spellStart"/>
      <w:r w:rsidRPr="00BB0D1F">
        <w:rPr>
          <w:rFonts w:ascii="Arial" w:hAnsi="Arial" w:cs="Arial"/>
          <w:sz w:val="22"/>
          <w:szCs w:val="22"/>
        </w:rPr>
        <w:t>doi:https</w:t>
      </w:r>
      <w:proofErr w:type="spellEnd"/>
      <w:r w:rsidRPr="00BB0D1F">
        <w:rPr>
          <w:rFonts w:ascii="Arial" w:hAnsi="Arial" w:cs="Arial"/>
          <w:sz w:val="22"/>
          <w:szCs w:val="22"/>
        </w:rPr>
        <w:t>://doi.org/10.1186/s12909-025-07490-3.</w:t>
      </w:r>
    </w:p>
    <w:sectPr w:rsidR="3390061C" w:rsidRPr="00BB0D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354E87"/>
    <w:multiLevelType w:val="hybridMultilevel"/>
    <w:tmpl w:val="E902829A"/>
    <w:lvl w:ilvl="0" w:tplc="BF0484D0">
      <w:start w:val="1"/>
      <w:numFmt w:val="bullet"/>
      <w:lvlText w:val=""/>
      <w:lvlJc w:val="left"/>
      <w:pPr>
        <w:ind w:left="720" w:hanging="360"/>
      </w:pPr>
      <w:rPr>
        <w:rFonts w:ascii="Symbol" w:hAnsi="Symbol" w:hint="default"/>
      </w:rPr>
    </w:lvl>
    <w:lvl w:ilvl="1" w:tplc="9E84DE5A">
      <w:start w:val="1"/>
      <w:numFmt w:val="bullet"/>
      <w:lvlText w:val="o"/>
      <w:lvlJc w:val="left"/>
      <w:pPr>
        <w:ind w:left="1440" w:hanging="360"/>
      </w:pPr>
      <w:rPr>
        <w:rFonts w:ascii="Courier New" w:hAnsi="Courier New" w:hint="default"/>
      </w:rPr>
    </w:lvl>
    <w:lvl w:ilvl="2" w:tplc="DB9ED752">
      <w:start w:val="1"/>
      <w:numFmt w:val="bullet"/>
      <w:lvlText w:val=""/>
      <w:lvlJc w:val="left"/>
      <w:pPr>
        <w:ind w:left="2160" w:hanging="360"/>
      </w:pPr>
      <w:rPr>
        <w:rFonts w:ascii="Wingdings" w:hAnsi="Wingdings" w:hint="default"/>
      </w:rPr>
    </w:lvl>
    <w:lvl w:ilvl="3" w:tplc="EBB41A8C">
      <w:start w:val="1"/>
      <w:numFmt w:val="bullet"/>
      <w:lvlText w:val=""/>
      <w:lvlJc w:val="left"/>
      <w:pPr>
        <w:ind w:left="2880" w:hanging="360"/>
      </w:pPr>
      <w:rPr>
        <w:rFonts w:ascii="Symbol" w:hAnsi="Symbol" w:hint="default"/>
      </w:rPr>
    </w:lvl>
    <w:lvl w:ilvl="4" w:tplc="B770D87C">
      <w:start w:val="1"/>
      <w:numFmt w:val="bullet"/>
      <w:lvlText w:val="o"/>
      <w:lvlJc w:val="left"/>
      <w:pPr>
        <w:ind w:left="3600" w:hanging="360"/>
      </w:pPr>
      <w:rPr>
        <w:rFonts w:ascii="Courier New" w:hAnsi="Courier New" w:hint="default"/>
      </w:rPr>
    </w:lvl>
    <w:lvl w:ilvl="5" w:tplc="9B48995C">
      <w:start w:val="1"/>
      <w:numFmt w:val="bullet"/>
      <w:lvlText w:val=""/>
      <w:lvlJc w:val="left"/>
      <w:pPr>
        <w:ind w:left="4320" w:hanging="360"/>
      </w:pPr>
      <w:rPr>
        <w:rFonts w:ascii="Wingdings" w:hAnsi="Wingdings" w:hint="default"/>
      </w:rPr>
    </w:lvl>
    <w:lvl w:ilvl="6" w:tplc="F3E066DE">
      <w:start w:val="1"/>
      <w:numFmt w:val="bullet"/>
      <w:lvlText w:val=""/>
      <w:lvlJc w:val="left"/>
      <w:pPr>
        <w:ind w:left="5040" w:hanging="360"/>
      </w:pPr>
      <w:rPr>
        <w:rFonts w:ascii="Symbol" w:hAnsi="Symbol" w:hint="default"/>
      </w:rPr>
    </w:lvl>
    <w:lvl w:ilvl="7" w:tplc="E6D875D6">
      <w:start w:val="1"/>
      <w:numFmt w:val="bullet"/>
      <w:lvlText w:val="o"/>
      <w:lvlJc w:val="left"/>
      <w:pPr>
        <w:ind w:left="5760" w:hanging="360"/>
      </w:pPr>
      <w:rPr>
        <w:rFonts w:ascii="Courier New" w:hAnsi="Courier New" w:hint="default"/>
      </w:rPr>
    </w:lvl>
    <w:lvl w:ilvl="8" w:tplc="0A3844DC">
      <w:start w:val="1"/>
      <w:numFmt w:val="bullet"/>
      <w:lvlText w:val=""/>
      <w:lvlJc w:val="left"/>
      <w:pPr>
        <w:ind w:left="6480" w:hanging="360"/>
      </w:pPr>
      <w:rPr>
        <w:rFonts w:ascii="Wingdings" w:hAnsi="Wingdings" w:hint="default"/>
      </w:rPr>
    </w:lvl>
  </w:abstractNum>
  <w:abstractNum w:abstractNumId="1" w15:restartNumberingAfterBreak="0">
    <w:nsid w:val="35B7B84E"/>
    <w:multiLevelType w:val="hybridMultilevel"/>
    <w:tmpl w:val="1344844C"/>
    <w:lvl w:ilvl="0" w:tplc="EB5A7698">
      <w:start w:val="1"/>
      <w:numFmt w:val="bullet"/>
      <w:lvlText w:val=""/>
      <w:lvlJc w:val="left"/>
      <w:pPr>
        <w:ind w:left="720" w:hanging="360"/>
      </w:pPr>
      <w:rPr>
        <w:rFonts w:ascii="Symbol" w:hAnsi="Symbol" w:hint="default"/>
      </w:rPr>
    </w:lvl>
    <w:lvl w:ilvl="1" w:tplc="403CBAF2">
      <w:start w:val="1"/>
      <w:numFmt w:val="bullet"/>
      <w:lvlText w:val="o"/>
      <w:lvlJc w:val="left"/>
      <w:pPr>
        <w:ind w:left="1440" w:hanging="360"/>
      </w:pPr>
      <w:rPr>
        <w:rFonts w:ascii="Courier New" w:hAnsi="Courier New" w:hint="default"/>
      </w:rPr>
    </w:lvl>
    <w:lvl w:ilvl="2" w:tplc="4BEC2722">
      <w:start w:val="1"/>
      <w:numFmt w:val="bullet"/>
      <w:lvlText w:val=""/>
      <w:lvlJc w:val="left"/>
      <w:pPr>
        <w:ind w:left="2160" w:hanging="360"/>
      </w:pPr>
      <w:rPr>
        <w:rFonts w:ascii="Wingdings" w:hAnsi="Wingdings" w:hint="default"/>
      </w:rPr>
    </w:lvl>
    <w:lvl w:ilvl="3" w:tplc="925EC48E">
      <w:start w:val="1"/>
      <w:numFmt w:val="bullet"/>
      <w:lvlText w:val=""/>
      <w:lvlJc w:val="left"/>
      <w:pPr>
        <w:ind w:left="2880" w:hanging="360"/>
      </w:pPr>
      <w:rPr>
        <w:rFonts w:ascii="Symbol" w:hAnsi="Symbol" w:hint="default"/>
      </w:rPr>
    </w:lvl>
    <w:lvl w:ilvl="4" w:tplc="F9362686">
      <w:start w:val="1"/>
      <w:numFmt w:val="bullet"/>
      <w:lvlText w:val="o"/>
      <w:lvlJc w:val="left"/>
      <w:pPr>
        <w:ind w:left="3600" w:hanging="360"/>
      </w:pPr>
      <w:rPr>
        <w:rFonts w:ascii="Courier New" w:hAnsi="Courier New" w:hint="default"/>
      </w:rPr>
    </w:lvl>
    <w:lvl w:ilvl="5" w:tplc="4928D15E">
      <w:start w:val="1"/>
      <w:numFmt w:val="bullet"/>
      <w:lvlText w:val=""/>
      <w:lvlJc w:val="left"/>
      <w:pPr>
        <w:ind w:left="4320" w:hanging="360"/>
      </w:pPr>
      <w:rPr>
        <w:rFonts w:ascii="Wingdings" w:hAnsi="Wingdings" w:hint="default"/>
      </w:rPr>
    </w:lvl>
    <w:lvl w:ilvl="6" w:tplc="96861A8C">
      <w:start w:val="1"/>
      <w:numFmt w:val="bullet"/>
      <w:lvlText w:val=""/>
      <w:lvlJc w:val="left"/>
      <w:pPr>
        <w:ind w:left="5040" w:hanging="360"/>
      </w:pPr>
      <w:rPr>
        <w:rFonts w:ascii="Symbol" w:hAnsi="Symbol" w:hint="default"/>
      </w:rPr>
    </w:lvl>
    <w:lvl w:ilvl="7" w:tplc="BEFC79A8">
      <w:start w:val="1"/>
      <w:numFmt w:val="bullet"/>
      <w:lvlText w:val="o"/>
      <w:lvlJc w:val="left"/>
      <w:pPr>
        <w:ind w:left="5760" w:hanging="360"/>
      </w:pPr>
      <w:rPr>
        <w:rFonts w:ascii="Courier New" w:hAnsi="Courier New" w:hint="default"/>
      </w:rPr>
    </w:lvl>
    <w:lvl w:ilvl="8" w:tplc="8F984658">
      <w:start w:val="1"/>
      <w:numFmt w:val="bullet"/>
      <w:lvlText w:val=""/>
      <w:lvlJc w:val="left"/>
      <w:pPr>
        <w:ind w:left="6480" w:hanging="360"/>
      </w:pPr>
      <w:rPr>
        <w:rFonts w:ascii="Wingdings" w:hAnsi="Wingdings" w:hint="default"/>
      </w:rPr>
    </w:lvl>
  </w:abstractNum>
  <w:num w:numId="1" w16cid:durableId="1917208622">
    <w:abstractNumId w:val="0"/>
  </w:num>
  <w:num w:numId="2" w16cid:durableId="791630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D89E4E"/>
    <w:rsid w:val="000354B9"/>
    <w:rsid w:val="0020EFDE"/>
    <w:rsid w:val="002970BC"/>
    <w:rsid w:val="002F048B"/>
    <w:rsid w:val="0038EA79"/>
    <w:rsid w:val="006135D4"/>
    <w:rsid w:val="006E49A1"/>
    <w:rsid w:val="00B163EE"/>
    <w:rsid w:val="00BB0D1F"/>
    <w:rsid w:val="00C54EC3"/>
    <w:rsid w:val="00FD3336"/>
    <w:rsid w:val="012ECCF5"/>
    <w:rsid w:val="01A6DABD"/>
    <w:rsid w:val="01ACDD45"/>
    <w:rsid w:val="01B805FA"/>
    <w:rsid w:val="03BD2078"/>
    <w:rsid w:val="04917E3D"/>
    <w:rsid w:val="05525153"/>
    <w:rsid w:val="055FB171"/>
    <w:rsid w:val="05627E81"/>
    <w:rsid w:val="0567CAB0"/>
    <w:rsid w:val="06CC6363"/>
    <w:rsid w:val="0742B34D"/>
    <w:rsid w:val="081B0ABA"/>
    <w:rsid w:val="08498741"/>
    <w:rsid w:val="0870756E"/>
    <w:rsid w:val="08F23953"/>
    <w:rsid w:val="0A116486"/>
    <w:rsid w:val="0A2D7E97"/>
    <w:rsid w:val="0A606967"/>
    <w:rsid w:val="0B3290D8"/>
    <w:rsid w:val="0B64F1DE"/>
    <w:rsid w:val="0BC59BE8"/>
    <w:rsid w:val="0BDB5D84"/>
    <w:rsid w:val="0BF37BC7"/>
    <w:rsid w:val="0C542FBB"/>
    <w:rsid w:val="0CEE64F2"/>
    <w:rsid w:val="0D378F6B"/>
    <w:rsid w:val="0DFFBFF5"/>
    <w:rsid w:val="0ED89E4E"/>
    <w:rsid w:val="0F6B44A7"/>
    <w:rsid w:val="0F7262F7"/>
    <w:rsid w:val="0FE2D46B"/>
    <w:rsid w:val="1041ABF8"/>
    <w:rsid w:val="1072DE51"/>
    <w:rsid w:val="108DCA74"/>
    <w:rsid w:val="10997F0D"/>
    <w:rsid w:val="110FBD16"/>
    <w:rsid w:val="1169892D"/>
    <w:rsid w:val="11B12D4F"/>
    <w:rsid w:val="12016128"/>
    <w:rsid w:val="12912D43"/>
    <w:rsid w:val="12AE64C4"/>
    <w:rsid w:val="13D08D62"/>
    <w:rsid w:val="14A9DA7E"/>
    <w:rsid w:val="14BE8D66"/>
    <w:rsid w:val="14BF05E1"/>
    <w:rsid w:val="155081CB"/>
    <w:rsid w:val="15C5545A"/>
    <w:rsid w:val="16916738"/>
    <w:rsid w:val="1716B800"/>
    <w:rsid w:val="1899EC0F"/>
    <w:rsid w:val="18CBBCA6"/>
    <w:rsid w:val="192B56A4"/>
    <w:rsid w:val="1967DFE0"/>
    <w:rsid w:val="19EE86E2"/>
    <w:rsid w:val="1A36C9E0"/>
    <w:rsid w:val="1B37B08E"/>
    <w:rsid w:val="1B59108C"/>
    <w:rsid w:val="1C1E669E"/>
    <w:rsid w:val="1C592713"/>
    <w:rsid w:val="1C6B48E9"/>
    <w:rsid w:val="1D42422D"/>
    <w:rsid w:val="1D6AC044"/>
    <w:rsid w:val="1DC19F65"/>
    <w:rsid w:val="1EAA7769"/>
    <w:rsid w:val="1EFE7C25"/>
    <w:rsid w:val="1F6D9328"/>
    <w:rsid w:val="1FED0452"/>
    <w:rsid w:val="20677606"/>
    <w:rsid w:val="2137C4BB"/>
    <w:rsid w:val="21DF9BB3"/>
    <w:rsid w:val="22D6E82A"/>
    <w:rsid w:val="2366A221"/>
    <w:rsid w:val="239D49F2"/>
    <w:rsid w:val="24A6E609"/>
    <w:rsid w:val="24CC599C"/>
    <w:rsid w:val="25100278"/>
    <w:rsid w:val="25109F0B"/>
    <w:rsid w:val="2520BB3D"/>
    <w:rsid w:val="2559A9DE"/>
    <w:rsid w:val="2646A272"/>
    <w:rsid w:val="269E6EAE"/>
    <w:rsid w:val="26D78BD1"/>
    <w:rsid w:val="271BA99D"/>
    <w:rsid w:val="27234FFC"/>
    <w:rsid w:val="27F4E07B"/>
    <w:rsid w:val="27FE98D2"/>
    <w:rsid w:val="295D5E92"/>
    <w:rsid w:val="29660192"/>
    <w:rsid w:val="29E048B1"/>
    <w:rsid w:val="2AA06F65"/>
    <w:rsid w:val="2B7203C3"/>
    <w:rsid w:val="2B84ED25"/>
    <w:rsid w:val="2BE20CEF"/>
    <w:rsid w:val="2C3CAD9B"/>
    <w:rsid w:val="2C72B2DF"/>
    <w:rsid w:val="2D6CCF43"/>
    <w:rsid w:val="2DCAAE11"/>
    <w:rsid w:val="2DFEF968"/>
    <w:rsid w:val="2E67631F"/>
    <w:rsid w:val="2E819649"/>
    <w:rsid w:val="2F097330"/>
    <w:rsid w:val="2FCE634C"/>
    <w:rsid w:val="2FD49EA6"/>
    <w:rsid w:val="30069AB5"/>
    <w:rsid w:val="30C48BB5"/>
    <w:rsid w:val="314B5061"/>
    <w:rsid w:val="315FE886"/>
    <w:rsid w:val="3164789F"/>
    <w:rsid w:val="31720442"/>
    <w:rsid w:val="3245E2E5"/>
    <w:rsid w:val="32760156"/>
    <w:rsid w:val="33385495"/>
    <w:rsid w:val="3390061C"/>
    <w:rsid w:val="349A18D6"/>
    <w:rsid w:val="34BCE33D"/>
    <w:rsid w:val="35C6F883"/>
    <w:rsid w:val="360D5E26"/>
    <w:rsid w:val="361DD7E1"/>
    <w:rsid w:val="365BE143"/>
    <w:rsid w:val="366FFAB3"/>
    <w:rsid w:val="36C9496E"/>
    <w:rsid w:val="37BB3CF5"/>
    <w:rsid w:val="383A4FA9"/>
    <w:rsid w:val="3A2CED72"/>
    <w:rsid w:val="3A305C96"/>
    <w:rsid w:val="3A8D45F6"/>
    <w:rsid w:val="3AA382F0"/>
    <w:rsid w:val="3C5917D2"/>
    <w:rsid w:val="3C85DE51"/>
    <w:rsid w:val="3D2207DD"/>
    <w:rsid w:val="3D902329"/>
    <w:rsid w:val="3DE125CC"/>
    <w:rsid w:val="3ECFDB44"/>
    <w:rsid w:val="3F2062A3"/>
    <w:rsid w:val="3FAB47CA"/>
    <w:rsid w:val="3FED14D4"/>
    <w:rsid w:val="403B8B0D"/>
    <w:rsid w:val="416F6D67"/>
    <w:rsid w:val="41BBAE5D"/>
    <w:rsid w:val="421F0653"/>
    <w:rsid w:val="4261C980"/>
    <w:rsid w:val="42DE3FCE"/>
    <w:rsid w:val="438E3F0B"/>
    <w:rsid w:val="43C3AD1F"/>
    <w:rsid w:val="43EE14D9"/>
    <w:rsid w:val="4402823D"/>
    <w:rsid w:val="4402FD2E"/>
    <w:rsid w:val="4404C218"/>
    <w:rsid w:val="4471EB35"/>
    <w:rsid w:val="4481FCD8"/>
    <w:rsid w:val="44C119B0"/>
    <w:rsid w:val="44F2CE5F"/>
    <w:rsid w:val="44FC749A"/>
    <w:rsid w:val="4522A1B5"/>
    <w:rsid w:val="457C61EE"/>
    <w:rsid w:val="4598074B"/>
    <w:rsid w:val="45F8EA8D"/>
    <w:rsid w:val="46000606"/>
    <w:rsid w:val="465BEB4D"/>
    <w:rsid w:val="468353B9"/>
    <w:rsid w:val="46840BE3"/>
    <w:rsid w:val="47A58904"/>
    <w:rsid w:val="48456B74"/>
    <w:rsid w:val="4871DCB6"/>
    <w:rsid w:val="4876A53D"/>
    <w:rsid w:val="49131C22"/>
    <w:rsid w:val="491C26A0"/>
    <w:rsid w:val="4A1A2A2A"/>
    <w:rsid w:val="4AB7FAA1"/>
    <w:rsid w:val="4AEDDC56"/>
    <w:rsid w:val="4B2CD7CA"/>
    <w:rsid w:val="4B4C7F47"/>
    <w:rsid w:val="4B534D6F"/>
    <w:rsid w:val="4B7265BF"/>
    <w:rsid w:val="4B8F1745"/>
    <w:rsid w:val="4BCA818F"/>
    <w:rsid w:val="4CDC20B6"/>
    <w:rsid w:val="4DA37F4F"/>
    <w:rsid w:val="4DD43162"/>
    <w:rsid w:val="4E269C27"/>
    <w:rsid w:val="4EDF9CF9"/>
    <w:rsid w:val="4F0BB28A"/>
    <w:rsid w:val="4F5AD656"/>
    <w:rsid w:val="4FA40084"/>
    <w:rsid w:val="50DF2523"/>
    <w:rsid w:val="5192CAE4"/>
    <w:rsid w:val="521B1D1C"/>
    <w:rsid w:val="525EEC2E"/>
    <w:rsid w:val="52B8C30E"/>
    <w:rsid w:val="53480CED"/>
    <w:rsid w:val="5451D038"/>
    <w:rsid w:val="54C2CBB4"/>
    <w:rsid w:val="54F399ED"/>
    <w:rsid w:val="5663904A"/>
    <w:rsid w:val="574E4FE0"/>
    <w:rsid w:val="577CBE13"/>
    <w:rsid w:val="57A940B9"/>
    <w:rsid w:val="58258F6B"/>
    <w:rsid w:val="5851A4F2"/>
    <w:rsid w:val="59E9600D"/>
    <w:rsid w:val="5A325925"/>
    <w:rsid w:val="5AF74D18"/>
    <w:rsid w:val="5B25FFB4"/>
    <w:rsid w:val="5BBE8E95"/>
    <w:rsid w:val="5C87E451"/>
    <w:rsid w:val="5CD360BF"/>
    <w:rsid w:val="5D7C8C83"/>
    <w:rsid w:val="5E0A820C"/>
    <w:rsid w:val="5F4304A3"/>
    <w:rsid w:val="5F6D8210"/>
    <w:rsid w:val="5F859C22"/>
    <w:rsid w:val="6002EF04"/>
    <w:rsid w:val="6170E230"/>
    <w:rsid w:val="624230E3"/>
    <w:rsid w:val="6283A016"/>
    <w:rsid w:val="62BD2118"/>
    <w:rsid w:val="62ECF484"/>
    <w:rsid w:val="632AC59F"/>
    <w:rsid w:val="63E7FD38"/>
    <w:rsid w:val="644B9531"/>
    <w:rsid w:val="6457A7B8"/>
    <w:rsid w:val="649106A8"/>
    <w:rsid w:val="64A502C6"/>
    <w:rsid w:val="65BC0EE0"/>
    <w:rsid w:val="66342B5B"/>
    <w:rsid w:val="664B92E1"/>
    <w:rsid w:val="6678435F"/>
    <w:rsid w:val="67661083"/>
    <w:rsid w:val="67C63C04"/>
    <w:rsid w:val="67F484F3"/>
    <w:rsid w:val="68F019F4"/>
    <w:rsid w:val="69474BBE"/>
    <w:rsid w:val="6AA4C83C"/>
    <w:rsid w:val="6ABD9768"/>
    <w:rsid w:val="6C9BD2C3"/>
    <w:rsid w:val="6CF3F891"/>
    <w:rsid w:val="6D16FAE1"/>
    <w:rsid w:val="6D196BC6"/>
    <w:rsid w:val="6D8BBD5B"/>
    <w:rsid w:val="6DDA38B7"/>
    <w:rsid w:val="6DF60435"/>
    <w:rsid w:val="6E5BCA18"/>
    <w:rsid w:val="6E6B747D"/>
    <w:rsid w:val="6E865A58"/>
    <w:rsid w:val="6ED7BBDA"/>
    <w:rsid w:val="6EEB895E"/>
    <w:rsid w:val="6F55615C"/>
    <w:rsid w:val="6FE0FA68"/>
    <w:rsid w:val="70E750B5"/>
    <w:rsid w:val="7173602B"/>
    <w:rsid w:val="719F885D"/>
    <w:rsid w:val="71C35260"/>
    <w:rsid w:val="71FC07DB"/>
    <w:rsid w:val="72386BDC"/>
    <w:rsid w:val="72B58297"/>
    <w:rsid w:val="73C08964"/>
    <w:rsid w:val="7413778C"/>
    <w:rsid w:val="742A2D94"/>
    <w:rsid w:val="74F233FA"/>
    <w:rsid w:val="753C4145"/>
    <w:rsid w:val="766FE450"/>
    <w:rsid w:val="771002F3"/>
    <w:rsid w:val="7738FA1A"/>
    <w:rsid w:val="779BFAD0"/>
    <w:rsid w:val="7853979D"/>
    <w:rsid w:val="79F6A4BB"/>
    <w:rsid w:val="7A5CE003"/>
    <w:rsid w:val="7ABA58FA"/>
    <w:rsid w:val="7AD36863"/>
    <w:rsid w:val="7B11B79C"/>
    <w:rsid w:val="7B5EAB99"/>
    <w:rsid w:val="7CAE0934"/>
    <w:rsid w:val="7D05A238"/>
    <w:rsid w:val="7D102F95"/>
    <w:rsid w:val="7D64683C"/>
    <w:rsid w:val="7D73F9A1"/>
    <w:rsid w:val="7E50F6FF"/>
    <w:rsid w:val="7E5FE159"/>
    <w:rsid w:val="7E6C1E35"/>
    <w:rsid w:val="7EEF88EB"/>
    <w:rsid w:val="7F037EE9"/>
    <w:rsid w:val="7F97B22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89E4E"/>
  <w15:chartTrackingRefBased/>
  <w15:docId w15:val="{CBD2CA68-A43F-4327-9A30-D90D0042E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8258F6B"/>
    <w:rPr>
      <w:lang w:val="en-GB"/>
    </w:rPr>
  </w:style>
  <w:style w:type="paragraph" w:styleId="Heading1">
    <w:name w:val="heading 1"/>
    <w:basedOn w:val="Normal"/>
    <w:next w:val="Normal"/>
    <w:link w:val="Heading1Char"/>
    <w:uiPriority w:val="9"/>
    <w:qFormat/>
    <w:rsid w:val="58258F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8258F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8258F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8258F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8258F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8258F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8258F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8258F6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8258F6B"/>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8258F6B"/>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8258F6B"/>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8258F6B"/>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8258F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390061C"/>
    <w:rPr>
      <w:color w:val="467886"/>
      <w:u w:val="single"/>
    </w:rPr>
  </w:style>
  <w:style w:type="paragraph" w:styleId="TOC2">
    <w:name w:val="toc 2"/>
    <w:basedOn w:val="Normal"/>
    <w:next w:val="Normal"/>
    <w:uiPriority w:val="39"/>
    <w:unhideWhenUsed/>
    <w:rsid w:val="58258F6B"/>
    <w:pPr>
      <w:spacing w:after="100"/>
      <w:ind w:left="220"/>
    </w:pPr>
  </w:style>
  <w:style w:type="paragraph" w:styleId="ListParagraph">
    <w:name w:val="List Paragraph"/>
    <w:basedOn w:val="Normal"/>
    <w:uiPriority w:val="34"/>
    <w:qFormat/>
    <w:rsid w:val="58258F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f583abb162e15951c854b004f062071">
  <xsd:schema xmlns:xsd="http://www.w3.org/2001/XMLSchema" xmlns:xs="http://www.w3.org/2001/XMLSchema" xmlns:p="http://schemas.microsoft.com/office/2006/metadata/properties" xmlns:ns3="0085e1a2-9cbf-4b92-866b-21f3c89040b6" targetNamespace="http://schemas.microsoft.com/office/2006/metadata/properties" ma:root="true" ma:fieldsID="b824c35ee60e8293b0bcb289eecd649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7159691-6DF2-448A-A089-65E5771216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A0B5BD-4A0E-4643-87DB-325DD82EFCCA}">
  <ds:schemaRefs>
    <ds:schemaRef ds:uri="http://schemas.microsoft.com/sharepoint/v3/contenttype/forms"/>
  </ds:schemaRefs>
</ds:datastoreItem>
</file>

<file path=customXml/itemProps3.xml><?xml version="1.0" encoding="utf-8"?>
<ds:datastoreItem xmlns:ds="http://schemas.openxmlformats.org/officeDocument/2006/customXml" ds:itemID="{A7416DC5-8931-4BB6-849E-945CD3CF2BE7}">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3371</Words>
  <Characters>19221</Characters>
  <Application>Microsoft Office Word</Application>
  <DocSecurity>4</DocSecurity>
  <Lines>160</Lines>
  <Paragraphs>45</Paragraphs>
  <ScaleCrop>false</ScaleCrop>
  <Company/>
  <LinksUpToDate>false</LinksUpToDate>
  <CharactersWithSpaces>22547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5</cp:revision>
  <dcterms:created xsi:type="dcterms:W3CDTF">2025-11-16T08:37:00Z</dcterms:created>
  <dcterms:modified xsi:type="dcterms:W3CDTF">2025-11-16T00:41:00Z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