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7851527" w14:textId="7AD99425" w:rsidR="003A761E" w:rsidRPr="00284C6B" w:rsidRDefault="00284C6B" w:rsidP="00284C6B">
      <w:pPr>
        <w:ind w:left="720" w:hanging="360"/>
        <w:jc w:val="center"/>
        <w:rPr>
          <w:sz w:val="28"/>
          <w:szCs w:val="28"/>
        </w:rPr>
      </w:pPr>
      <w:r w:rsidRPr="00284C6B">
        <w:rPr>
          <w:b/>
          <w:bCs/>
          <w:sz w:val="28"/>
          <w:szCs w:val="28"/>
          <w:u w:val="single"/>
        </w:rPr>
        <w:t>Activity 4 - Reflection</w:t>
      </w:r>
    </w:p>
    <w:p w14:paraId="120AD5A6" w14:textId="77777777" w:rsidR="000D0B2C" w:rsidRDefault="003A761E" w:rsidP="000D0B2C">
      <w:pPr>
        <w:rPr>
          <w:sz w:val="24"/>
          <w:szCs w:val="24"/>
        </w:rPr>
      </w:pPr>
      <w:r w:rsidRPr="00284C6B">
        <w:rPr>
          <w:sz w:val="24"/>
          <w:szCs w:val="24"/>
        </w:rPr>
        <w:t xml:space="preserve">Using the Gibb's </w:t>
      </w:r>
      <w:r w:rsidR="00284C6B">
        <w:rPr>
          <w:sz w:val="24"/>
          <w:szCs w:val="24"/>
        </w:rPr>
        <w:t>Reflective C</w:t>
      </w:r>
      <w:r w:rsidRPr="00284C6B">
        <w:rPr>
          <w:sz w:val="24"/>
          <w:szCs w:val="24"/>
        </w:rPr>
        <w:t xml:space="preserve">ycle (1988) </w:t>
      </w:r>
      <w:r w:rsidR="00284C6B">
        <w:rPr>
          <w:sz w:val="24"/>
          <w:szCs w:val="24"/>
        </w:rPr>
        <w:t xml:space="preserve">template below, </w:t>
      </w:r>
      <w:r w:rsidRPr="00284C6B">
        <w:rPr>
          <w:sz w:val="24"/>
          <w:szCs w:val="24"/>
        </w:rPr>
        <w:t>you should reflect on</w:t>
      </w:r>
      <w:r w:rsidR="00284C6B" w:rsidRPr="00284C6B">
        <w:rPr>
          <w:sz w:val="24"/>
          <w:szCs w:val="24"/>
        </w:rPr>
        <w:t xml:space="preserve"> a time when you demonstrated care and compassion</w:t>
      </w:r>
      <w:r w:rsidR="006B1594">
        <w:rPr>
          <w:sz w:val="24"/>
          <w:szCs w:val="24"/>
        </w:rPr>
        <w:t>, this can be in any situation</w:t>
      </w:r>
      <w:r w:rsidRPr="00284C6B">
        <w:rPr>
          <w:sz w:val="24"/>
          <w:szCs w:val="24"/>
        </w:rPr>
        <w:t>.</w:t>
      </w:r>
      <w:r w:rsidR="000D0B2C">
        <w:rPr>
          <w:sz w:val="24"/>
          <w:szCs w:val="24"/>
        </w:rPr>
        <w:t xml:space="preserve">  </w:t>
      </w:r>
    </w:p>
    <w:p w14:paraId="28B7C00C" w14:textId="6A27C058" w:rsidR="00284C6B" w:rsidRPr="00284C6B" w:rsidRDefault="00284C6B" w:rsidP="000D0B2C">
      <w:pPr>
        <w:rPr>
          <w:sz w:val="24"/>
          <w:szCs w:val="24"/>
        </w:rPr>
      </w:pPr>
      <w:r w:rsidRPr="00284C6B">
        <w:rPr>
          <w:sz w:val="24"/>
          <w:szCs w:val="24"/>
        </w:rPr>
        <w:t>Please pick a scenario that is comprehensive but concise – short and sweet will help you focus your responses.</w:t>
      </w:r>
    </w:p>
    <w:p w14:paraId="7B117726" w14:textId="05889276" w:rsidR="00284C6B" w:rsidRPr="00284C6B" w:rsidRDefault="00284C6B" w:rsidP="000D0B2C">
      <w:pPr>
        <w:rPr>
          <w:sz w:val="24"/>
          <w:szCs w:val="24"/>
        </w:rPr>
      </w:pPr>
      <w:r w:rsidRPr="00284C6B">
        <w:rPr>
          <w:sz w:val="24"/>
          <w:szCs w:val="24"/>
        </w:rPr>
        <w:t xml:space="preserve">For each area of Gibbs Cycle – you must include at least one citation and </w:t>
      </w:r>
      <w:r>
        <w:rPr>
          <w:sz w:val="24"/>
          <w:szCs w:val="24"/>
        </w:rPr>
        <w:t xml:space="preserve">include a </w:t>
      </w:r>
      <w:r w:rsidRPr="00284C6B">
        <w:rPr>
          <w:sz w:val="24"/>
          <w:szCs w:val="24"/>
        </w:rPr>
        <w:t>corresponding reference list at the end.</w:t>
      </w:r>
    </w:p>
    <w:p w14:paraId="4BEA7110" w14:textId="04DB3FB5" w:rsidR="003A761E" w:rsidRDefault="000D0B2C" w:rsidP="000D0B2C">
      <w:pPr>
        <w:rPr>
          <w:sz w:val="24"/>
          <w:szCs w:val="24"/>
        </w:rPr>
      </w:pPr>
      <w:r>
        <w:rPr>
          <w:sz w:val="24"/>
          <w:szCs w:val="24"/>
        </w:rPr>
        <w:t>Please upload your word document to the correct submission link when complete.</w:t>
      </w:r>
    </w:p>
    <w:p w14:paraId="18BD0421" w14:textId="77777777" w:rsidR="002B5379" w:rsidRDefault="002B5379" w:rsidP="000D0B2C">
      <w:pPr>
        <w:rPr>
          <w:sz w:val="24"/>
          <w:szCs w:val="24"/>
        </w:rPr>
      </w:pPr>
    </w:p>
    <w:p w14:paraId="076C8D59" w14:textId="14FB0E7D" w:rsidR="002B5379" w:rsidRPr="002B5379" w:rsidRDefault="002B5379" w:rsidP="00EF31DB">
      <w:pPr>
        <w:jc w:val="center"/>
        <w:rPr>
          <w:sz w:val="24"/>
          <w:szCs w:val="24"/>
        </w:rPr>
      </w:pPr>
      <w:r w:rsidRPr="002B5379">
        <w:rPr>
          <w:sz w:val="24"/>
          <w:szCs w:val="24"/>
        </w:rPr>
        <w:t xml:space="preserve">Scenario:  </w:t>
      </w:r>
      <w:r w:rsidR="00EF31DB">
        <w:rPr>
          <w:sz w:val="24"/>
          <w:szCs w:val="24"/>
        </w:rPr>
        <w:t>E</w:t>
      </w:r>
      <w:r w:rsidR="00EF31DB" w:rsidRPr="002B5379">
        <w:rPr>
          <w:sz w:val="24"/>
          <w:szCs w:val="24"/>
        </w:rPr>
        <w:t>ncounter</w:t>
      </w:r>
      <w:r w:rsidR="00EF31DB">
        <w:rPr>
          <w:sz w:val="24"/>
          <w:szCs w:val="24"/>
        </w:rPr>
        <w:t>ed</w:t>
      </w:r>
      <w:r w:rsidRPr="002B5379">
        <w:rPr>
          <w:sz w:val="24"/>
          <w:szCs w:val="24"/>
        </w:rPr>
        <w:t xml:space="preserve"> a dif</w:t>
      </w:r>
      <w:r>
        <w:rPr>
          <w:sz w:val="24"/>
          <w:szCs w:val="24"/>
        </w:rPr>
        <w:t>ficult ethical dilemma regarding patient confidentiality in a healthcare setting.</w:t>
      </w:r>
    </w:p>
    <w:p w14:paraId="349A5C8B" w14:textId="77777777" w:rsidR="003A761E" w:rsidRPr="002B5379" w:rsidRDefault="003A761E" w:rsidP="003A761E">
      <w:pPr>
        <w:pStyle w:val="ListParagraph"/>
        <w:rPr>
          <w:sz w:val="24"/>
          <w:szCs w:val="24"/>
        </w:rPr>
      </w:pPr>
    </w:p>
    <w:p w14:paraId="5DBC1CBA" w14:textId="2B712FFA" w:rsidR="003A761E" w:rsidRDefault="003A761E" w:rsidP="003A761E">
      <w:pPr>
        <w:pStyle w:val="ListParagraph"/>
        <w:numPr>
          <w:ilvl w:val="0"/>
          <w:numId w:val="3"/>
        </w:numPr>
        <w:rPr>
          <w:sz w:val="24"/>
          <w:szCs w:val="24"/>
        </w:rPr>
      </w:pPr>
      <w:r w:rsidRPr="00284C6B">
        <w:rPr>
          <w:sz w:val="24"/>
          <w:szCs w:val="24"/>
        </w:rPr>
        <w:t xml:space="preserve">Description – what happened? </w:t>
      </w:r>
    </w:p>
    <w:p w14:paraId="0C41E267" w14:textId="77777777" w:rsidR="00D2075F" w:rsidRDefault="00D2075F" w:rsidP="00D2075F">
      <w:pPr>
        <w:pStyle w:val="ListParagraph"/>
        <w:rPr>
          <w:sz w:val="24"/>
          <w:szCs w:val="24"/>
        </w:rPr>
      </w:pPr>
    </w:p>
    <w:p w14:paraId="4F9F082A" w14:textId="5600BF66" w:rsidR="002B5379" w:rsidRDefault="00EF31DB" w:rsidP="002B5379">
      <w:pPr>
        <w:pStyle w:val="ListParagraph"/>
        <w:rPr>
          <w:sz w:val="24"/>
          <w:szCs w:val="24"/>
        </w:rPr>
      </w:pPr>
      <w:r>
        <w:rPr>
          <w:sz w:val="24"/>
          <w:szCs w:val="24"/>
        </w:rPr>
        <w:t>I</w:t>
      </w:r>
      <w:r w:rsidR="002B5379">
        <w:rPr>
          <w:sz w:val="24"/>
          <w:szCs w:val="24"/>
        </w:rPr>
        <w:t xml:space="preserve">  was faced with a situation where a patient confided in </w:t>
      </w:r>
      <w:r>
        <w:rPr>
          <w:sz w:val="24"/>
          <w:szCs w:val="24"/>
        </w:rPr>
        <w:t>me</w:t>
      </w:r>
      <w:r w:rsidR="002B5379">
        <w:rPr>
          <w:sz w:val="24"/>
          <w:szCs w:val="24"/>
        </w:rPr>
        <w:t xml:space="preserve"> about a sensitive issue, but revealing this information </w:t>
      </w:r>
      <w:r w:rsidR="00AB64E1">
        <w:rPr>
          <w:sz w:val="24"/>
          <w:szCs w:val="24"/>
        </w:rPr>
        <w:t xml:space="preserve">could potentially harm the </w:t>
      </w:r>
      <w:r>
        <w:rPr>
          <w:sz w:val="24"/>
          <w:szCs w:val="24"/>
        </w:rPr>
        <w:t>client</w:t>
      </w:r>
      <w:r w:rsidR="00AB64E1">
        <w:rPr>
          <w:sz w:val="24"/>
          <w:szCs w:val="24"/>
        </w:rPr>
        <w:t>’s reputation and relationship with their family members.</w:t>
      </w:r>
    </w:p>
    <w:p w14:paraId="218125E2" w14:textId="77777777" w:rsidR="0079761C" w:rsidRDefault="0079761C" w:rsidP="002B5379">
      <w:pPr>
        <w:pStyle w:val="ListParagraph"/>
        <w:rPr>
          <w:sz w:val="24"/>
          <w:szCs w:val="24"/>
        </w:rPr>
      </w:pPr>
    </w:p>
    <w:p w14:paraId="79564547" w14:textId="37E7BA1F" w:rsidR="0079761C" w:rsidRPr="0079761C" w:rsidRDefault="0079761C" w:rsidP="0079761C">
      <w:pPr>
        <w:pStyle w:val="ListParagraph"/>
        <w:rPr>
          <w:sz w:val="24"/>
          <w:szCs w:val="24"/>
        </w:rPr>
      </w:pPr>
      <w:r>
        <w:rPr>
          <w:sz w:val="24"/>
          <w:szCs w:val="24"/>
        </w:rPr>
        <w:t>All healthcare professionals</w:t>
      </w:r>
      <w:r w:rsidRPr="0079761C">
        <w:rPr>
          <w:sz w:val="24"/>
          <w:szCs w:val="24"/>
        </w:rPr>
        <w:t xml:space="preserve"> must uphold patient confidentiality both morally and legally. The foundation for this obligation is examined, with a focus on the significance and worth of patient autonomy in healthcare. Patient autonomy is enhanced when they are given the choice over how their personal information is shared, since this encourages them to participate actively in their treatment.</w:t>
      </w:r>
    </w:p>
    <w:p w14:paraId="2BAB9B7E" w14:textId="7DACA22F" w:rsidR="0079761C" w:rsidRPr="00284C6B" w:rsidRDefault="0079761C" w:rsidP="0079761C">
      <w:pPr>
        <w:pStyle w:val="ListParagraph"/>
        <w:rPr>
          <w:sz w:val="24"/>
          <w:szCs w:val="24"/>
        </w:rPr>
      </w:pPr>
      <w:r w:rsidRPr="0079761C">
        <w:rPr>
          <w:sz w:val="24"/>
          <w:szCs w:val="24"/>
        </w:rPr>
        <w:t>All the same, high-quality data is necessary for many other tasks that are critical to the delivery of healthcare, including research, teaching, and public health monitoring. The need to choose between a person's rights and the greater good of society ought to happen very infrequently.</w:t>
      </w:r>
    </w:p>
    <w:p w14:paraId="304A5AD2" w14:textId="2F8AEB54" w:rsidR="00356621" w:rsidRPr="00284C6B" w:rsidRDefault="00356621" w:rsidP="00356621">
      <w:pPr>
        <w:pStyle w:val="ListParagraph"/>
        <w:rPr>
          <w:sz w:val="24"/>
          <w:szCs w:val="24"/>
        </w:rPr>
      </w:pPr>
    </w:p>
    <w:p w14:paraId="05ADC124" w14:textId="2201EE61" w:rsidR="003A761E" w:rsidRPr="00284C6B" w:rsidRDefault="00356621" w:rsidP="00356621">
      <w:pPr>
        <w:pStyle w:val="ListParagraph"/>
        <w:rPr>
          <w:sz w:val="24"/>
          <w:szCs w:val="24"/>
        </w:rPr>
      </w:pPr>
      <w:r w:rsidRPr="00284C6B">
        <w:rPr>
          <w:sz w:val="24"/>
          <w:szCs w:val="24"/>
        </w:rPr>
        <w:softHyphen/>
      </w:r>
      <w:r w:rsidRPr="00284C6B">
        <w:rPr>
          <w:sz w:val="24"/>
          <w:szCs w:val="24"/>
        </w:rPr>
        <w:softHyphen/>
      </w:r>
      <w:r w:rsidRPr="00284C6B">
        <w:rPr>
          <w:sz w:val="24"/>
          <w:szCs w:val="24"/>
        </w:rPr>
        <w:softHyphen/>
      </w:r>
      <w:r w:rsidRPr="00284C6B">
        <w:rPr>
          <w:sz w:val="24"/>
          <w:szCs w:val="24"/>
        </w:rPr>
        <w:softHyphen/>
      </w:r>
      <w:r w:rsidRPr="00284C6B">
        <w:rPr>
          <w:sz w:val="24"/>
          <w:szCs w:val="24"/>
        </w:rPr>
        <w:softHyphen/>
      </w:r>
      <w:r w:rsidRPr="00284C6B">
        <w:rPr>
          <w:sz w:val="24"/>
          <w:szCs w:val="24"/>
        </w:rPr>
        <w:softHyphen/>
      </w:r>
      <w:r w:rsidRPr="00284C6B">
        <w:rPr>
          <w:sz w:val="24"/>
          <w:szCs w:val="24"/>
        </w:rPr>
        <w:softHyphen/>
      </w:r>
      <w:r w:rsidRPr="00284C6B">
        <w:rPr>
          <w:sz w:val="24"/>
          <w:szCs w:val="24"/>
        </w:rPr>
        <w:softHyphen/>
      </w:r>
      <w:r w:rsidRPr="00284C6B">
        <w:rPr>
          <w:sz w:val="24"/>
          <w:szCs w:val="24"/>
        </w:rPr>
        <w:softHyphen/>
      </w:r>
      <w:r w:rsidRPr="00284C6B">
        <w:rPr>
          <w:sz w:val="24"/>
          <w:szCs w:val="24"/>
        </w:rPr>
        <w:softHyphen/>
      </w:r>
      <w:r w:rsidRPr="00284C6B">
        <w:rPr>
          <w:sz w:val="24"/>
          <w:szCs w:val="24"/>
        </w:rPr>
        <w:softHyphen/>
      </w:r>
      <w:r w:rsidRPr="00284C6B">
        <w:rPr>
          <w:sz w:val="24"/>
          <w:szCs w:val="24"/>
        </w:rPr>
        <w:softHyphen/>
      </w:r>
      <w:r w:rsidRPr="00284C6B">
        <w:rPr>
          <w:sz w:val="24"/>
          <w:szCs w:val="24"/>
        </w:rPr>
        <w:softHyphen/>
      </w:r>
      <w:r w:rsidRPr="00284C6B">
        <w:rPr>
          <w:sz w:val="24"/>
          <w:szCs w:val="24"/>
        </w:rPr>
        <w:softHyphen/>
      </w:r>
      <w:r w:rsidRPr="00284C6B">
        <w:rPr>
          <w:sz w:val="24"/>
          <w:szCs w:val="24"/>
        </w:rPr>
        <w:softHyphen/>
      </w:r>
      <w:r w:rsidRPr="00284C6B">
        <w:rPr>
          <w:sz w:val="24"/>
          <w:szCs w:val="24"/>
        </w:rPr>
        <w:softHyphen/>
      </w:r>
      <w:r w:rsidRPr="00284C6B">
        <w:rPr>
          <w:sz w:val="24"/>
          <w:szCs w:val="24"/>
        </w:rPr>
        <w:softHyphen/>
      </w:r>
      <w:r w:rsidRPr="00284C6B">
        <w:rPr>
          <w:sz w:val="24"/>
          <w:szCs w:val="24"/>
        </w:rPr>
        <w:softHyphen/>
      </w:r>
      <w:r w:rsidRPr="00284C6B">
        <w:rPr>
          <w:sz w:val="24"/>
          <w:szCs w:val="24"/>
        </w:rPr>
        <w:softHyphen/>
      </w:r>
      <w:r w:rsidRPr="00284C6B">
        <w:rPr>
          <w:sz w:val="24"/>
          <w:szCs w:val="24"/>
        </w:rPr>
        <w:softHyphen/>
      </w:r>
      <w:r w:rsidRPr="00284C6B">
        <w:rPr>
          <w:sz w:val="24"/>
          <w:szCs w:val="24"/>
        </w:rPr>
        <w:softHyphen/>
      </w:r>
      <w:r w:rsidRPr="00284C6B">
        <w:rPr>
          <w:sz w:val="24"/>
          <w:szCs w:val="24"/>
        </w:rPr>
        <w:softHyphen/>
      </w:r>
      <w:r w:rsidRPr="00284C6B">
        <w:rPr>
          <w:sz w:val="24"/>
          <w:szCs w:val="24"/>
        </w:rPr>
        <w:softHyphen/>
      </w:r>
      <w:r w:rsidRPr="00284C6B">
        <w:rPr>
          <w:sz w:val="24"/>
          <w:szCs w:val="24"/>
        </w:rPr>
        <w:softHyphen/>
      </w:r>
      <w:r w:rsidRPr="00284C6B">
        <w:rPr>
          <w:sz w:val="24"/>
          <w:szCs w:val="24"/>
        </w:rPr>
        <w:softHyphen/>
      </w:r>
    </w:p>
    <w:p w14:paraId="5D4DCD53" w14:textId="77777777" w:rsidR="003A761E" w:rsidRPr="00284C6B" w:rsidRDefault="003A761E" w:rsidP="003A761E">
      <w:pPr>
        <w:rPr>
          <w:sz w:val="24"/>
          <w:szCs w:val="24"/>
        </w:rPr>
      </w:pPr>
    </w:p>
    <w:p w14:paraId="775E5E65" w14:textId="458686C7" w:rsidR="003A761E" w:rsidRDefault="003A761E" w:rsidP="003A761E">
      <w:pPr>
        <w:pStyle w:val="ListParagraph"/>
        <w:numPr>
          <w:ilvl w:val="0"/>
          <w:numId w:val="3"/>
        </w:numPr>
        <w:rPr>
          <w:sz w:val="24"/>
          <w:szCs w:val="24"/>
        </w:rPr>
      </w:pPr>
      <w:r w:rsidRPr="00284C6B">
        <w:rPr>
          <w:sz w:val="24"/>
          <w:szCs w:val="24"/>
        </w:rPr>
        <w:t xml:space="preserve"> Feelings – what were you thinking and feeling</w:t>
      </w:r>
      <w:r w:rsidR="0079761C">
        <w:rPr>
          <w:sz w:val="24"/>
          <w:szCs w:val="24"/>
        </w:rPr>
        <w:t xml:space="preserve">  </w:t>
      </w:r>
    </w:p>
    <w:p w14:paraId="24877077" w14:textId="77777777" w:rsidR="00827F79" w:rsidRDefault="00827F79" w:rsidP="00827F79">
      <w:pPr>
        <w:pStyle w:val="ListParagraph"/>
        <w:rPr>
          <w:sz w:val="24"/>
          <w:szCs w:val="24"/>
        </w:rPr>
      </w:pPr>
    </w:p>
    <w:p w14:paraId="2F5FEAC5" w14:textId="6364A3E8" w:rsidR="0079761C" w:rsidRDefault="00EF31DB" w:rsidP="0079761C">
      <w:pPr>
        <w:pStyle w:val="ListParagraph"/>
        <w:rPr>
          <w:sz w:val="24"/>
          <w:szCs w:val="24"/>
        </w:rPr>
      </w:pPr>
      <w:r>
        <w:rPr>
          <w:sz w:val="24"/>
          <w:szCs w:val="24"/>
        </w:rPr>
        <w:t>I</w:t>
      </w:r>
      <w:r w:rsidR="0079761C">
        <w:rPr>
          <w:sz w:val="24"/>
          <w:szCs w:val="24"/>
        </w:rPr>
        <w:t xml:space="preserve"> felt torn between the duty to maintain patient confidentiality and the desire </w:t>
      </w:r>
      <w:r>
        <w:rPr>
          <w:sz w:val="24"/>
          <w:szCs w:val="24"/>
        </w:rPr>
        <w:t>to help client by involving other healthcare professionals.</w:t>
      </w:r>
    </w:p>
    <w:p w14:paraId="0431E9A4" w14:textId="77777777" w:rsidR="00EF31DB" w:rsidRDefault="00EF31DB" w:rsidP="0079761C">
      <w:pPr>
        <w:pStyle w:val="ListParagraph"/>
        <w:rPr>
          <w:sz w:val="24"/>
          <w:szCs w:val="24"/>
        </w:rPr>
      </w:pPr>
    </w:p>
    <w:p w14:paraId="5F137456" w14:textId="77777777" w:rsidR="007A6494" w:rsidRPr="007A6494" w:rsidRDefault="007A6494" w:rsidP="007A6494">
      <w:pPr>
        <w:spacing w:after="0" w:line="240" w:lineRule="auto"/>
        <w:rPr>
          <w:rFonts w:ascii="Times New Roman" w:eastAsia="Times New Roman" w:hAnsi="Times New Roman" w:cs="Times New Roman"/>
          <w:sz w:val="24"/>
          <w:szCs w:val="24"/>
          <w:lang w:eastAsia="en-GB"/>
        </w:rPr>
      </w:pPr>
      <w:r w:rsidRPr="007A6494">
        <w:rPr>
          <w:rFonts w:ascii="Times New Roman" w:eastAsia="Times New Roman" w:hAnsi="Times New Roman" w:cs="Times New Roman"/>
          <w:sz w:val="24"/>
          <w:szCs w:val="24"/>
          <w:lang w:eastAsia="en-GB"/>
        </w:rPr>
        <w:t xml:space="preserve">Today's health professionals operate in a more complicated environment due to advancements in medicine, growing specialisation, elevated patient expectations, and the sheer scope and variety of health care delivery. The recent identification of a unique area of health research services and the swift growth of research on health and health services </w:t>
      </w:r>
      <w:r w:rsidRPr="007A6494">
        <w:rPr>
          <w:rFonts w:ascii="Times New Roman" w:eastAsia="Times New Roman" w:hAnsi="Times New Roman" w:cs="Times New Roman"/>
          <w:sz w:val="24"/>
          <w:szCs w:val="24"/>
          <w:lang w:eastAsia="en-GB"/>
        </w:rPr>
        <w:lastRenderedPageBreak/>
        <w:t>primarily rely on physicians and other health professionals serving as investigators, participants, and peer reviewers. The methodologies used by many health practitioners are considerably different from the social science approaches required to examine such events.</w:t>
      </w:r>
    </w:p>
    <w:p w14:paraId="78A6C5CB" w14:textId="77777777" w:rsidR="00EF31DB" w:rsidRPr="00284C6B" w:rsidRDefault="00EF31DB" w:rsidP="0079761C">
      <w:pPr>
        <w:pStyle w:val="ListParagraph"/>
        <w:rPr>
          <w:sz w:val="24"/>
          <w:szCs w:val="24"/>
        </w:rPr>
      </w:pPr>
    </w:p>
    <w:p w14:paraId="6874410B" w14:textId="4EF0437F" w:rsidR="00356621" w:rsidRPr="00284C6B" w:rsidRDefault="00356621" w:rsidP="00356621">
      <w:pPr>
        <w:pStyle w:val="ListParagraph"/>
        <w:rPr>
          <w:sz w:val="24"/>
          <w:szCs w:val="24"/>
        </w:rPr>
      </w:pPr>
    </w:p>
    <w:p w14:paraId="0560DFCE" w14:textId="7076A4BF" w:rsidR="003A761E" w:rsidRPr="00284C6B" w:rsidRDefault="003A761E" w:rsidP="003A761E">
      <w:pPr>
        <w:rPr>
          <w:sz w:val="24"/>
          <w:szCs w:val="24"/>
        </w:rPr>
      </w:pPr>
    </w:p>
    <w:p w14:paraId="129B1519" w14:textId="77777777" w:rsidR="003A761E" w:rsidRPr="00284C6B" w:rsidRDefault="003A761E" w:rsidP="003A761E">
      <w:pPr>
        <w:rPr>
          <w:sz w:val="24"/>
          <w:szCs w:val="24"/>
        </w:rPr>
      </w:pPr>
    </w:p>
    <w:p w14:paraId="60FD5688" w14:textId="51253C07" w:rsidR="003A761E" w:rsidRPr="00284C6B" w:rsidRDefault="003A761E" w:rsidP="003A761E">
      <w:pPr>
        <w:pStyle w:val="ListParagraph"/>
        <w:numPr>
          <w:ilvl w:val="0"/>
          <w:numId w:val="3"/>
        </w:numPr>
        <w:rPr>
          <w:sz w:val="24"/>
          <w:szCs w:val="24"/>
        </w:rPr>
      </w:pPr>
      <w:r w:rsidRPr="00284C6B">
        <w:rPr>
          <w:sz w:val="24"/>
          <w:szCs w:val="24"/>
        </w:rPr>
        <w:t>Evaluation – what was good or bad about the experience</w:t>
      </w:r>
    </w:p>
    <w:p w14:paraId="3F3EE879" w14:textId="4F6C78F8" w:rsidR="003A761E" w:rsidRDefault="007A6494" w:rsidP="003A761E">
      <w:pPr>
        <w:rPr>
          <w:sz w:val="24"/>
          <w:szCs w:val="24"/>
        </w:rPr>
      </w:pPr>
      <w:r>
        <w:rPr>
          <w:sz w:val="24"/>
          <w:szCs w:val="24"/>
        </w:rPr>
        <w:t>Considered the potential consequences of both maintaining confidentiality and breaching it, weighing the ethical principles of beneficence and non-maleficence.</w:t>
      </w:r>
    </w:p>
    <w:p w14:paraId="61E34DBE" w14:textId="77777777" w:rsidR="007A6494" w:rsidRDefault="007A6494" w:rsidP="003A761E">
      <w:pPr>
        <w:rPr>
          <w:sz w:val="24"/>
          <w:szCs w:val="24"/>
        </w:rPr>
      </w:pPr>
    </w:p>
    <w:p w14:paraId="329FCD8A" w14:textId="3564C673" w:rsidR="0072093A" w:rsidRPr="0072093A" w:rsidRDefault="0072093A" w:rsidP="0072093A">
      <w:pPr>
        <w:spacing w:after="0" w:line="240" w:lineRule="auto"/>
        <w:rPr>
          <w:rFonts w:ascii="Times New Roman" w:eastAsia="Times New Roman" w:hAnsi="Times New Roman" w:cs="Times New Roman"/>
          <w:sz w:val="24"/>
          <w:szCs w:val="24"/>
          <w:lang w:eastAsia="en-GB"/>
        </w:rPr>
      </w:pPr>
      <w:r w:rsidRPr="0072093A">
        <w:rPr>
          <w:rFonts w:ascii="Times New Roman" w:eastAsia="Times New Roman" w:hAnsi="Times New Roman" w:cs="Times New Roman"/>
          <w:sz w:val="24"/>
          <w:szCs w:val="24"/>
          <w:lang w:eastAsia="en-GB"/>
        </w:rPr>
        <w:t xml:space="preserve">For making moral decisions in the healthcare industry, the principles provide a framework. They aid in maintaining patient-centred care and helping professionals strike a balance between conflicting interests. </w:t>
      </w:r>
    </w:p>
    <w:p w14:paraId="3EB21526" w14:textId="77777777" w:rsidR="007A6494" w:rsidRPr="00284C6B" w:rsidRDefault="007A6494" w:rsidP="003A761E">
      <w:pPr>
        <w:rPr>
          <w:sz w:val="24"/>
          <w:szCs w:val="24"/>
        </w:rPr>
      </w:pPr>
    </w:p>
    <w:p w14:paraId="7D70909E" w14:textId="77777777" w:rsidR="00F034D7" w:rsidRPr="00284C6B" w:rsidRDefault="00F034D7" w:rsidP="003A761E">
      <w:pPr>
        <w:rPr>
          <w:sz w:val="24"/>
          <w:szCs w:val="24"/>
        </w:rPr>
      </w:pPr>
    </w:p>
    <w:p w14:paraId="06E15367" w14:textId="77777777" w:rsidR="00356621" w:rsidRPr="00284C6B" w:rsidRDefault="00356621" w:rsidP="003A761E">
      <w:pPr>
        <w:rPr>
          <w:sz w:val="24"/>
          <w:szCs w:val="24"/>
        </w:rPr>
      </w:pPr>
    </w:p>
    <w:p w14:paraId="738CE23A" w14:textId="0C470DA1" w:rsidR="003A761E" w:rsidRPr="00284C6B" w:rsidRDefault="003A761E" w:rsidP="003A761E">
      <w:pPr>
        <w:pStyle w:val="ListParagraph"/>
        <w:numPr>
          <w:ilvl w:val="0"/>
          <w:numId w:val="3"/>
        </w:numPr>
        <w:rPr>
          <w:sz w:val="24"/>
          <w:szCs w:val="24"/>
        </w:rPr>
      </w:pPr>
      <w:r w:rsidRPr="00284C6B">
        <w:rPr>
          <w:sz w:val="24"/>
          <w:szCs w:val="24"/>
        </w:rPr>
        <w:t xml:space="preserve"> </w:t>
      </w:r>
      <w:r w:rsidR="00356621" w:rsidRPr="00284C6B">
        <w:rPr>
          <w:sz w:val="24"/>
          <w:szCs w:val="24"/>
        </w:rPr>
        <w:t>Analysis</w:t>
      </w:r>
      <w:r w:rsidRPr="00284C6B">
        <w:rPr>
          <w:sz w:val="24"/>
          <w:szCs w:val="24"/>
        </w:rPr>
        <w:t xml:space="preserve"> – Wh</w:t>
      </w:r>
      <w:r w:rsidR="000D0B2C">
        <w:rPr>
          <w:sz w:val="24"/>
          <w:szCs w:val="24"/>
        </w:rPr>
        <w:t>at sense can you make of the situation? What have you learned</w:t>
      </w:r>
      <w:r w:rsidRPr="00284C6B">
        <w:rPr>
          <w:sz w:val="24"/>
          <w:szCs w:val="24"/>
        </w:rPr>
        <w:t>?</w:t>
      </w:r>
    </w:p>
    <w:p w14:paraId="0FB3B01A" w14:textId="581496BD" w:rsidR="003A761E" w:rsidRDefault="008919F1" w:rsidP="003A761E">
      <w:pPr>
        <w:rPr>
          <w:sz w:val="24"/>
          <w:szCs w:val="24"/>
        </w:rPr>
      </w:pPr>
      <w:r>
        <w:rPr>
          <w:sz w:val="24"/>
          <w:szCs w:val="24"/>
        </w:rPr>
        <w:t>Reflecting on similar situations in the past and consulting with line manager helped me have the perspective on the ethical implication of their decision.</w:t>
      </w:r>
    </w:p>
    <w:p w14:paraId="5AA180E1" w14:textId="77777777" w:rsidR="008919F1" w:rsidRDefault="008919F1" w:rsidP="003A761E">
      <w:pPr>
        <w:rPr>
          <w:sz w:val="24"/>
          <w:szCs w:val="24"/>
        </w:rPr>
      </w:pPr>
    </w:p>
    <w:p w14:paraId="41EAE995" w14:textId="29B65936" w:rsidR="00300462" w:rsidRPr="00300462" w:rsidRDefault="00300462" w:rsidP="00300462">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S</w:t>
      </w:r>
      <w:r w:rsidRPr="00300462">
        <w:rPr>
          <w:rFonts w:ascii="Times New Roman" w:eastAsia="Times New Roman" w:hAnsi="Times New Roman" w:cs="Times New Roman"/>
          <w:sz w:val="24"/>
          <w:szCs w:val="24"/>
          <w:lang w:eastAsia="en-GB"/>
        </w:rPr>
        <w:t>ilent contemplation should come after productive work.</w:t>
      </w:r>
      <w:r>
        <w:rPr>
          <w:rFonts w:ascii="Times New Roman" w:eastAsia="Times New Roman" w:hAnsi="Times New Roman" w:cs="Times New Roman"/>
          <w:sz w:val="24"/>
          <w:szCs w:val="24"/>
          <w:lang w:eastAsia="en-GB"/>
        </w:rPr>
        <w:t xml:space="preserve"> </w:t>
      </w:r>
      <w:r w:rsidRPr="00300462">
        <w:rPr>
          <w:rFonts w:ascii="Times New Roman" w:eastAsia="Times New Roman" w:hAnsi="Times New Roman" w:cs="Times New Roman"/>
          <w:sz w:val="24"/>
          <w:szCs w:val="24"/>
          <w:lang w:eastAsia="en-GB"/>
        </w:rPr>
        <w:t>Further contemplation is going to result in additional productive response</w:t>
      </w:r>
      <w:r>
        <w:rPr>
          <w:rFonts w:ascii="Times New Roman" w:eastAsia="Times New Roman" w:hAnsi="Times New Roman" w:cs="Times New Roman"/>
          <w:sz w:val="24"/>
          <w:szCs w:val="24"/>
          <w:lang w:eastAsia="en-GB"/>
        </w:rPr>
        <w:t>( Drucker, P.2011)</w:t>
      </w:r>
    </w:p>
    <w:p w14:paraId="4862B221" w14:textId="77777777" w:rsidR="008919F1" w:rsidRPr="00284C6B" w:rsidRDefault="008919F1" w:rsidP="003A761E">
      <w:pPr>
        <w:rPr>
          <w:sz w:val="24"/>
          <w:szCs w:val="24"/>
        </w:rPr>
      </w:pPr>
    </w:p>
    <w:p w14:paraId="43A47156" w14:textId="169CC0A5" w:rsidR="00284C6B" w:rsidRPr="00284C6B" w:rsidRDefault="00284C6B" w:rsidP="003A761E">
      <w:pPr>
        <w:rPr>
          <w:sz w:val="24"/>
          <w:szCs w:val="24"/>
        </w:rPr>
      </w:pPr>
    </w:p>
    <w:p w14:paraId="16972999" w14:textId="77777777" w:rsidR="00284C6B" w:rsidRPr="00284C6B" w:rsidRDefault="00284C6B" w:rsidP="003A761E">
      <w:pPr>
        <w:rPr>
          <w:sz w:val="24"/>
          <w:szCs w:val="24"/>
        </w:rPr>
      </w:pPr>
    </w:p>
    <w:p w14:paraId="2B9944BB" w14:textId="69375C9F" w:rsidR="003A761E" w:rsidRDefault="003A761E" w:rsidP="003A761E">
      <w:pPr>
        <w:pStyle w:val="ListParagraph"/>
        <w:numPr>
          <w:ilvl w:val="0"/>
          <w:numId w:val="3"/>
        </w:numPr>
        <w:rPr>
          <w:sz w:val="24"/>
          <w:szCs w:val="24"/>
        </w:rPr>
      </w:pPr>
      <w:r w:rsidRPr="00284C6B">
        <w:rPr>
          <w:sz w:val="24"/>
          <w:szCs w:val="24"/>
        </w:rPr>
        <w:t xml:space="preserve">Conclusion – what else could you have done? </w:t>
      </w:r>
    </w:p>
    <w:p w14:paraId="63B22AE1" w14:textId="77777777" w:rsidR="00300462" w:rsidRDefault="00300462" w:rsidP="00300462">
      <w:pPr>
        <w:pStyle w:val="ListParagraph"/>
        <w:rPr>
          <w:sz w:val="24"/>
          <w:szCs w:val="24"/>
        </w:rPr>
      </w:pPr>
    </w:p>
    <w:p w14:paraId="54B9E42A" w14:textId="378C183A" w:rsidR="00300462" w:rsidRDefault="00300462" w:rsidP="00300462">
      <w:pPr>
        <w:pStyle w:val="ListParagraph"/>
        <w:rPr>
          <w:sz w:val="24"/>
          <w:szCs w:val="24"/>
        </w:rPr>
      </w:pPr>
      <w:r>
        <w:rPr>
          <w:sz w:val="24"/>
          <w:szCs w:val="24"/>
        </w:rPr>
        <w:t>Decided to uphold patient confidentiality, but also explored alternative ways to support the client while respecting their privacy.</w:t>
      </w:r>
    </w:p>
    <w:p w14:paraId="680FD2F9" w14:textId="77777777" w:rsidR="002E552A" w:rsidRDefault="002E552A" w:rsidP="00300462">
      <w:pPr>
        <w:pStyle w:val="ListParagraph"/>
        <w:rPr>
          <w:sz w:val="24"/>
          <w:szCs w:val="24"/>
        </w:rPr>
      </w:pPr>
    </w:p>
    <w:p w14:paraId="4063B30A" w14:textId="77777777" w:rsidR="002E552A" w:rsidRPr="002E552A" w:rsidRDefault="002E552A" w:rsidP="002E552A">
      <w:pPr>
        <w:spacing w:after="0" w:line="240" w:lineRule="auto"/>
        <w:rPr>
          <w:rFonts w:ascii="Times New Roman" w:eastAsia="Times New Roman" w:hAnsi="Times New Roman" w:cs="Times New Roman"/>
          <w:sz w:val="24"/>
          <w:szCs w:val="24"/>
          <w:lang w:eastAsia="en-GB"/>
        </w:rPr>
      </w:pPr>
      <w:r w:rsidRPr="002E552A">
        <w:rPr>
          <w:rFonts w:ascii="Times New Roman" w:eastAsia="Times New Roman" w:hAnsi="Times New Roman" w:cs="Times New Roman"/>
          <w:sz w:val="24"/>
          <w:szCs w:val="24"/>
          <w:lang w:eastAsia="en-GB"/>
        </w:rPr>
        <w:t>Clients possess the power to reject having private data relating to them disclosed, therefore this choice should typically be honoured, even if it puts the individual in question (but not anybody else) in danger of passing away or suffering grave injury.</w:t>
      </w:r>
    </w:p>
    <w:p w14:paraId="045B9BBA" w14:textId="77777777" w:rsidR="002E552A" w:rsidRPr="00284C6B" w:rsidRDefault="002E552A" w:rsidP="00300462">
      <w:pPr>
        <w:pStyle w:val="ListParagraph"/>
        <w:rPr>
          <w:sz w:val="24"/>
          <w:szCs w:val="24"/>
        </w:rPr>
      </w:pPr>
    </w:p>
    <w:p w14:paraId="1CC41FE0" w14:textId="40239A24" w:rsidR="00356621" w:rsidRPr="00284C6B" w:rsidRDefault="00356621" w:rsidP="00356621">
      <w:pPr>
        <w:pStyle w:val="ListParagraph"/>
        <w:rPr>
          <w:sz w:val="24"/>
          <w:szCs w:val="24"/>
        </w:rPr>
      </w:pPr>
    </w:p>
    <w:p w14:paraId="30DD1C77" w14:textId="2D99BC5A" w:rsidR="00284C6B" w:rsidRPr="00284C6B" w:rsidRDefault="00284C6B" w:rsidP="00356621">
      <w:pPr>
        <w:pStyle w:val="ListParagraph"/>
        <w:rPr>
          <w:sz w:val="24"/>
          <w:szCs w:val="24"/>
        </w:rPr>
      </w:pPr>
    </w:p>
    <w:p w14:paraId="7DDB883B" w14:textId="6A0640D5" w:rsidR="00284C6B" w:rsidRPr="00284C6B" w:rsidRDefault="00284C6B" w:rsidP="00356621">
      <w:pPr>
        <w:pStyle w:val="ListParagraph"/>
        <w:rPr>
          <w:sz w:val="24"/>
          <w:szCs w:val="24"/>
        </w:rPr>
      </w:pPr>
    </w:p>
    <w:p w14:paraId="0CF21FE5" w14:textId="3FBE58FA" w:rsidR="00284C6B" w:rsidRPr="00284C6B" w:rsidRDefault="00284C6B" w:rsidP="00356621">
      <w:pPr>
        <w:pStyle w:val="ListParagraph"/>
        <w:rPr>
          <w:sz w:val="24"/>
          <w:szCs w:val="24"/>
        </w:rPr>
      </w:pPr>
    </w:p>
    <w:p w14:paraId="04683EEC" w14:textId="77777777" w:rsidR="00284C6B" w:rsidRPr="00284C6B" w:rsidRDefault="00284C6B" w:rsidP="00356621">
      <w:pPr>
        <w:pStyle w:val="ListParagraph"/>
        <w:rPr>
          <w:sz w:val="24"/>
          <w:szCs w:val="24"/>
        </w:rPr>
      </w:pPr>
    </w:p>
    <w:p w14:paraId="1F642F77" w14:textId="7C49F4DE" w:rsidR="003A761E" w:rsidRPr="00284C6B" w:rsidRDefault="003A761E" w:rsidP="003A761E">
      <w:pPr>
        <w:pStyle w:val="ListParagraph"/>
        <w:numPr>
          <w:ilvl w:val="0"/>
          <w:numId w:val="3"/>
        </w:numPr>
        <w:rPr>
          <w:sz w:val="24"/>
          <w:szCs w:val="24"/>
        </w:rPr>
      </w:pPr>
      <w:r w:rsidRPr="00284C6B">
        <w:rPr>
          <w:sz w:val="24"/>
          <w:szCs w:val="24"/>
        </w:rPr>
        <w:t xml:space="preserve">Action plan </w:t>
      </w:r>
      <w:r w:rsidR="00356621" w:rsidRPr="00284C6B">
        <w:rPr>
          <w:sz w:val="24"/>
          <w:szCs w:val="24"/>
        </w:rPr>
        <w:softHyphen/>
        <w:t>– If I have to do the same thing again, what would I do differently?</w:t>
      </w:r>
    </w:p>
    <w:p w14:paraId="5B3884C3" w14:textId="224A166A" w:rsidR="00356621" w:rsidRDefault="00356621" w:rsidP="00356621">
      <w:pPr>
        <w:pStyle w:val="ListParagraph"/>
        <w:rPr>
          <w:sz w:val="24"/>
          <w:szCs w:val="24"/>
        </w:rPr>
      </w:pPr>
    </w:p>
    <w:p w14:paraId="2096ED79" w14:textId="6465E884" w:rsidR="002E552A" w:rsidRDefault="002E552A" w:rsidP="00356621">
      <w:pPr>
        <w:pStyle w:val="ListParagraph"/>
        <w:rPr>
          <w:sz w:val="24"/>
          <w:szCs w:val="24"/>
        </w:rPr>
      </w:pPr>
      <w:r>
        <w:rPr>
          <w:sz w:val="24"/>
          <w:szCs w:val="24"/>
        </w:rPr>
        <w:t>Educated on ethical principles,</w:t>
      </w:r>
      <w:r w:rsidR="009D407B">
        <w:rPr>
          <w:sz w:val="24"/>
          <w:szCs w:val="24"/>
        </w:rPr>
        <w:t xml:space="preserve"> and ready for searching or</w:t>
      </w:r>
      <w:r>
        <w:rPr>
          <w:sz w:val="24"/>
          <w:szCs w:val="24"/>
        </w:rPr>
        <w:t xml:space="preserve"> seeking  guidance from lane manager or ethics committees if facing with similar dilemmas  in the </w:t>
      </w:r>
      <w:r w:rsidR="009D407B">
        <w:rPr>
          <w:sz w:val="24"/>
          <w:szCs w:val="24"/>
        </w:rPr>
        <w:t>future.</w:t>
      </w:r>
    </w:p>
    <w:p w14:paraId="7667C037" w14:textId="77777777" w:rsidR="009D407B" w:rsidRDefault="009D407B" w:rsidP="00356621">
      <w:pPr>
        <w:pStyle w:val="ListParagraph"/>
        <w:rPr>
          <w:sz w:val="24"/>
          <w:szCs w:val="24"/>
        </w:rPr>
      </w:pPr>
    </w:p>
    <w:p w14:paraId="6E1AE586" w14:textId="77777777" w:rsidR="00D2075F" w:rsidRPr="00D2075F" w:rsidRDefault="00D2075F" w:rsidP="00D2075F">
      <w:pPr>
        <w:spacing w:after="0" w:line="240" w:lineRule="auto"/>
        <w:rPr>
          <w:rFonts w:ascii="Times New Roman" w:eastAsia="Times New Roman" w:hAnsi="Times New Roman" w:cs="Times New Roman"/>
          <w:sz w:val="24"/>
          <w:szCs w:val="24"/>
          <w:lang w:eastAsia="en-GB"/>
        </w:rPr>
      </w:pPr>
      <w:r w:rsidRPr="00D2075F">
        <w:rPr>
          <w:rFonts w:ascii="Times New Roman" w:eastAsia="Times New Roman" w:hAnsi="Times New Roman" w:cs="Times New Roman"/>
          <w:sz w:val="24"/>
          <w:szCs w:val="24"/>
          <w:lang w:eastAsia="en-GB"/>
        </w:rPr>
        <w:t>Additional information was required due to the rising use of online platforms, the rising significance of pain control and end-of-life care, the incidence of violence (including bullying and rudeness in clinical and educational settings), and the difficulties with safe staffing that were unimportant ten years ago. A growing number of healthcare workers, educators, and students are dealing with ethical issues related to the Patient Protection and Affordable Care Act, which allows individuals to decide not to get through of medical coverage because of moral or ethical objections, the introduction of genetic engineering and personalised medicine, the changing nature of the health care industry, and increased exposure to potentially fatal infectious diseases. </w:t>
      </w:r>
    </w:p>
    <w:p w14:paraId="6A23B829" w14:textId="77777777" w:rsidR="009D407B" w:rsidRPr="00284C6B" w:rsidRDefault="009D407B" w:rsidP="00356621">
      <w:pPr>
        <w:pStyle w:val="ListParagraph"/>
        <w:rPr>
          <w:sz w:val="24"/>
          <w:szCs w:val="24"/>
        </w:rPr>
      </w:pPr>
    </w:p>
    <w:p w14:paraId="0F4AB7BA" w14:textId="3F22CA2B" w:rsidR="00356621" w:rsidRDefault="00356621" w:rsidP="00356621">
      <w:pPr>
        <w:pStyle w:val="ListParagraph"/>
        <w:rPr>
          <w:sz w:val="24"/>
          <w:szCs w:val="24"/>
        </w:rPr>
      </w:pPr>
    </w:p>
    <w:p w14:paraId="3B0A9F36" w14:textId="77777777" w:rsidR="00D2075F" w:rsidRDefault="00D2075F" w:rsidP="00356621">
      <w:pPr>
        <w:pStyle w:val="ListParagraph"/>
        <w:rPr>
          <w:sz w:val="24"/>
          <w:szCs w:val="24"/>
        </w:rPr>
      </w:pPr>
    </w:p>
    <w:p w14:paraId="62A9AD9F" w14:textId="77777777" w:rsidR="00D2075F" w:rsidRDefault="00D2075F" w:rsidP="00356621">
      <w:pPr>
        <w:pStyle w:val="ListParagraph"/>
        <w:rPr>
          <w:sz w:val="24"/>
          <w:szCs w:val="24"/>
        </w:rPr>
      </w:pPr>
    </w:p>
    <w:p w14:paraId="397543D7" w14:textId="77777777" w:rsidR="00D2075F" w:rsidRDefault="00D2075F" w:rsidP="00356621">
      <w:pPr>
        <w:pStyle w:val="ListParagraph"/>
        <w:rPr>
          <w:sz w:val="24"/>
          <w:szCs w:val="24"/>
        </w:rPr>
      </w:pPr>
    </w:p>
    <w:p w14:paraId="56F26558" w14:textId="77777777" w:rsidR="00D2075F" w:rsidRDefault="00D2075F" w:rsidP="00356621">
      <w:pPr>
        <w:pStyle w:val="ListParagraph"/>
        <w:rPr>
          <w:sz w:val="24"/>
          <w:szCs w:val="24"/>
        </w:rPr>
      </w:pPr>
    </w:p>
    <w:p w14:paraId="67578C29" w14:textId="77777777" w:rsidR="00D2075F" w:rsidRDefault="00D2075F" w:rsidP="00356621">
      <w:pPr>
        <w:pStyle w:val="ListParagraph"/>
        <w:rPr>
          <w:sz w:val="24"/>
          <w:szCs w:val="24"/>
        </w:rPr>
      </w:pPr>
    </w:p>
    <w:p w14:paraId="7DAB26A7" w14:textId="77777777" w:rsidR="00D2075F" w:rsidRDefault="00D2075F" w:rsidP="00356621">
      <w:pPr>
        <w:pStyle w:val="ListParagraph"/>
        <w:rPr>
          <w:sz w:val="24"/>
          <w:szCs w:val="24"/>
        </w:rPr>
      </w:pPr>
    </w:p>
    <w:p w14:paraId="7EC6EFF1" w14:textId="77777777" w:rsidR="00D2075F" w:rsidRDefault="00D2075F" w:rsidP="00356621">
      <w:pPr>
        <w:pStyle w:val="ListParagraph"/>
        <w:rPr>
          <w:sz w:val="24"/>
          <w:szCs w:val="24"/>
        </w:rPr>
      </w:pPr>
    </w:p>
    <w:p w14:paraId="0121C036" w14:textId="77777777" w:rsidR="00D2075F" w:rsidRDefault="00D2075F" w:rsidP="00356621">
      <w:pPr>
        <w:pStyle w:val="ListParagraph"/>
        <w:rPr>
          <w:sz w:val="24"/>
          <w:szCs w:val="24"/>
        </w:rPr>
      </w:pPr>
    </w:p>
    <w:p w14:paraId="14539CAA" w14:textId="77777777" w:rsidR="00D2075F" w:rsidRDefault="00D2075F" w:rsidP="00356621">
      <w:pPr>
        <w:pStyle w:val="ListParagraph"/>
        <w:rPr>
          <w:sz w:val="24"/>
          <w:szCs w:val="24"/>
        </w:rPr>
      </w:pPr>
    </w:p>
    <w:p w14:paraId="38244102" w14:textId="77777777" w:rsidR="00D2075F" w:rsidRDefault="00D2075F" w:rsidP="00356621">
      <w:pPr>
        <w:pStyle w:val="ListParagraph"/>
        <w:rPr>
          <w:sz w:val="24"/>
          <w:szCs w:val="24"/>
        </w:rPr>
      </w:pPr>
    </w:p>
    <w:p w14:paraId="361BF03A" w14:textId="77777777" w:rsidR="00D2075F" w:rsidRDefault="00D2075F" w:rsidP="00356621">
      <w:pPr>
        <w:pStyle w:val="ListParagraph"/>
        <w:rPr>
          <w:sz w:val="24"/>
          <w:szCs w:val="24"/>
        </w:rPr>
      </w:pPr>
    </w:p>
    <w:p w14:paraId="4C629F12" w14:textId="77777777" w:rsidR="00D2075F" w:rsidRDefault="00D2075F" w:rsidP="00356621">
      <w:pPr>
        <w:pStyle w:val="ListParagraph"/>
        <w:rPr>
          <w:sz w:val="24"/>
          <w:szCs w:val="24"/>
        </w:rPr>
      </w:pPr>
    </w:p>
    <w:p w14:paraId="2B26CDB6" w14:textId="77777777" w:rsidR="00D2075F" w:rsidRDefault="00D2075F" w:rsidP="00356621">
      <w:pPr>
        <w:pStyle w:val="ListParagraph"/>
        <w:rPr>
          <w:sz w:val="24"/>
          <w:szCs w:val="24"/>
        </w:rPr>
      </w:pPr>
    </w:p>
    <w:p w14:paraId="62D372DA" w14:textId="77777777" w:rsidR="00D2075F" w:rsidRDefault="00D2075F" w:rsidP="00356621">
      <w:pPr>
        <w:pStyle w:val="ListParagraph"/>
        <w:rPr>
          <w:sz w:val="24"/>
          <w:szCs w:val="24"/>
        </w:rPr>
      </w:pPr>
    </w:p>
    <w:p w14:paraId="015B11B7" w14:textId="77777777" w:rsidR="00D2075F" w:rsidRDefault="00D2075F" w:rsidP="00356621">
      <w:pPr>
        <w:pStyle w:val="ListParagraph"/>
        <w:rPr>
          <w:sz w:val="24"/>
          <w:szCs w:val="24"/>
        </w:rPr>
      </w:pPr>
    </w:p>
    <w:p w14:paraId="69DC141F" w14:textId="77777777" w:rsidR="00D2075F" w:rsidRDefault="00D2075F" w:rsidP="00356621">
      <w:pPr>
        <w:pStyle w:val="ListParagraph"/>
        <w:rPr>
          <w:sz w:val="24"/>
          <w:szCs w:val="24"/>
        </w:rPr>
      </w:pPr>
    </w:p>
    <w:p w14:paraId="10ED7A87" w14:textId="77777777" w:rsidR="00D2075F" w:rsidRDefault="00D2075F" w:rsidP="00356621">
      <w:pPr>
        <w:pStyle w:val="ListParagraph"/>
        <w:rPr>
          <w:sz w:val="24"/>
          <w:szCs w:val="24"/>
        </w:rPr>
      </w:pPr>
    </w:p>
    <w:p w14:paraId="7FBADFE9" w14:textId="77777777" w:rsidR="00D2075F" w:rsidRDefault="00D2075F" w:rsidP="00356621">
      <w:pPr>
        <w:pStyle w:val="ListParagraph"/>
        <w:rPr>
          <w:sz w:val="24"/>
          <w:szCs w:val="24"/>
        </w:rPr>
      </w:pPr>
    </w:p>
    <w:p w14:paraId="3BAD2419" w14:textId="77777777" w:rsidR="00D2075F" w:rsidRDefault="00D2075F" w:rsidP="00356621">
      <w:pPr>
        <w:pStyle w:val="ListParagraph"/>
        <w:rPr>
          <w:sz w:val="24"/>
          <w:szCs w:val="24"/>
        </w:rPr>
      </w:pPr>
    </w:p>
    <w:p w14:paraId="716C49FB" w14:textId="77777777" w:rsidR="00D2075F" w:rsidRDefault="00D2075F" w:rsidP="00356621">
      <w:pPr>
        <w:pStyle w:val="ListParagraph"/>
        <w:rPr>
          <w:sz w:val="24"/>
          <w:szCs w:val="24"/>
        </w:rPr>
      </w:pPr>
    </w:p>
    <w:p w14:paraId="759D4E62" w14:textId="77777777" w:rsidR="00D2075F" w:rsidRDefault="00D2075F" w:rsidP="00356621">
      <w:pPr>
        <w:pStyle w:val="ListParagraph"/>
        <w:rPr>
          <w:sz w:val="24"/>
          <w:szCs w:val="24"/>
        </w:rPr>
      </w:pPr>
    </w:p>
    <w:p w14:paraId="3B8EF58E" w14:textId="77777777" w:rsidR="00D2075F" w:rsidRDefault="00D2075F" w:rsidP="00356621">
      <w:pPr>
        <w:pStyle w:val="ListParagraph"/>
        <w:rPr>
          <w:sz w:val="24"/>
          <w:szCs w:val="24"/>
        </w:rPr>
      </w:pPr>
    </w:p>
    <w:p w14:paraId="1E74B932" w14:textId="77777777" w:rsidR="00D2075F" w:rsidRDefault="00D2075F" w:rsidP="00356621">
      <w:pPr>
        <w:pStyle w:val="ListParagraph"/>
        <w:rPr>
          <w:sz w:val="24"/>
          <w:szCs w:val="24"/>
        </w:rPr>
      </w:pPr>
    </w:p>
    <w:p w14:paraId="12F1FA17" w14:textId="77777777" w:rsidR="00D2075F" w:rsidRDefault="00D2075F" w:rsidP="00356621">
      <w:pPr>
        <w:pStyle w:val="ListParagraph"/>
        <w:rPr>
          <w:sz w:val="24"/>
          <w:szCs w:val="24"/>
        </w:rPr>
      </w:pPr>
    </w:p>
    <w:p w14:paraId="6402D66D" w14:textId="77777777" w:rsidR="00D2075F" w:rsidRDefault="00D2075F" w:rsidP="00356621">
      <w:pPr>
        <w:pStyle w:val="ListParagraph"/>
        <w:rPr>
          <w:sz w:val="24"/>
          <w:szCs w:val="24"/>
        </w:rPr>
      </w:pPr>
    </w:p>
    <w:p w14:paraId="123FEF7C" w14:textId="77777777" w:rsidR="00D2075F" w:rsidRDefault="00D2075F" w:rsidP="00356621">
      <w:pPr>
        <w:pStyle w:val="ListParagraph"/>
        <w:rPr>
          <w:sz w:val="24"/>
          <w:szCs w:val="24"/>
        </w:rPr>
      </w:pPr>
    </w:p>
    <w:p w14:paraId="717AC4DE" w14:textId="77777777" w:rsidR="00D2075F" w:rsidRDefault="00D2075F" w:rsidP="00356621">
      <w:pPr>
        <w:pStyle w:val="ListParagraph"/>
        <w:rPr>
          <w:sz w:val="24"/>
          <w:szCs w:val="24"/>
        </w:rPr>
      </w:pPr>
    </w:p>
    <w:p w14:paraId="5079DCF6" w14:textId="77777777" w:rsidR="00D2075F" w:rsidRDefault="00D2075F" w:rsidP="00356621">
      <w:pPr>
        <w:pStyle w:val="ListParagraph"/>
        <w:rPr>
          <w:sz w:val="24"/>
          <w:szCs w:val="24"/>
        </w:rPr>
      </w:pPr>
    </w:p>
    <w:p w14:paraId="2D87FEFE" w14:textId="77777777" w:rsidR="00D2075F" w:rsidRDefault="00D2075F" w:rsidP="00D2075F">
      <w:pPr>
        <w:widowControl w:val="0"/>
        <w:autoSpaceDE w:val="0"/>
        <w:autoSpaceDN w:val="0"/>
        <w:adjustRightInd w:val="0"/>
        <w:spacing w:after="240" w:line="360" w:lineRule="auto"/>
        <w:rPr>
          <w:rFonts w:ascii="Times New Roman" w:hAnsi="Times New Roman" w:cs="Times New Roman"/>
          <w:lang w:val="en-US"/>
        </w:rPr>
      </w:pPr>
      <w:r>
        <w:rPr>
          <w:rFonts w:ascii="Times New Roman" w:hAnsi="Times New Roman" w:cs="Times New Roman"/>
          <w:sz w:val="36"/>
          <w:szCs w:val="36"/>
          <w:lang w:val="en-US"/>
        </w:rPr>
        <w:t>Reference list</w:t>
      </w:r>
    </w:p>
    <w:p w14:paraId="554E24CC" w14:textId="77777777" w:rsidR="00D2075F" w:rsidRDefault="00D2075F" w:rsidP="00D2075F">
      <w:pPr>
        <w:widowControl w:val="0"/>
        <w:autoSpaceDE w:val="0"/>
        <w:autoSpaceDN w:val="0"/>
        <w:adjustRightInd w:val="0"/>
        <w:spacing w:after="240" w:line="360" w:lineRule="auto"/>
        <w:rPr>
          <w:rFonts w:ascii="Times New Roman" w:hAnsi="Times New Roman" w:cs="Times New Roman"/>
          <w:lang w:val="en-US"/>
        </w:rPr>
      </w:pPr>
      <w:r>
        <w:rPr>
          <w:rFonts w:ascii="Times New Roman" w:hAnsi="Times New Roman" w:cs="Times New Roman"/>
          <w:lang w:val="en-US"/>
        </w:rPr>
        <w:t xml:space="preserve">Bassot, B. (2015). </w:t>
      </w:r>
      <w:r>
        <w:rPr>
          <w:rFonts w:ascii="Times New Roman" w:hAnsi="Times New Roman" w:cs="Times New Roman"/>
          <w:i/>
          <w:iCs/>
          <w:lang w:val="en-US"/>
        </w:rPr>
        <w:t>The Reflective Practice Guide : an Interdisciplinary Approach to Critical Reflection</w:t>
      </w:r>
      <w:r>
        <w:rPr>
          <w:rFonts w:ascii="Times New Roman" w:hAnsi="Times New Roman" w:cs="Times New Roman"/>
          <w:lang w:val="en-US"/>
        </w:rPr>
        <w:t>. London: Routledge.</w:t>
      </w:r>
    </w:p>
    <w:p w14:paraId="31E68DBD" w14:textId="77777777" w:rsidR="00D2075F" w:rsidRDefault="00D2075F" w:rsidP="00D2075F">
      <w:pPr>
        <w:widowControl w:val="0"/>
        <w:autoSpaceDE w:val="0"/>
        <w:autoSpaceDN w:val="0"/>
        <w:adjustRightInd w:val="0"/>
        <w:spacing w:after="240" w:line="360" w:lineRule="auto"/>
        <w:rPr>
          <w:rFonts w:ascii="Times New Roman" w:hAnsi="Times New Roman" w:cs="Times New Roman"/>
          <w:lang w:val="en-US"/>
        </w:rPr>
      </w:pPr>
      <w:r>
        <w:rPr>
          <w:rFonts w:ascii="Times New Roman" w:hAnsi="Times New Roman" w:cs="Times New Roman"/>
          <w:lang w:val="en-US"/>
        </w:rPr>
        <w:t xml:space="preserve">Beauchamp, T.L. and Childress, J.F. (2019). </w:t>
      </w:r>
      <w:r>
        <w:rPr>
          <w:rFonts w:ascii="Times New Roman" w:hAnsi="Times New Roman" w:cs="Times New Roman"/>
          <w:i/>
          <w:iCs/>
          <w:lang w:val="en-US"/>
        </w:rPr>
        <w:t>Principles of Biomedical Ethics</w:t>
      </w:r>
      <w:r>
        <w:rPr>
          <w:rFonts w:ascii="Times New Roman" w:hAnsi="Times New Roman" w:cs="Times New Roman"/>
          <w:lang w:val="en-US"/>
        </w:rPr>
        <w:t>. 8th ed. New York: Oxford University Press.</w:t>
      </w:r>
    </w:p>
    <w:p w14:paraId="74D84726" w14:textId="77777777" w:rsidR="00D2075F" w:rsidRDefault="00D2075F" w:rsidP="00D2075F">
      <w:pPr>
        <w:widowControl w:val="0"/>
        <w:autoSpaceDE w:val="0"/>
        <w:autoSpaceDN w:val="0"/>
        <w:adjustRightInd w:val="0"/>
        <w:spacing w:after="240" w:line="360" w:lineRule="auto"/>
        <w:rPr>
          <w:rFonts w:ascii="Times New Roman" w:hAnsi="Times New Roman" w:cs="Times New Roman"/>
          <w:lang w:val="en-US"/>
        </w:rPr>
      </w:pPr>
      <w:r>
        <w:rPr>
          <w:rFonts w:ascii="Times New Roman" w:hAnsi="Times New Roman" w:cs="Times New Roman"/>
          <w:lang w:val="en-US"/>
        </w:rPr>
        <w:t xml:space="preserve">Morin, K.H. (2015). TheCode of Ethics for Nurses—More Relevant Than Ever. </w:t>
      </w:r>
      <w:r>
        <w:rPr>
          <w:rFonts w:ascii="Times New Roman" w:hAnsi="Times New Roman" w:cs="Times New Roman"/>
          <w:i/>
          <w:iCs/>
          <w:lang w:val="en-US"/>
        </w:rPr>
        <w:t>Journal of Nursing Education</w:t>
      </w:r>
      <w:r>
        <w:rPr>
          <w:rFonts w:ascii="Times New Roman" w:hAnsi="Times New Roman" w:cs="Times New Roman"/>
          <w:lang w:val="en-US"/>
        </w:rPr>
        <w:t>, [online] 54(12), pp.667–668. doi:</w:t>
      </w:r>
      <w:hyperlink r:id="rId5" w:history="1">
        <w:r>
          <w:rPr>
            <w:rFonts w:ascii="Times New Roman" w:hAnsi="Times New Roman" w:cs="Times New Roman"/>
            <w:lang w:val="en-US"/>
          </w:rPr>
          <w:t>https://doi.org/10.3928/01484834-20151110-01</w:t>
        </w:r>
      </w:hyperlink>
      <w:r>
        <w:rPr>
          <w:rFonts w:ascii="Times New Roman" w:hAnsi="Times New Roman" w:cs="Times New Roman"/>
          <w:lang w:val="en-US"/>
        </w:rPr>
        <w:t>.</w:t>
      </w:r>
    </w:p>
    <w:p w14:paraId="282E858D" w14:textId="77777777" w:rsidR="00D2075F" w:rsidRDefault="00D2075F" w:rsidP="00D2075F">
      <w:pPr>
        <w:widowControl w:val="0"/>
        <w:autoSpaceDE w:val="0"/>
        <w:autoSpaceDN w:val="0"/>
        <w:adjustRightInd w:val="0"/>
        <w:spacing w:after="240" w:line="360" w:lineRule="auto"/>
        <w:rPr>
          <w:rFonts w:ascii="Times New Roman" w:hAnsi="Times New Roman" w:cs="Times New Roman"/>
          <w:lang w:val="en-US"/>
        </w:rPr>
      </w:pPr>
      <w:r>
        <w:rPr>
          <w:rFonts w:ascii="Times New Roman" w:hAnsi="Times New Roman" w:cs="Times New Roman"/>
          <w:lang w:val="en-US"/>
        </w:rPr>
        <w:t xml:space="preserve">O’Brien, J. and Chantler, C. (2003). Confidentiality and the duties of care. </w:t>
      </w:r>
      <w:r>
        <w:rPr>
          <w:rFonts w:ascii="Times New Roman" w:hAnsi="Times New Roman" w:cs="Times New Roman"/>
          <w:i/>
          <w:iCs/>
          <w:lang w:val="en-US"/>
        </w:rPr>
        <w:t>Journal of Medical Ethics</w:t>
      </w:r>
      <w:r>
        <w:rPr>
          <w:rFonts w:ascii="Times New Roman" w:hAnsi="Times New Roman" w:cs="Times New Roman"/>
          <w:lang w:val="en-US"/>
        </w:rPr>
        <w:t>, [online] 29(1), pp.36–40. doi:</w:t>
      </w:r>
      <w:hyperlink r:id="rId6" w:history="1">
        <w:r>
          <w:rPr>
            <w:rFonts w:ascii="Times New Roman" w:hAnsi="Times New Roman" w:cs="Times New Roman"/>
            <w:lang w:val="en-US"/>
          </w:rPr>
          <w:t>https://doi.org/10.1136/jme.29.1.36</w:t>
        </w:r>
      </w:hyperlink>
      <w:r>
        <w:rPr>
          <w:rFonts w:ascii="Times New Roman" w:hAnsi="Times New Roman" w:cs="Times New Roman"/>
          <w:lang w:val="en-US"/>
        </w:rPr>
        <w:t>.</w:t>
      </w:r>
    </w:p>
    <w:p w14:paraId="1BC638BC" w14:textId="77777777" w:rsidR="00D2075F" w:rsidRDefault="00D2075F" w:rsidP="00D2075F">
      <w:pPr>
        <w:widowControl w:val="0"/>
        <w:autoSpaceDE w:val="0"/>
        <w:autoSpaceDN w:val="0"/>
        <w:adjustRightInd w:val="0"/>
        <w:spacing w:after="240" w:line="360" w:lineRule="auto"/>
        <w:rPr>
          <w:rFonts w:ascii="Times New Roman" w:hAnsi="Times New Roman" w:cs="Times New Roman"/>
          <w:lang w:val="en-US"/>
        </w:rPr>
      </w:pPr>
      <w:r>
        <w:rPr>
          <w:rFonts w:ascii="Times New Roman" w:hAnsi="Times New Roman" w:cs="Times New Roman"/>
          <w:lang w:val="en-US"/>
        </w:rPr>
        <w:t xml:space="preserve">Pope, C. and Mays, N. (1995). Qualitative Research: Reaching the parts other methods cannot reach: an introduction to qualitative methods in health and health services research. </w:t>
      </w:r>
      <w:r>
        <w:rPr>
          <w:rFonts w:ascii="Times New Roman" w:hAnsi="Times New Roman" w:cs="Times New Roman"/>
          <w:i/>
          <w:iCs/>
          <w:lang w:val="en-US"/>
        </w:rPr>
        <w:t>BMJ</w:t>
      </w:r>
      <w:r>
        <w:rPr>
          <w:rFonts w:ascii="Times New Roman" w:hAnsi="Times New Roman" w:cs="Times New Roman"/>
          <w:lang w:val="en-US"/>
        </w:rPr>
        <w:t>, 311(6996), pp.42–45. doi:</w:t>
      </w:r>
      <w:hyperlink r:id="rId7" w:history="1">
        <w:r>
          <w:rPr>
            <w:rFonts w:ascii="Times New Roman" w:hAnsi="Times New Roman" w:cs="Times New Roman"/>
            <w:lang w:val="en-US"/>
          </w:rPr>
          <w:t>https://doi.org/10.1136/bmj.311.6996.42</w:t>
        </w:r>
      </w:hyperlink>
      <w:r>
        <w:rPr>
          <w:rFonts w:ascii="Times New Roman" w:hAnsi="Times New Roman" w:cs="Times New Roman"/>
          <w:lang w:val="en-US"/>
        </w:rPr>
        <w:t>.</w:t>
      </w:r>
    </w:p>
    <w:p w14:paraId="1E7B34DA" w14:textId="77777777" w:rsidR="00D2075F" w:rsidRDefault="00D2075F" w:rsidP="00D2075F">
      <w:pPr>
        <w:widowControl w:val="0"/>
        <w:autoSpaceDE w:val="0"/>
        <w:autoSpaceDN w:val="0"/>
        <w:adjustRightInd w:val="0"/>
        <w:spacing w:after="240" w:line="360" w:lineRule="auto"/>
        <w:rPr>
          <w:rFonts w:ascii="Times New Roman" w:hAnsi="Times New Roman" w:cs="Times New Roman"/>
          <w:lang w:val="en-US"/>
        </w:rPr>
      </w:pPr>
      <w:r>
        <w:rPr>
          <w:rFonts w:ascii="Times New Roman" w:hAnsi="Times New Roman" w:cs="Times New Roman"/>
          <w:lang w:val="en-US"/>
        </w:rPr>
        <w:t xml:space="preserve">Stanton, C. (2018). Patient Information: To Share or Not to Share? </w:t>
      </w:r>
      <w:r>
        <w:rPr>
          <w:rFonts w:ascii="Times New Roman" w:hAnsi="Times New Roman" w:cs="Times New Roman"/>
          <w:i/>
          <w:iCs/>
          <w:lang w:val="en-US"/>
        </w:rPr>
        <w:t>Medical Law Review</w:t>
      </w:r>
      <w:r>
        <w:rPr>
          <w:rFonts w:ascii="Times New Roman" w:hAnsi="Times New Roman" w:cs="Times New Roman"/>
          <w:lang w:val="en-US"/>
        </w:rPr>
        <w:t>, 26(2), pp.328–345. doi:</w:t>
      </w:r>
      <w:hyperlink r:id="rId8" w:history="1">
        <w:r>
          <w:rPr>
            <w:rFonts w:ascii="Times New Roman" w:hAnsi="Times New Roman" w:cs="Times New Roman"/>
            <w:lang w:val="en-US"/>
          </w:rPr>
          <w:t>https://doi.org/10.1093/medlaw/fwy020</w:t>
        </w:r>
      </w:hyperlink>
      <w:r>
        <w:rPr>
          <w:rFonts w:ascii="Times New Roman" w:hAnsi="Times New Roman" w:cs="Times New Roman"/>
          <w:lang w:val="en-US"/>
        </w:rPr>
        <w:t>.</w:t>
      </w:r>
    </w:p>
    <w:p w14:paraId="276DE52E" w14:textId="77777777" w:rsidR="00D2075F" w:rsidRPr="00D2075F" w:rsidRDefault="00D2075F" w:rsidP="00356621">
      <w:pPr>
        <w:pStyle w:val="ListParagraph"/>
        <w:rPr>
          <w:sz w:val="24"/>
          <w:szCs w:val="24"/>
          <w:lang w:val="en-US"/>
        </w:rPr>
      </w:pPr>
    </w:p>
    <w:sectPr w:rsidR="00D2075F" w:rsidRPr="00D2075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4D85404"/>
    <w:multiLevelType w:val="hybridMultilevel"/>
    <w:tmpl w:val="DA7C5BB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0EB69F8"/>
    <w:multiLevelType w:val="hybridMultilevel"/>
    <w:tmpl w:val="1D6C100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688D3182"/>
    <w:multiLevelType w:val="hybridMultilevel"/>
    <w:tmpl w:val="E98C39A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7110342E"/>
    <w:multiLevelType w:val="hybridMultilevel"/>
    <w:tmpl w:val="05D0532E"/>
    <w:lvl w:ilvl="0" w:tplc="69C2A6DC">
      <w:start w:val="1"/>
      <w:numFmt w:val="bullet"/>
      <w:lvlText w:val="•"/>
      <w:lvlJc w:val="left"/>
      <w:pPr>
        <w:tabs>
          <w:tab w:val="num" w:pos="720"/>
        </w:tabs>
        <w:ind w:left="720" w:hanging="360"/>
      </w:pPr>
      <w:rPr>
        <w:rFonts w:ascii="Arial" w:hAnsi="Arial" w:hint="default"/>
      </w:rPr>
    </w:lvl>
    <w:lvl w:ilvl="1" w:tplc="D43E01B8" w:tentative="1">
      <w:start w:val="1"/>
      <w:numFmt w:val="bullet"/>
      <w:lvlText w:val="•"/>
      <w:lvlJc w:val="left"/>
      <w:pPr>
        <w:tabs>
          <w:tab w:val="num" w:pos="1440"/>
        </w:tabs>
        <w:ind w:left="1440" w:hanging="360"/>
      </w:pPr>
      <w:rPr>
        <w:rFonts w:ascii="Arial" w:hAnsi="Arial" w:hint="default"/>
      </w:rPr>
    </w:lvl>
    <w:lvl w:ilvl="2" w:tplc="4B2084F4" w:tentative="1">
      <w:start w:val="1"/>
      <w:numFmt w:val="bullet"/>
      <w:lvlText w:val="•"/>
      <w:lvlJc w:val="left"/>
      <w:pPr>
        <w:tabs>
          <w:tab w:val="num" w:pos="2160"/>
        </w:tabs>
        <w:ind w:left="2160" w:hanging="360"/>
      </w:pPr>
      <w:rPr>
        <w:rFonts w:ascii="Arial" w:hAnsi="Arial" w:hint="default"/>
      </w:rPr>
    </w:lvl>
    <w:lvl w:ilvl="3" w:tplc="2950429C" w:tentative="1">
      <w:start w:val="1"/>
      <w:numFmt w:val="bullet"/>
      <w:lvlText w:val="•"/>
      <w:lvlJc w:val="left"/>
      <w:pPr>
        <w:tabs>
          <w:tab w:val="num" w:pos="2880"/>
        </w:tabs>
        <w:ind w:left="2880" w:hanging="360"/>
      </w:pPr>
      <w:rPr>
        <w:rFonts w:ascii="Arial" w:hAnsi="Arial" w:hint="default"/>
      </w:rPr>
    </w:lvl>
    <w:lvl w:ilvl="4" w:tplc="E3E68742" w:tentative="1">
      <w:start w:val="1"/>
      <w:numFmt w:val="bullet"/>
      <w:lvlText w:val="•"/>
      <w:lvlJc w:val="left"/>
      <w:pPr>
        <w:tabs>
          <w:tab w:val="num" w:pos="3600"/>
        </w:tabs>
        <w:ind w:left="3600" w:hanging="360"/>
      </w:pPr>
      <w:rPr>
        <w:rFonts w:ascii="Arial" w:hAnsi="Arial" w:hint="default"/>
      </w:rPr>
    </w:lvl>
    <w:lvl w:ilvl="5" w:tplc="62CCB3C4" w:tentative="1">
      <w:start w:val="1"/>
      <w:numFmt w:val="bullet"/>
      <w:lvlText w:val="•"/>
      <w:lvlJc w:val="left"/>
      <w:pPr>
        <w:tabs>
          <w:tab w:val="num" w:pos="4320"/>
        </w:tabs>
        <w:ind w:left="4320" w:hanging="360"/>
      </w:pPr>
      <w:rPr>
        <w:rFonts w:ascii="Arial" w:hAnsi="Arial" w:hint="default"/>
      </w:rPr>
    </w:lvl>
    <w:lvl w:ilvl="6" w:tplc="E2823DE6" w:tentative="1">
      <w:start w:val="1"/>
      <w:numFmt w:val="bullet"/>
      <w:lvlText w:val="•"/>
      <w:lvlJc w:val="left"/>
      <w:pPr>
        <w:tabs>
          <w:tab w:val="num" w:pos="5040"/>
        </w:tabs>
        <w:ind w:left="5040" w:hanging="360"/>
      </w:pPr>
      <w:rPr>
        <w:rFonts w:ascii="Arial" w:hAnsi="Arial" w:hint="default"/>
      </w:rPr>
    </w:lvl>
    <w:lvl w:ilvl="7" w:tplc="FC5C1EB0" w:tentative="1">
      <w:start w:val="1"/>
      <w:numFmt w:val="bullet"/>
      <w:lvlText w:val="•"/>
      <w:lvlJc w:val="left"/>
      <w:pPr>
        <w:tabs>
          <w:tab w:val="num" w:pos="5760"/>
        </w:tabs>
        <w:ind w:left="5760" w:hanging="360"/>
      </w:pPr>
      <w:rPr>
        <w:rFonts w:ascii="Arial" w:hAnsi="Arial" w:hint="default"/>
      </w:rPr>
    </w:lvl>
    <w:lvl w:ilvl="8" w:tplc="ADD0B12E" w:tentative="1">
      <w:start w:val="1"/>
      <w:numFmt w:val="bullet"/>
      <w:lvlText w:val="•"/>
      <w:lvlJc w:val="left"/>
      <w:pPr>
        <w:tabs>
          <w:tab w:val="num" w:pos="6480"/>
        </w:tabs>
        <w:ind w:left="6480" w:hanging="360"/>
      </w:pPr>
      <w:rPr>
        <w:rFonts w:ascii="Arial" w:hAnsi="Arial" w:hint="default"/>
      </w:rPr>
    </w:lvl>
  </w:abstractNum>
  <w:num w:numId="1" w16cid:durableId="421344796">
    <w:abstractNumId w:val="2"/>
  </w:num>
  <w:num w:numId="2" w16cid:durableId="22559481">
    <w:abstractNumId w:val="1"/>
  </w:num>
  <w:num w:numId="3" w16cid:durableId="1266956533">
    <w:abstractNumId w:val="0"/>
  </w:num>
  <w:num w:numId="4" w16cid:durableId="62766143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2"/>
    <w:compatSetting w:name="useWord2013TrackBottomHyphenation" w:uri="http://schemas.microsoft.com/office/word" w:val="1"/>
  </w:compat>
  <w:rsids>
    <w:rsidRoot w:val="003A761E"/>
    <w:rsid w:val="000D0B2C"/>
    <w:rsid w:val="00284C6B"/>
    <w:rsid w:val="002B5379"/>
    <w:rsid w:val="002E552A"/>
    <w:rsid w:val="00300462"/>
    <w:rsid w:val="00356621"/>
    <w:rsid w:val="003A761E"/>
    <w:rsid w:val="006B1594"/>
    <w:rsid w:val="0072093A"/>
    <w:rsid w:val="0079761C"/>
    <w:rsid w:val="007A6494"/>
    <w:rsid w:val="00827F79"/>
    <w:rsid w:val="008919F1"/>
    <w:rsid w:val="009D407B"/>
    <w:rsid w:val="00AB64E1"/>
    <w:rsid w:val="00B97578"/>
    <w:rsid w:val="00D2075F"/>
    <w:rsid w:val="00EF31DB"/>
    <w:rsid w:val="00F034D7"/>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23BCE4"/>
  <w15:docId w15:val="{67817984-73E1-42E2-B6E1-E62B8E8FA14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A761E"/>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81364693">
      <w:bodyDiv w:val="1"/>
      <w:marLeft w:val="0"/>
      <w:marRight w:val="0"/>
      <w:marTop w:val="0"/>
      <w:marBottom w:val="0"/>
      <w:divBdr>
        <w:top w:val="none" w:sz="0" w:space="0" w:color="auto"/>
        <w:left w:val="none" w:sz="0" w:space="0" w:color="auto"/>
        <w:bottom w:val="none" w:sz="0" w:space="0" w:color="auto"/>
        <w:right w:val="none" w:sz="0" w:space="0" w:color="auto"/>
      </w:divBdr>
    </w:div>
    <w:div w:id="426657620">
      <w:bodyDiv w:val="1"/>
      <w:marLeft w:val="0"/>
      <w:marRight w:val="0"/>
      <w:marTop w:val="0"/>
      <w:marBottom w:val="0"/>
      <w:divBdr>
        <w:top w:val="none" w:sz="0" w:space="0" w:color="auto"/>
        <w:left w:val="none" w:sz="0" w:space="0" w:color="auto"/>
        <w:bottom w:val="none" w:sz="0" w:space="0" w:color="auto"/>
        <w:right w:val="none" w:sz="0" w:space="0" w:color="auto"/>
      </w:divBdr>
    </w:div>
    <w:div w:id="748037187">
      <w:bodyDiv w:val="1"/>
      <w:marLeft w:val="0"/>
      <w:marRight w:val="0"/>
      <w:marTop w:val="0"/>
      <w:marBottom w:val="0"/>
      <w:divBdr>
        <w:top w:val="none" w:sz="0" w:space="0" w:color="auto"/>
        <w:left w:val="none" w:sz="0" w:space="0" w:color="auto"/>
        <w:bottom w:val="none" w:sz="0" w:space="0" w:color="auto"/>
        <w:right w:val="none" w:sz="0" w:space="0" w:color="auto"/>
      </w:divBdr>
    </w:div>
    <w:div w:id="880246460">
      <w:bodyDiv w:val="1"/>
      <w:marLeft w:val="0"/>
      <w:marRight w:val="0"/>
      <w:marTop w:val="0"/>
      <w:marBottom w:val="0"/>
      <w:divBdr>
        <w:top w:val="none" w:sz="0" w:space="0" w:color="auto"/>
        <w:left w:val="none" w:sz="0" w:space="0" w:color="auto"/>
        <w:bottom w:val="none" w:sz="0" w:space="0" w:color="auto"/>
        <w:right w:val="none" w:sz="0" w:space="0" w:color="auto"/>
      </w:divBdr>
    </w:div>
    <w:div w:id="900481670">
      <w:bodyDiv w:val="1"/>
      <w:marLeft w:val="0"/>
      <w:marRight w:val="0"/>
      <w:marTop w:val="0"/>
      <w:marBottom w:val="0"/>
      <w:divBdr>
        <w:top w:val="none" w:sz="0" w:space="0" w:color="auto"/>
        <w:left w:val="none" w:sz="0" w:space="0" w:color="auto"/>
        <w:bottom w:val="none" w:sz="0" w:space="0" w:color="auto"/>
        <w:right w:val="none" w:sz="0" w:space="0" w:color="auto"/>
      </w:divBdr>
    </w:div>
    <w:div w:id="2126803530">
      <w:bodyDiv w:val="1"/>
      <w:marLeft w:val="0"/>
      <w:marRight w:val="0"/>
      <w:marTop w:val="0"/>
      <w:marBottom w:val="0"/>
      <w:divBdr>
        <w:top w:val="none" w:sz="0" w:space="0" w:color="auto"/>
        <w:left w:val="none" w:sz="0" w:space="0" w:color="auto"/>
        <w:bottom w:val="none" w:sz="0" w:space="0" w:color="auto"/>
        <w:right w:val="none" w:sz="0" w:space="0" w:color="auto"/>
      </w:divBdr>
      <w:divsChild>
        <w:div w:id="1244412622">
          <w:marLeft w:val="360"/>
          <w:marRight w:val="0"/>
          <w:marTop w:val="20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hyperlink" Target="https://doi.org/10.1093/medlaw/fwy020" TargetMode="External"/><Relationship Id="rId3" Type="http://schemas.openxmlformats.org/officeDocument/2006/relationships/settings" Target="settings.xml"/><Relationship Id="rId7" Type="http://schemas.openxmlformats.org/officeDocument/2006/relationships/hyperlink" Target="https://doi.org/10.1136/bmj.311.6996.42"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doi.org/10.1136/jme.29.1.36" TargetMode="External"/><Relationship Id="rId5" Type="http://schemas.openxmlformats.org/officeDocument/2006/relationships/hyperlink" Target="https://doi.org/10.3928/01484834-20151110-01" TargetMode="Externa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4</Pages>
  <Words>881</Words>
  <Characters>5024</Characters>
  <Application>Microsoft Office Word</Application>
  <DocSecurity>0</DocSecurity>
  <Lines>41</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5894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marlene roderick</dc:creator>
  <cp:keywords/>
  <dc:description/>
  <cp:lastModifiedBy>camelia golgozeanu</cp:lastModifiedBy>
  <cp:revision>2</cp:revision>
  <dcterms:created xsi:type="dcterms:W3CDTF">2023-11-14T05:36:00Z</dcterms:created>
  <dcterms:modified xsi:type="dcterms:W3CDTF">2024-04-28T14:46:00Z</dcterms:modified>
</cp:coreProperties>
</file>