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17504" w:rsidRDefault="006A4373" w:rsidP="00AE2B26">
      <w:pPr>
        <w:jc w:val="center"/>
      </w:pPr>
      <w:proofErr w:type="gramStart"/>
      <w:r>
        <w:t>Th</w:t>
      </w:r>
      <w:r w:rsidR="00DE0178">
        <w:t>an</w:t>
      </w:r>
      <w:proofErr w:type="gramEnd"/>
      <w:r w:rsidR="00DE0178">
        <w:t xml:space="preserve"> analysis of th</w:t>
      </w:r>
      <w:r>
        <w:t>e perceived employability of psychology graduates and</w:t>
      </w:r>
      <w:r w:rsidR="00D51559">
        <w:t xml:space="preserve"> the relationship to</w:t>
      </w:r>
      <w:r>
        <w:t xml:space="preserve"> their career destinations</w:t>
      </w:r>
    </w:p>
    <w:p w:rsidR="00AE2B26" w:rsidRDefault="00AE2B26"/>
    <w:p w:rsidR="00AE2B26" w:rsidRDefault="00AE2B26"/>
    <w:p w:rsidR="001B75FF" w:rsidRDefault="00317504" w:rsidP="006A4373">
      <w:pPr>
        <w:pStyle w:val="ListParagraph"/>
        <w:numPr>
          <w:ilvl w:val="0"/>
          <w:numId w:val="1"/>
        </w:numPr>
      </w:pPr>
      <w:r>
        <w:t>W</w:t>
      </w:r>
      <w:r w:rsidR="006A4373">
        <w:t>hat is a literature review</w:t>
      </w:r>
    </w:p>
    <w:p w:rsidR="00C848BA" w:rsidRDefault="00C848BA" w:rsidP="00C848BA"/>
    <w:p w:rsidR="00C848BA" w:rsidRDefault="00C848BA" w:rsidP="00C848BA">
      <w:r>
        <w:t xml:space="preserve">The review attempts to determine what is known on the topic, how well this knowledge is established and where future </w:t>
      </w:r>
      <w:r w:rsidR="00050272">
        <w:t>research</w:t>
      </w:r>
      <w:r>
        <w:t xml:space="preserve"> might be best delivered</w:t>
      </w:r>
      <w:r w:rsidR="00050272">
        <w:t xml:space="preserve"> (University of Melbourne, 2013).</w:t>
      </w:r>
    </w:p>
    <w:p w:rsidR="006A4373" w:rsidRDefault="006A4373" w:rsidP="006A4373">
      <w:pPr>
        <w:pStyle w:val="ListParagraph"/>
        <w:ind w:left="360"/>
      </w:pPr>
    </w:p>
    <w:p w:rsidR="00AA6253" w:rsidRDefault="00AA6253" w:rsidP="00317504">
      <w:r>
        <w:t xml:space="preserve">Within the domain of academic exploration and investigation, the literature review </w:t>
      </w:r>
      <w:r w:rsidR="00A46C07">
        <w:t>stands as a foundation, providing a comprehensive synthesis of existing knowledge, insights, and perspectives relevant to a particular topic or research question. Typically positioned at the inception of a research undertaking, the literature review serves multiple crucial functions that contribute to depth, rigor and significance of subsequent research</w:t>
      </w:r>
      <w:r w:rsidR="002525DC">
        <w:t xml:space="preserve"> (Winchester and </w:t>
      </w:r>
      <w:proofErr w:type="spellStart"/>
      <w:r w:rsidR="002525DC">
        <w:t>Salji</w:t>
      </w:r>
      <w:proofErr w:type="spellEnd"/>
      <w:r w:rsidR="002525DC">
        <w:t>, 2016)</w:t>
      </w:r>
      <w:r w:rsidR="00A46C07">
        <w:t xml:space="preserve">. </w:t>
      </w:r>
    </w:p>
    <w:p w:rsidR="00050272" w:rsidRDefault="00050272" w:rsidP="00317504"/>
    <w:p w:rsidR="00050272" w:rsidRDefault="00050272" w:rsidP="00317504">
      <w:r>
        <w:t>Junior research</w:t>
      </w:r>
      <w:r w:rsidR="0088045C">
        <w:t>ers</w:t>
      </w:r>
      <w:r>
        <w:t xml:space="preserve"> often </w:t>
      </w:r>
      <w:r w:rsidR="0088045C">
        <w:t>neglect</w:t>
      </w:r>
      <w:r>
        <w:t xml:space="preserve"> a critical review, in favour of instant data collection, producing naïve, uninformed underpinnings</w:t>
      </w:r>
      <w:r w:rsidR="00E124D9">
        <w:t xml:space="preserve"> (</w:t>
      </w:r>
      <w:proofErr w:type="spellStart"/>
      <w:r w:rsidR="00E124D9">
        <w:t>Meesala</w:t>
      </w:r>
      <w:proofErr w:type="spellEnd"/>
      <w:r w:rsidR="00E124D9">
        <w:t xml:space="preserve">, 2014). </w:t>
      </w:r>
    </w:p>
    <w:p w:rsidR="0088045C" w:rsidRDefault="0088045C" w:rsidP="00317504"/>
    <w:p w:rsidR="00C64BC4" w:rsidRDefault="00C64BC4" w:rsidP="00317504">
      <w:r>
        <w:t xml:space="preserve">The literature review </w:t>
      </w:r>
      <w:r w:rsidR="00C36EEA">
        <w:t>offers the opportunity to contextualise one research within the broader landscape of existing literature. By visiting relevant literature,</w:t>
      </w:r>
      <w:r w:rsidR="003903F9">
        <w:t xml:space="preserve"> main points such as</w:t>
      </w:r>
      <w:r w:rsidR="00C36EEA">
        <w:t xml:space="preserve"> </w:t>
      </w:r>
      <w:r w:rsidR="00BB25D9">
        <w:t>the current state of knowledge can be identified, as well as key discussions, theoretical frameworks, methodologies and gaps in understanding within a particular field of inquiry</w:t>
      </w:r>
      <w:r w:rsidR="003903F9">
        <w:t xml:space="preserve"> </w:t>
      </w:r>
      <w:r w:rsidR="003C3E88">
        <w:t>(Hart, 2018)</w:t>
      </w:r>
      <w:r w:rsidR="00BB25D9">
        <w:t xml:space="preserve">. </w:t>
      </w:r>
    </w:p>
    <w:p w:rsidR="00730CC7" w:rsidRDefault="00730CC7" w:rsidP="00317504"/>
    <w:p w:rsidR="00192443" w:rsidRDefault="00192443" w:rsidP="00317504">
      <w:r>
        <w:t>One of the primary objectives of a literature review is to emphasise any gaps, inconsistencies, or unresolved questions in the existing literature.</w:t>
      </w:r>
      <w:r w:rsidR="006570CB">
        <w:t xml:space="preserve"> These </w:t>
      </w:r>
      <w:r w:rsidR="0063297F">
        <w:t xml:space="preserve">gaps </w:t>
      </w:r>
      <w:r w:rsidR="006570CB">
        <w:t>can be identified</w:t>
      </w:r>
      <w:r w:rsidR="00D44822">
        <w:t xml:space="preserve"> </w:t>
      </w:r>
      <w:r w:rsidR="0063297F">
        <w:t xml:space="preserve">for further research </w:t>
      </w:r>
      <w:r w:rsidR="00D44822">
        <w:t>and pinpointed</w:t>
      </w:r>
      <w:r w:rsidR="006570CB">
        <w:t xml:space="preserve"> by </w:t>
      </w:r>
      <w:r w:rsidR="0063297F">
        <w:t xml:space="preserve">undertaking </w:t>
      </w:r>
      <w:r w:rsidR="006570CB">
        <w:t>critical evaluation of the previous studies</w:t>
      </w:r>
      <w:r w:rsidR="00FC4BA2">
        <w:t xml:space="preserve"> </w:t>
      </w:r>
      <w:r w:rsidR="00FC1391">
        <w:t>(Simeon, 2021).</w:t>
      </w:r>
      <w:r w:rsidR="008D4423">
        <w:t xml:space="preserve"> </w:t>
      </w:r>
      <w:r w:rsidR="006E1A37">
        <w:t>These gaps may arise from methodological limitations, contradictory findings, evolving theoretical perspectives or emerging trends within the field (</w:t>
      </w:r>
      <w:r w:rsidR="00AA669C">
        <w:t>Müller-Bloch and Kranz, 2015)</w:t>
      </w:r>
      <w:r w:rsidR="00730CC7">
        <w:t xml:space="preserve"> (please see figure 1)</w:t>
      </w:r>
      <w:r w:rsidR="00AA669C">
        <w:t>.</w:t>
      </w:r>
    </w:p>
    <w:p w:rsidR="009801C3" w:rsidRDefault="009801C3" w:rsidP="00317504"/>
    <w:p w:rsidR="00730CC7" w:rsidRDefault="00730CC7" w:rsidP="00730CC7">
      <w:r>
        <w:rPr>
          <w:noProof/>
        </w:rPr>
        <w:lastRenderedPageBreak/>
        <w:drawing>
          <wp:inline distT="0" distB="0" distL="0" distR="0" wp14:anchorId="51AFE611" wp14:editId="641A02B3">
            <wp:extent cx="5267325" cy="2720340"/>
            <wp:effectExtent l="0" t="0" r="9525" b="3810"/>
            <wp:docPr id="4513830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7325" cy="2720340"/>
                    </a:xfrm>
                    <a:prstGeom prst="rect">
                      <a:avLst/>
                    </a:prstGeom>
                    <a:noFill/>
                  </pic:spPr>
                </pic:pic>
              </a:graphicData>
            </a:graphic>
          </wp:inline>
        </w:drawing>
      </w:r>
    </w:p>
    <w:p w:rsidR="00730CC7" w:rsidRDefault="00730CC7" w:rsidP="00730CC7">
      <w:r>
        <w:t>Figure 1: Hart (2018)</w:t>
      </w:r>
    </w:p>
    <w:p w:rsidR="00C52560" w:rsidRDefault="00C52560" w:rsidP="00730CC7"/>
    <w:p w:rsidR="00730CC7" w:rsidRDefault="00730CC7" w:rsidP="00317504"/>
    <w:p w:rsidR="00730CC7" w:rsidRDefault="00730CC7" w:rsidP="00317504">
      <w:r>
        <w:rPr>
          <w:noProof/>
        </w:rPr>
        <w:drawing>
          <wp:inline distT="0" distB="0" distL="0" distR="0" wp14:anchorId="10C26250" wp14:editId="0C42564E">
            <wp:extent cx="5943600" cy="3952640"/>
            <wp:effectExtent l="0" t="0" r="0" b="0"/>
            <wp:docPr id="1216616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952640"/>
                    </a:xfrm>
                    <a:prstGeom prst="rect">
                      <a:avLst/>
                    </a:prstGeom>
                    <a:noFill/>
                  </pic:spPr>
                </pic:pic>
              </a:graphicData>
            </a:graphic>
          </wp:inline>
        </w:drawing>
      </w:r>
    </w:p>
    <w:p w:rsidR="00730CC7" w:rsidRDefault="00730CC7" w:rsidP="00317504">
      <w:r>
        <w:t>Figure 2: Hart (2018)</w:t>
      </w:r>
    </w:p>
    <w:p w:rsidR="00730CC7" w:rsidRDefault="00730CC7" w:rsidP="00317504"/>
    <w:p w:rsidR="00730CC7" w:rsidRDefault="00730CC7" w:rsidP="00317504">
      <w:r>
        <w:t xml:space="preserve">However, the researcher is always adapting and revising the literature, hence the process is circular, illustrated by Fig.2. </w:t>
      </w:r>
    </w:p>
    <w:p w:rsidR="00730CC7" w:rsidRDefault="00730CC7" w:rsidP="00317504"/>
    <w:p w:rsidR="008A5B51" w:rsidRDefault="007C406B" w:rsidP="00317504">
      <w:r>
        <w:lastRenderedPageBreak/>
        <w:t xml:space="preserve">In order to </w:t>
      </w:r>
      <w:r w:rsidR="002470B0">
        <w:t>perform a suitable l</w:t>
      </w:r>
      <w:r w:rsidR="00B6428E">
        <w:t>iterature review</w:t>
      </w:r>
      <w:r w:rsidR="002470B0">
        <w:t>, it is essential to understand that they</w:t>
      </w:r>
      <w:r w:rsidR="00B6428E">
        <w:t xml:space="preserve"> </w:t>
      </w:r>
      <w:r w:rsidR="00D8675F">
        <w:t>serve many purposes and their focus varies based on the goals of the review and the context of the subject studied; the</w:t>
      </w:r>
      <w:r w:rsidR="00D26A93">
        <w:t xml:space="preserve"> existing literature mentions a various number of different literature review types, </w:t>
      </w:r>
      <w:r w:rsidR="008A5B51">
        <w:t xml:space="preserve">suggesting that the </w:t>
      </w:r>
      <w:r w:rsidR="00DA7381">
        <w:t xml:space="preserve">researchers are still debating the exact number and </w:t>
      </w:r>
      <w:r w:rsidR="00275FA0">
        <w:t xml:space="preserve">kind of the reviews. </w:t>
      </w:r>
    </w:p>
    <w:p w:rsidR="00730CC7" w:rsidRDefault="00730CC7" w:rsidP="00317504"/>
    <w:p w:rsidR="00B6428E" w:rsidRDefault="008A5B51" w:rsidP="00317504">
      <w:r>
        <w:t>The main</w:t>
      </w:r>
      <w:r w:rsidR="00D8675F">
        <w:t xml:space="preserve"> different literature reviews</w:t>
      </w:r>
      <w:r>
        <w:t xml:space="preserve"> occurred from the existing body of literature</w:t>
      </w:r>
      <w:r w:rsidR="00D8675F">
        <w:t xml:space="preserve"> are:</w:t>
      </w:r>
      <w:r w:rsidR="004C7CEA">
        <w:t xml:space="preserve"> t</w:t>
      </w:r>
      <w:r w:rsidR="00610626">
        <w:t xml:space="preserve">raditional (narrative) literature review, systematic literature review, meta-analysis review, scoping review, theoretical literature review, historical review, argumentative review and conceptual literature review. </w:t>
      </w:r>
    </w:p>
    <w:p w:rsidR="00730CC7" w:rsidRDefault="00730CC7" w:rsidP="00317504"/>
    <w:p w:rsidR="00730CC7" w:rsidRDefault="00730CC7" w:rsidP="00317504">
      <w:r>
        <w:t>Authors have different numbers of possible formats. Grant and Booth (2009) identify 14 types. Different formats will vary in application depending on the research project, resources available (including time</w:t>
      </w:r>
      <w:r w:rsidR="000127FA">
        <w:t xml:space="preserve">), the planned publication and level of research. </w:t>
      </w:r>
    </w:p>
    <w:p w:rsidR="000127FA" w:rsidRDefault="000127FA" w:rsidP="00317504"/>
    <w:p w:rsidR="000127FA" w:rsidRDefault="000127FA" w:rsidP="00317504">
      <w:r>
        <w:t xml:space="preserve">Figure 3 narrows the review to 5 formats, but does identify positive/negative features on each on sliding scales. </w:t>
      </w:r>
    </w:p>
    <w:p w:rsidR="004A0734" w:rsidRDefault="004A0734" w:rsidP="00317504"/>
    <w:p w:rsidR="004A0734" w:rsidRDefault="004A0734" w:rsidP="00317504">
      <w:r w:rsidRPr="0061112B">
        <w:rPr>
          <w:rFonts w:ascii="Arial" w:hAnsi="Arial" w:cs="Arial"/>
          <w:noProof/>
        </w:rPr>
        <w:drawing>
          <wp:inline distT="0" distB="0" distL="0" distR="0" wp14:anchorId="08DC4616" wp14:editId="05797590">
            <wp:extent cx="5523230" cy="3270885"/>
            <wp:effectExtent l="0" t="0" r="1270" b="5715"/>
            <wp:docPr id="1989773149" name="Picture 1" descr="A diagram of a revie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773149" name="Picture 1" descr="A diagram of a review&#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3230" cy="3270885"/>
                    </a:xfrm>
                    <a:prstGeom prst="rect">
                      <a:avLst/>
                    </a:prstGeom>
                    <a:noFill/>
                  </pic:spPr>
                </pic:pic>
              </a:graphicData>
            </a:graphic>
          </wp:inline>
        </w:drawing>
      </w:r>
    </w:p>
    <w:p w:rsidR="004A0734" w:rsidRDefault="004A0734" w:rsidP="00317504"/>
    <w:p w:rsidR="004A0734" w:rsidRPr="00053973" w:rsidRDefault="004A0734" w:rsidP="004A0734">
      <w:pPr>
        <w:rPr>
          <w:rFonts w:cstheme="minorHAnsi"/>
        </w:rPr>
      </w:pPr>
      <w:r w:rsidRPr="00053973">
        <w:rPr>
          <w:rFonts w:cstheme="minorHAnsi"/>
        </w:rPr>
        <w:t>Figure 3. Evaluation of different formats of literature review (Source: Charles Sturt University, 2024)</w:t>
      </w:r>
    </w:p>
    <w:p w:rsidR="004A0734" w:rsidRDefault="004A0734" w:rsidP="00317504"/>
    <w:p w:rsidR="004A0734" w:rsidRDefault="004A0734" w:rsidP="00317504"/>
    <w:p w:rsidR="00653961" w:rsidRDefault="00653961" w:rsidP="00317504">
      <w:r>
        <w:t>A traditional</w:t>
      </w:r>
      <w:r w:rsidR="006F57EA">
        <w:t xml:space="preserve"> (narrative)</w:t>
      </w:r>
      <w:r>
        <w:t xml:space="preserve"> literature review is a qualitative </w:t>
      </w:r>
      <w:r w:rsidR="003662AB">
        <w:t>synthesis</w:t>
      </w:r>
      <w:r w:rsidR="003678C6">
        <w:t xml:space="preserve"> –</w:t>
      </w:r>
      <w:r w:rsidR="00F37CB4">
        <w:t xml:space="preserve"> which offers no methodology</w:t>
      </w:r>
      <w:r w:rsidR="003678C6">
        <w:t xml:space="preserve"> –</w:t>
      </w:r>
      <w:r w:rsidR="003662AB">
        <w:t xml:space="preserve"> of existing research within a specific field of subject, characterised by a narrative structure that organises and interprets the literature. The main aim of a traditional </w:t>
      </w:r>
      <w:r w:rsidR="003662AB">
        <w:lastRenderedPageBreak/>
        <w:t>review is to</w:t>
      </w:r>
      <w:r w:rsidR="003970E1">
        <w:t xml:space="preserve"> provide a comprehensive overview of the current state of knowledge</w:t>
      </w:r>
      <w:r w:rsidR="004D61BA">
        <w:t xml:space="preserve"> (</w:t>
      </w:r>
      <w:proofErr w:type="spellStart"/>
      <w:r w:rsidR="004D61BA">
        <w:t>Jesson</w:t>
      </w:r>
      <w:proofErr w:type="spellEnd"/>
      <w:r w:rsidR="004D61BA">
        <w:t>, Matheson and Lacey, 2011)</w:t>
      </w:r>
      <w:r w:rsidR="008F3414">
        <w:t>, complemented by individual contribution and interpretation, as mentioned by Blum</w:t>
      </w:r>
      <w:r w:rsidR="004D61BA">
        <w:t>b</w:t>
      </w:r>
      <w:r w:rsidR="008F3414">
        <w:t>erg et al. (20</w:t>
      </w:r>
      <w:r w:rsidR="0097024E">
        <w:t>14</w:t>
      </w:r>
      <w:r w:rsidR="008F3414">
        <w:t>).</w:t>
      </w:r>
    </w:p>
    <w:p w:rsidR="0041282A" w:rsidRDefault="0041282A" w:rsidP="00317504"/>
    <w:p w:rsidR="00A02E12" w:rsidRDefault="00A02E12" w:rsidP="00317504">
      <w:r>
        <w:t xml:space="preserve">A traditional (narrative) literature review could be found suitable for the subject of this paper that assess “The perceived employability of Psychology graduates </w:t>
      </w:r>
      <w:r w:rsidR="001221E3">
        <w:t xml:space="preserve">and their career destinations” </w:t>
      </w:r>
      <w:r>
        <w:t>due to the review’s nature that allows a complex understanding of the subject</w:t>
      </w:r>
      <w:r w:rsidR="00C402B5">
        <w:t xml:space="preserve"> studied. The subject’s multifaced topics</w:t>
      </w:r>
      <w:r w:rsidR="00323E44">
        <w:t xml:space="preserve"> and factors such as education, skills training, market demands and career pathways</w:t>
      </w:r>
      <w:r w:rsidR="00C402B5">
        <w:t xml:space="preserve"> could be well-suited </w:t>
      </w:r>
      <w:r w:rsidR="00323E44">
        <w:t>for a traditional</w:t>
      </w:r>
      <w:r w:rsidR="00C402B5">
        <w:t xml:space="preserve"> literature. </w:t>
      </w:r>
      <w:r w:rsidR="00323E44">
        <w:t>However, this research aims</w:t>
      </w:r>
      <w:r w:rsidR="0031225A">
        <w:t xml:space="preserve"> pursue a literature that</w:t>
      </w:r>
      <w:r w:rsidR="00323E44">
        <w:t xml:space="preserve"> emphasise</w:t>
      </w:r>
      <w:r w:rsidR="0075111D">
        <w:t>s</w:t>
      </w:r>
      <w:r w:rsidR="00323E44">
        <w:t xml:space="preserve"> </w:t>
      </w:r>
      <w:r w:rsidR="001320C5">
        <w:t xml:space="preserve">gaps within the body of the literature and focus on theories related to perceived employability and </w:t>
      </w:r>
      <w:r w:rsidR="005A0208">
        <w:t>career trajectories</w:t>
      </w:r>
      <w:r w:rsidR="001320C5">
        <w:t xml:space="preserve"> of the psychology graduates</w:t>
      </w:r>
      <w:r w:rsidR="000D1199">
        <w:t>.</w:t>
      </w:r>
    </w:p>
    <w:p w:rsidR="0041282A" w:rsidRDefault="0041282A" w:rsidP="00317504"/>
    <w:p w:rsidR="0041282A" w:rsidRDefault="0041282A" w:rsidP="00317504">
      <w:r>
        <w:rPr>
          <w:noProof/>
        </w:rPr>
        <w:drawing>
          <wp:inline distT="0" distB="0" distL="0" distR="0" wp14:anchorId="24789DAB" wp14:editId="42455F25">
            <wp:extent cx="5257800" cy="3550920"/>
            <wp:effectExtent l="0" t="0" r="0" b="0"/>
            <wp:docPr id="15178582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3550920"/>
                    </a:xfrm>
                    <a:prstGeom prst="rect">
                      <a:avLst/>
                    </a:prstGeom>
                    <a:noFill/>
                  </pic:spPr>
                </pic:pic>
              </a:graphicData>
            </a:graphic>
          </wp:inline>
        </w:drawing>
      </w:r>
    </w:p>
    <w:p w:rsidR="0041282A" w:rsidRDefault="0041282A" w:rsidP="00317504"/>
    <w:p w:rsidR="0041282A" w:rsidRDefault="0041282A" w:rsidP="00317504">
      <w:r>
        <w:t>Figure 4: Hart (2018)</w:t>
      </w:r>
    </w:p>
    <w:p w:rsidR="0041282A" w:rsidRDefault="0041282A" w:rsidP="00317504"/>
    <w:p w:rsidR="0041282A" w:rsidRDefault="0041282A" w:rsidP="00317504">
      <w:r>
        <w:t xml:space="preserve">Figure 4 from Hart (2018) identifies the key questions in a literature search and the location of the concept and application in the epistemological/ontological spectrum. </w:t>
      </w:r>
    </w:p>
    <w:p w:rsidR="0041282A" w:rsidRDefault="0041282A" w:rsidP="00317504"/>
    <w:p w:rsidR="0031225A" w:rsidRDefault="0031225A" w:rsidP="00317504">
      <w:r>
        <w:t>A systematic literature review is a s</w:t>
      </w:r>
      <w:r w:rsidR="0087039F">
        <w:t xml:space="preserve">ystematic </w:t>
      </w:r>
      <w:r w:rsidR="00A93268">
        <w:t>qualitative</w:t>
      </w:r>
      <w:r>
        <w:t xml:space="preserve"> approach to examining the existing research literature on a specific topic</w:t>
      </w:r>
      <w:r w:rsidR="00A45529">
        <w:t xml:space="preserve"> in a transparent and reproducible way, while including only the qualit</w:t>
      </w:r>
      <w:r w:rsidR="00A93268">
        <w:t>ative</w:t>
      </w:r>
      <w:r w:rsidR="00A45529">
        <w:t xml:space="preserve"> evidence (Lame, 2019)</w:t>
      </w:r>
      <w:r>
        <w:t>. It begins with a clearly defined research question which establishes the criteria for relevant studies (</w:t>
      </w:r>
      <w:proofErr w:type="spellStart"/>
      <w:r>
        <w:t>Jesson</w:t>
      </w:r>
      <w:proofErr w:type="spellEnd"/>
      <w:r>
        <w:t xml:space="preserve">, </w:t>
      </w:r>
      <w:proofErr w:type="spellStart"/>
      <w:r>
        <w:t>Mathson</w:t>
      </w:r>
      <w:proofErr w:type="spellEnd"/>
      <w:r>
        <w:t xml:space="preserve"> and Lacey, 2011).</w:t>
      </w:r>
      <w:r w:rsidR="00211D5B">
        <w:t xml:space="preserve"> One essential factor that distinguishes systematic reviews is that a priori delineation of relevant </w:t>
      </w:r>
      <w:r w:rsidR="00211D5B">
        <w:lastRenderedPageBreak/>
        <w:t>research is necessaire when performing this review</w:t>
      </w:r>
      <w:r w:rsidR="00A36B38">
        <w:t>, in order to establish the eligibility of the existing studies.</w:t>
      </w:r>
    </w:p>
    <w:p w:rsidR="0041282A" w:rsidRDefault="0041282A" w:rsidP="00317504"/>
    <w:p w:rsidR="0053565B" w:rsidRDefault="0053565B" w:rsidP="00317504">
      <w:r>
        <w:t>Systematic reviews are completed following the internationally approved PRISMA guidelines</w:t>
      </w:r>
      <w:r w:rsidR="00170057">
        <w:t xml:space="preserve"> (Please consult the Appendix for PRISMA 2020 Checklist</w:t>
      </w:r>
      <w:r w:rsidR="005119B6">
        <w:t>). Systematic reviews require</w:t>
      </w:r>
      <w:r>
        <w:t xml:space="preserve"> that eligibility criteria </w:t>
      </w:r>
      <w:r w:rsidR="005119B6">
        <w:t>are</w:t>
      </w:r>
      <w:r>
        <w:t xml:space="preserve"> presented right after the aims and objectives of the review, followed by the planned search procedure</w:t>
      </w:r>
      <w:r w:rsidR="00A36B38">
        <w:t xml:space="preserve"> (</w:t>
      </w:r>
      <w:proofErr w:type="spellStart"/>
      <w:r w:rsidR="007B6694">
        <w:t>Purssell</w:t>
      </w:r>
      <w:proofErr w:type="spellEnd"/>
      <w:r w:rsidR="007B6694">
        <w:t xml:space="preserve"> and McCrae, 2020). </w:t>
      </w:r>
    </w:p>
    <w:p w:rsidR="0041282A" w:rsidRDefault="0041282A" w:rsidP="00317504"/>
    <w:p w:rsidR="005119B6" w:rsidRDefault="005119B6" w:rsidP="00317504">
      <w:r>
        <w:t xml:space="preserve">Although this literature type </w:t>
      </w:r>
      <w:r w:rsidR="008C5BC6">
        <w:t>is well structured and complex, there are still some limitations</w:t>
      </w:r>
      <w:r w:rsidR="006B6797">
        <w:t xml:space="preserve"> which if not </w:t>
      </w:r>
      <w:r w:rsidR="008C5BC6">
        <w:t>considered</w:t>
      </w:r>
      <w:r w:rsidR="006B6797">
        <w:t xml:space="preserve"> would cancel the reliability and </w:t>
      </w:r>
      <w:r w:rsidR="00933419">
        <w:t>validity</w:t>
      </w:r>
      <w:r w:rsidR="008C5BC6">
        <w:t>, such as time constraints, risk of bias and heterogeneity of data in the existing body of literature</w:t>
      </w:r>
      <w:r w:rsidR="009876F7">
        <w:t xml:space="preserve"> (Owens, 2021).</w:t>
      </w:r>
    </w:p>
    <w:p w:rsidR="0041282A" w:rsidRDefault="0041282A" w:rsidP="00317504"/>
    <w:p w:rsidR="00211D5B" w:rsidRDefault="00A560FC" w:rsidP="00317504">
      <w:r>
        <w:t>Conducting a systematic literature review on “The perceived employability</w:t>
      </w:r>
      <w:r w:rsidR="00AD7170">
        <w:t xml:space="preserve"> </w:t>
      </w:r>
      <w:r>
        <w:t xml:space="preserve">of Psychology </w:t>
      </w:r>
      <w:r w:rsidR="00AD7170">
        <w:t>graduates and students</w:t>
      </w:r>
      <w:r w:rsidR="001221E3">
        <w:t xml:space="preserve"> and their career destinations</w:t>
      </w:r>
      <w:r>
        <w:t xml:space="preserve">” could be suitable due to the </w:t>
      </w:r>
      <w:r w:rsidR="00AD7170">
        <w:t xml:space="preserve">methodological </w:t>
      </w:r>
      <w:r>
        <w:t xml:space="preserve">nature of the </w:t>
      </w:r>
      <w:r w:rsidR="00AD7170">
        <w:t xml:space="preserve">research </w:t>
      </w:r>
      <w:r>
        <w:t xml:space="preserve">which allows a structured and rigorous approach to examining a broad range of factors influencing </w:t>
      </w:r>
      <w:r w:rsidR="00AD7170">
        <w:t xml:space="preserve">both </w:t>
      </w:r>
      <w:r>
        <w:t>perceived employability</w:t>
      </w:r>
      <w:r w:rsidR="00AD7170">
        <w:t xml:space="preserve"> and self-esteem</w:t>
      </w:r>
      <w:r w:rsidR="003317F6">
        <w:t>. Through predefined eligibility for study selection, data extraction and synthesis, a systematic review ensures objectivity and min</w:t>
      </w:r>
      <w:r w:rsidR="00283F68">
        <w:t>imises</w:t>
      </w:r>
      <w:r w:rsidR="003317F6">
        <w:t xml:space="preserve"> bias, factor that is essential for exploring such interconnected and multidimensional constructs.</w:t>
      </w:r>
      <w:r w:rsidR="003613E1">
        <w:t xml:space="preserve"> </w:t>
      </w:r>
      <w:r w:rsidR="00AE47B9">
        <w:t>However, this method may present a big limitation concer</w:t>
      </w:r>
      <w:r w:rsidR="004E6A7F">
        <w:t>n</w:t>
      </w:r>
      <w:r w:rsidR="00AE47B9">
        <w:t xml:space="preserve">ing the time required to be </w:t>
      </w:r>
      <w:r w:rsidR="00906DE5">
        <w:t xml:space="preserve">performed. </w:t>
      </w:r>
    </w:p>
    <w:p w:rsidR="0041282A" w:rsidRDefault="0041282A" w:rsidP="00317504"/>
    <w:p w:rsidR="00D462CF" w:rsidRDefault="009E144B" w:rsidP="00317504">
      <w:r>
        <w:t xml:space="preserve">A meta-analysis review is a type of </w:t>
      </w:r>
      <w:r w:rsidR="004A46F9">
        <w:t>systematic review</w:t>
      </w:r>
      <w:r w:rsidR="00A93268">
        <w:t>, but unlike the later one, meta-analysis</w:t>
      </w:r>
      <w:r w:rsidR="004A46F9">
        <w:t xml:space="preserve"> focuses specifically on qua</w:t>
      </w:r>
      <w:r w:rsidR="00CC6478">
        <w:t>nt</w:t>
      </w:r>
      <w:r w:rsidR="004A46F9">
        <w:t>itative data extracted from multiple studies to statistically synth</w:t>
      </w:r>
      <w:r w:rsidR="00CC6478">
        <w:t>esise and summarise the empirical findings on a particular subjec</w:t>
      </w:r>
      <w:r w:rsidR="0035350C">
        <w:t>t</w:t>
      </w:r>
      <w:r w:rsidR="00CC6478">
        <w:t>.</w:t>
      </w:r>
      <w:r w:rsidR="0035350C">
        <w:t xml:space="preserve"> </w:t>
      </w:r>
      <w:r w:rsidR="00A93268">
        <w:t>This approach is the most suitable when the research’s aim is to draw accurate statistical conclusions about the nature and direction of a relationship between variables</w:t>
      </w:r>
      <w:r w:rsidR="00002655">
        <w:t xml:space="preserve"> and moderator role in a particular area</w:t>
      </w:r>
      <w:r w:rsidR="00D462CF">
        <w:t xml:space="preserve"> (Paul and </w:t>
      </w:r>
      <w:proofErr w:type="spellStart"/>
      <w:r w:rsidR="00D462CF">
        <w:t>Barari</w:t>
      </w:r>
      <w:proofErr w:type="spellEnd"/>
      <w:r w:rsidR="00D462CF">
        <w:t>, 2022)</w:t>
      </w:r>
      <w:r w:rsidR="00A93268">
        <w:t>.</w:t>
      </w:r>
      <w:r w:rsidR="00D462CF">
        <w:t xml:space="preserve"> However, this review </w:t>
      </w:r>
      <w:r w:rsidR="00751C41">
        <w:t xml:space="preserve">type </w:t>
      </w:r>
      <w:r w:rsidR="00D462CF">
        <w:t>might present a weakness through the fact that the data is collected not only from reliable sources, thus allowing potential bias in the results</w:t>
      </w:r>
      <w:r w:rsidR="00751C41">
        <w:t>. Another limitation to this review is</w:t>
      </w:r>
      <w:r w:rsidR="00020DB8">
        <w:t xml:space="preserve"> represented by</w:t>
      </w:r>
      <w:r w:rsidR="00751C41">
        <w:t xml:space="preserve"> the possibility of heterogeneity to interfere with the results, should the researcher fail </w:t>
      </w:r>
      <w:r w:rsidR="00020DB8">
        <w:t xml:space="preserve">in </w:t>
      </w:r>
      <w:r w:rsidR="00751C41">
        <w:t>choosing the</w:t>
      </w:r>
      <w:r w:rsidR="00020DB8">
        <w:t xml:space="preserve"> correct sources</w:t>
      </w:r>
      <w:r w:rsidR="009C0759">
        <w:t xml:space="preserve"> (</w:t>
      </w:r>
      <w:proofErr w:type="spellStart"/>
      <w:r w:rsidR="009C0759" w:rsidRPr="009C0759">
        <w:t>Esterhuizen</w:t>
      </w:r>
      <w:proofErr w:type="spellEnd"/>
      <w:r w:rsidR="009C0759">
        <w:t xml:space="preserve"> and Thabane, 2016). </w:t>
      </w:r>
      <w:r w:rsidR="00751C41">
        <w:t xml:space="preserve"> </w:t>
      </w:r>
      <w:r w:rsidR="00D462CF">
        <w:t xml:space="preserve"> </w:t>
      </w:r>
    </w:p>
    <w:p w:rsidR="0041282A" w:rsidRDefault="0041282A" w:rsidP="00317504"/>
    <w:p w:rsidR="0041282A" w:rsidRDefault="00ED5A06" w:rsidP="00317504">
      <w:r>
        <w:t>A meta-analysis could be a suitable review for this research</w:t>
      </w:r>
      <w:r w:rsidR="005A7E25">
        <w:t xml:space="preserve">’s aim which wants to determine whether bedside manners (being a people person) and inspiring trust and knowledge (self-esteem) are essential traits for psychology professionals. </w:t>
      </w:r>
      <w:r w:rsidR="00990886">
        <w:t xml:space="preserve">By synthesising data from various studies, a meta-analysis can provide a comprehensive </w:t>
      </w:r>
      <w:r w:rsidR="00446ADD">
        <w:t xml:space="preserve">quantitative examination of how these specific traits are valued and their impact on professional effectiveness within the field of psychology. </w:t>
      </w:r>
      <w:r w:rsidR="00322792">
        <w:t xml:space="preserve">Thus, this type of review offers a thorough approach to understanding the significance of these qualities in psychology professionals. </w:t>
      </w:r>
    </w:p>
    <w:p w:rsidR="0041282A" w:rsidRDefault="0041282A" w:rsidP="00317504"/>
    <w:p w:rsidR="00A93268" w:rsidRDefault="00322792" w:rsidP="00317504">
      <w:r>
        <w:t xml:space="preserve">However, </w:t>
      </w:r>
      <w:r w:rsidR="00082AD8">
        <w:t>this method</w:t>
      </w:r>
      <w:r w:rsidR="0041282A">
        <w:t xml:space="preserve"> tends to be utilised by quantitative methods and depends on the researchers using the same variables and interpretations. Thus, this review type is deemed</w:t>
      </w:r>
      <w:r w:rsidR="00082AD8">
        <w:t xml:space="preserve"> </w:t>
      </w:r>
      <w:r w:rsidR="0041282A">
        <w:t xml:space="preserve">not </w:t>
      </w:r>
      <w:r w:rsidR="00082AD8">
        <w:t xml:space="preserve">feasible for this particular research </w:t>
      </w:r>
      <w:r w:rsidR="00FF28B0">
        <w:t xml:space="preserve">due to the research’s aim to </w:t>
      </w:r>
      <w:r w:rsidR="00C176BD">
        <w:t xml:space="preserve">offer a business application of </w:t>
      </w:r>
      <w:r w:rsidR="00C176BD">
        <w:lastRenderedPageBreak/>
        <w:t>the topic, hence why a more detailed and analytical method is perceived more appropriate</w:t>
      </w:r>
      <w:r w:rsidR="0011588B">
        <w:t xml:space="preserve"> – </w:t>
      </w:r>
      <w:r w:rsidR="00EC4B2D">
        <w:t xml:space="preserve">with an </w:t>
      </w:r>
      <w:r w:rsidR="0011588B">
        <w:t>analysis</w:t>
      </w:r>
      <w:r w:rsidR="00EC4B2D">
        <w:t xml:space="preserve"> of existing theories related to the subject and existing body of literature</w:t>
      </w:r>
      <w:r w:rsidR="00C176BD">
        <w:t>.</w:t>
      </w:r>
    </w:p>
    <w:p w:rsidR="0041282A" w:rsidRDefault="0041282A" w:rsidP="00317504"/>
    <w:p w:rsidR="007343DD" w:rsidRDefault="007343DD" w:rsidP="00317504">
      <w:r>
        <w:t xml:space="preserve">A scoping </w:t>
      </w:r>
      <w:r w:rsidR="00013F85">
        <w:t xml:space="preserve">literature </w:t>
      </w:r>
      <w:r>
        <w:t xml:space="preserve">review </w:t>
      </w:r>
      <w:r w:rsidR="0041731E">
        <w:t>was defined by the JBI Scoping Reviews Methodology Group as a review</w:t>
      </w:r>
      <w:r w:rsidR="00A42808">
        <w:t xml:space="preserve"> or an evidence synthesis that aims to systematically identify and highlight the </w:t>
      </w:r>
      <w:r w:rsidR="0087039F">
        <w:t>extent</w:t>
      </w:r>
      <w:r w:rsidR="00A42808">
        <w:t xml:space="preserve"> of evidence available regarding a particular subject, field, topic, concept, issue, etc. </w:t>
      </w:r>
      <w:r w:rsidR="00207101">
        <w:t xml:space="preserve">This review’s </w:t>
      </w:r>
      <w:r w:rsidR="00377C7E">
        <w:t>objective</w:t>
      </w:r>
      <w:r w:rsidR="00207101">
        <w:t xml:space="preserve"> is to </w:t>
      </w:r>
      <w:r w:rsidR="009504BD">
        <w:t>put emphasis</w:t>
      </w:r>
      <w:r w:rsidR="009C2F82">
        <w:t xml:space="preserve"> on key concepts and definitions </w:t>
      </w:r>
      <w:r w:rsidR="00A26D08">
        <w:t>found in the literature and to identify</w:t>
      </w:r>
      <w:r w:rsidR="00377C7E">
        <w:t xml:space="preserve"> gaps and</w:t>
      </w:r>
      <w:r w:rsidR="00A26D08">
        <w:t xml:space="preserve"> key factors or characteristics </w:t>
      </w:r>
      <w:r w:rsidR="00DB00CE">
        <w:t xml:space="preserve">linked to a particular subject </w:t>
      </w:r>
      <w:r w:rsidR="00210E64">
        <w:t>(Munn et al., 2022).</w:t>
      </w:r>
    </w:p>
    <w:p w:rsidR="00A93268" w:rsidRDefault="0087039F" w:rsidP="00317504">
      <w:r>
        <w:t xml:space="preserve">Munn et al., (2018) also added that the difference between a scoping literature review and a systematic literature review is that the first one also aims to </w:t>
      </w:r>
      <w:r w:rsidR="008C1494">
        <w:t xml:space="preserve">identify the gaps in the literature, not only to </w:t>
      </w:r>
      <w:r w:rsidR="000B40A0">
        <w:t xml:space="preserve">examine the breadth of the existing body of literature around a subject. </w:t>
      </w:r>
    </w:p>
    <w:p w:rsidR="00707F2E" w:rsidRDefault="00707F2E" w:rsidP="00317504"/>
    <w:p w:rsidR="00300C20" w:rsidRDefault="00300C20" w:rsidP="00317504">
      <w:r>
        <w:t>A scoping literature review would be suitable for the purpose of this paper</w:t>
      </w:r>
      <w:r w:rsidR="00E8576E">
        <w:t xml:space="preserve">. This type of review can compressively map out existing research on the perceptions of employability and their influence on career outcomes, identify key factors and patterns and highlight gaps in the literature. This synthesis would provide a broad understanding of the relationship between </w:t>
      </w:r>
      <w:r w:rsidR="00075F49">
        <w:t>perceived employability and career destinations of psychology graduates, offering valuable insights for educators, policy makers and future researchers.</w:t>
      </w:r>
    </w:p>
    <w:p w:rsidR="00707F2E" w:rsidRDefault="00707F2E" w:rsidP="00317504"/>
    <w:p w:rsidR="00651F24" w:rsidRDefault="00B03B09" w:rsidP="00317504">
      <w:r>
        <w:t>A theoretical literature review examines theories around a given subject. This type of review focuses on theoretical frameworks and models that have been developed to understand the topic in question. Furthermore, it evaluates the applicability and relevance of these theories to the research, identifying at the same time any potential gaps</w:t>
      </w:r>
      <w:r w:rsidR="00A504D0">
        <w:t xml:space="preserve"> (</w:t>
      </w:r>
      <w:r w:rsidR="00A504D0" w:rsidRPr="00A504D0">
        <w:t>Dudovskiy</w:t>
      </w:r>
      <w:r w:rsidR="00A504D0">
        <w:t xml:space="preserve">, </w:t>
      </w:r>
      <w:proofErr w:type="spellStart"/>
      <w:r w:rsidR="00A504D0">
        <w:t>n.d</w:t>
      </w:r>
      <w:proofErr w:type="spellEnd"/>
      <w:r w:rsidR="00A504D0">
        <w:t>)</w:t>
      </w:r>
      <w:r>
        <w:t xml:space="preserve">. </w:t>
      </w:r>
    </w:p>
    <w:p w:rsidR="00707F2E" w:rsidRDefault="00707F2E" w:rsidP="00317504"/>
    <w:p w:rsidR="00B46526" w:rsidRDefault="00DC0734" w:rsidP="00317504">
      <w:r>
        <w:t>While this approach would help establish a theoretical framework for understanding how perceptions of employability shape career decisions and outcomes among psychology</w:t>
      </w:r>
      <w:r w:rsidR="009651AB">
        <w:t xml:space="preserve"> </w:t>
      </w:r>
      <w:r>
        <w:t xml:space="preserve">graduates, there are still limitations to this review type </w:t>
      </w:r>
      <w:r w:rsidR="006C77B4">
        <w:t xml:space="preserve">vis-à-vis the aim of this paper. The focus on theoretical concepts and limited emphasis on empirical evidence makes this approach less suitable for the purpose of this research. </w:t>
      </w:r>
    </w:p>
    <w:p w:rsidR="00707F2E" w:rsidRDefault="00707F2E" w:rsidP="00317504"/>
    <w:p w:rsidR="00E65A86" w:rsidRDefault="00E65A86" w:rsidP="00317504">
      <w:r>
        <w:t xml:space="preserve">A historical literature review examines the evolution of knowledge on a specific topic over time. </w:t>
      </w:r>
      <w:r w:rsidR="00AE1A76">
        <w:t xml:space="preserve">It traces the development of ideas, theories, concepts, methodologies and research findings from the origins to </w:t>
      </w:r>
      <w:r w:rsidR="00582523">
        <w:t xml:space="preserve">the </w:t>
      </w:r>
      <w:r w:rsidR="00AE1A76">
        <w:t>present</w:t>
      </w:r>
      <w:r w:rsidR="00582523">
        <w:t xml:space="preserve"> time. </w:t>
      </w:r>
      <w:r w:rsidR="00D97EB0">
        <w:t xml:space="preserve">This type of review </w:t>
      </w:r>
      <w:r w:rsidR="00546746">
        <w:t>typically</w:t>
      </w:r>
      <w:r w:rsidR="00D97EB0">
        <w:t xml:space="preserve"> identifies key milestones, pivotal studies and influential research that contributed to shaping the understanding of the topic (</w:t>
      </w:r>
      <w:proofErr w:type="spellStart"/>
      <w:r w:rsidR="00D97EB0">
        <w:t>Larabee</w:t>
      </w:r>
      <w:proofErr w:type="spellEnd"/>
      <w:r w:rsidR="00D97EB0">
        <w:t xml:space="preserve">, 2023). </w:t>
      </w:r>
    </w:p>
    <w:p w:rsidR="00707F2E" w:rsidRDefault="00707F2E" w:rsidP="00317504"/>
    <w:p w:rsidR="00385D77" w:rsidRDefault="00385D77" w:rsidP="00317504">
      <w:r>
        <w:t xml:space="preserve">This particular type of review is not suitable for the given study from self-explicit </w:t>
      </w:r>
      <w:r w:rsidR="00546746">
        <w:t>reasons;</w:t>
      </w:r>
      <w:r>
        <w:t xml:space="preserve"> theref</w:t>
      </w:r>
      <w:r w:rsidR="006F53EB">
        <w:t>o</w:t>
      </w:r>
      <w:r>
        <w:t>re</w:t>
      </w:r>
      <w:r w:rsidR="001145C1">
        <w:t>,</w:t>
      </w:r>
      <w:r>
        <w:t xml:space="preserve"> it will not be considered feasible at all. </w:t>
      </w:r>
    </w:p>
    <w:p w:rsidR="00DD5530" w:rsidRDefault="00DD5530" w:rsidP="00317504"/>
    <w:p w:rsidR="00A93268" w:rsidRDefault="002767A2" w:rsidP="00317504">
      <w:r>
        <w:t xml:space="preserve">An integrative literature review </w:t>
      </w:r>
      <w:r w:rsidR="00E87B4E">
        <w:t xml:space="preserve">focuses on research of both qualitative and quantitative </w:t>
      </w:r>
      <w:r w:rsidR="00AB4796">
        <w:t>studies</w:t>
      </w:r>
      <w:r w:rsidR="00E87B4E">
        <w:t xml:space="preserve"> </w:t>
      </w:r>
      <w:r w:rsidR="00AB4796">
        <w:t>and it aims to go beyond a synthesis and analysis to provide new insights and knowledge about a specific subject</w:t>
      </w:r>
      <w:r w:rsidR="00191B7E">
        <w:t xml:space="preserve"> (Lubbe, Ham-Baloyi and Smit</w:t>
      </w:r>
      <w:r w:rsidR="0032780E">
        <w:t>,</w:t>
      </w:r>
      <w:r w:rsidR="00191B7E">
        <w:t xml:space="preserve"> 2020)</w:t>
      </w:r>
      <w:r w:rsidR="00AB4796">
        <w:t xml:space="preserve">. </w:t>
      </w:r>
    </w:p>
    <w:p w:rsidR="00F3611F" w:rsidRDefault="00F3611F" w:rsidP="00317504">
      <w:r>
        <w:t>Therefore, this review type is also found not appropriate for the aims of the current research.</w:t>
      </w:r>
    </w:p>
    <w:p w:rsidR="00CD0465" w:rsidRDefault="00CD0465" w:rsidP="00317504">
      <w:r>
        <w:lastRenderedPageBreak/>
        <w:t xml:space="preserve">An argumentative literature review </w:t>
      </w:r>
      <w:r w:rsidR="00F65533">
        <w:t>not only summarises and synthesises existing research on a particular topic, but it also presents a specific argument or perspective based on the reviewed literature</w:t>
      </w:r>
      <w:r w:rsidR="000B30C0">
        <w:t>.</w:t>
      </w:r>
      <w:r w:rsidR="00F65533">
        <w:t xml:space="preserve"> </w:t>
      </w:r>
      <w:r w:rsidR="000B30C0">
        <w:t>This type of the review is used to support or challenge a particular hypothesis, theory or viewpoint by critically analysing the existing body of literature</w:t>
      </w:r>
      <w:r>
        <w:t xml:space="preserve"> (Wentzel, 2018)</w:t>
      </w:r>
      <w:r w:rsidR="00707F2E">
        <w:t>.</w:t>
      </w:r>
    </w:p>
    <w:p w:rsidR="00707F2E" w:rsidRDefault="00707F2E" w:rsidP="00317504"/>
    <w:p w:rsidR="002C62F3" w:rsidRDefault="002C62F3" w:rsidP="00317504">
      <w:r>
        <w:t xml:space="preserve">Thus, </w:t>
      </w:r>
      <w:r w:rsidR="008C2F57">
        <w:t xml:space="preserve">given the aims of this review, </w:t>
      </w:r>
      <w:r>
        <w:t>this method is also found unsuitable for the current research and it will not be considered</w:t>
      </w:r>
      <w:r w:rsidR="00F36603">
        <w:t xml:space="preserve"> for this particular study</w:t>
      </w:r>
      <w:r>
        <w:t xml:space="preserve">. </w:t>
      </w:r>
    </w:p>
    <w:p w:rsidR="00707F2E" w:rsidRDefault="00707F2E" w:rsidP="00317504"/>
    <w:p w:rsidR="00A93268" w:rsidRDefault="00B76C35" w:rsidP="00317504">
      <w:r>
        <w:t xml:space="preserve">Conceptual literature review </w:t>
      </w:r>
      <w:r w:rsidR="009F7D19">
        <w:t xml:space="preserve">helps the researcher clarify and organise the existing literature surrounding a topic, outlining a correlation between them. The main focus of this type of review is on definitions, conceptualisations and frameworks of key terms and concepts in the literature (Frederiksen, Phelps and </w:t>
      </w:r>
      <w:proofErr w:type="spellStart"/>
      <w:r w:rsidR="009F7D19">
        <w:t>Kimmons</w:t>
      </w:r>
      <w:proofErr w:type="spellEnd"/>
      <w:r w:rsidR="009F7D19">
        <w:t xml:space="preserve">, 2018). </w:t>
      </w:r>
    </w:p>
    <w:p w:rsidR="00707F2E" w:rsidRDefault="00707F2E" w:rsidP="00317504"/>
    <w:p w:rsidR="00C17D62" w:rsidRDefault="00C17D62" w:rsidP="00317504">
      <w:r>
        <w:t xml:space="preserve">This review type could potentially be suitable for this </w:t>
      </w:r>
      <w:r w:rsidR="00064D94">
        <w:t>study, enabling the researcher to establish the relationship between the perceived employability of psychology graduates and their career destinations</w:t>
      </w:r>
      <w:r>
        <w:t xml:space="preserve">, however it does not </w:t>
      </w:r>
      <w:r w:rsidR="00670DF9">
        <w:t xml:space="preserve">fully allow the exploration of the </w:t>
      </w:r>
      <w:r w:rsidR="00064D94">
        <w:t xml:space="preserve">subject and </w:t>
      </w:r>
      <w:r w:rsidR="00D0617B">
        <w:t xml:space="preserve">the possible gaps in the literature. </w:t>
      </w:r>
    </w:p>
    <w:p w:rsidR="007A504C" w:rsidRDefault="007A504C" w:rsidP="00317504"/>
    <w:p w:rsidR="00707F2E" w:rsidRDefault="00707F2E" w:rsidP="00317504"/>
    <w:p w:rsidR="00707F2E" w:rsidRDefault="00707F2E" w:rsidP="00317504"/>
    <w:p w:rsidR="00C6353D" w:rsidRDefault="00C6353D" w:rsidP="00C6353D">
      <w:r>
        <w:t>This particular study’s aim is to synthetise</w:t>
      </w:r>
      <w:r w:rsidR="0075111D">
        <w:t xml:space="preserve"> the existing knowledge around the subject</w:t>
      </w:r>
      <w:r>
        <w:t xml:space="preserve"> and highlight the gaps in the existing body of literature revolving “The perceived employability of Psychology </w:t>
      </w:r>
      <w:r w:rsidR="00662EF2">
        <w:t>g</w:t>
      </w:r>
      <w:r>
        <w:t xml:space="preserve">raduates and their career destinations”. </w:t>
      </w:r>
    </w:p>
    <w:p w:rsidR="00707F2E" w:rsidRDefault="00707F2E" w:rsidP="00C6353D"/>
    <w:p w:rsidR="00C6353D" w:rsidRDefault="00C6353D" w:rsidP="00C6353D">
      <w:r>
        <w:t xml:space="preserve">Having in consideration the number of psychology graduates in the last decade has doubled, based on Palmer et al. (2021), the relevance of the subject in today’s job’s market dynamic is huge. Previous research attested that there are more individuals graduating than there are jobs within the psychology field. Hence, many Bachelor’s psychology graduates find themselves having to reorientate their career expectations and learn how to use their skills and abilities in different industries (Sanderson, </w:t>
      </w:r>
      <w:proofErr w:type="spellStart"/>
      <w:r>
        <w:t>Harkry</w:t>
      </w:r>
      <w:proofErr w:type="spellEnd"/>
      <w:r>
        <w:t xml:space="preserve"> and Pfeifer, 2022).</w:t>
      </w:r>
    </w:p>
    <w:p w:rsidR="00707F2E" w:rsidRDefault="00707F2E" w:rsidP="00C6353D"/>
    <w:p w:rsidR="00C6353D" w:rsidRDefault="00C6353D" w:rsidP="00C6353D">
      <w:r>
        <w:t xml:space="preserve">The information presented on The British Psychological Society, confirms that the main roles linked directly to the psychology profession such as clinical psychologist, counselling psychologist, educational psychologist, forensic psychologist, occupational psychologist, etc., require further degrees, such as Master’s and Doctoral levels, in order to become accessible (Career options in psychology, 2023). </w:t>
      </w:r>
    </w:p>
    <w:p w:rsidR="00C6353D" w:rsidRDefault="00D26A93" w:rsidP="00317504">
      <w:r>
        <w:t xml:space="preserve">  </w:t>
      </w:r>
    </w:p>
    <w:p w:rsidR="005C7A2B" w:rsidRDefault="005C7A2B" w:rsidP="00317504"/>
    <w:p w:rsidR="005C7A2B" w:rsidRDefault="005C7A2B" w:rsidP="00317504"/>
    <w:p w:rsidR="00C6353D" w:rsidRDefault="00C6353D" w:rsidP="00317504"/>
    <w:p w:rsidR="00554F5C" w:rsidRDefault="00554F5C" w:rsidP="00317504"/>
    <w:p w:rsidR="006010C5" w:rsidRDefault="006010C5" w:rsidP="00317504"/>
    <w:p w:rsidR="006010C5" w:rsidRDefault="00706F86" w:rsidP="00AE2B26">
      <w:pPr>
        <w:pStyle w:val="ListParagraph"/>
        <w:numPr>
          <w:ilvl w:val="0"/>
          <w:numId w:val="1"/>
        </w:numPr>
      </w:pPr>
      <w:r>
        <w:t>Literature review for</w:t>
      </w:r>
      <w:r w:rsidR="00621B47">
        <w:t xml:space="preserve"> “</w:t>
      </w:r>
      <w:r w:rsidR="00D51559">
        <w:t xml:space="preserve">An analysis of the perceived employability of psychology graduates and the </w:t>
      </w:r>
      <w:r w:rsidR="00A24A02">
        <w:t>relationship to their career destinations</w:t>
      </w:r>
      <w:r>
        <w:t>.”</w:t>
      </w:r>
    </w:p>
    <w:p w:rsidR="005C7A2B" w:rsidRDefault="005C7A2B" w:rsidP="00317504"/>
    <w:p w:rsidR="00891D3C" w:rsidRDefault="00C4236D" w:rsidP="00317504">
      <w:r>
        <w:t>The employability of psychology graduates, alongside their subsequent career destinations, has become an increasingly significant area of interest in higher education and workforce planning</w:t>
      </w:r>
      <w:r w:rsidR="0091785B">
        <w:t xml:space="preserve"> (Lonsdale, 2020)</w:t>
      </w:r>
      <w:r>
        <w:t xml:space="preserve">. </w:t>
      </w:r>
      <w:r w:rsidR="00BC431E">
        <w:t>Due to the fact that more individual</w:t>
      </w:r>
      <w:r w:rsidR="0091785B">
        <w:t>s</w:t>
      </w:r>
      <w:r w:rsidR="00BC431E">
        <w:t xml:space="preserve"> graduate </w:t>
      </w:r>
      <w:r w:rsidR="004230CB">
        <w:t xml:space="preserve">a Bachelor’s in psychology </w:t>
      </w:r>
      <w:r w:rsidR="00BC431E">
        <w:t xml:space="preserve">than there are jobs available within the field, many people find themselves in different careers once they graduate (Sanderson, </w:t>
      </w:r>
      <w:proofErr w:type="spellStart"/>
      <w:r w:rsidR="00BC431E">
        <w:t>Harkry</w:t>
      </w:r>
      <w:proofErr w:type="spellEnd"/>
      <w:r w:rsidR="00BC431E">
        <w:t xml:space="preserve"> and Pfeifer, 2022). </w:t>
      </w:r>
      <w:r w:rsidR="00973677">
        <w:t>As the landscape of job dynamics change, there is a growing emphasis on the practical applicability of academic qualifications and the readiness of graduates to meet the demands of the job market</w:t>
      </w:r>
      <w:r w:rsidR="0017601D">
        <w:t xml:space="preserve"> (Bhattacharya, 2022)</w:t>
      </w:r>
      <w:r w:rsidR="00973677">
        <w:t xml:space="preserve">. </w:t>
      </w:r>
    </w:p>
    <w:p w:rsidR="00415BD1" w:rsidRDefault="00415BD1" w:rsidP="00317504"/>
    <w:p w:rsidR="005C7A2B" w:rsidRDefault="00973677" w:rsidP="00317504">
      <w:r>
        <w:t>This literature review seeks to explore the perceived employability of psychology graduates, examining both the factors that influence these perceptions and the career trajectories commonly pursued post-gradu</w:t>
      </w:r>
      <w:r w:rsidR="00CF67FE">
        <w:t>ati</w:t>
      </w:r>
      <w:r w:rsidR="00891D3C">
        <w:t>on. The literature will begin by defining the key concepts related to this subject such as employability, perceived employability and career destinations. Following the key concepts, this chapter will ex</w:t>
      </w:r>
      <w:r w:rsidR="00513876">
        <w:t>amine</w:t>
      </w:r>
      <w:r w:rsidR="00293658">
        <w:t xml:space="preserve"> the factors influencing perceived employability among psychology graduates, including educational experiences and qualifications, skills and personal attributes</w:t>
      </w:r>
      <w:r w:rsidR="006114FE">
        <w:t>, followed by an</w:t>
      </w:r>
      <w:r w:rsidR="00C24597">
        <w:t xml:space="preserve"> asses</w:t>
      </w:r>
      <w:r w:rsidR="00DE3C55">
        <w:t>s</w:t>
      </w:r>
      <w:r w:rsidR="006114FE">
        <w:t>ment of</w:t>
      </w:r>
      <w:r w:rsidR="00891D3C">
        <w:t xml:space="preserve"> relevant theories and their connection to the study</w:t>
      </w:r>
      <w:r w:rsidR="00D05560">
        <w:t xml:space="preserve">, </w:t>
      </w:r>
      <w:r w:rsidR="00246714">
        <w:t>and will conclude with</w:t>
      </w:r>
      <w:r w:rsidR="0031011F">
        <w:t xml:space="preserve"> </w:t>
      </w:r>
      <w:r w:rsidR="00691595">
        <w:t xml:space="preserve">the </w:t>
      </w:r>
      <w:r w:rsidR="0031011F">
        <w:t>iden</w:t>
      </w:r>
      <w:r w:rsidR="003C2389">
        <w:t>tif</w:t>
      </w:r>
      <w:r w:rsidR="00691595">
        <w:t>ication</w:t>
      </w:r>
      <w:r w:rsidR="000D7280">
        <w:t xml:space="preserve"> of</w:t>
      </w:r>
      <w:r w:rsidR="00D05560">
        <w:t xml:space="preserve"> any potential gaps in the </w:t>
      </w:r>
      <w:r w:rsidR="00DA339F">
        <w:t>literature.</w:t>
      </w:r>
    </w:p>
    <w:p w:rsidR="00415BD1" w:rsidRDefault="00415BD1" w:rsidP="00317504"/>
    <w:p w:rsidR="002E3ECF" w:rsidRDefault="002E3ECF" w:rsidP="00317504">
      <w:r>
        <w:t xml:space="preserve">Given the complexity of the topic, the review adopts a narrative approach to capture the diverse perspective and findings presented in the literature. </w:t>
      </w:r>
      <w:r w:rsidR="00160663">
        <w:t>The narrative review allows for a flexible and comprehensive synthesis of both theoretical and empirical studies, facilitating an in-depth understanding of the factors influencing employability and career outcomes for psychology graduates</w:t>
      </w:r>
      <w:r w:rsidR="00BC005D">
        <w:t xml:space="preserve"> (</w:t>
      </w:r>
      <w:proofErr w:type="spellStart"/>
      <w:r w:rsidR="00BC005D">
        <w:t>Jesson</w:t>
      </w:r>
      <w:proofErr w:type="spellEnd"/>
      <w:r w:rsidR="00BC005D">
        <w:t>, Matheson and Lacey, 2011)</w:t>
      </w:r>
      <w:r w:rsidR="00160663">
        <w:t xml:space="preserve">. </w:t>
      </w:r>
      <w:r w:rsidR="004C23CD">
        <w:t xml:space="preserve">Additionally, an exploratory dimension will be incorporated to identify emerging trends and areas for future research, ensuring that the review remains relevant to ongoing developments in the field. </w:t>
      </w:r>
    </w:p>
    <w:p w:rsidR="00FB64B5" w:rsidRDefault="00FB64B5" w:rsidP="00317504"/>
    <w:p w:rsidR="00415BD1" w:rsidRDefault="00415BD1" w:rsidP="00317504">
      <w:r>
        <w:t xml:space="preserve">Therefore, it follows the pattern of inductive </w:t>
      </w:r>
      <w:r w:rsidR="001A08C8">
        <w:t>approach, since no consensus exists on an operating model,</w:t>
      </w:r>
      <w:r w:rsidR="00EF5F6B">
        <w:t xml:space="preserve"> as in Fig, 5. Models are investigated derived </w:t>
      </w:r>
      <w:r w:rsidR="00803ADE">
        <w:t xml:space="preserve">from several disciplines to underpin analysis of the chosen topic. </w:t>
      </w:r>
    </w:p>
    <w:p w:rsidR="00A41D8A" w:rsidRDefault="00A41D8A" w:rsidP="00317504"/>
    <w:p w:rsidR="00A41D8A" w:rsidRDefault="00A41D8A" w:rsidP="00317504">
      <w:r>
        <w:rPr>
          <w:noProof/>
        </w:rPr>
        <w:lastRenderedPageBreak/>
        <w:drawing>
          <wp:inline distT="0" distB="0" distL="0" distR="0" wp14:anchorId="6083EAD8" wp14:editId="3FD53F67">
            <wp:extent cx="4840605" cy="3560445"/>
            <wp:effectExtent l="0" t="0" r="0" b="1905"/>
            <wp:docPr id="4050698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605" cy="3560445"/>
                    </a:xfrm>
                    <a:prstGeom prst="rect">
                      <a:avLst/>
                    </a:prstGeom>
                    <a:noFill/>
                  </pic:spPr>
                </pic:pic>
              </a:graphicData>
            </a:graphic>
          </wp:inline>
        </w:drawing>
      </w:r>
    </w:p>
    <w:p w:rsidR="00A41D8A" w:rsidRDefault="00A41D8A" w:rsidP="00317504"/>
    <w:p w:rsidR="00A41D8A" w:rsidRDefault="00A41D8A" w:rsidP="00317504">
      <w:r>
        <w:t>Figure 5: Deduction v Induction (Hart, 2018)</w:t>
      </w:r>
    </w:p>
    <w:p w:rsidR="00A41D8A" w:rsidRDefault="00A41D8A" w:rsidP="00317504"/>
    <w:p w:rsidR="00415BD1" w:rsidRDefault="00415BD1" w:rsidP="00317504"/>
    <w:p w:rsidR="00FB64B5" w:rsidRDefault="00FB64B5" w:rsidP="00317504">
      <w:r>
        <w:t>By providing a thorough and nuanced understanding of the perceived employability and career destinations of psychology graduates, this literature review aims to contribute to the ongoing discourse on enhancing graduates</w:t>
      </w:r>
      <w:r w:rsidR="00345326">
        <w:t>’</w:t>
      </w:r>
      <w:r>
        <w:t xml:space="preserve"> outcomes and bridging the gap between academic training an</w:t>
      </w:r>
      <w:r w:rsidR="00410729">
        <w:t xml:space="preserve">d </w:t>
      </w:r>
      <w:r>
        <w:t xml:space="preserve">labour market needs. </w:t>
      </w:r>
    </w:p>
    <w:p w:rsidR="00410729" w:rsidRDefault="00410729" w:rsidP="00317504"/>
    <w:p w:rsidR="00A41D8A" w:rsidRDefault="00A41D8A" w:rsidP="00317504"/>
    <w:p w:rsidR="00410729" w:rsidRDefault="00A15611" w:rsidP="00317504">
      <w:r>
        <w:t xml:space="preserve">Employability </w:t>
      </w:r>
    </w:p>
    <w:p w:rsidR="00A15611" w:rsidRDefault="00A15611" w:rsidP="00317504"/>
    <w:p w:rsidR="00A15611" w:rsidRDefault="00A15611" w:rsidP="00317504">
      <w:r>
        <w:t>Employability is a multifaced concept that encompasses the skills, knowledge and personal attributes that enable an individual to secure and maintain employment, as well as navigate and succeed within the evolving job market.</w:t>
      </w:r>
      <w:r w:rsidR="00D93538">
        <w:t xml:space="preserve"> It involves not only the acquisition of qualifications and technical skills, but also the development of personal attributes and transferable skills that are essential for career advancement and adaptability to changing work environment</w:t>
      </w:r>
      <w:r w:rsidR="000422C8">
        <w:t>s (Yorke, 2006)</w:t>
      </w:r>
      <w:r w:rsidR="00EC674C">
        <w:t xml:space="preserve">. </w:t>
      </w:r>
    </w:p>
    <w:p w:rsidR="00A41D8A" w:rsidRDefault="00A41D8A" w:rsidP="00317504"/>
    <w:p w:rsidR="00EC674C" w:rsidRDefault="00EC674C" w:rsidP="00317504">
      <w:r>
        <w:t xml:space="preserve">Employability within the psychology context covers certain skills and competencies that are not only relevant to the psychology sector, but also applicable in </w:t>
      </w:r>
      <w:r w:rsidR="0048467F">
        <w:t>different</w:t>
      </w:r>
      <w:r>
        <w:t xml:space="preserve"> sett</w:t>
      </w:r>
      <w:r w:rsidR="006A2F2A">
        <w:t xml:space="preserve">ings. </w:t>
      </w:r>
      <w:r w:rsidR="0048467F">
        <w:t>A psychology degree equips the students and graduates with particular core skills such as effective communication, critical thinking, creative problem-solving and teamwork, along with technical skills that include clinical practices, psychological theories and research methodologies (Roberts, 2022)</w:t>
      </w:r>
      <w:r w:rsidR="0024025D">
        <w:t xml:space="preserve">. </w:t>
      </w:r>
      <w:r w:rsidR="00342718">
        <w:t xml:space="preserve">A psychology graduate is a qualified individual not just to pursue a career in </w:t>
      </w:r>
      <w:r w:rsidR="00342718">
        <w:lastRenderedPageBreak/>
        <w:t>psychology, but for many different sectors, including business</w:t>
      </w:r>
      <w:r w:rsidR="001853A7">
        <w:t xml:space="preserve">. </w:t>
      </w:r>
      <w:r w:rsidR="00E24EEB">
        <w:t>The transferable skills they are taught during their psychology degree such as adaptability, time management, leadership and interpersonal skills can be applied in multiple contexts</w:t>
      </w:r>
      <w:r w:rsidR="00947BEE">
        <w:t xml:space="preserve"> (</w:t>
      </w:r>
      <w:proofErr w:type="spellStart"/>
      <w:r w:rsidR="00947BEE">
        <w:t>Whiteley</w:t>
      </w:r>
      <w:proofErr w:type="spellEnd"/>
      <w:r w:rsidR="00947BEE">
        <w:t>, 2023)</w:t>
      </w:r>
      <w:r w:rsidR="00E24EEB">
        <w:t xml:space="preserve">. </w:t>
      </w:r>
    </w:p>
    <w:p w:rsidR="00A41D8A" w:rsidRDefault="00A41D8A" w:rsidP="00317504"/>
    <w:p w:rsidR="00C4236D" w:rsidRDefault="00E1005E" w:rsidP="00317504">
      <w:r>
        <w:t xml:space="preserve">As mentioned by Yorke (2006), employability is a multifaced concept, thus it comprises </w:t>
      </w:r>
      <w:r w:rsidR="00457004">
        <w:t xml:space="preserve">crucial </w:t>
      </w:r>
      <w:r>
        <w:t xml:space="preserve">personal attributes as well. </w:t>
      </w:r>
      <w:r w:rsidR="00BC18AA">
        <w:t>Essential attributes such as self-efficacy</w:t>
      </w:r>
      <w:r w:rsidR="00457004">
        <w:t xml:space="preserve"> which refers to an individual’s ability and belief that a difficult task can be attained leads to self-confidence which enables a higher employability</w:t>
      </w:r>
      <w:r w:rsidR="00C7781C">
        <w:t xml:space="preserve"> (Schwarzer and Warner, 2013)</w:t>
      </w:r>
      <w:r w:rsidR="00457004">
        <w:t>;</w:t>
      </w:r>
      <w:r w:rsidR="00BC18AA">
        <w:t xml:space="preserve"> resilience</w:t>
      </w:r>
      <w:r w:rsidR="00C7781C">
        <w:t xml:space="preserve"> is </w:t>
      </w:r>
      <w:r w:rsidR="00347BC4">
        <w:t xml:space="preserve">another </w:t>
      </w:r>
      <w:r w:rsidR="00B72A66">
        <w:t xml:space="preserve">particularly </w:t>
      </w:r>
      <w:r w:rsidR="00347BC4">
        <w:t xml:space="preserve">important personal quality highly </w:t>
      </w:r>
      <w:r w:rsidR="00524176">
        <w:t>noticed among psychology professionals</w:t>
      </w:r>
      <w:r w:rsidR="006E4DB6">
        <w:t xml:space="preserve"> due to the dynamic of the jobs market, and it refers to one’s capacity of overcoming or adapting well to changes and challenges</w:t>
      </w:r>
      <w:r w:rsidR="0071230D">
        <w:t xml:space="preserve"> (Maree, 2017) </w:t>
      </w:r>
      <w:r w:rsidR="006E4DB6">
        <w:t xml:space="preserve">; nevertheless, motivation and drive are vital </w:t>
      </w:r>
      <w:r w:rsidR="00B54FCF">
        <w:t xml:space="preserve">elements for both perceived employability as well as the career </w:t>
      </w:r>
      <w:r w:rsidR="00751018">
        <w:t xml:space="preserve">navigation. </w:t>
      </w:r>
      <w:r w:rsidR="003E5589">
        <w:t xml:space="preserve">They </w:t>
      </w:r>
      <w:r w:rsidR="00E65DA2">
        <w:t>enable an individual to achieve career goals and the willingness to engage in continuous learning and professional development (Crimmins, 2024).</w:t>
      </w:r>
      <w:r w:rsidR="00852FE7">
        <w:t xml:space="preserve"> </w:t>
      </w:r>
    </w:p>
    <w:p w:rsidR="004B5381" w:rsidRDefault="004B5381" w:rsidP="00317504"/>
    <w:p w:rsidR="00D825B8" w:rsidRDefault="00D825B8" w:rsidP="00317504"/>
    <w:p w:rsidR="004B5381" w:rsidRDefault="004B5381" w:rsidP="00317504">
      <w:r>
        <w:t xml:space="preserve">Perceived employability </w:t>
      </w:r>
    </w:p>
    <w:p w:rsidR="004B5381" w:rsidRDefault="004B5381" w:rsidP="00317504"/>
    <w:p w:rsidR="00D825B8" w:rsidRDefault="00481934" w:rsidP="00317504">
      <w:r>
        <w:t>Perceived employability refers to an individual’s subjective assessment of their ability to obtain and maintain employment</w:t>
      </w:r>
      <w:r w:rsidR="001C70AD">
        <w:t>, as well as to progress in their chosen career path. This perception is influenced by their belief in the relevance of a variety of factors, such as personal attributes, educational experiences and skill sets</w:t>
      </w:r>
      <w:r w:rsidR="008D4A94">
        <w:t xml:space="preserve"> </w:t>
      </w:r>
      <w:r w:rsidR="00630928">
        <w:t xml:space="preserve">vis-à-vis </w:t>
      </w:r>
      <w:r w:rsidR="008D4A94">
        <w:t>potential employers (</w:t>
      </w:r>
      <w:proofErr w:type="spellStart"/>
      <w:r w:rsidR="008D4A94">
        <w:t>Nghia</w:t>
      </w:r>
      <w:proofErr w:type="spellEnd"/>
      <w:r w:rsidR="008D4A94">
        <w:t xml:space="preserve"> et al., 2022).</w:t>
      </w:r>
    </w:p>
    <w:p w:rsidR="000F4CBE" w:rsidRDefault="00617DE8" w:rsidP="00317504">
      <w:r>
        <w:t xml:space="preserve">In the context of psychology </w:t>
      </w:r>
      <w:r w:rsidR="009651AB">
        <w:t xml:space="preserve">students and </w:t>
      </w:r>
      <w:r>
        <w:t>graduates</w:t>
      </w:r>
      <w:r w:rsidR="00D21642">
        <w:t xml:space="preserve">, perceived employability encompasses their confidence in their </w:t>
      </w:r>
      <w:r w:rsidR="000F4CBE">
        <w:t xml:space="preserve">personal attributes and </w:t>
      </w:r>
      <w:r w:rsidR="00D21642">
        <w:t>competencies, such as communication, problem-solving and specific psychological knowledge, as well as their awareness of the job market opportunities and challenges</w:t>
      </w:r>
      <w:r w:rsidR="000F7380">
        <w:t xml:space="preserve"> (Ng, </w:t>
      </w:r>
      <w:proofErr w:type="spellStart"/>
      <w:r w:rsidR="000F7380">
        <w:t>Wut</w:t>
      </w:r>
      <w:proofErr w:type="spellEnd"/>
      <w:r w:rsidR="000F7380">
        <w:t xml:space="preserve"> and Chan, 2022; </w:t>
      </w:r>
      <w:r w:rsidR="00630928">
        <w:t xml:space="preserve">Moreover, </w:t>
      </w:r>
      <w:r w:rsidR="00CB2E4E">
        <w:t xml:space="preserve">this notion also highlights </w:t>
      </w:r>
      <w:r w:rsidR="00A75F02">
        <w:t xml:space="preserve">the </w:t>
      </w:r>
      <w:r w:rsidR="00BD70AA">
        <w:t xml:space="preserve">readiness of a student to make the transition from the academic environment to professional settings (Chawla et al., 2019). </w:t>
      </w:r>
    </w:p>
    <w:p w:rsidR="00A41D8A" w:rsidRDefault="00A41D8A" w:rsidP="00317504"/>
    <w:p w:rsidR="00C4236D" w:rsidRDefault="000F4CBE" w:rsidP="00317504">
      <w:r>
        <w:t>Career</w:t>
      </w:r>
      <w:r w:rsidR="006736BA">
        <w:t xml:space="preserve"> </w:t>
      </w:r>
      <w:r w:rsidR="00F614B2">
        <w:t>navigation is highly impacted by an individual’s perceived employability</w:t>
      </w:r>
      <w:r w:rsidR="00630928">
        <w:t>;</w:t>
      </w:r>
      <w:r w:rsidR="00F614B2">
        <w:t xml:space="preserve"> thus</w:t>
      </w:r>
      <w:r w:rsidR="00630928">
        <w:t>,</w:t>
      </w:r>
      <w:r w:rsidR="00F614B2">
        <w:t xml:space="preserve"> </w:t>
      </w:r>
      <w:r w:rsidR="00BE2201">
        <w:t>it is essential to have a clear understanding of th</w:t>
      </w:r>
      <w:r w:rsidR="00DE4EA5">
        <w:t>ese</w:t>
      </w:r>
      <w:r w:rsidR="00BE2201">
        <w:t xml:space="preserve"> key concept</w:t>
      </w:r>
      <w:r w:rsidR="00DE4EA5">
        <w:t>s</w:t>
      </w:r>
      <w:r w:rsidR="00BE2201">
        <w:t xml:space="preserve"> (</w:t>
      </w:r>
      <w:proofErr w:type="spellStart"/>
      <w:r w:rsidR="00BE2201">
        <w:t>Kubicek</w:t>
      </w:r>
      <w:proofErr w:type="spellEnd"/>
      <w:r w:rsidR="00BE2201">
        <w:t xml:space="preserve"> and </w:t>
      </w:r>
      <w:proofErr w:type="spellStart"/>
      <w:r w:rsidR="00BE2201">
        <w:t>Korunka</w:t>
      </w:r>
      <w:proofErr w:type="spellEnd"/>
      <w:r w:rsidR="00BE2201">
        <w:t>, 2017)</w:t>
      </w:r>
      <w:r w:rsidR="00AD3AB8">
        <w:t xml:space="preserve"> in order to comprehend the relationship between them.</w:t>
      </w:r>
    </w:p>
    <w:p w:rsidR="00AE2B26" w:rsidRDefault="00AE2B26" w:rsidP="00317504"/>
    <w:p w:rsidR="005E775F" w:rsidRDefault="005E775F" w:rsidP="00317504"/>
    <w:p w:rsidR="005E775F" w:rsidRDefault="005E775F" w:rsidP="00317504">
      <w:r>
        <w:t>Career trajectories</w:t>
      </w:r>
    </w:p>
    <w:p w:rsidR="005E775F" w:rsidRDefault="005E775F" w:rsidP="00317504"/>
    <w:p w:rsidR="005E775F" w:rsidRDefault="005E775F" w:rsidP="00317504">
      <w:r>
        <w:t>Career trajectories are considered the paths that individuals follow throughout their professional endeavours</w:t>
      </w:r>
      <w:r w:rsidR="00491A9B">
        <w:t>. This concept encompasses various roles, positions and experiences they accumulate over time</w:t>
      </w:r>
      <w:r w:rsidR="00890594">
        <w:t>, and it is shaped by multiple factors, including educational background, personal interests, job opportunities and individual aspirations (Judge et al., 1995).</w:t>
      </w:r>
    </w:p>
    <w:p w:rsidR="00AE2B26" w:rsidRDefault="00B776D9" w:rsidP="00317504">
      <w:r>
        <w:t xml:space="preserve">Considering the </w:t>
      </w:r>
      <w:r w:rsidR="00F02C5B">
        <w:t>nowadays opportunities</w:t>
      </w:r>
      <w:r w:rsidR="007822FB">
        <w:t xml:space="preserve"> and dynamic</w:t>
      </w:r>
      <w:r w:rsidR="00F02C5B">
        <w:t xml:space="preserve"> of psyc</w:t>
      </w:r>
      <w:r w:rsidR="007822FB">
        <w:t>h</w:t>
      </w:r>
      <w:r w:rsidR="00F02C5B">
        <w:t>ology graduates</w:t>
      </w:r>
      <w:r w:rsidR="007822FB">
        <w:t>’ careers</w:t>
      </w:r>
      <w:r w:rsidR="00F02C5B">
        <w:t xml:space="preserve">, </w:t>
      </w:r>
      <w:r w:rsidR="007822FB">
        <w:t xml:space="preserve">the graduates </w:t>
      </w:r>
      <w:r w:rsidR="008C74D1">
        <w:t xml:space="preserve">are equipped with </w:t>
      </w:r>
      <w:r w:rsidR="00EB69AB">
        <w:t xml:space="preserve">multiple </w:t>
      </w:r>
      <w:r w:rsidR="008C74D1">
        <w:t>transferable skills</w:t>
      </w:r>
      <w:r w:rsidR="00EB69AB">
        <w:t xml:space="preserve"> (Savickas, 2013)</w:t>
      </w:r>
      <w:r w:rsidR="008C74D1">
        <w:t xml:space="preserve">, therefore, they </w:t>
      </w:r>
      <w:r w:rsidR="007822FB">
        <w:t xml:space="preserve">may choose to pursue further studies to enter the traditional psychology career, they may consider </w:t>
      </w:r>
      <w:r w:rsidR="007822FB">
        <w:lastRenderedPageBreak/>
        <w:t>a career in research and academic positions or they might want to engage with different industries.</w:t>
      </w:r>
    </w:p>
    <w:p w:rsidR="008C74D1" w:rsidRDefault="008C74D1" w:rsidP="00317504"/>
    <w:p w:rsidR="00AE2B26" w:rsidRDefault="00AE2B26" w:rsidP="00317504"/>
    <w:p w:rsidR="00FC5E2F" w:rsidRDefault="00FC5E2F" w:rsidP="00317504">
      <w:r>
        <w:t xml:space="preserve">The literature </w:t>
      </w:r>
      <w:r w:rsidR="00CC43C0">
        <w:t xml:space="preserve">highlights personal attributes and ambition as the main </w:t>
      </w:r>
      <w:r w:rsidR="007F2E00">
        <w:t xml:space="preserve">internal </w:t>
      </w:r>
      <w:r w:rsidR="00CC43C0">
        <w:t>factors influencing the perceived employability of psychology graduates</w:t>
      </w:r>
      <w:r w:rsidR="00176531">
        <w:t>, and the opportunity for further professional development as external factor</w:t>
      </w:r>
      <w:r w:rsidR="00CC43C0">
        <w:t xml:space="preserve"> (</w:t>
      </w:r>
      <w:proofErr w:type="spellStart"/>
      <w:r w:rsidR="00CC43C0">
        <w:t>Drazic</w:t>
      </w:r>
      <w:proofErr w:type="spellEnd"/>
      <w:r w:rsidR="00CC43C0">
        <w:t xml:space="preserve">, Petrovic and </w:t>
      </w:r>
      <w:proofErr w:type="spellStart"/>
      <w:r w:rsidR="00CC43C0">
        <w:t>Vukelic</w:t>
      </w:r>
      <w:proofErr w:type="spellEnd"/>
      <w:r w:rsidR="00CC43C0">
        <w:t>, 2018)</w:t>
      </w:r>
      <w:r w:rsidR="00BD5D71">
        <w:t xml:space="preserve">. </w:t>
      </w:r>
    </w:p>
    <w:p w:rsidR="00BD5D71" w:rsidRDefault="00BD5D71" w:rsidP="00317504"/>
    <w:p w:rsidR="003C2958" w:rsidRDefault="00151419" w:rsidP="00317504">
      <w:r>
        <w:t>Conversely, t</w:t>
      </w:r>
      <w:r w:rsidR="003D082A">
        <w:t>he main factor recognised as internal threat was the lack of ambition (</w:t>
      </w:r>
      <w:proofErr w:type="spellStart"/>
      <w:r w:rsidR="003D082A">
        <w:t>Drazic</w:t>
      </w:r>
      <w:proofErr w:type="spellEnd"/>
      <w:r w:rsidR="003D082A">
        <w:t xml:space="preserve">, Petrovic and </w:t>
      </w:r>
      <w:proofErr w:type="spellStart"/>
      <w:r w:rsidR="003D082A">
        <w:t>Vukelic</w:t>
      </w:r>
      <w:proofErr w:type="spellEnd"/>
      <w:r w:rsidR="003D082A">
        <w:t>, 2018)</w:t>
      </w:r>
      <w:r w:rsidR="004F38E8">
        <w:t xml:space="preserve">. Although the psychology graduates are equipped with a multitude of skills that offer varied career opportunities, they have to face limited </w:t>
      </w:r>
      <w:r w:rsidR="00351230">
        <w:t>prospects</w:t>
      </w:r>
      <w:r w:rsidR="004F38E8">
        <w:t xml:space="preserve"> within the psychology field due to the increasingly competitive job market,</w:t>
      </w:r>
      <w:r w:rsidR="003D082A">
        <w:t xml:space="preserve"> </w:t>
      </w:r>
      <w:r w:rsidR="00351230">
        <w:t xml:space="preserve">highlighting this factor as </w:t>
      </w:r>
      <w:r w:rsidR="00664B4A">
        <w:t>the main external threat</w:t>
      </w:r>
      <w:r w:rsidR="00D75052">
        <w:t xml:space="preserve"> (Savickas, 2013)</w:t>
      </w:r>
      <w:r w:rsidR="004F38E8">
        <w:t>.</w:t>
      </w:r>
    </w:p>
    <w:p w:rsidR="00351230" w:rsidRDefault="00351230" w:rsidP="00317504"/>
    <w:p w:rsidR="00151419" w:rsidRDefault="00151419" w:rsidP="00317504">
      <w:r>
        <w:t xml:space="preserve">Another important factor </w:t>
      </w:r>
      <w:r w:rsidR="00FE4BD0">
        <w:t>impacting the perceived employability of psychology graduates is the need for higher qualifications in order to access relevant jobs within their field (Savickas, 2013).</w:t>
      </w:r>
    </w:p>
    <w:p w:rsidR="00C808F3" w:rsidRDefault="008A1236" w:rsidP="00317504">
      <w:r>
        <w:t>Advanced degrees, such as Master’s or Doctorate are often required in specialised roles, including clinical psychologists, counselling psychologists and academic researchers</w:t>
      </w:r>
      <w:r w:rsidR="00193294">
        <w:t xml:space="preserve"> (NHS Careers, n.d.).</w:t>
      </w:r>
      <w:r w:rsidR="00936745">
        <w:t xml:space="preserve"> </w:t>
      </w:r>
    </w:p>
    <w:p w:rsidR="00C808F3" w:rsidRDefault="00C808F3" w:rsidP="00317504"/>
    <w:p w:rsidR="008A1236" w:rsidRDefault="00936745" w:rsidP="00317504">
      <w:r>
        <w:t>These higher qualifications provide graduates with a deeper and more comprehensive understanding of psychological theories and practices, as well as the practice skills needed for effective intervention and research</w:t>
      </w:r>
      <w:r w:rsidR="00547B91">
        <w:t xml:space="preserve"> (Butler, 2024)</w:t>
      </w:r>
      <w:r w:rsidR="00894DF6">
        <w:t xml:space="preserve">, therefore </w:t>
      </w:r>
      <w:r w:rsidR="00547B91">
        <w:t xml:space="preserve">Bachelor’s graduates find </w:t>
      </w:r>
      <w:r w:rsidR="00883564">
        <w:t>themselves with limited job opportunities</w:t>
      </w:r>
      <w:r w:rsidR="00CA7A14">
        <w:t xml:space="preserve">, unless </w:t>
      </w:r>
      <w:r w:rsidR="00C808F3">
        <w:t>decide</w:t>
      </w:r>
      <w:r w:rsidR="00CA7A14">
        <w:t xml:space="preserve"> to pursue furt</w:t>
      </w:r>
      <w:r w:rsidR="00C808F3">
        <w:t>h</w:t>
      </w:r>
      <w:r w:rsidR="00CA7A14">
        <w:t>er degrees</w:t>
      </w:r>
      <w:r w:rsidR="00C808F3">
        <w:t xml:space="preserve"> that enable them to follow a psychology career. </w:t>
      </w:r>
    </w:p>
    <w:p w:rsidR="00CC2530" w:rsidRDefault="00CC2530" w:rsidP="00317504">
      <w:r>
        <w:t xml:space="preserve">However, it is important to note that although a career in psychology typically requires further degrees, </w:t>
      </w:r>
      <w:r w:rsidR="00D87E6C">
        <w:t>graduates with a bachelor’s degree in psychology can still leverage their skills in other fields such as human resources, marketing, sales and customer service (</w:t>
      </w:r>
      <w:proofErr w:type="spellStart"/>
      <w:r w:rsidR="00D87E6C">
        <w:t>Tawk</w:t>
      </w:r>
      <w:proofErr w:type="spellEnd"/>
      <w:r w:rsidR="00D87E6C">
        <w:t>, 2023).</w:t>
      </w:r>
    </w:p>
    <w:p w:rsidR="00351230" w:rsidRDefault="00351230" w:rsidP="00317504"/>
    <w:p w:rsidR="00FB3499" w:rsidRDefault="00DB2057" w:rsidP="00317504">
      <w:r>
        <w:t xml:space="preserve">In the existing body of the literature, mentorship emerges as a pivotal factor shaping the perceived employability of psychology graduates. </w:t>
      </w:r>
      <w:r w:rsidR="00F30B35">
        <w:t>Mentorship provides graduates with essential guidance, skill development and career advice tailored to their professional aspirations</w:t>
      </w:r>
      <w:r w:rsidR="00C115B7">
        <w:t xml:space="preserve"> (</w:t>
      </w:r>
      <w:proofErr w:type="spellStart"/>
      <w:r w:rsidR="00C115B7">
        <w:t>Swa</w:t>
      </w:r>
      <w:r w:rsidR="00290D55">
        <w:t>r</w:t>
      </w:r>
      <w:r w:rsidR="00C115B7">
        <w:t>giary</w:t>
      </w:r>
      <w:proofErr w:type="spellEnd"/>
      <w:r w:rsidR="00C115B7">
        <w:t>, 2024)</w:t>
      </w:r>
      <w:r w:rsidR="00F30B35">
        <w:t xml:space="preserve">. </w:t>
      </w:r>
    </w:p>
    <w:p w:rsidR="00365897" w:rsidRDefault="00365897" w:rsidP="00317504">
      <w:r>
        <w:t xml:space="preserve">Mentors share practical insights, industry knowledge and facilitate network opportunities, enhancing graduates’ readiness for the job market. </w:t>
      </w:r>
      <w:r w:rsidR="00813347">
        <w:t xml:space="preserve">Beyond professional development, mentors offer psychosocial support, boosting graduates’ confidence and resilience during their career journey. </w:t>
      </w:r>
      <w:r w:rsidR="0048522A">
        <w:t>By connecting mentees with potential employers and professional networks, mentorship opens doors to job opportunities and collaborations, ultimately straightening graduates’ competitiveness in the job market</w:t>
      </w:r>
      <w:r w:rsidR="00F51500">
        <w:t xml:space="preserve">, which represents a higher perceived </w:t>
      </w:r>
      <w:r w:rsidR="00AE1EA9">
        <w:t>employability (</w:t>
      </w:r>
      <w:r w:rsidR="006E102B">
        <w:t>Lopez-</w:t>
      </w:r>
      <w:proofErr w:type="spellStart"/>
      <w:r w:rsidR="006E102B">
        <w:t>Ger</w:t>
      </w:r>
      <w:r w:rsidR="00ED3BA8">
        <w:t>st</w:t>
      </w:r>
      <w:r w:rsidR="006E102B">
        <w:t>mayer</w:t>
      </w:r>
      <w:proofErr w:type="spellEnd"/>
      <w:r w:rsidR="006E102B">
        <w:t xml:space="preserve">, 2024). </w:t>
      </w:r>
      <w:r w:rsidR="0048522A">
        <w:t xml:space="preserve">Integrating mentorship </w:t>
      </w:r>
      <w:r w:rsidR="003D38E0">
        <w:t>within broader context of factors influencing employability highlights its significance in shaping graduates’ professional identity, fostering continuous learning and contributing to long-term career success</w:t>
      </w:r>
      <w:r w:rsidR="00C55781">
        <w:t xml:space="preserve"> (</w:t>
      </w:r>
      <w:proofErr w:type="spellStart"/>
      <w:r w:rsidR="00C55781">
        <w:t>Schweinsberg</w:t>
      </w:r>
      <w:proofErr w:type="spellEnd"/>
      <w:r w:rsidR="00C55781">
        <w:t xml:space="preserve"> et al., 2021; Karli, 2016). </w:t>
      </w:r>
      <w:r w:rsidR="003D38E0">
        <w:t xml:space="preserve"> </w:t>
      </w:r>
    </w:p>
    <w:p w:rsidR="00FB3499" w:rsidRDefault="00FB3499" w:rsidP="00317504"/>
    <w:p w:rsidR="00C4236D" w:rsidRDefault="00472CDC" w:rsidP="00317504">
      <w:r>
        <w:lastRenderedPageBreak/>
        <w:t xml:space="preserve">Having defined the fundamental concepts </w:t>
      </w:r>
      <w:r w:rsidR="008E76B5">
        <w:t>of this study and discussed the factors that impact the perceived of psychology graduates</w:t>
      </w:r>
      <w:r>
        <w:t>, it is essential to explore the theoretical frameworks that offer deeper insight</w:t>
      </w:r>
      <w:r w:rsidR="00DB7D99">
        <w:t xml:space="preserve">s into these areas. </w:t>
      </w:r>
      <w:r w:rsidR="00C82105">
        <w:t xml:space="preserve">Theories provide a perspective </w:t>
      </w:r>
      <w:r w:rsidR="00682BCD">
        <w:t>that allows understanding of the factors influencing perceived employability and career trajectories among psychology graduates</w:t>
      </w:r>
      <w:r w:rsidR="00A8313B">
        <w:t xml:space="preserve">. By examining relevant theories, the study aims to better comprehend how individuals develop their skills, make their choices and navigate their professional paths. </w:t>
      </w:r>
    </w:p>
    <w:p w:rsidR="00FE2492" w:rsidRDefault="00FE2492" w:rsidP="00317504">
      <w:r>
        <w:t>Several theories that are particularly relevant to this research include Attachment Theory, Bandura’s Social Learning Theory</w:t>
      </w:r>
      <w:r w:rsidR="00086B31">
        <w:t>,</w:t>
      </w:r>
      <w:r>
        <w:t xml:space="preserve"> Self-Determination Theory</w:t>
      </w:r>
      <w:r w:rsidR="00086B31">
        <w:t xml:space="preserve"> and Holland’s Theory of Career Choice</w:t>
      </w:r>
      <w:r w:rsidR="006A165A">
        <w:t xml:space="preserve">. </w:t>
      </w:r>
    </w:p>
    <w:p w:rsidR="00C4236D" w:rsidRDefault="00C4236D" w:rsidP="00317504"/>
    <w:p w:rsidR="00C4236D" w:rsidRDefault="00C4236D" w:rsidP="00317504"/>
    <w:p w:rsidR="00662EF2" w:rsidRDefault="00662EF2" w:rsidP="00317504">
      <w:r>
        <w:t xml:space="preserve">The Attachment Theory </w:t>
      </w:r>
    </w:p>
    <w:p w:rsidR="00F85245" w:rsidRDefault="00F85245" w:rsidP="00317504"/>
    <w:p w:rsidR="00662EF2" w:rsidRDefault="00662EF2" w:rsidP="00317504">
      <w:r>
        <w:t xml:space="preserve">Attachment Theory, developed by John Bowlby (1958), </w:t>
      </w:r>
      <w:r w:rsidR="00F85245">
        <w:t>emphasises the critical role of secure attachments formed during early development in shaping an individual’s ability to build and maintain healthy relationships throughout life.</w:t>
      </w:r>
      <w:r>
        <w:t xml:space="preserve"> </w:t>
      </w:r>
      <w:r w:rsidR="001A2CC8">
        <w:t>According to Bowlby</w:t>
      </w:r>
      <w:r w:rsidR="00113AD0">
        <w:t xml:space="preserve"> (1988)</w:t>
      </w:r>
      <w:r w:rsidR="001A2CC8">
        <w:t xml:space="preserve">, individuals develop </w:t>
      </w:r>
      <w:r w:rsidR="00C93BC8">
        <w:t xml:space="preserve">internal </w:t>
      </w:r>
      <w:r w:rsidR="00113AD0">
        <w:t>systems</w:t>
      </w:r>
      <w:r w:rsidR="00C93BC8">
        <w:t xml:space="preserve"> of attachment that influence their behaviour, self-esteem</w:t>
      </w:r>
      <w:r w:rsidR="00113AD0">
        <w:t>, the</w:t>
      </w:r>
      <w:r w:rsidR="00C93BC8">
        <w:t xml:space="preserve"> ability to form relationships throughout life</w:t>
      </w:r>
      <w:r w:rsidR="00113AD0">
        <w:t xml:space="preserve">, as well as have the capacity for autonomous action </w:t>
      </w:r>
      <w:proofErr w:type="gramStart"/>
      <w:r w:rsidR="00113AD0">
        <w:t>where</w:t>
      </w:r>
      <w:proofErr w:type="gramEnd"/>
      <w:r w:rsidR="00113AD0">
        <w:t xml:space="preserve"> necessaire</w:t>
      </w:r>
      <w:r w:rsidR="00C93BC8">
        <w:t>.</w:t>
      </w:r>
      <w:r w:rsidR="00113AD0">
        <w:t xml:space="preserve"> These attachment </w:t>
      </w:r>
      <w:r w:rsidR="00921DDC">
        <w:t xml:space="preserve">styles play a crucial role in shaping an individual’s confidence, resilience and social skills, which are essential to perceived employability. </w:t>
      </w:r>
    </w:p>
    <w:p w:rsidR="00F85245" w:rsidRDefault="00F85245" w:rsidP="00317504"/>
    <w:p w:rsidR="00580068" w:rsidRDefault="00580068" w:rsidP="00317504">
      <w:r>
        <w:t>In the context of psychology graduates, Attachment Theory provides a framework for understanding how early attachment experiences can impact their professional development and career outcomes.</w:t>
      </w:r>
    </w:p>
    <w:p w:rsidR="001B63CB" w:rsidRDefault="001B63CB" w:rsidP="00317504"/>
    <w:p w:rsidR="00E1101C" w:rsidRDefault="00E1101C" w:rsidP="00317504">
      <w:r>
        <w:t>Therefore, if psychology graduates experienced secure attachment</w:t>
      </w:r>
      <w:r w:rsidR="009F2ABF">
        <w:t>, they are more likely to develop a higher self-esteem, higher self-efficacy and better interpersonal skills</w:t>
      </w:r>
      <w:r w:rsidR="00422273">
        <w:t xml:space="preserve"> (Quintana, Ramos and Almeida, 2023)</w:t>
      </w:r>
      <w:r w:rsidR="009F2ABF">
        <w:t xml:space="preserve">, </w:t>
      </w:r>
      <w:r w:rsidR="00723944">
        <w:t>enhancing</w:t>
      </w:r>
      <w:r w:rsidR="009F2ABF">
        <w:t xml:space="preserve"> their employability </w:t>
      </w:r>
      <w:r w:rsidR="001E54DD">
        <w:t>and the ability to navigate their career tra</w:t>
      </w:r>
      <w:r w:rsidR="003C23D6">
        <w:t>jectories</w:t>
      </w:r>
      <w:r w:rsidR="001E54DD">
        <w:t xml:space="preserve"> effectively. </w:t>
      </w:r>
    </w:p>
    <w:p w:rsidR="001B63CB" w:rsidRDefault="001B63CB" w:rsidP="00317504"/>
    <w:p w:rsidR="00A923C5" w:rsidRDefault="00A923C5" w:rsidP="00317504">
      <w:r>
        <w:t xml:space="preserve">For psychology graduates, this ability is crucial in therapeutic settings, where inspiring trust and establishing secure client relationships are key to effective therapy. </w:t>
      </w:r>
      <w:r w:rsidR="00053FD4">
        <w:t xml:space="preserve">Securely attached psychologists are more likely to exhibit empathy, consistency and effective communication, enhancing their employability. </w:t>
      </w:r>
      <w:r w:rsidR="003E0F16">
        <w:t>These interpersonal skills are also valuable in other industries, such as business, where building strong, trust-based relationships</w:t>
      </w:r>
      <w:r w:rsidR="00D04978">
        <w:t xml:space="preserve"> is essential for leadership, teamwork and customer relations</w:t>
      </w:r>
      <w:r w:rsidR="00987B89">
        <w:t xml:space="preserve"> (</w:t>
      </w:r>
      <w:proofErr w:type="spellStart"/>
      <w:r w:rsidR="00987B89">
        <w:t>Whiteley</w:t>
      </w:r>
      <w:proofErr w:type="spellEnd"/>
      <w:r w:rsidR="00987B89">
        <w:t>, 2023)</w:t>
      </w:r>
      <w:r w:rsidR="00D04978">
        <w:t xml:space="preserve">. </w:t>
      </w:r>
    </w:p>
    <w:p w:rsidR="00CC5C0D" w:rsidRDefault="00CC5C0D" w:rsidP="00317504">
      <w:r>
        <w:t>Understanding and</w:t>
      </w:r>
      <w:r w:rsidR="0020104B">
        <w:t xml:space="preserve"> leveraging the principles of Attachment Theory can therefore</w:t>
      </w:r>
      <w:r>
        <w:t xml:space="preserve"> play a critical rol</w:t>
      </w:r>
      <w:r w:rsidR="00792EBA">
        <w:t>e</w:t>
      </w:r>
      <w:r>
        <w:t xml:space="preserve"> in the career success of psychology graduates and can extend to diverse career paths. </w:t>
      </w:r>
    </w:p>
    <w:p w:rsidR="00662EF2" w:rsidRDefault="00662EF2" w:rsidP="00317504"/>
    <w:p w:rsidR="001B63CB" w:rsidRDefault="001B63CB" w:rsidP="00317504"/>
    <w:p w:rsidR="001B63CB" w:rsidRDefault="001B63CB" w:rsidP="00317504">
      <w:r>
        <w:t>Bandura’s Social Learning Theory</w:t>
      </w:r>
    </w:p>
    <w:p w:rsidR="001B63CB" w:rsidRDefault="001B63CB" w:rsidP="00317504"/>
    <w:p w:rsidR="001B63CB" w:rsidRDefault="001B63CB" w:rsidP="00317504">
      <w:r>
        <w:t xml:space="preserve">Bandura’s Social Learning Theory (1971) </w:t>
      </w:r>
      <w:r w:rsidR="007A6032">
        <w:t xml:space="preserve">posits that individuals learn new behaviours and skills through the observation of others, particularly role models, as well as through the process of </w:t>
      </w:r>
      <w:r w:rsidR="007A6032">
        <w:lastRenderedPageBreak/>
        <w:t>imitation and modelling</w:t>
      </w:r>
      <w:r w:rsidR="0059173D">
        <w:t xml:space="preserve"> (Please see Fig. 6</w:t>
      </w:r>
      <w:proofErr w:type="gramStart"/>
      <w:r w:rsidR="0059173D">
        <w:t xml:space="preserve">) </w:t>
      </w:r>
      <w:r w:rsidR="007A6032">
        <w:t>.</w:t>
      </w:r>
      <w:proofErr w:type="gramEnd"/>
      <w:r w:rsidR="007A6032">
        <w:t xml:space="preserve"> </w:t>
      </w:r>
      <w:r w:rsidR="001A14FC">
        <w:t xml:space="preserve">This theory highlights the significance of social interactions and environmental influences in shaping behaviour. </w:t>
      </w:r>
    </w:p>
    <w:p w:rsidR="00FE3E70" w:rsidRDefault="00FE3E70" w:rsidP="00317504"/>
    <w:p w:rsidR="0059173D" w:rsidRDefault="0059173D" w:rsidP="00317504">
      <w:r>
        <w:fldChar w:fldCharType="begin"/>
      </w:r>
      <w:r>
        <w:instrText xml:space="preserve"> INCLUDEPICTURE "https://www.simplypsychology.org/wp-content/uploads/social-cognitive-theory-1024x494.jpg" \* MERGEFORMATINET </w:instrText>
      </w:r>
      <w:r>
        <w:fldChar w:fldCharType="separate"/>
      </w:r>
      <w:r>
        <w:rPr>
          <w:noProof/>
        </w:rPr>
        <w:drawing>
          <wp:inline distT="0" distB="0" distL="0" distR="0">
            <wp:extent cx="5943600" cy="2866390"/>
            <wp:effectExtent l="0" t="0" r="0" b="3810"/>
            <wp:docPr id="1" name="Picture 1" descr="social cognitiv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cognitive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866390"/>
                    </a:xfrm>
                    <a:prstGeom prst="rect">
                      <a:avLst/>
                    </a:prstGeom>
                    <a:noFill/>
                    <a:ln>
                      <a:noFill/>
                    </a:ln>
                  </pic:spPr>
                </pic:pic>
              </a:graphicData>
            </a:graphic>
          </wp:inline>
        </w:drawing>
      </w:r>
      <w:r>
        <w:fldChar w:fldCharType="end"/>
      </w:r>
    </w:p>
    <w:p w:rsidR="0059173D" w:rsidRDefault="0059173D" w:rsidP="00317504"/>
    <w:p w:rsidR="0059173D" w:rsidRDefault="0059173D" w:rsidP="00317504">
      <w:r>
        <w:t>Figure 6: Bandura’s Social Learning Theory (1971)</w:t>
      </w:r>
    </w:p>
    <w:p w:rsidR="0059173D" w:rsidRDefault="0059173D" w:rsidP="00317504"/>
    <w:p w:rsidR="0059173D" w:rsidRDefault="0059173D" w:rsidP="00317504"/>
    <w:p w:rsidR="00FE3E70" w:rsidRDefault="00FE3E70" w:rsidP="00317504">
      <w:r>
        <w:t>In the context of psychology graduates, Social Learning Theory</w:t>
      </w:r>
      <w:r w:rsidR="008A2AC5">
        <w:t xml:space="preserve"> (Bandura, 1971)</w:t>
      </w:r>
      <w:r>
        <w:t xml:space="preserve"> is highly relevant as it emphasises the importance of observational learning in professional development. </w:t>
      </w:r>
      <w:r w:rsidR="00DF3A40">
        <w:t xml:space="preserve">By observing and emulating the behaviours of successful professionals during internships, mentorship programmes and </w:t>
      </w:r>
      <w:r w:rsidR="002551D5">
        <w:t>networking opportunities, psychology graduates can acquire essential skills and professional behaviours that enhance their employability</w:t>
      </w:r>
      <w:r w:rsidR="00CD5514">
        <w:t xml:space="preserve">, as well as </w:t>
      </w:r>
      <w:r w:rsidR="000376FD">
        <w:t>their social competence</w:t>
      </w:r>
      <w:r w:rsidR="00CD5514">
        <w:t xml:space="preserve"> (</w:t>
      </w:r>
      <w:r w:rsidR="000376FD">
        <w:t>Rhodes et al., 2006)</w:t>
      </w:r>
      <w:r w:rsidR="002551D5">
        <w:t xml:space="preserve">. </w:t>
      </w:r>
    </w:p>
    <w:p w:rsidR="00330D08" w:rsidRDefault="00330D08" w:rsidP="00317504"/>
    <w:p w:rsidR="00330D08" w:rsidRDefault="00330D08" w:rsidP="00317504">
      <w:r>
        <w:t>These observational learning experiences provide concrete examples of career paths</w:t>
      </w:r>
      <w:r w:rsidR="005E6726">
        <w:t xml:space="preserve"> and professional behaviours</w:t>
      </w:r>
      <w:r w:rsidR="008D506A">
        <w:t>, which allow the</w:t>
      </w:r>
      <w:r w:rsidR="007534B5">
        <w:t xml:space="preserve"> psychology</w:t>
      </w:r>
      <w:r w:rsidR="008D506A">
        <w:t xml:space="preserve"> students and graduates to </w:t>
      </w:r>
      <w:r w:rsidR="001B652A">
        <w:t>develop critical skills such as effective communication, problem-solving and professional etiquette, which are essential for career success</w:t>
      </w:r>
      <w:r w:rsidR="00696F23">
        <w:t xml:space="preserve"> (</w:t>
      </w:r>
      <w:proofErr w:type="spellStart"/>
      <w:r w:rsidR="00696F23">
        <w:t>Gehreke</w:t>
      </w:r>
      <w:proofErr w:type="spellEnd"/>
      <w:r w:rsidR="00696F23">
        <w:t xml:space="preserve">, Schilling and </w:t>
      </w:r>
      <w:proofErr w:type="spellStart"/>
      <w:r w:rsidR="00696F23">
        <w:t>Kauffeld</w:t>
      </w:r>
      <w:proofErr w:type="spellEnd"/>
      <w:r w:rsidR="00696F23">
        <w:t>, 2024)</w:t>
      </w:r>
      <w:r w:rsidR="001B652A">
        <w:t xml:space="preserve">. </w:t>
      </w:r>
    </w:p>
    <w:p w:rsidR="00662EF2" w:rsidRDefault="00662EF2" w:rsidP="00317504"/>
    <w:p w:rsidR="00906D06" w:rsidRDefault="00906D06" w:rsidP="00317504">
      <w:r>
        <w:t>Furthermore, Bandura’s theory highlights the importance of self-efficacy, the belief in one’s abilities, which is strengthened through positive role modelling and successful experience</w:t>
      </w:r>
      <w:r w:rsidR="007C3EF7">
        <w:t xml:space="preserve"> (Bandura, 1977, 1986, 1997)</w:t>
      </w:r>
      <w:r>
        <w:t xml:space="preserve">. </w:t>
      </w:r>
    </w:p>
    <w:p w:rsidR="00662EF2" w:rsidRDefault="00662EF2" w:rsidP="00317504"/>
    <w:p w:rsidR="008E01A0" w:rsidRDefault="004F4006" w:rsidP="00317504">
      <w:r>
        <w:t xml:space="preserve">Self-efficacy is crucial </w:t>
      </w:r>
      <w:r w:rsidR="006A0227">
        <w:t xml:space="preserve">in the context of psychology graduates </w:t>
      </w:r>
      <w:r w:rsidR="00772252">
        <w:t xml:space="preserve">as it influences their resilience in facing obstacles </w:t>
      </w:r>
      <w:r w:rsidR="0074719F">
        <w:t xml:space="preserve">when navigating their careers. </w:t>
      </w:r>
      <w:r w:rsidR="008E01A0">
        <w:t>Having encouraging mentors and networking support reinforces one’s belief in their abilities to achieve successful outcomes</w:t>
      </w:r>
      <w:r w:rsidR="009878F4">
        <w:t xml:space="preserve"> (Johnson and Juwe, 200</w:t>
      </w:r>
      <w:r w:rsidR="00424D99">
        <w:t>3</w:t>
      </w:r>
      <w:r w:rsidR="009878F4">
        <w:t>)</w:t>
      </w:r>
      <w:r w:rsidR="008E01A0">
        <w:t xml:space="preserve">. </w:t>
      </w:r>
    </w:p>
    <w:p w:rsidR="00662EF2" w:rsidRDefault="00662EF2" w:rsidP="00317504"/>
    <w:p w:rsidR="008F35EE" w:rsidRDefault="008F35EE" w:rsidP="00317504">
      <w:r>
        <w:lastRenderedPageBreak/>
        <w:t>Therefore, self-efficacy as emphasised by Bandura’s Social Learning Theory</w:t>
      </w:r>
      <w:r w:rsidR="007C3EF7">
        <w:t xml:space="preserve"> (1971)</w:t>
      </w:r>
      <w:r>
        <w:t xml:space="preserve">, is highly relevant to perceived employability. </w:t>
      </w:r>
      <w:r w:rsidR="00464784">
        <w:t>It is the factor that shapes psychology graduates perceived employability and their readiness for the job market</w:t>
      </w:r>
      <w:r w:rsidR="00407FC2">
        <w:t xml:space="preserve">, ultimately influencing their career trajectories and success in the professional field. </w:t>
      </w:r>
    </w:p>
    <w:p w:rsidR="00053FD4" w:rsidRDefault="00053FD4" w:rsidP="00317504"/>
    <w:p w:rsidR="00053FD4" w:rsidRDefault="00053FD4" w:rsidP="00317504"/>
    <w:p w:rsidR="00E2127F" w:rsidRDefault="00E2127F" w:rsidP="00317504">
      <w:r>
        <w:t>Self-</w:t>
      </w:r>
      <w:r w:rsidR="004B6FE5">
        <w:t>D</w:t>
      </w:r>
      <w:r>
        <w:t>etermination Theory (Ryan and Deci, 2018)</w:t>
      </w:r>
    </w:p>
    <w:p w:rsidR="004B6FE5" w:rsidRDefault="004B6FE5" w:rsidP="00317504"/>
    <w:p w:rsidR="00053FD4" w:rsidRDefault="004B6FE5" w:rsidP="00317504">
      <w:r>
        <w:t>Self-Determination Theory (SDT), developed by Ryan and Deci (2018), is a psychological framework that focuses on human motivation and personality</w:t>
      </w:r>
      <w:r w:rsidR="0045620A">
        <w:t xml:space="preserve"> (Please see Fig. 7)</w:t>
      </w:r>
      <w:r>
        <w:t xml:space="preserve">. </w:t>
      </w:r>
      <w:r w:rsidR="00EB0BB2">
        <w:t xml:space="preserve">SDT posits that individuals have three </w:t>
      </w:r>
      <w:r w:rsidR="00A034D8">
        <w:t>native</w:t>
      </w:r>
      <w:r w:rsidR="00EB0BB2">
        <w:t xml:space="preserve"> psychological needs – autonomy, competence and relatedness. </w:t>
      </w:r>
      <w:r w:rsidR="0016334C">
        <w:t xml:space="preserve">These factors are considered essential for fostering </w:t>
      </w:r>
      <w:r w:rsidR="00191419">
        <w:t xml:space="preserve">intrinsic motivation, </w:t>
      </w:r>
      <w:r w:rsidR="00027626">
        <w:t xml:space="preserve">psychological growth and well-being. </w:t>
      </w:r>
    </w:p>
    <w:p w:rsidR="0075781B" w:rsidRDefault="0075781B" w:rsidP="00317504">
      <w:r>
        <w:t xml:space="preserve">Autonomy refers to </w:t>
      </w:r>
      <w:r w:rsidR="003B5C13">
        <w:t>feel in contro</w:t>
      </w:r>
      <w:r w:rsidR="008C6D45">
        <w:t xml:space="preserve">l </w:t>
      </w:r>
      <w:r w:rsidR="00CD77FA">
        <w:t>of one’s own behaviour and goals</w:t>
      </w:r>
      <w:r w:rsidR="004D14D6">
        <w:t xml:space="preserve"> (Perry, 2022)</w:t>
      </w:r>
      <w:r w:rsidR="00CD77FA">
        <w:t>; competence involves the need to gain mastery and effectiveness in one’s activities</w:t>
      </w:r>
      <w:r w:rsidR="0084424E">
        <w:t xml:space="preserve"> (Deci, 2012)</w:t>
      </w:r>
      <w:r w:rsidR="00CD77FA">
        <w:t xml:space="preserve">; and relatedness </w:t>
      </w:r>
      <w:r w:rsidR="00EF3DBF">
        <w:t>is the need to feel connected to others and experience a sense of belonging</w:t>
      </w:r>
      <w:r w:rsidR="003B2AD1">
        <w:t xml:space="preserve"> (Wentzel</w:t>
      </w:r>
      <w:r w:rsidR="0049786B">
        <w:t xml:space="preserve"> and Raman</w:t>
      </w:r>
      <w:r w:rsidR="003B2AD1">
        <w:t>, 2016)</w:t>
      </w:r>
      <w:r w:rsidR="00EF3DBF">
        <w:t>.</w:t>
      </w:r>
      <w:r w:rsidR="004D14D6">
        <w:t xml:space="preserve"> </w:t>
      </w:r>
      <w:r w:rsidR="003B5C13">
        <w:t xml:space="preserve"> </w:t>
      </w:r>
    </w:p>
    <w:p w:rsidR="00053FD4" w:rsidRDefault="00053FD4" w:rsidP="00317504"/>
    <w:p w:rsidR="0045620A" w:rsidRDefault="0045620A" w:rsidP="00317504">
      <w:r>
        <w:fldChar w:fldCharType="begin"/>
      </w:r>
      <w:r>
        <w:instrText xml:space="preserve"> INCLUDEPICTURE "https://positive.b-cdn.net/wp-content/uploads/self-determination-theory-three-needs.png" \* MERGEFORMATINET </w:instrText>
      </w:r>
      <w:r>
        <w:fldChar w:fldCharType="separate"/>
      </w:r>
      <w:r>
        <w:rPr>
          <w:noProof/>
        </w:rPr>
        <w:drawing>
          <wp:inline distT="0" distB="0" distL="0" distR="0">
            <wp:extent cx="5943600" cy="4056380"/>
            <wp:effectExtent l="0" t="0" r="0" b="0"/>
            <wp:docPr id="3" name="Picture 3" descr="Self Determination Theory and How It Explains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lf Determination Theory and How It Explains Motiv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056380"/>
                    </a:xfrm>
                    <a:prstGeom prst="rect">
                      <a:avLst/>
                    </a:prstGeom>
                    <a:noFill/>
                    <a:ln>
                      <a:noFill/>
                    </a:ln>
                  </pic:spPr>
                </pic:pic>
              </a:graphicData>
            </a:graphic>
          </wp:inline>
        </w:drawing>
      </w:r>
      <w:r>
        <w:fldChar w:fldCharType="end"/>
      </w:r>
    </w:p>
    <w:p w:rsidR="0045620A" w:rsidRDefault="0045620A" w:rsidP="00317504"/>
    <w:p w:rsidR="0045620A" w:rsidRDefault="0045620A" w:rsidP="00317504">
      <w:r>
        <w:t>Figure 7: Self-Determination Theory (Cour</w:t>
      </w:r>
      <w:r w:rsidR="00BF4DB7">
        <w:t>tney and Ackerman, 2018)</w:t>
      </w:r>
    </w:p>
    <w:p w:rsidR="0045620A" w:rsidRDefault="0045620A" w:rsidP="00317504"/>
    <w:p w:rsidR="0045620A" w:rsidRDefault="0045620A" w:rsidP="00317504"/>
    <w:p w:rsidR="0045620A" w:rsidRDefault="0045620A" w:rsidP="00317504"/>
    <w:p w:rsidR="003003AA" w:rsidRDefault="003003AA" w:rsidP="00317504">
      <w:r>
        <w:t xml:space="preserve">Therefore, SDT </w:t>
      </w:r>
      <w:r w:rsidR="00AA157E">
        <w:t>i</w:t>
      </w:r>
      <w:r>
        <w:t>s particularly appropriate for</w:t>
      </w:r>
      <w:r w:rsidR="00AA157E">
        <w:t xml:space="preserve"> comprehending</w:t>
      </w:r>
      <w:r>
        <w:t xml:space="preserve"> the perceived employability of psychology graduates as it provides insight into the motivational factors that influence career development and navigation.</w:t>
      </w:r>
    </w:p>
    <w:p w:rsidR="00D028FF" w:rsidRDefault="00D028FF" w:rsidP="00D028FF"/>
    <w:p w:rsidR="008E4277" w:rsidRDefault="008E4277" w:rsidP="00D028FF">
      <w:r>
        <w:t xml:space="preserve">The autonomy </w:t>
      </w:r>
      <w:proofErr w:type="gramStart"/>
      <w:r>
        <w:t>need</w:t>
      </w:r>
      <w:proofErr w:type="gramEnd"/>
      <w:r>
        <w:t xml:space="preserve"> </w:t>
      </w:r>
      <w:r w:rsidR="008D5721">
        <w:t xml:space="preserve">talks about the empowerment one feels </w:t>
      </w:r>
      <w:r w:rsidR="0045620A">
        <w:t>vis-à-vis</w:t>
      </w:r>
      <w:r w:rsidR="008D5721">
        <w:t xml:space="preserve"> their own be</w:t>
      </w:r>
      <w:r w:rsidR="00F94AF6">
        <w:t>h</w:t>
      </w:r>
      <w:r w:rsidR="008D5721">
        <w:t>aviour and goals</w:t>
      </w:r>
      <w:r w:rsidR="00F94AF6">
        <w:t xml:space="preserve"> (Perry, 2022). </w:t>
      </w:r>
    </w:p>
    <w:p w:rsidR="00D028FF" w:rsidRDefault="00D028FF" w:rsidP="00D028FF">
      <w:r>
        <w:t xml:space="preserve">Graduates who experienced a high level of autonomy in their educational and professional environments are more likely to </w:t>
      </w:r>
      <w:r w:rsidR="00C30105">
        <w:t>feel empowered and self-motivated</w:t>
      </w:r>
      <w:r w:rsidR="0045620A">
        <w:t xml:space="preserve"> (M</w:t>
      </w:r>
      <w:r w:rsidR="005123CC">
        <w:t>e</w:t>
      </w:r>
      <w:r w:rsidR="0045620A">
        <w:t>ng and Sun, 2019)</w:t>
      </w:r>
      <w:r w:rsidR="00C30105">
        <w:t>, which enhances their confidence in secu</w:t>
      </w:r>
      <w:r w:rsidR="002D51D3">
        <w:t>r</w:t>
      </w:r>
      <w:r w:rsidR="00C30105">
        <w:t xml:space="preserve">ing employment </w:t>
      </w:r>
      <w:r w:rsidR="002D51D3">
        <w:t xml:space="preserve">and pursuing careers </w:t>
      </w:r>
      <w:r w:rsidR="00C30105">
        <w:t>within the</w:t>
      </w:r>
      <w:r w:rsidR="002D51D3">
        <w:t xml:space="preserve"> psychology</w:t>
      </w:r>
      <w:r w:rsidR="00C30105">
        <w:t xml:space="preserve"> field, as well as in different fields.</w:t>
      </w:r>
    </w:p>
    <w:p w:rsidR="00D028FF" w:rsidRDefault="00D028FF" w:rsidP="00D028FF"/>
    <w:p w:rsidR="009E3293" w:rsidRDefault="009E3293" w:rsidP="00D028FF">
      <w:r>
        <w:t xml:space="preserve">The competence need </w:t>
      </w:r>
      <w:r w:rsidR="00FD708F">
        <w:t xml:space="preserve">encompasses the desire to feel effective and capable in one’s activities and to </w:t>
      </w:r>
      <w:r w:rsidR="0096137A">
        <w:t xml:space="preserve">reach to a mastery point. </w:t>
      </w:r>
      <w:r w:rsidR="007062C9">
        <w:t>This need represents a sense of accomplishment and proficiency, whether in academic, professional or personal settings</w:t>
      </w:r>
      <w:r w:rsidR="00696E5A">
        <w:t xml:space="preserve"> (Deci, 2012)</w:t>
      </w:r>
      <w:r w:rsidR="007062C9">
        <w:t xml:space="preserve">. </w:t>
      </w:r>
    </w:p>
    <w:p w:rsidR="00770A92" w:rsidRDefault="00770A92" w:rsidP="00D028FF">
      <w:r>
        <w:t xml:space="preserve">For psychology graduates, competence involves feeling equipped with skills and knowledge in their field, </w:t>
      </w:r>
      <w:r w:rsidR="006401FD">
        <w:t xml:space="preserve">which translates into a higher perceived employability, and thus more confidence in navigating their career. </w:t>
      </w:r>
    </w:p>
    <w:p w:rsidR="009E3293" w:rsidRDefault="009E3293" w:rsidP="00D028FF"/>
    <w:p w:rsidR="00696E5A" w:rsidRDefault="004058B3" w:rsidP="00D028FF">
      <w:r>
        <w:t>The need for relatedness emphasises the importance of social connections and professional networks, which can provide support, mentorship and opportunities that are crucial for career advancement</w:t>
      </w:r>
      <w:r w:rsidR="00696E5A">
        <w:t xml:space="preserve"> (Wentzel</w:t>
      </w:r>
      <w:r w:rsidR="0049786B">
        <w:t xml:space="preserve"> and Ramani</w:t>
      </w:r>
      <w:r w:rsidR="00696E5A">
        <w:t xml:space="preserve">, 2016).  </w:t>
      </w:r>
    </w:p>
    <w:p w:rsidR="00CA4074" w:rsidRDefault="00D028FF" w:rsidP="00D028FF">
      <w:r>
        <w:t>Past research suggests that students or graduates who benefited of support networks and mentorship display a higher level of intrinsic motivation, higher self-esteem and perceived competence (Deci et al., 1981)</w:t>
      </w:r>
      <w:r w:rsidR="00E60CB2">
        <w:t xml:space="preserve">, which make them perceive themselves more capable and attractive to employers. </w:t>
      </w:r>
    </w:p>
    <w:p w:rsidR="0045620A" w:rsidRDefault="0045620A" w:rsidP="00D028FF"/>
    <w:p w:rsidR="0045620A" w:rsidRDefault="005123CC" w:rsidP="00D028FF">
      <w:r>
        <w:t>Holland’s</w:t>
      </w:r>
      <w:r w:rsidR="00603574">
        <w:t xml:space="preserve"> Theory of Career Choice</w:t>
      </w:r>
    </w:p>
    <w:p w:rsidR="00603574" w:rsidRDefault="00603574" w:rsidP="00D028FF"/>
    <w:p w:rsidR="00603574" w:rsidRDefault="00603574" w:rsidP="00D028FF">
      <w:r>
        <w:t>Holland’s Theory of Career Choice, developed by John L. Holland</w:t>
      </w:r>
      <w:r w:rsidR="00005C5D">
        <w:t xml:space="preserve"> (1973)</w:t>
      </w:r>
      <w:r>
        <w:t xml:space="preserve">, </w:t>
      </w:r>
      <w:r w:rsidR="001E4907">
        <w:t xml:space="preserve">is one of the most utilised career development theories. It </w:t>
      </w:r>
      <w:r w:rsidR="00F4068C">
        <w:t xml:space="preserve">suggests that people who are </w:t>
      </w:r>
      <w:r w:rsidR="00005C5D">
        <w:t>pursuing</w:t>
      </w:r>
      <w:r w:rsidR="00F4068C">
        <w:t xml:space="preserve"> careers that match their personality type present a higher level of satisfaction and success in their careers. </w:t>
      </w:r>
    </w:p>
    <w:p w:rsidR="00005C5D" w:rsidRDefault="00005C5D" w:rsidP="00D028FF"/>
    <w:p w:rsidR="002C341D" w:rsidRDefault="00005C5D" w:rsidP="00D028FF">
      <w:r>
        <w:t>Hol</w:t>
      </w:r>
      <w:r w:rsidR="00373FF3">
        <w:t xml:space="preserve">land identified six personality types: realistic, investigative, artistic, social, enterprising and conventional (RIASEC), and suggests that each type corresponds to specific career environments that are conducive to the </w:t>
      </w:r>
      <w:r w:rsidR="001A6462">
        <w:t>individual’s interests, skills and values</w:t>
      </w:r>
      <w:r w:rsidR="002C341D">
        <w:t xml:space="preserve"> (Please see Figure 8)</w:t>
      </w:r>
      <w:r w:rsidR="006A41E4">
        <w:t xml:space="preserve">. </w:t>
      </w:r>
    </w:p>
    <w:p w:rsidR="002C341D" w:rsidRDefault="002C341D" w:rsidP="00D028FF">
      <w:r>
        <w:lastRenderedPageBreak/>
        <w:fldChar w:fldCharType="begin"/>
      </w:r>
      <w:r>
        <w:instrText xml:space="preserve"> INCLUDEPICTURE "https://louisville.edu/career/images/holland/holland-hexagon" \* MERGEFORMATINET </w:instrText>
      </w:r>
      <w:r>
        <w:fldChar w:fldCharType="separate"/>
      </w:r>
      <w:r>
        <w:rPr>
          <w:noProof/>
        </w:rPr>
        <w:drawing>
          <wp:inline distT="0" distB="0" distL="0" distR="0">
            <wp:extent cx="5943600" cy="5233035"/>
            <wp:effectExtent l="0" t="0" r="0" b="0"/>
            <wp:docPr id="4" name="Picture 4"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233035"/>
                    </a:xfrm>
                    <a:prstGeom prst="rect">
                      <a:avLst/>
                    </a:prstGeom>
                    <a:noFill/>
                    <a:ln>
                      <a:noFill/>
                    </a:ln>
                  </pic:spPr>
                </pic:pic>
              </a:graphicData>
            </a:graphic>
          </wp:inline>
        </w:drawing>
      </w:r>
      <w:r>
        <w:fldChar w:fldCharType="end"/>
      </w:r>
    </w:p>
    <w:p w:rsidR="002C341D" w:rsidRDefault="002C341D" w:rsidP="00D028FF"/>
    <w:p w:rsidR="002C341D" w:rsidRDefault="002C341D" w:rsidP="00D028FF">
      <w:r>
        <w:t>Figure 8: Holland’s Theory of Career Choice</w:t>
      </w:r>
    </w:p>
    <w:p w:rsidR="002C341D" w:rsidRDefault="002C341D" w:rsidP="00D028FF"/>
    <w:p w:rsidR="002C341D" w:rsidRDefault="00B859C9" w:rsidP="00D028FF">
      <w:r>
        <w:t xml:space="preserve">The realistic type prefers hands-on, practical activities and typically excels in psychical tasks. The investigative type enjoys working with ideas and thinking critically, often </w:t>
      </w:r>
      <w:r w:rsidR="0030542B">
        <w:t xml:space="preserve">thriving in scientific or analytical roles. </w:t>
      </w:r>
      <w:r w:rsidR="002106F5">
        <w:t>The artistic type is drawn to creative expression and values aesthetic experiences</w:t>
      </w:r>
      <w:r w:rsidR="00AE5EF7">
        <w:t xml:space="preserve">, making them suited for careers in the arts. The social type is characterised by a desire to help others </w:t>
      </w:r>
      <w:r w:rsidR="006C647A">
        <w:t xml:space="preserve">and work collaboratively, commonly finding fulfilment in roles such as counselling, teaching and healthcare. </w:t>
      </w:r>
      <w:r w:rsidR="00824BA0">
        <w:t xml:space="preserve">The enterprising type is motivated by </w:t>
      </w:r>
      <w:r w:rsidR="00DF1F55">
        <w:t xml:space="preserve">leadership and </w:t>
      </w:r>
      <w:r w:rsidR="001232EE">
        <w:t xml:space="preserve">persuasion, often excelling in business, management entrepreneurial endeavours. </w:t>
      </w:r>
      <w:r w:rsidR="00F4071C">
        <w:t>Lastly, the conventional type prefers structured, orderly tasks and</w:t>
      </w:r>
      <w:r w:rsidR="004F185E">
        <w:t xml:space="preserve"> often succeeds in roles involving</w:t>
      </w:r>
      <w:r w:rsidR="007F2A4C">
        <w:t xml:space="preserve"> data management, administration and clerical work</w:t>
      </w:r>
      <w:r w:rsidR="00AB10BA">
        <w:t xml:space="preserve"> (</w:t>
      </w:r>
      <w:r w:rsidR="002D7CB1">
        <w:t>Miller and Miller, 2005)</w:t>
      </w:r>
      <w:r w:rsidR="007F2A4C">
        <w:t xml:space="preserve">. </w:t>
      </w:r>
    </w:p>
    <w:p w:rsidR="00995130" w:rsidRDefault="00995130" w:rsidP="00D028FF"/>
    <w:p w:rsidR="007560AA" w:rsidRDefault="007560AA" w:rsidP="00D028FF">
      <w:r>
        <w:t xml:space="preserve">In relation to the perceived employability of psychology graduates, </w:t>
      </w:r>
      <w:r w:rsidR="00A86152">
        <w:t xml:space="preserve">Holland’s Theory of Career Choice explains many of them often align with the social and </w:t>
      </w:r>
      <w:r w:rsidR="0019440C">
        <w:t xml:space="preserve">maybe </w:t>
      </w:r>
      <w:r w:rsidR="00A86152">
        <w:t xml:space="preserve">investigative personality types, given their training and interests. </w:t>
      </w:r>
    </w:p>
    <w:p w:rsidR="00A81A37" w:rsidRDefault="00A81A37" w:rsidP="00D028FF"/>
    <w:p w:rsidR="00A81A37" w:rsidRDefault="00A81A37" w:rsidP="00D028FF">
      <w:r>
        <w:t>The social personality type are</w:t>
      </w:r>
      <w:r w:rsidR="0079060D">
        <w:t xml:space="preserve"> individuals</w:t>
      </w:r>
      <w:r>
        <w:t xml:space="preserve"> naturally inclined towards roles that involve </w:t>
      </w:r>
      <w:r w:rsidR="00FA7FF1">
        <w:t>humanitarian practi</w:t>
      </w:r>
      <w:r w:rsidR="00763535">
        <w:t>c</w:t>
      </w:r>
      <w:r w:rsidR="00FA7FF1">
        <w:t>es</w:t>
      </w:r>
      <w:r w:rsidR="00F50344">
        <w:t xml:space="preserve"> and </w:t>
      </w:r>
      <w:r w:rsidR="00FA7FF1">
        <w:t xml:space="preserve">are characterised by their strong interpersonal skills, empathy and a desire to assist others. In the context of psychology graduates, this personality aligns well with </w:t>
      </w:r>
      <w:r w:rsidR="0079060D">
        <w:t>careers in counselling, therapy, social work and healthcare</w:t>
      </w:r>
      <w:r w:rsidR="00FA7FF1">
        <w:t xml:space="preserve"> </w:t>
      </w:r>
      <w:r w:rsidR="00F94931">
        <w:t>(Lukman</w:t>
      </w:r>
      <w:r w:rsidR="00366B48">
        <w:t xml:space="preserve">, </w:t>
      </w:r>
      <w:proofErr w:type="spellStart"/>
      <w:r w:rsidR="00366B48">
        <w:t>Afdal</w:t>
      </w:r>
      <w:proofErr w:type="spellEnd"/>
      <w:r w:rsidR="00366B48">
        <w:t xml:space="preserve"> and Yusuf, 2020)</w:t>
      </w:r>
      <w:r w:rsidR="00F50344">
        <w:t xml:space="preserve">. </w:t>
      </w:r>
    </w:p>
    <w:p w:rsidR="00BE19C1" w:rsidRDefault="00BE19C1" w:rsidP="00D028FF">
      <w:r>
        <w:t>These skills are equally valuable in different industries, such as business, where building relationships, fostering collaboration within teams and understanding customer needs are essential factors</w:t>
      </w:r>
      <w:r w:rsidR="006B01C0">
        <w:t xml:space="preserve"> (</w:t>
      </w:r>
      <w:proofErr w:type="spellStart"/>
      <w:r w:rsidR="006B01C0">
        <w:t>Whiteley</w:t>
      </w:r>
      <w:proofErr w:type="spellEnd"/>
      <w:r w:rsidR="006B01C0">
        <w:t>, 2023)</w:t>
      </w:r>
      <w:r>
        <w:t>.</w:t>
      </w:r>
    </w:p>
    <w:p w:rsidR="0045620A" w:rsidRDefault="0045620A" w:rsidP="00D028FF"/>
    <w:p w:rsidR="0045620A" w:rsidRDefault="00780EB2" w:rsidP="00D028FF">
      <w:r>
        <w:t>Investigative types may prefer careers in research and academia, where they can engage in analytical and intellectual activities</w:t>
      </w:r>
      <w:r w:rsidR="0019440C">
        <w:t>.</w:t>
      </w:r>
    </w:p>
    <w:p w:rsidR="00CA4074" w:rsidRDefault="00CA4074" w:rsidP="00D028FF"/>
    <w:p w:rsidR="00053FD4" w:rsidRDefault="00053FD4" w:rsidP="00317504"/>
    <w:p w:rsidR="00CD3DCA" w:rsidRDefault="00CD3DCA" w:rsidP="00317504">
      <w:r>
        <w:t xml:space="preserve">Gaps in the literature </w:t>
      </w:r>
    </w:p>
    <w:p w:rsidR="00CD3DCA" w:rsidRDefault="00CD3DCA" w:rsidP="00317504"/>
    <w:p w:rsidR="00C13B07" w:rsidRDefault="004564B2" w:rsidP="00317504">
      <w:r>
        <w:t xml:space="preserve">In research concerning the perceived employability of psychology graduates and their career trajectories, several notable gaps emerge. </w:t>
      </w:r>
      <w:r w:rsidR="006F7DA5">
        <w:t xml:space="preserve">There is a lack of longitudinal studies that follow </w:t>
      </w:r>
      <w:r w:rsidR="00D26CF1">
        <w:t>the graduates’ professional pursuits from their bachelor’s education through their career trajectories</w:t>
      </w:r>
      <w:r w:rsidR="00C71890">
        <w:t xml:space="preserve">, offering insights into how perceived employability evolves over time and the factors influencing career decisions. </w:t>
      </w:r>
    </w:p>
    <w:p w:rsidR="00C13B07" w:rsidRDefault="006F6C5D" w:rsidP="00317504">
      <w:r>
        <w:t xml:space="preserve">Additionally, the literature lacks exploration on the impact on specific programmes or training aiming at enhancing the employability of psychology graduates. </w:t>
      </w:r>
      <w:r w:rsidR="00BB45BF">
        <w:t xml:space="preserve">Understanding employer perspectives on the skills and attributes they value in psychology graduates is also essential, as this can inform educational practices and career services. </w:t>
      </w:r>
    </w:p>
    <w:p w:rsidR="00CD3DCA" w:rsidRDefault="00C13B07" w:rsidP="00317504">
      <w:r>
        <w:t xml:space="preserve"> </w:t>
      </w:r>
    </w:p>
    <w:p w:rsidR="00C13B07" w:rsidRDefault="00C13B07" w:rsidP="00317504">
      <w:r>
        <w:t xml:space="preserve">Addressing these gaps in further research can provide valuable insights for educators, policymakers and career counsellors aiming to better prepare psychology graduates for diverse and successful career trajectories. </w:t>
      </w:r>
    </w:p>
    <w:p w:rsidR="00053FD4" w:rsidRDefault="00053FD4" w:rsidP="00317504"/>
    <w:p w:rsidR="00053FD4" w:rsidRDefault="00053FD4" w:rsidP="00317504"/>
    <w:p w:rsidR="00053FD4" w:rsidRDefault="00053FD4" w:rsidP="00317504"/>
    <w:p w:rsidR="00ED2D6B" w:rsidRDefault="006B2D61" w:rsidP="00317504">
      <w:r>
        <w:t xml:space="preserve">In summary, the perceived employability of psychology graduates and their career destinations are significantly influenced by several key theoretical </w:t>
      </w:r>
      <w:r w:rsidR="00F638AD">
        <w:t>frameworks.</w:t>
      </w:r>
      <w:r w:rsidR="00FD5221">
        <w:t xml:space="preserve"> Attachment Theory emphasises the importance of secure early relationships, highlighting that skills in building trust and effective client relationships are crucial for psychologists and valuable in other fields like business. </w:t>
      </w:r>
      <w:r w:rsidR="007243E4">
        <w:t xml:space="preserve">Bandura’s Social Learning Theory </w:t>
      </w:r>
      <w:r w:rsidR="007B6608">
        <w:t xml:space="preserve">underscores the </w:t>
      </w:r>
      <w:r w:rsidR="002C3AF0">
        <w:t xml:space="preserve">role of observational learning </w:t>
      </w:r>
      <w:r w:rsidR="00D1333F">
        <w:t xml:space="preserve">and self-efficacy, demonstrating that positive role models and successful experiences enhance graduates’ confidence in their abilities, </w:t>
      </w:r>
      <w:r w:rsidR="006B5C19">
        <w:t xml:space="preserve">thereby increasing their employability. </w:t>
      </w:r>
      <w:r w:rsidR="00831B85">
        <w:t>Self-Determination Theory highlights the significance of intrinsic motivation and fulfilment of basic psychological needs – competence, autonomy and relatedness</w:t>
      </w:r>
      <w:r w:rsidR="008C39D9">
        <w:t xml:space="preserve"> – in shaping career satisfaction and perceived employability</w:t>
      </w:r>
      <w:r w:rsidR="00375C36">
        <w:t xml:space="preserve">. Additionally, Holland’s Theory of Career Choice illustrates how the alignment between personality types and work environments influence job </w:t>
      </w:r>
      <w:r w:rsidR="00BD0D7D">
        <w:t>satisfaction and career succ</w:t>
      </w:r>
      <w:r w:rsidR="008636D8">
        <w:t>ess</w:t>
      </w:r>
      <w:r w:rsidR="006C64E7">
        <w:t xml:space="preserve">, indicating that </w:t>
      </w:r>
      <w:r w:rsidR="00B86376">
        <w:t xml:space="preserve">psychology graduates thrive in roles that match their inherent interests and skills. </w:t>
      </w:r>
    </w:p>
    <w:p w:rsidR="006B2D61" w:rsidRDefault="00B86376" w:rsidP="00317504">
      <w:r>
        <w:lastRenderedPageBreak/>
        <w:t>Other critical factors</w:t>
      </w:r>
      <w:r w:rsidR="00ED2D6B">
        <w:t xml:space="preserve"> impacting employability include the need for higher qualifications, mentorship and </w:t>
      </w:r>
      <w:r w:rsidR="00A2696B">
        <w:t xml:space="preserve">the development </w:t>
      </w:r>
      <w:r w:rsidR="009F2AB3">
        <w:t>of</w:t>
      </w:r>
      <w:r w:rsidR="00A2696B">
        <w:t xml:space="preserve"> soft skills. </w:t>
      </w:r>
      <w:r w:rsidR="009F2AB3">
        <w:t xml:space="preserve">Collectively, these theories and factors provide a comprehensive understanding of what shapes the employability and career paths of </w:t>
      </w:r>
      <w:r w:rsidR="002938D9">
        <w:t xml:space="preserve">psychology </w:t>
      </w:r>
      <w:r w:rsidR="009F2AB3">
        <w:t xml:space="preserve">graduates. </w:t>
      </w:r>
    </w:p>
    <w:p w:rsidR="00053FD4" w:rsidRDefault="00053FD4" w:rsidP="00317504"/>
    <w:p w:rsidR="00662EF2" w:rsidRDefault="008A5BDA" w:rsidP="00317504">
      <w:r>
        <w:t xml:space="preserve">The insights from this literature review can be valuable for educators, policymakers and career counsellors in developing more effective strategies to support psychology graduates in navigating </w:t>
      </w:r>
      <w:r w:rsidR="00BB55EE">
        <w:t xml:space="preserve">diverse and successful career </w:t>
      </w:r>
      <w:r w:rsidR="00F0236A">
        <w:t>destinations</w:t>
      </w:r>
      <w:r w:rsidR="00BB55EE">
        <w:t xml:space="preserve">, ultimately contributing to their </w:t>
      </w:r>
      <w:r w:rsidR="007E62C4">
        <w:t xml:space="preserve">professional growth and societal impact. </w:t>
      </w:r>
    </w:p>
    <w:p w:rsidR="00662EF2" w:rsidRDefault="00662EF2" w:rsidP="00317504"/>
    <w:p w:rsidR="00662EF2" w:rsidRDefault="00662EF2" w:rsidP="00317504"/>
    <w:p w:rsidR="00662EF2" w:rsidRDefault="00662EF2" w:rsidP="00317504"/>
    <w:p w:rsidR="006010C5" w:rsidRDefault="006010C5"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6E102B" w:rsidRDefault="006E102B" w:rsidP="00317504"/>
    <w:p w:rsidR="00A560FC" w:rsidRDefault="00A560FC" w:rsidP="00317504"/>
    <w:p w:rsidR="005950D3" w:rsidRDefault="005950D3" w:rsidP="00317504"/>
    <w:p w:rsidR="00211D5B" w:rsidRDefault="00211D5B" w:rsidP="00317504"/>
    <w:p w:rsidR="00AA6253" w:rsidRDefault="00AA6253" w:rsidP="00317504"/>
    <w:p w:rsidR="006010C5" w:rsidRDefault="006010C5" w:rsidP="00317504"/>
    <w:p w:rsidR="00AA6253" w:rsidRDefault="00AA6253" w:rsidP="00317504"/>
    <w:p w:rsidR="00AA6253" w:rsidRDefault="00AA6253" w:rsidP="00317504"/>
    <w:p w:rsidR="00AA6253" w:rsidRDefault="00AA6253" w:rsidP="00317504"/>
    <w:p w:rsidR="00AA6253" w:rsidRDefault="00AA6253" w:rsidP="00317504"/>
    <w:p w:rsidR="00EC77A3" w:rsidRDefault="00EC77A3" w:rsidP="00317504"/>
    <w:p w:rsidR="00A927D6" w:rsidRDefault="00A927D6" w:rsidP="00317504"/>
    <w:p w:rsidR="00B8657C" w:rsidRDefault="00B8657C" w:rsidP="00B8657C"/>
    <w:p w:rsidR="00B8657C" w:rsidRDefault="00B8657C" w:rsidP="00985796"/>
    <w:p w:rsidR="00296DF2" w:rsidRDefault="00296DF2" w:rsidP="00296DF2"/>
    <w:p w:rsidR="009D3A4A" w:rsidRDefault="009D3A4A" w:rsidP="00985796"/>
    <w:p w:rsidR="009D3A4A" w:rsidRDefault="009D3A4A" w:rsidP="00985796"/>
    <w:p w:rsidR="00B4337D" w:rsidRDefault="00B4337D" w:rsidP="00985796"/>
    <w:p w:rsidR="00985796" w:rsidRDefault="00985796" w:rsidP="00985796"/>
    <w:p w:rsidR="00985796" w:rsidRDefault="00985796" w:rsidP="00985796"/>
    <w:p w:rsidR="00985796" w:rsidRDefault="00985796" w:rsidP="00985796">
      <w:pPr>
        <w:pStyle w:val="ListParagraph"/>
        <w:numPr>
          <w:ilvl w:val="0"/>
          <w:numId w:val="1"/>
        </w:numPr>
      </w:pPr>
      <w:r>
        <w:t xml:space="preserve">100 references annotated </w:t>
      </w:r>
      <w:r w:rsidR="00290A12">
        <w:t xml:space="preserve">2500 </w:t>
      </w:r>
    </w:p>
    <w:p w:rsidR="00707F2E" w:rsidRDefault="00707F2E" w:rsidP="00707F2E"/>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color w:val="000000"/>
          <w:shd w:val="clear" w:color="auto" w:fill="FFFFFF"/>
        </w:rPr>
      </w:pPr>
    </w:p>
    <w:p w:rsidR="00F274BF" w:rsidRPr="00F274BF" w:rsidRDefault="00F274BF" w:rsidP="00F274BF">
      <w:pPr>
        <w:spacing w:line="360" w:lineRule="auto"/>
        <w:rPr>
          <w:rFonts w:ascii="Calibri" w:hAnsi="Calibri" w:cs="Calibri"/>
          <w:color w:val="000000"/>
          <w:shd w:val="clear" w:color="auto" w:fill="FFFFFF"/>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spacing w:line="360" w:lineRule="auto"/>
        <w:rPr>
          <w:rFonts w:ascii="Calibri" w:hAnsi="Calibri" w:cs="Calibri"/>
        </w:rPr>
      </w:pPr>
    </w:p>
    <w:p w:rsidR="00F274BF" w:rsidRPr="00F274BF" w:rsidRDefault="00F274BF" w:rsidP="00F274BF">
      <w:pPr>
        <w:tabs>
          <w:tab w:val="left" w:pos="966"/>
        </w:tabs>
        <w:spacing w:line="360" w:lineRule="auto"/>
        <w:rPr>
          <w:rFonts w:ascii="Calibri" w:hAnsi="Calibri" w:cs="Calibri"/>
        </w:rPr>
      </w:pPr>
      <w:r w:rsidRPr="00F274BF">
        <w:rPr>
          <w:rFonts w:ascii="Calibri" w:hAnsi="Calibri" w:cs="Calibri"/>
        </w:rPr>
        <w:tab/>
      </w:r>
    </w:p>
    <w:p w:rsidR="00F274BF" w:rsidRPr="00F274BF" w:rsidRDefault="00F274BF" w:rsidP="00F274BF">
      <w:pPr>
        <w:tabs>
          <w:tab w:val="left" w:pos="966"/>
        </w:tabs>
        <w:spacing w:line="360" w:lineRule="auto"/>
        <w:rPr>
          <w:rFonts w:ascii="Calibri" w:hAnsi="Calibri" w:cs="Calibri"/>
        </w:rPr>
      </w:pP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Bandura, A. (1971) </w:t>
      </w:r>
      <w:r w:rsidRPr="00F274BF">
        <w:rPr>
          <w:rFonts w:ascii="Calibri" w:hAnsi="Calibri" w:cs="Calibri"/>
          <w:i/>
          <w:iCs/>
        </w:rPr>
        <w:t>Social Learning Theory</w:t>
      </w:r>
      <w:r w:rsidRPr="00F274BF">
        <w:rPr>
          <w:rFonts w:ascii="Calibri" w:hAnsi="Calibri" w:cs="Calibri"/>
        </w:rPr>
        <w:t xml:space="preserve">. 1st </w:t>
      </w:r>
      <w:proofErr w:type="spellStart"/>
      <w:r w:rsidRPr="00F274BF">
        <w:rPr>
          <w:rFonts w:ascii="Calibri" w:hAnsi="Calibri" w:cs="Calibri"/>
        </w:rPr>
        <w:t>edn</w:t>
      </w:r>
      <w:proofErr w:type="spellEnd"/>
      <w:r w:rsidRPr="00F274BF">
        <w:rPr>
          <w:rFonts w:ascii="Calibri" w:hAnsi="Calibri" w:cs="Calibri"/>
        </w:rPr>
        <w:t xml:space="preserve">. General Learning Press. </w:t>
      </w:r>
    </w:p>
    <w:p w:rsidR="00F274BF" w:rsidRPr="00F274BF" w:rsidRDefault="00F274BF" w:rsidP="00F274BF">
      <w:pPr>
        <w:spacing w:line="360" w:lineRule="auto"/>
        <w:rPr>
          <w:rFonts w:ascii="Calibri" w:hAnsi="Calibri" w:cs="Calibri"/>
          <w:color w:val="000000"/>
          <w:shd w:val="clear" w:color="auto" w:fill="FFFFFF"/>
        </w:rPr>
      </w:pPr>
      <w:r w:rsidRPr="00F274BF">
        <w:rPr>
          <w:rFonts w:ascii="Calibri" w:hAnsi="Calibri" w:cs="Calibri"/>
          <w:color w:val="000000"/>
          <w:shd w:val="clear" w:color="auto" w:fill="FFFFFF"/>
        </w:rPr>
        <w:t>Bandura, A. (1977). </w:t>
      </w:r>
      <w:r w:rsidRPr="00F274BF">
        <w:rPr>
          <w:rStyle w:val="Emphasis"/>
          <w:rFonts w:ascii="Calibri" w:hAnsi="Calibri" w:cs="Calibri"/>
          <w:color w:val="000000"/>
          <w:bdr w:val="none" w:sz="0" w:space="0" w:color="auto" w:frame="1"/>
          <w:shd w:val="clear" w:color="auto" w:fill="FFFFFF"/>
        </w:rPr>
        <w:t xml:space="preserve">Self-efficacy: Toward a unifying theory of </w:t>
      </w:r>
      <w:proofErr w:type="spellStart"/>
      <w:r w:rsidRPr="00F274BF">
        <w:rPr>
          <w:rStyle w:val="Emphasis"/>
          <w:rFonts w:ascii="Calibri" w:hAnsi="Calibri" w:cs="Calibri"/>
          <w:color w:val="000000"/>
          <w:bdr w:val="none" w:sz="0" w:space="0" w:color="auto" w:frame="1"/>
          <w:shd w:val="clear" w:color="auto" w:fill="FFFFFF"/>
        </w:rPr>
        <w:t>behavioral</w:t>
      </w:r>
      <w:proofErr w:type="spellEnd"/>
      <w:r w:rsidRPr="00F274BF">
        <w:rPr>
          <w:rStyle w:val="Emphasis"/>
          <w:rFonts w:ascii="Calibri" w:hAnsi="Calibri" w:cs="Calibri"/>
          <w:color w:val="000000"/>
          <w:bdr w:val="none" w:sz="0" w:space="0" w:color="auto" w:frame="1"/>
          <w:shd w:val="clear" w:color="auto" w:fill="FFFFFF"/>
        </w:rPr>
        <w:t xml:space="preserve"> change</w:t>
      </w:r>
      <w:r w:rsidRPr="00F274BF">
        <w:rPr>
          <w:rFonts w:ascii="Calibri" w:hAnsi="Calibri" w:cs="Calibri"/>
          <w:color w:val="000000"/>
          <w:shd w:val="clear" w:color="auto" w:fill="FFFFFF"/>
        </w:rPr>
        <w:t>. Psychological Review, 84(2), 191-215.</w:t>
      </w:r>
    </w:p>
    <w:p w:rsidR="00F274BF" w:rsidRPr="00F274BF" w:rsidRDefault="00F274BF" w:rsidP="00F274BF">
      <w:pPr>
        <w:spacing w:line="360" w:lineRule="auto"/>
        <w:rPr>
          <w:rFonts w:ascii="Calibri" w:hAnsi="Calibri" w:cs="Calibri"/>
          <w:color w:val="000000"/>
          <w:shd w:val="clear" w:color="auto" w:fill="FFFFFF"/>
        </w:rPr>
      </w:pPr>
      <w:r w:rsidRPr="00F274BF">
        <w:rPr>
          <w:rFonts w:ascii="Calibri" w:hAnsi="Calibri" w:cs="Calibri"/>
          <w:color w:val="000000"/>
          <w:shd w:val="clear" w:color="auto" w:fill="FFFFFF"/>
        </w:rPr>
        <w:lastRenderedPageBreak/>
        <w:t>Bandura, A. (1986). </w:t>
      </w:r>
      <w:r w:rsidRPr="00F274BF">
        <w:rPr>
          <w:rStyle w:val="Emphasis"/>
          <w:rFonts w:ascii="Calibri" w:hAnsi="Calibri" w:cs="Calibri"/>
          <w:color w:val="000000"/>
          <w:bdr w:val="none" w:sz="0" w:space="0" w:color="auto" w:frame="1"/>
          <w:shd w:val="clear" w:color="auto" w:fill="FFFFFF"/>
        </w:rPr>
        <w:t>Social foundations of thought and action: A social cognitive theory</w:t>
      </w:r>
      <w:r w:rsidRPr="00F274BF">
        <w:rPr>
          <w:rFonts w:ascii="Calibri" w:hAnsi="Calibri" w:cs="Calibri"/>
          <w:color w:val="000000"/>
          <w:shd w:val="clear" w:color="auto" w:fill="FFFFFF"/>
        </w:rPr>
        <w:t>. Englewood Cliffs, NJ: Prentice-Hall.</w:t>
      </w:r>
    </w:p>
    <w:p w:rsidR="00F274BF" w:rsidRPr="00F274BF" w:rsidRDefault="00F274BF" w:rsidP="00F274BF">
      <w:pPr>
        <w:spacing w:line="360" w:lineRule="auto"/>
        <w:rPr>
          <w:rFonts w:ascii="Calibri" w:hAnsi="Calibri" w:cs="Calibri"/>
        </w:rPr>
      </w:pPr>
      <w:r w:rsidRPr="00F274BF">
        <w:rPr>
          <w:rFonts w:ascii="Calibri" w:hAnsi="Calibri" w:cs="Calibri"/>
          <w:color w:val="000000"/>
          <w:shd w:val="clear" w:color="auto" w:fill="FFFFFF"/>
        </w:rPr>
        <w:t>Bandura, A. (1997). Self-Efficacy: </w:t>
      </w:r>
      <w:r w:rsidRPr="00F274BF">
        <w:rPr>
          <w:rStyle w:val="Emphasis"/>
          <w:rFonts w:ascii="Calibri" w:hAnsi="Calibri" w:cs="Calibri"/>
          <w:color w:val="000000"/>
          <w:bdr w:val="none" w:sz="0" w:space="0" w:color="auto" w:frame="1"/>
          <w:shd w:val="clear" w:color="auto" w:fill="FFFFFF"/>
        </w:rPr>
        <w:t>The exercise of control</w:t>
      </w:r>
      <w:r w:rsidRPr="00F274BF">
        <w:rPr>
          <w:rFonts w:ascii="Calibri" w:hAnsi="Calibri" w:cs="Calibri"/>
          <w:color w:val="000000"/>
          <w:shd w:val="clear" w:color="auto" w:fill="FFFFFF"/>
        </w:rPr>
        <w:t>. New York, NY: W. H. Freeman.</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Bhattacharya, S. (2022) </w:t>
      </w:r>
      <w:r w:rsidRPr="00F274BF">
        <w:rPr>
          <w:rFonts w:ascii="Calibri" w:hAnsi="Calibri" w:cs="Calibri"/>
          <w:i/>
          <w:iCs/>
        </w:rPr>
        <w:t>Widening the psychological workforce</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https://thepsychologist.bps.org.uk/widening-psychological-workforce (Accessed: 31 May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Blumberg, B., Cooper, D.R. and Schindler, P.S. (2014a) </w:t>
      </w:r>
      <w:r w:rsidRPr="00F274BF">
        <w:rPr>
          <w:rFonts w:ascii="Calibri" w:hAnsi="Calibri" w:cs="Calibri"/>
          <w:i/>
          <w:iCs/>
        </w:rPr>
        <w:t>Business research methods</w:t>
      </w:r>
      <w:r w:rsidRPr="00F274BF">
        <w:rPr>
          <w:rFonts w:ascii="Calibri" w:hAnsi="Calibri" w:cs="Calibri"/>
        </w:rPr>
        <w:t xml:space="preserve">. 4th </w:t>
      </w:r>
      <w:proofErr w:type="spellStart"/>
      <w:r w:rsidRPr="00F274BF">
        <w:rPr>
          <w:rFonts w:ascii="Calibri" w:hAnsi="Calibri" w:cs="Calibri"/>
        </w:rPr>
        <w:t>edn</w:t>
      </w:r>
      <w:proofErr w:type="spellEnd"/>
      <w:r w:rsidRPr="00F274BF">
        <w:rPr>
          <w:rFonts w:ascii="Calibri" w:hAnsi="Calibri" w:cs="Calibri"/>
        </w:rPr>
        <w:t xml:space="preserve">. Berkshire: McGraw-Hill Education.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Bordin</w:t>
      </w:r>
      <w:proofErr w:type="spellEnd"/>
      <w:r w:rsidRPr="00F274BF">
        <w:rPr>
          <w:rFonts w:ascii="Calibri" w:hAnsi="Calibri" w:cs="Calibri"/>
        </w:rPr>
        <w:t xml:space="preserve">, E.S. (1983) ‘A Working Alliance based model of supervision’, </w:t>
      </w:r>
      <w:r w:rsidRPr="00F274BF">
        <w:rPr>
          <w:rFonts w:ascii="Calibri" w:hAnsi="Calibri" w:cs="Calibri"/>
          <w:i/>
          <w:iCs/>
        </w:rPr>
        <w:t xml:space="preserve">The </w:t>
      </w:r>
      <w:proofErr w:type="spellStart"/>
      <w:r w:rsidRPr="00F274BF">
        <w:rPr>
          <w:rFonts w:ascii="Calibri" w:hAnsi="Calibri" w:cs="Calibri"/>
          <w:i/>
          <w:iCs/>
        </w:rPr>
        <w:t>Counseling</w:t>
      </w:r>
      <w:proofErr w:type="spellEnd"/>
      <w:r w:rsidRPr="00F274BF">
        <w:rPr>
          <w:rFonts w:ascii="Calibri" w:hAnsi="Calibri" w:cs="Calibri"/>
          <w:i/>
          <w:iCs/>
        </w:rPr>
        <w:t xml:space="preserve"> Psychologist</w:t>
      </w:r>
      <w:r w:rsidRPr="00F274BF">
        <w:rPr>
          <w:rFonts w:ascii="Calibri" w:hAnsi="Calibri" w:cs="Calibri"/>
        </w:rPr>
        <w:t xml:space="preserve">, 11(1), pp. 35–42. doi:10.1177/0011000083111007. </w:t>
      </w:r>
    </w:p>
    <w:p w:rsidR="00F274BF" w:rsidRPr="00F274BF" w:rsidRDefault="00F274BF" w:rsidP="00F274BF">
      <w:pPr>
        <w:spacing w:line="360" w:lineRule="auto"/>
        <w:rPr>
          <w:rFonts w:ascii="Calibri" w:hAnsi="Calibri" w:cs="Calibri"/>
        </w:rPr>
      </w:pPr>
      <w:r w:rsidRPr="00F274BF">
        <w:rPr>
          <w:rFonts w:ascii="Calibri" w:hAnsi="Calibri" w:cs="Calibri"/>
        </w:rPr>
        <w:t xml:space="preserve">Bowlby, J. (1958). The nature of the </w:t>
      </w:r>
      <w:proofErr w:type="spellStart"/>
      <w:r w:rsidRPr="00F274BF">
        <w:rPr>
          <w:rFonts w:ascii="Calibri" w:hAnsi="Calibri" w:cs="Calibri"/>
        </w:rPr>
        <w:t>childs</w:t>
      </w:r>
      <w:proofErr w:type="spellEnd"/>
      <w:r w:rsidRPr="00F274BF">
        <w:rPr>
          <w:rFonts w:ascii="Calibri" w:hAnsi="Calibri" w:cs="Calibri"/>
        </w:rPr>
        <w:t xml:space="preserve"> tie to his mother. International Journal of Psychoanalysis, 39, 350-371</w:t>
      </w:r>
    </w:p>
    <w:p w:rsidR="00F274BF" w:rsidRPr="00F274BF" w:rsidRDefault="00F274BF" w:rsidP="00F274BF">
      <w:pPr>
        <w:spacing w:line="360" w:lineRule="auto"/>
        <w:rPr>
          <w:rFonts w:ascii="Calibri" w:hAnsi="Calibri" w:cs="Calibri"/>
        </w:rPr>
      </w:pPr>
      <w:r w:rsidRPr="00F274BF">
        <w:rPr>
          <w:rFonts w:ascii="Calibri" w:hAnsi="Calibri" w:cs="Calibri"/>
        </w:rPr>
        <w:t>Bowlby, J. (1988). A secure base: Parent–child attachment and healthy human development. New York: Basic Books.</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Butler, S. (2024) </w:t>
      </w:r>
      <w:r w:rsidRPr="00F274BF">
        <w:rPr>
          <w:rFonts w:ascii="Calibri" w:hAnsi="Calibri" w:cs="Calibri"/>
          <w:i/>
          <w:iCs/>
        </w:rPr>
        <w:t>Study psychology, why &amp; how to study</w:t>
      </w:r>
      <w:r w:rsidRPr="00F274BF">
        <w:rPr>
          <w:rFonts w:ascii="Calibri" w:hAnsi="Calibri" w:cs="Calibri"/>
        </w:rPr>
        <w:t xml:space="preserve">, </w:t>
      </w:r>
      <w:r w:rsidRPr="00F274BF">
        <w:rPr>
          <w:rFonts w:ascii="Calibri" w:hAnsi="Calibri" w:cs="Calibri"/>
          <w:i/>
          <w:iCs/>
        </w:rPr>
        <w:t>Psychology degrees | course guide - Complete University Guide</w:t>
      </w:r>
      <w:r w:rsidRPr="00F274BF">
        <w:rPr>
          <w:rFonts w:ascii="Calibri" w:hAnsi="Calibri" w:cs="Calibri"/>
        </w:rPr>
        <w:t xml:space="preserve">. Available at: https://www.thecompleteuniversityguide.co.uk/subject-guide/psychology (Accessed: 31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i/>
          <w:iCs/>
          <w:color w:val="000000"/>
        </w:rPr>
        <w:t>Career options in psychology</w:t>
      </w:r>
      <w:r w:rsidRPr="00F274BF">
        <w:rPr>
          <w:rStyle w:val="apple-converted-space"/>
          <w:rFonts w:ascii="Calibri" w:hAnsi="Calibri" w:cs="Calibri"/>
          <w:color w:val="000000"/>
        </w:rPr>
        <w:t> </w:t>
      </w:r>
      <w:r w:rsidRPr="00F274BF">
        <w:rPr>
          <w:rFonts w:ascii="Calibri" w:hAnsi="Calibri" w:cs="Calibri"/>
          <w:color w:val="000000"/>
        </w:rPr>
        <w:t>(2023)</w:t>
      </w:r>
      <w:r w:rsidRPr="00F274BF">
        <w:rPr>
          <w:rStyle w:val="apple-converted-space"/>
          <w:rFonts w:ascii="Calibri" w:hAnsi="Calibri" w:cs="Calibri"/>
          <w:color w:val="000000"/>
        </w:rPr>
        <w:t> </w:t>
      </w:r>
      <w:r w:rsidRPr="00F274BF">
        <w:rPr>
          <w:rFonts w:ascii="Calibri" w:hAnsi="Calibri" w:cs="Calibri"/>
          <w:i/>
          <w:iCs/>
          <w:color w:val="000000"/>
        </w:rPr>
        <w:t>BPS</w:t>
      </w:r>
      <w:r w:rsidRPr="00F274BF">
        <w:rPr>
          <w:rFonts w:ascii="Calibri" w:hAnsi="Calibri" w:cs="Calibri"/>
          <w:color w:val="000000"/>
        </w:rPr>
        <w:t>. Available at: https://www.bps.org.uk/career-options-psychology (Accessed: 23 May 2024).</w:t>
      </w:r>
      <w:r w:rsidRPr="00F274BF">
        <w:rPr>
          <w:rStyle w:val="apple-converted-space"/>
          <w:rFonts w:ascii="Calibri" w:hAnsi="Calibri" w:cs="Calibri"/>
          <w:color w:val="000000"/>
        </w:rPr>
        <w:t> </w:t>
      </w:r>
    </w:p>
    <w:p w:rsidR="00F274BF" w:rsidRPr="00F274BF" w:rsidRDefault="00F274BF" w:rsidP="00F274BF">
      <w:pPr>
        <w:spacing w:line="360" w:lineRule="auto"/>
        <w:rPr>
          <w:rFonts w:ascii="Calibri" w:hAnsi="Calibri" w:cs="Calibri"/>
        </w:rPr>
      </w:pPr>
      <w:r w:rsidRPr="00F274BF">
        <w:rPr>
          <w:rFonts w:ascii="Calibri" w:hAnsi="Calibri" w:cs="Calibri"/>
        </w:rPr>
        <w:t xml:space="preserve">Charles Sturt University (2024) </w:t>
      </w:r>
      <w:r w:rsidRPr="00F274BF">
        <w:rPr>
          <w:rFonts w:ascii="Calibri" w:hAnsi="Calibri" w:cs="Calibri"/>
          <w:i/>
          <w:iCs/>
        </w:rPr>
        <w:t xml:space="preserve">Literature Review Guide. </w:t>
      </w:r>
      <w:hyperlink r:id="rId13" w:history="1">
        <w:r w:rsidRPr="00F274BF">
          <w:rPr>
            <w:rStyle w:val="Hyperlink"/>
            <w:rFonts w:ascii="Calibri" w:hAnsi="Calibri" w:cs="Calibri"/>
          </w:rPr>
          <w:t>https://libguides.csu.edu.au/review/Types</w:t>
        </w:r>
      </w:hyperlink>
      <w:r w:rsidRPr="00F274BF">
        <w:rPr>
          <w:rFonts w:ascii="Calibri" w:hAnsi="Calibri" w:cs="Calibri"/>
        </w:rPr>
        <w:t xml:space="preserve"> (Retrieved 30-05-24)</w:t>
      </w:r>
    </w:p>
    <w:p w:rsidR="00B059DC" w:rsidRPr="00B059DC" w:rsidRDefault="00B059DC" w:rsidP="00ED7E27">
      <w:pPr>
        <w:pStyle w:val="NormalWeb"/>
        <w:spacing w:line="360" w:lineRule="auto"/>
        <w:ind w:left="720"/>
        <w:rPr>
          <w:rFonts w:ascii="Calibri" w:hAnsi="Calibri" w:cs="Calibri"/>
        </w:rPr>
      </w:pPr>
      <w:r w:rsidRPr="007A1DF0">
        <w:rPr>
          <w:rFonts w:ascii="Calibri" w:hAnsi="Calibri" w:cs="Calibri"/>
        </w:rPr>
        <w:lastRenderedPageBreak/>
        <w:t xml:space="preserve">Chawla, G. </w:t>
      </w:r>
      <w:r w:rsidRPr="007A1DF0">
        <w:rPr>
          <w:rFonts w:ascii="Calibri" w:hAnsi="Calibri" w:cs="Calibri"/>
          <w:i/>
          <w:iCs/>
        </w:rPr>
        <w:t>et al.</w:t>
      </w:r>
      <w:r w:rsidRPr="007A1DF0">
        <w:rPr>
          <w:rFonts w:ascii="Calibri" w:hAnsi="Calibri" w:cs="Calibri"/>
        </w:rPr>
        <w:t xml:space="preserve"> (2019) ‘SELF-PERCEIVED EMPLOYABILITY AND ACADEMIC ENGAGEMENT IN HIGHER EDUCATION’, in </w:t>
      </w:r>
      <w:r w:rsidRPr="007A1DF0">
        <w:rPr>
          <w:rFonts w:ascii="Calibri" w:hAnsi="Calibri" w:cs="Calibri"/>
          <w:i/>
          <w:iCs/>
        </w:rPr>
        <w:t>Research Gate</w:t>
      </w:r>
      <w:proofErr w:type="gramStart"/>
      <w:r w:rsidRPr="007A1DF0">
        <w:rPr>
          <w:rFonts w:ascii="Calibri" w:hAnsi="Calibri" w:cs="Calibri"/>
          <w:i/>
          <w:iCs/>
        </w:rPr>
        <w:t xml:space="preserve">. </w:t>
      </w:r>
      <w:r w:rsidRPr="007A1DF0">
        <w:rPr>
          <w:rFonts w:ascii="Calibri" w:hAnsi="Calibri" w:cs="Calibri"/>
        </w:rPr>
        <w:t>.</w:t>
      </w:r>
      <w:proofErr w:type="gramEnd"/>
      <w:r w:rsidRPr="007A1DF0">
        <w:rPr>
          <w:rFonts w:ascii="Calibri" w:hAnsi="Calibri" w:cs="Calibri"/>
        </w:rPr>
        <w:t xml:space="preserve"> Available at: https://www.researchgate.net/publication/335189369 (Accessed: 18 May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Courtney, E. and Ackerman, M.A. (2018) </w:t>
      </w:r>
      <w:r w:rsidRPr="00F274BF">
        <w:rPr>
          <w:rFonts w:ascii="Calibri" w:hAnsi="Calibri" w:cs="Calibri"/>
          <w:i/>
          <w:iCs/>
        </w:rPr>
        <w:t>Self-Determination Theory</w:t>
      </w:r>
      <w:r w:rsidRPr="00F274BF">
        <w:rPr>
          <w:rFonts w:ascii="Calibri" w:hAnsi="Calibri" w:cs="Calibri"/>
        </w:rPr>
        <w:t xml:space="preserve">, </w:t>
      </w:r>
      <w:r w:rsidRPr="00F274BF">
        <w:rPr>
          <w:rFonts w:ascii="Calibri" w:hAnsi="Calibri" w:cs="Calibri"/>
          <w:i/>
          <w:iCs/>
        </w:rPr>
        <w:t>Positive psychology</w:t>
      </w:r>
      <w:r w:rsidRPr="00F274BF">
        <w:rPr>
          <w:rFonts w:ascii="Calibri" w:hAnsi="Calibri" w:cs="Calibri"/>
        </w:rPr>
        <w:t xml:space="preserve">. Available at: https://positivepsychology.com/self-determination-theory/ (Accessed: 02 June 2024).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Crimmins, J. (2024) </w:t>
      </w:r>
      <w:r w:rsidRPr="00F274BF">
        <w:rPr>
          <w:rFonts w:ascii="Calibri" w:hAnsi="Calibri" w:cs="Calibri"/>
          <w:i/>
          <w:iCs/>
        </w:rPr>
        <w:t xml:space="preserve">Motivation in psychology. why is it </w:t>
      </w:r>
      <w:proofErr w:type="gramStart"/>
      <w:r w:rsidRPr="00F274BF">
        <w:rPr>
          <w:rFonts w:ascii="Calibri" w:hAnsi="Calibri" w:cs="Calibri"/>
          <w:i/>
          <w:iCs/>
        </w:rPr>
        <w:t>important?</w:t>
      </w:r>
      <w:r w:rsidRPr="00F274BF">
        <w:rPr>
          <w:rFonts w:ascii="Calibri" w:hAnsi="Calibri" w:cs="Calibri"/>
        </w:rPr>
        <w:t>,</w:t>
      </w:r>
      <w:proofErr w:type="gramEnd"/>
      <w:r w:rsidRPr="00F274BF">
        <w:rPr>
          <w:rFonts w:ascii="Calibri" w:hAnsi="Calibri" w:cs="Calibri"/>
        </w:rPr>
        <w:t xml:space="preserve"> </w:t>
      </w:r>
      <w:r w:rsidRPr="00F274BF">
        <w:rPr>
          <w:rFonts w:ascii="Calibri" w:hAnsi="Calibri" w:cs="Calibri"/>
          <w:i/>
          <w:iCs/>
        </w:rPr>
        <w:t>THE BEHAVIOUR INSTITUTE</w:t>
      </w:r>
      <w:r w:rsidRPr="00F274BF">
        <w:rPr>
          <w:rFonts w:ascii="Calibri" w:hAnsi="Calibri" w:cs="Calibri"/>
        </w:rPr>
        <w:t xml:space="preserve">. Available at: https://thebehaviourinstitute.com/motivation-in-psychology-why-is-it-important/ (Accessed: 30 May 2024). </w:t>
      </w:r>
    </w:p>
    <w:p w:rsidR="00F274BF" w:rsidRPr="00F274BF" w:rsidRDefault="00F274BF" w:rsidP="00F274BF">
      <w:pPr>
        <w:spacing w:line="360" w:lineRule="auto"/>
        <w:rPr>
          <w:rFonts w:ascii="Calibri" w:hAnsi="Calibri" w:cs="Calibri"/>
        </w:rPr>
      </w:pPr>
      <w:r w:rsidRPr="00F274BF">
        <w:rPr>
          <w:rFonts w:ascii="Calibri" w:hAnsi="Calibri" w:cs="Calibri"/>
        </w:rPr>
        <w:t xml:space="preserve">Deci, E. L., Schwartz, A. J., </w:t>
      </w:r>
      <w:proofErr w:type="spellStart"/>
      <w:r w:rsidRPr="00F274BF">
        <w:rPr>
          <w:rFonts w:ascii="Calibri" w:hAnsi="Calibri" w:cs="Calibri"/>
        </w:rPr>
        <w:t>Sheinman</w:t>
      </w:r>
      <w:proofErr w:type="spellEnd"/>
      <w:r w:rsidRPr="00F274BF">
        <w:rPr>
          <w:rFonts w:ascii="Calibri" w:hAnsi="Calibri" w:cs="Calibri"/>
        </w:rPr>
        <w:t xml:space="preserve">, L., &amp; Ryan, R. M. (1981). An instrument to assess adults’ orientations toward control versus autonomy with children: Reflections on intrinsic motivation and perceived competence. </w:t>
      </w:r>
      <w:r w:rsidRPr="00F274BF">
        <w:rPr>
          <w:rFonts w:ascii="Calibri" w:hAnsi="Calibri" w:cs="Calibri"/>
          <w:i/>
          <w:iCs/>
        </w:rPr>
        <w:t>Journal of Educational Psychology</w:t>
      </w:r>
      <w:r w:rsidRPr="00F274BF">
        <w:rPr>
          <w:rFonts w:ascii="Calibri" w:hAnsi="Calibri" w:cs="Calibri"/>
        </w:rPr>
        <w:t>, 73(5), 642–650</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Deci, E.L. (2012) </w:t>
      </w:r>
      <w:r w:rsidRPr="00F274BF">
        <w:rPr>
          <w:rFonts w:ascii="Calibri" w:hAnsi="Calibri" w:cs="Calibri"/>
          <w:i/>
          <w:iCs/>
        </w:rPr>
        <w:t>Intrinsic motivation</w:t>
      </w:r>
      <w:r w:rsidRPr="00F274BF">
        <w:rPr>
          <w:rFonts w:ascii="Calibri" w:hAnsi="Calibri" w:cs="Calibri"/>
        </w:rPr>
        <w:t xml:space="preserve">. New York, USA: Plenum Press.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Drazic</w:t>
      </w:r>
      <w:proofErr w:type="spellEnd"/>
      <w:r w:rsidRPr="00F274BF">
        <w:rPr>
          <w:rFonts w:ascii="Calibri" w:hAnsi="Calibri" w:cs="Calibri"/>
        </w:rPr>
        <w:t xml:space="preserve">, M.Ć., Petrovic, I.B. and </w:t>
      </w:r>
      <w:proofErr w:type="spellStart"/>
      <w:r w:rsidRPr="00F274BF">
        <w:rPr>
          <w:rFonts w:ascii="Calibri" w:hAnsi="Calibri" w:cs="Calibri"/>
        </w:rPr>
        <w:t>Vukelic</w:t>
      </w:r>
      <w:proofErr w:type="spellEnd"/>
      <w:r w:rsidRPr="00F274BF">
        <w:rPr>
          <w:rFonts w:ascii="Calibri" w:hAnsi="Calibri" w:cs="Calibri"/>
        </w:rPr>
        <w:t xml:space="preserve">, M. (2018) </w:t>
      </w:r>
      <w:r w:rsidRPr="00F274BF">
        <w:rPr>
          <w:rFonts w:ascii="Calibri" w:hAnsi="Calibri" w:cs="Calibri"/>
          <w:i/>
          <w:iCs/>
        </w:rPr>
        <w:t>Career ambition as a way of understanding the relation between locus of control and self-perceived employability among psychology students</w:t>
      </w:r>
      <w:r w:rsidRPr="00F274BF">
        <w:rPr>
          <w:rFonts w:ascii="Calibri" w:hAnsi="Calibri" w:cs="Calibri"/>
        </w:rPr>
        <w:t xml:space="preserve">, </w:t>
      </w:r>
      <w:r w:rsidRPr="00F274BF">
        <w:rPr>
          <w:rFonts w:ascii="Calibri" w:hAnsi="Calibri" w:cs="Calibri"/>
          <w:i/>
          <w:iCs/>
        </w:rPr>
        <w:t>Frontiers</w:t>
      </w:r>
      <w:r w:rsidRPr="00F274BF">
        <w:rPr>
          <w:rFonts w:ascii="Calibri" w:hAnsi="Calibri" w:cs="Calibri"/>
        </w:rPr>
        <w:t xml:space="preserve">. Available at: https://www.frontiersin.org/articles/10.3389/fpsyg.2018.01729/full (Accessed: 03 June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Dudovskiy, J. (no date)</w:t>
      </w:r>
      <w:r w:rsidRPr="00F274BF">
        <w:rPr>
          <w:rStyle w:val="apple-converted-space"/>
          <w:rFonts w:ascii="Calibri" w:hAnsi="Calibri" w:cs="Calibri"/>
          <w:color w:val="000000"/>
        </w:rPr>
        <w:t> </w:t>
      </w:r>
      <w:r w:rsidRPr="00F274BF">
        <w:rPr>
          <w:rFonts w:ascii="Calibri" w:hAnsi="Calibri" w:cs="Calibri"/>
          <w:i/>
          <w:iCs/>
          <w:color w:val="000000"/>
        </w:rPr>
        <w:t>Types of literature review - research-methodology</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Business Research Methodology</w:t>
      </w:r>
      <w:r w:rsidRPr="00F274BF">
        <w:rPr>
          <w:rFonts w:ascii="Calibri" w:hAnsi="Calibri" w:cs="Calibri"/>
          <w:color w:val="000000"/>
        </w:rPr>
        <w:t>. Available at: https://research-methodology.net/research-methodology/types-literature-review/ (Accessed: 23 May 2024).</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Esterhuizen</w:t>
      </w:r>
      <w:proofErr w:type="spellEnd"/>
      <w:r w:rsidRPr="00F274BF">
        <w:rPr>
          <w:rFonts w:ascii="Calibri" w:hAnsi="Calibri" w:cs="Calibri"/>
        </w:rPr>
        <w:t xml:space="preserve">, T.M. and Thabane, L. (2016) ‘Con: Meta-analysis: Some key limitations and potential solutions’, </w:t>
      </w:r>
      <w:r w:rsidRPr="00F274BF">
        <w:rPr>
          <w:rFonts w:ascii="Calibri" w:hAnsi="Calibri" w:cs="Calibri"/>
          <w:i/>
          <w:iCs/>
        </w:rPr>
        <w:t>Nephrology Dialysis Transplantation</w:t>
      </w:r>
      <w:r w:rsidRPr="00F274BF">
        <w:rPr>
          <w:rFonts w:ascii="Calibri" w:hAnsi="Calibri" w:cs="Calibri"/>
        </w:rPr>
        <w:t>, 31(6), pp. 882–885. doi:10.1093/</w:t>
      </w:r>
      <w:proofErr w:type="spellStart"/>
      <w:r w:rsidRPr="00F274BF">
        <w:rPr>
          <w:rFonts w:ascii="Calibri" w:hAnsi="Calibri" w:cs="Calibri"/>
        </w:rPr>
        <w:t>ndt</w:t>
      </w:r>
      <w:proofErr w:type="spellEnd"/>
      <w:r w:rsidRPr="00F274BF">
        <w:rPr>
          <w:rFonts w:ascii="Calibri" w:hAnsi="Calibri" w:cs="Calibri"/>
        </w:rPr>
        <w:t xml:space="preserve">/gfw092. </w:t>
      </w:r>
    </w:p>
    <w:p w:rsidR="00F274BF" w:rsidRPr="00F274BF" w:rsidRDefault="00F274BF" w:rsidP="00F274BF">
      <w:pPr>
        <w:spacing w:line="360" w:lineRule="auto"/>
        <w:rPr>
          <w:rFonts w:ascii="Calibri" w:hAnsi="Calibri" w:cs="Calibri"/>
        </w:rPr>
      </w:pPr>
      <w:r w:rsidRPr="00F274BF">
        <w:rPr>
          <w:rFonts w:ascii="Calibri" w:hAnsi="Calibri" w:cs="Calibri"/>
        </w:rPr>
        <w:lastRenderedPageBreak/>
        <w:t xml:space="preserve">Frederiksen, L., Phelps, S. F., &amp; </w:t>
      </w:r>
      <w:proofErr w:type="spellStart"/>
      <w:r w:rsidRPr="00F274BF">
        <w:rPr>
          <w:rFonts w:ascii="Calibri" w:hAnsi="Calibri" w:cs="Calibri"/>
        </w:rPr>
        <w:t>Kimmons</w:t>
      </w:r>
      <w:proofErr w:type="spellEnd"/>
      <w:r w:rsidRPr="00F274BF">
        <w:rPr>
          <w:rFonts w:ascii="Calibri" w:hAnsi="Calibri" w:cs="Calibri"/>
        </w:rPr>
        <w:t xml:space="preserve">, R. (2018). </w:t>
      </w:r>
      <w:r w:rsidRPr="00F274BF">
        <w:rPr>
          <w:rFonts w:ascii="Calibri" w:hAnsi="Calibri" w:cs="Calibri"/>
          <w:i/>
          <w:iCs/>
        </w:rPr>
        <w:t>Introduction to Literature Reviews</w:t>
      </w:r>
      <w:r w:rsidRPr="00F274BF">
        <w:rPr>
          <w:rFonts w:ascii="Calibri" w:hAnsi="Calibri" w:cs="Calibri"/>
        </w:rPr>
        <w:t xml:space="preserve">. </w:t>
      </w:r>
      <w:proofErr w:type="gramStart"/>
      <w:r w:rsidRPr="00F274BF">
        <w:rPr>
          <w:rFonts w:ascii="Calibri" w:hAnsi="Calibri" w:cs="Calibri"/>
        </w:rPr>
        <w:t>In  R.</w:t>
      </w:r>
      <w:proofErr w:type="gramEnd"/>
      <w:r w:rsidRPr="00F274BF">
        <w:rPr>
          <w:rFonts w:ascii="Calibri" w:hAnsi="Calibri" w:cs="Calibri"/>
        </w:rPr>
        <w:t xml:space="preserve"> </w:t>
      </w:r>
      <w:proofErr w:type="spellStart"/>
      <w:r w:rsidRPr="00F274BF">
        <w:rPr>
          <w:rFonts w:ascii="Calibri" w:hAnsi="Calibri" w:cs="Calibri"/>
        </w:rPr>
        <w:t>Kimmons</w:t>
      </w:r>
      <w:proofErr w:type="spellEnd"/>
      <w:r w:rsidRPr="00F274BF">
        <w:rPr>
          <w:rFonts w:ascii="Calibri" w:hAnsi="Calibri" w:cs="Calibri"/>
        </w:rPr>
        <w:t xml:space="preserve"> &amp;  R. E. West (Eds.), Rapid Academic Writing. EdTech Books. https://edtechbooks.org/rapidwriting/lit_rev_intro</w:t>
      </w:r>
    </w:p>
    <w:p w:rsidR="00F274BF" w:rsidRPr="00F274BF" w:rsidRDefault="00F274BF" w:rsidP="00F274BF">
      <w:pPr>
        <w:pStyle w:val="NormalWeb"/>
        <w:spacing w:line="360" w:lineRule="auto"/>
        <w:ind w:left="567" w:hanging="567"/>
        <w:jc w:val="both"/>
        <w:rPr>
          <w:rFonts w:ascii="Calibri" w:hAnsi="Calibri" w:cs="Calibri"/>
        </w:rPr>
      </w:pPr>
      <w:r w:rsidRPr="00F274BF">
        <w:rPr>
          <w:rFonts w:ascii="Calibri" w:hAnsi="Calibri" w:cs="Calibri"/>
        </w:rPr>
        <w:t xml:space="preserve">Garrod, B. (2023) ‘What makes a good critical literature review paper?’, </w:t>
      </w:r>
      <w:r w:rsidRPr="00F274BF">
        <w:rPr>
          <w:rFonts w:ascii="Calibri" w:hAnsi="Calibri" w:cs="Calibri"/>
          <w:i/>
          <w:iCs/>
        </w:rPr>
        <w:t>Tourism and Hospitality</w:t>
      </w:r>
      <w:r w:rsidRPr="00F274BF">
        <w:rPr>
          <w:rFonts w:ascii="Calibri" w:hAnsi="Calibri" w:cs="Calibri"/>
        </w:rPr>
        <w:t>, 4(1), pp. 141–147. Available at: doi:10.3390/tourhosp4010008. ----------- structure and tips for a good critical lit review, however the focus is on a critical literature for a journal (for publishing, not 100% tailored for my subject, but good)</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Gehreke</w:t>
      </w:r>
      <w:proofErr w:type="spellEnd"/>
      <w:r w:rsidRPr="00F274BF">
        <w:rPr>
          <w:rFonts w:ascii="Calibri" w:hAnsi="Calibri" w:cs="Calibri"/>
        </w:rPr>
        <w:t xml:space="preserve">, L., Schilling, H. and </w:t>
      </w:r>
      <w:proofErr w:type="spellStart"/>
      <w:r w:rsidRPr="00F274BF">
        <w:rPr>
          <w:rFonts w:ascii="Calibri" w:hAnsi="Calibri" w:cs="Calibri"/>
        </w:rPr>
        <w:t>Kauffeld</w:t>
      </w:r>
      <w:proofErr w:type="spellEnd"/>
      <w:r w:rsidRPr="00F274BF">
        <w:rPr>
          <w:rFonts w:ascii="Calibri" w:hAnsi="Calibri" w:cs="Calibri"/>
        </w:rPr>
        <w:t xml:space="preserve">, S. (2024) ‘Effectiveness of peer mentoring in the Study Entry Phase: A Systematic Review’, </w:t>
      </w:r>
      <w:r w:rsidRPr="00F274BF">
        <w:rPr>
          <w:rFonts w:ascii="Calibri" w:hAnsi="Calibri" w:cs="Calibri"/>
          <w:i/>
          <w:iCs/>
        </w:rPr>
        <w:t>Review of Education</w:t>
      </w:r>
      <w:r w:rsidRPr="00F274BF">
        <w:rPr>
          <w:rFonts w:ascii="Calibri" w:hAnsi="Calibri" w:cs="Calibri"/>
        </w:rPr>
        <w:t xml:space="preserve">, 12(1). doi:10.1002/rev3.3462.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Gerstmayer</w:t>
      </w:r>
      <w:proofErr w:type="spellEnd"/>
      <w:r w:rsidRPr="00F274BF">
        <w:rPr>
          <w:rFonts w:ascii="Calibri" w:hAnsi="Calibri" w:cs="Calibri"/>
        </w:rPr>
        <w:t xml:space="preserve">, S. (2024) </w:t>
      </w:r>
      <w:r w:rsidRPr="00F274BF">
        <w:rPr>
          <w:rFonts w:ascii="Calibri" w:hAnsi="Calibri" w:cs="Calibri"/>
          <w:i/>
          <w:iCs/>
        </w:rPr>
        <w:t>‘Mentoring really makes a difference’</w:t>
      </w:r>
      <w:r w:rsidRPr="00F274BF">
        <w:rPr>
          <w:rFonts w:ascii="Calibri" w:hAnsi="Calibri" w:cs="Calibri"/>
        </w:rPr>
        <w:t xml:space="preserve">, </w:t>
      </w:r>
      <w:r w:rsidRPr="00F274BF">
        <w:rPr>
          <w:rFonts w:ascii="Calibri" w:hAnsi="Calibri" w:cs="Calibri"/>
          <w:i/>
          <w:iCs/>
        </w:rPr>
        <w:t xml:space="preserve">The </w:t>
      </w:r>
      <w:proofErr w:type="spellStart"/>
      <w:r w:rsidRPr="00F274BF">
        <w:rPr>
          <w:rFonts w:ascii="Calibri" w:hAnsi="Calibri" w:cs="Calibri"/>
          <w:i/>
          <w:iCs/>
        </w:rPr>
        <w:t>british</w:t>
      </w:r>
      <w:proofErr w:type="spellEnd"/>
      <w:r w:rsidRPr="00F274BF">
        <w:rPr>
          <w:rFonts w:ascii="Calibri" w:hAnsi="Calibri" w:cs="Calibri"/>
          <w:i/>
          <w:iCs/>
        </w:rPr>
        <w:t xml:space="preserve"> psychological </w:t>
      </w:r>
      <w:proofErr w:type="gramStart"/>
      <w:r w:rsidRPr="00F274BF">
        <w:rPr>
          <w:rFonts w:ascii="Calibri" w:hAnsi="Calibri" w:cs="Calibri"/>
          <w:i/>
          <w:iCs/>
        </w:rPr>
        <w:t xml:space="preserve">society </w:t>
      </w:r>
      <w:r w:rsidRPr="00F274BF">
        <w:rPr>
          <w:rFonts w:ascii="Calibri" w:hAnsi="Calibri" w:cs="Calibri"/>
        </w:rPr>
        <w:t>.</w:t>
      </w:r>
      <w:proofErr w:type="gramEnd"/>
      <w:r w:rsidRPr="00F274BF">
        <w:rPr>
          <w:rFonts w:ascii="Calibri" w:hAnsi="Calibri" w:cs="Calibri"/>
        </w:rPr>
        <w:t xml:space="preserve"> Available at: https://www.bps.org.uk/psychologist/mentoring-really-makes-difference (Accessed: 03 June 2024). </w:t>
      </w:r>
    </w:p>
    <w:p w:rsidR="00F274BF" w:rsidRPr="00F274BF" w:rsidRDefault="00F274BF" w:rsidP="00F274BF">
      <w:pPr>
        <w:shd w:val="clear" w:color="auto" w:fill="FFFFFF"/>
        <w:spacing w:after="150" w:line="360" w:lineRule="auto"/>
        <w:rPr>
          <w:rFonts w:ascii="Calibri" w:hAnsi="Calibri" w:cs="Calibri"/>
          <w:color w:val="333333"/>
          <w:lang w:eastAsia="en-GB"/>
        </w:rPr>
      </w:pPr>
      <w:r w:rsidRPr="00F274BF">
        <w:rPr>
          <w:rFonts w:ascii="Calibri" w:hAnsi="Calibri" w:cs="Calibri"/>
          <w:color w:val="333333"/>
          <w:lang w:eastAsia="en-GB"/>
        </w:rPr>
        <w:t>Grant, M.J. &amp; Booth, A. (2009).  A typology of reviews: An analysis of 14 review types and associated methodologies. </w:t>
      </w:r>
      <w:r w:rsidRPr="00F274BF">
        <w:rPr>
          <w:rFonts w:ascii="Calibri" w:hAnsi="Calibri" w:cs="Calibri"/>
          <w:i/>
          <w:iCs/>
          <w:color w:val="333333"/>
          <w:lang w:eastAsia="en-GB"/>
        </w:rPr>
        <w:t>Health Information &amp; Libraries Journal, 26</w:t>
      </w:r>
      <w:r w:rsidRPr="00F274BF">
        <w:rPr>
          <w:rFonts w:ascii="Calibri" w:hAnsi="Calibri" w:cs="Calibri"/>
          <w:color w:val="333333"/>
          <w:lang w:eastAsia="en-GB"/>
        </w:rPr>
        <w:t>(2), 91-108. </w:t>
      </w:r>
      <w:hyperlink r:id="rId14" w:tgtFrame="_blank" w:history="1">
        <w:r w:rsidRPr="00F274BF">
          <w:rPr>
            <w:rFonts w:ascii="Calibri" w:hAnsi="Calibri" w:cs="Calibri"/>
            <w:color w:val="DA3D0F"/>
            <w:u w:val="single"/>
            <w:lang w:eastAsia="en-GB"/>
          </w:rPr>
          <w:t>https://doi.org/10.1111/j.1471-1842.2009.00848.x</w:t>
        </w:r>
      </w:hyperlink>
      <w:r w:rsidRPr="00F274BF">
        <w:rPr>
          <w:rFonts w:ascii="Calibri" w:hAnsi="Calibri" w:cs="Calibri"/>
          <w:color w:val="DA3D0F"/>
          <w:u w:val="single"/>
          <w:lang w:eastAsia="en-GB"/>
        </w:rPr>
        <w:t xml:space="preserve">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Hart, C. (2018) </w:t>
      </w:r>
      <w:r w:rsidRPr="00F274BF">
        <w:rPr>
          <w:rFonts w:ascii="Calibri" w:hAnsi="Calibri" w:cs="Calibri"/>
          <w:i/>
          <w:iCs/>
        </w:rPr>
        <w:t>Doing a literature review releasing the Research Imagination</w:t>
      </w:r>
      <w:r w:rsidRPr="00F274BF">
        <w:rPr>
          <w:rFonts w:ascii="Calibri" w:hAnsi="Calibri" w:cs="Calibri"/>
        </w:rPr>
        <w:t xml:space="preserve">. 2nd </w:t>
      </w:r>
      <w:proofErr w:type="spellStart"/>
      <w:r w:rsidRPr="00F274BF">
        <w:rPr>
          <w:rFonts w:ascii="Calibri" w:hAnsi="Calibri" w:cs="Calibri"/>
        </w:rPr>
        <w:t>edn</w:t>
      </w:r>
      <w:proofErr w:type="spellEnd"/>
      <w:r w:rsidRPr="00F274BF">
        <w:rPr>
          <w:rFonts w:ascii="Calibri" w:hAnsi="Calibri" w:cs="Calibri"/>
        </w:rPr>
        <w:t>. London, UK: SAGE Publications Ltd.  ------ relevant source.  -  book that explains essential points about a literature review</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Holland, J.L. (1973) </w:t>
      </w:r>
      <w:r w:rsidRPr="00F274BF">
        <w:rPr>
          <w:rFonts w:ascii="Calibri" w:hAnsi="Calibri" w:cs="Calibri"/>
          <w:i/>
          <w:iCs/>
        </w:rPr>
        <w:t xml:space="preserve">Making vocational choices; a theory of </w:t>
      </w:r>
      <w:proofErr w:type="gramStart"/>
      <w:r w:rsidRPr="00F274BF">
        <w:rPr>
          <w:rFonts w:ascii="Calibri" w:hAnsi="Calibri" w:cs="Calibri"/>
          <w:i/>
          <w:iCs/>
        </w:rPr>
        <w:t xml:space="preserve">careers </w:t>
      </w:r>
      <w:r w:rsidRPr="00F274BF">
        <w:rPr>
          <w:rFonts w:ascii="Calibri" w:hAnsi="Calibri" w:cs="Calibri"/>
        </w:rPr>
        <w:t>.</w:t>
      </w:r>
      <w:proofErr w:type="gramEnd"/>
      <w:r w:rsidRPr="00F274BF">
        <w:rPr>
          <w:rFonts w:ascii="Calibri" w:hAnsi="Calibri" w:cs="Calibri"/>
        </w:rPr>
        <w:t xml:space="preserve"> Englewood Cliffs, USA: Prentice-Hall.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Jesson</w:t>
      </w:r>
      <w:proofErr w:type="spellEnd"/>
      <w:r w:rsidRPr="00F274BF">
        <w:rPr>
          <w:rFonts w:ascii="Calibri" w:hAnsi="Calibri" w:cs="Calibri"/>
        </w:rPr>
        <w:t xml:space="preserve">, J.K., Matheson, L. and Lacey, F.M. (2011) </w:t>
      </w:r>
      <w:r w:rsidRPr="00F274BF">
        <w:rPr>
          <w:rFonts w:ascii="Calibri" w:hAnsi="Calibri" w:cs="Calibri"/>
          <w:i/>
          <w:iCs/>
        </w:rPr>
        <w:t>Doing your literature review: Traditional and systematic techniques</w:t>
      </w:r>
      <w:r w:rsidRPr="00F274BF">
        <w:rPr>
          <w:rFonts w:ascii="Calibri" w:hAnsi="Calibri" w:cs="Calibri"/>
        </w:rPr>
        <w:t xml:space="preserve">. Los </w:t>
      </w:r>
      <w:proofErr w:type="gramStart"/>
      <w:r w:rsidRPr="00F274BF">
        <w:rPr>
          <w:rFonts w:ascii="Calibri" w:hAnsi="Calibri" w:cs="Calibri"/>
        </w:rPr>
        <w:t>Angeles :</w:t>
      </w:r>
      <w:proofErr w:type="gramEnd"/>
      <w:r w:rsidRPr="00F274BF">
        <w:rPr>
          <w:rFonts w:ascii="Calibri" w:hAnsi="Calibri" w:cs="Calibri"/>
        </w:rPr>
        <w:t xml:space="preserve"> SAGE.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Johnson, W.B. and </w:t>
      </w:r>
      <w:proofErr w:type="spellStart"/>
      <w:r w:rsidRPr="00F274BF">
        <w:rPr>
          <w:rFonts w:ascii="Calibri" w:hAnsi="Calibri" w:cs="Calibri"/>
        </w:rPr>
        <w:t>Huwe</w:t>
      </w:r>
      <w:proofErr w:type="spellEnd"/>
      <w:r w:rsidRPr="00F274BF">
        <w:rPr>
          <w:rFonts w:ascii="Calibri" w:hAnsi="Calibri" w:cs="Calibri"/>
        </w:rPr>
        <w:t xml:space="preserve">, J.M. (2003) </w:t>
      </w:r>
      <w:r w:rsidRPr="00F274BF">
        <w:rPr>
          <w:rFonts w:ascii="Calibri" w:hAnsi="Calibri" w:cs="Calibri"/>
          <w:i/>
          <w:iCs/>
        </w:rPr>
        <w:t>Getting mentored in Graduate School</w:t>
      </w:r>
      <w:r w:rsidRPr="00F274BF">
        <w:rPr>
          <w:rFonts w:ascii="Calibri" w:hAnsi="Calibri" w:cs="Calibri"/>
        </w:rPr>
        <w:t xml:space="preserve">. Washington, DC, USA: American Psychological Association. </w:t>
      </w:r>
    </w:p>
    <w:p w:rsid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Judge, T. A., Cable, M. D., Boudreau, W. J., </w:t>
      </w:r>
      <w:proofErr w:type="spellStart"/>
      <w:r w:rsidRPr="00F274BF">
        <w:rPr>
          <w:rFonts w:ascii="Calibri" w:hAnsi="Calibri" w:cs="Calibri"/>
        </w:rPr>
        <w:t>Bretz</w:t>
      </w:r>
      <w:proofErr w:type="spellEnd"/>
      <w:r w:rsidRPr="00F274BF">
        <w:rPr>
          <w:rFonts w:ascii="Calibri" w:hAnsi="Calibri" w:cs="Calibri"/>
        </w:rPr>
        <w:t xml:space="preserve">, D. R., (1995) ‘An empirical investigation of the predictors of executive career success’, </w:t>
      </w:r>
      <w:r w:rsidRPr="00F274BF">
        <w:rPr>
          <w:rFonts w:ascii="Calibri" w:hAnsi="Calibri" w:cs="Calibri"/>
          <w:i/>
          <w:iCs/>
        </w:rPr>
        <w:t>Personnel Psychology</w:t>
      </w:r>
      <w:r w:rsidRPr="00F274BF">
        <w:rPr>
          <w:rFonts w:ascii="Calibri" w:hAnsi="Calibri" w:cs="Calibri"/>
        </w:rPr>
        <w:t>, 48(3), pp. 485–519. doi:10.1111/j.1744-</w:t>
      </w:r>
      <w:proofErr w:type="gramStart"/>
      <w:r w:rsidRPr="00F274BF">
        <w:rPr>
          <w:rFonts w:ascii="Calibri" w:hAnsi="Calibri" w:cs="Calibri"/>
        </w:rPr>
        <w:t>6570.1995.tb</w:t>
      </w:r>
      <w:proofErr w:type="gramEnd"/>
      <w:r w:rsidRPr="00F274BF">
        <w:rPr>
          <w:rFonts w:ascii="Calibri" w:hAnsi="Calibri" w:cs="Calibri"/>
        </w:rPr>
        <w:t xml:space="preserve">01767.x. </w:t>
      </w:r>
    </w:p>
    <w:p w:rsidR="002D3280" w:rsidRPr="00F274BF" w:rsidRDefault="002D3280" w:rsidP="00F56CD8">
      <w:pPr>
        <w:pStyle w:val="NormalWeb"/>
        <w:spacing w:line="360" w:lineRule="auto"/>
        <w:rPr>
          <w:rFonts w:ascii="Calibri" w:hAnsi="Calibri" w:cs="Calibri"/>
        </w:rPr>
      </w:pPr>
      <w:proofErr w:type="spellStart"/>
      <w:r w:rsidRPr="00A47BC3">
        <w:rPr>
          <w:rFonts w:ascii="Calibri" w:hAnsi="Calibri" w:cs="Calibri"/>
        </w:rPr>
        <w:t>Korunka</w:t>
      </w:r>
      <w:proofErr w:type="spellEnd"/>
      <w:r w:rsidRPr="00A47BC3">
        <w:rPr>
          <w:rFonts w:ascii="Calibri" w:hAnsi="Calibri" w:cs="Calibri"/>
        </w:rPr>
        <w:t xml:space="preserve">, C. and </w:t>
      </w:r>
      <w:proofErr w:type="spellStart"/>
      <w:r w:rsidRPr="00A47BC3">
        <w:rPr>
          <w:rFonts w:ascii="Calibri" w:hAnsi="Calibri" w:cs="Calibri"/>
        </w:rPr>
        <w:t>Kubicek</w:t>
      </w:r>
      <w:proofErr w:type="spellEnd"/>
      <w:r w:rsidRPr="00A47BC3">
        <w:rPr>
          <w:rFonts w:ascii="Calibri" w:hAnsi="Calibri" w:cs="Calibri"/>
        </w:rPr>
        <w:t xml:space="preserve">, B. (2017) </w:t>
      </w:r>
      <w:r w:rsidRPr="00A47BC3">
        <w:rPr>
          <w:rFonts w:ascii="Calibri" w:hAnsi="Calibri" w:cs="Calibri"/>
          <w:i/>
          <w:iCs/>
        </w:rPr>
        <w:t>Job demands in a changing world of work impact on workers’ health and performance and implications for research and Practice</w:t>
      </w:r>
      <w:r w:rsidRPr="00A47BC3">
        <w:rPr>
          <w:rFonts w:ascii="Calibri" w:hAnsi="Calibri" w:cs="Calibri"/>
        </w:rPr>
        <w:t xml:space="preserve">. Cham: Springer International Publishing.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Lame, G. (2019) ‘Systematic Literature Reviews: An Introduction’, </w:t>
      </w:r>
      <w:r w:rsidRPr="00F274BF">
        <w:rPr>
          <w:rFonts w:ascii="Calibri" w:hAnsi="Calibri" w:cs="Calibri"/>
          <w:i/>
          <w:iCs/>
        </w:rPr>
        <w:t xml:space="preserve">Cambridge University Press </w:t>
      </w:r>
      <w:r w:rsidRPr="00F274BF">
        <w:rPr>
          <w:rFonts w:ascii="Calibri" w:hAnsi="Calibri" w:cs="Calibri"/>
        </w:rPr>
        <w:t xml:space="preserve">[Preprint]. Available at: https://www.cambridge.org/core/journals/proceedings-of-the-international-conference-on-engineering-design/article/systematic-literature-reviews-an-introduction/40D4CEA7A7CC3FB6ED6233E79A0A2A1F# (Accessed: 15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Lubbe, W., ten Ham-Baloyi, W. and Smit, K. (2020)</w:t>
      </w:r>
      <w:r w:rsidRPr="00F274BF">
        <w:rPr>
          <w:rStyle w:val="apple-converted-space"/>
          <w:rFonts w:ascii="Calibri" w:hAnsi="Calibri" w:cs="Calibri"/>
          <w:color w:val="000000"/>
        </w:rPr>
        <w:t> </w:t>
      </w:r>
      <w:r w:rsidRPr="00F274BF">
        <w:rPr>
          <w:rFonts w:ascii="Calibri" w:hAnsi="Calibri" w:cs="Calibri"/>
          <w:i/>
          <w:iCs/>
          <w:color w:val="000000"/>
        </w:rPr>
        <w:t>The Integrative Literature Review as a research method: A demonstration review of research on neurodevelopmental supportive care in preterm infants</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Journal of Neonatal Nursing</w:t>
      </w:r>
      <w:r w:rsidRPr="00F274BF">
        <w:rPr>
          <w:rFonts w:ascii="Calibri" w:hAnsi="Calibri" w:cs="Calibri"/>
          <w:color w:val="000000"/>
        </w:rPr>
        <w:t>. Available at: https://www.sciencedirect.com/science/article/abs/pii/S1355184120300715 (Accessed: 24 May 2024).</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Lukman, S.M., </w:t>
      </w:r>
      <w:proofErr w:type="spellStart"/>
      <w:r w:rsidRPr="00F274BF">
        <w:rPr>
          <w:rFonts w:ascii="Calibri" w:hAnsi="Calibri" w:cs="Calibri"/>
        </w:rPr>
        <w:t>Afdal</w:t>
      </w:r>
      <w:proofErr w:type="spellEnd"/>
      <w:r w:rsidRPr="00F274BF">
        <w:rPr>
          <w:rFonts w:ascii="Calibri" w:hAnsi="Calibri" w:cs="Calibri"/>
        </w:rPr>
        <w:t xml:space="preserve">, A. and Yusuf, A.M. (2020) ‘Career guidance and </w:t>
      </w:r>
      <w:proofErr w:type="spellStart"/>
      <w:r w:rsidRPr="00F274BF">
        <w:rPr>
          <w:rFonts w:ascii="Calibri" w:hAnsi="Calibri" w:cs="Calibri"/>
        </w:rPr>
        <w:t>counseling</w:t>
      </w:r>
      <w:proofErr w:type="spellEnd"/>
      <w:r w:rsidRPr="00F274BF">
        <w:rPr>
          <w:rFonts w:ascii="Calibri" w:hAnsi="Calibri" w:cs="Calibri"/>
        </w:rPr>
        <w:t xml:space="preserve"> in holland’s theory perspective’, </w:t>
      </w:r>
      <w:r w:rsidRPr="00F274BF">
        <w:rPr>
          <w:rFonts w:ascii="Calibri" w:hAnsi="Calibri" w:cs="Calibri"/>
          <w:i/>
          <w:iCs/>
        </w:rPr>
        <w:t>International Journal of Technology, Innovation and Humanities</w:t>
      </w:r>
      <w:r w:rsidRPr="00F274BF">
        <w:rPr>
          <w:rFonts w:ascii="Calibri" w:hAnsi="Calibri" w:cs="Calibri"/>
        </w:rPr>
        <w:t xml:space="preserve">, 1(2), pp. 75–80. </w:t>
      </w:r>
      <w:proofErr w:type="spellStart"/>
      <w:r w:rsidRPr="00F274BF">
        <w:rPr>
          <w:rFonts w:ascii="Calibri" w:hAnsi="Calibri" w:cs="Calibri"/>
        </w:rPr>
        <w:t>doi</w:t>
      </w:r>
      <w:proofErr w:type="spellEnd"/>
      <w:r w:rsidRPr="00F274BF">
        <w:rPr>
          <w:rFonts w:ascii="Calibri" w:hAnsi="Calibri" w:cs="Calibri"/>
        </w:rPr>
        <w:t xml:space="preserve">: https://doi.org/10.29210/08jces83700.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Maree, K. (2017) </w:t>
      </w:r>
      <w:r w:rsidRPr="00F274BF">
        <w:rPr>
          <w:rFonts w:ascii="Calibri" w:hAnsi="Calibri" w:cs="Calibri"/>
          <w:i/>
          <w:iCs/>
        </w:rPr>
        <w:t>Psychology of career adaptability, employability and resilience</w:t>
      </w:r>
      <w:r w:rsidRPr="00F274BF">
        <w:rPr>
          <w:rFonts w:ascii="Calibri" w:hAnsi="Calibri" w:cs="Calibri"/>
        </w:rPr>
        <w:t xml:space="preserve">. Cham, Switzerland: Springer International Publishing. </w:t>
      </w:r>
    </w:p>
    <w:p w:rsidR="00F274BF" w:rsidRPr="00F274BF" w:rsidRDefault="00F274BF" w:rsidP="00F274BF">
      <w:pPr>
        <w:spacing w:line="360" w:lineRule="auto"/>
        <w:rPr>
          <w:rFonts w:ascii="Calibri" w:hAnsi="Calibri" w:cs="Calibri"/>
        </w:rPr>
      </w:pPr>
      <w:proofErr w:type="spellStart"/>
      <w:r w:rsidRPr="00F274BF">
        <w:rPr>
          <w:rFonts w:ascii="Calibri" w:hAnsi="Calibri" w:cs="Calibri"/>
        </w:rPr>
        <w:t>Meesala</w:t>
      </w:r>
      <w:proofErr w:type="spellEnd"/>
      <w:r w:rsidRPr="00F274BF">
        <w:rPr>
          <w:rFonts w:ascii="Calibri" w:hAnsi="Calibri" w:cs="Calibri"/>
        </w:rPr>
        <w:t xml:space="preserve">, A. (2014) Literature Review in Business Research. In Management Research in India. Delhi. Management Teachers' Consortium. DOI: 10.13140/2.1.2602.0809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Meng, Q. and Sun, F. (2019) ‘&lt;p&gt;the impact of psychological empowerment on work engagement among university faculty members in China&lt;/p&gt;’, </w:t>
      </w:r>
      <w:r w:rsidRPr="00F274BF">
        <w:rPr>
          <w:rFonts w:ascii="Calibri" w:hAnsi="Calibri" w:cs="Calibri"/>
          <w:i/>
          <w:iCs/>
        </w:rPr>
        <w:t xml:space="preserve">Psychology Research and </w:t>
      </w:r>
      <w:proofErr w:type="spellStart"/>
      <w:r w:rsidRPr="00F274BF">
        <w:rPr>
          <w:rFonts w:ascii="Calibri" w:hAnsi="Calibri" w:cs="Calibri"/>
          <w:i/>
          <w:iCs/>
        </w:rPr>
        <w:t>Behavior</w:t>
      </w:r>
      <w:proofErr w:type="spellEnd"/>
      <w:r w:rsidRPr="00F274BF">
        <w:rPr>
          <w:rFonts w:ascii="Calibri" w:hAnsi="Calibri" w:cs="Calibri"/>
          <w:i/>
          <w:iCs/>
        </w:rPr>
        <w:t xml:space="preserve"> Management</w:t>
      </w:r>
      <w:r w:rsidRPr="00F274BF">
        <w:rPr>
          <w:rFonts w:ascii="Calibri" w:hAnsi="Calibri" w:cs="Calibri"/>
        </w:rPr>
        <w:t>, Volume 12, pp. 983–990. doi:10.2147/</w:t>
      </w:r>
      <w:proofErr w:type="gramStart"/>
      <w:r w:rsidRPr="00F274BF">
        <w:rPr>
          <w:rFonts w:ascii="Calibri" w:hAnsi="Calibri" w:cs="Calibri"/>
        </w:rPr>
        <w:t>prbm.s</w:t>
      </w:r>
      <w:proofErr w:type="gramEnd"/>
      <w:r w:rsidRPr="00F274BF">
        <w:rPr>
          <w:rFonts w:ascii="Calibri" w:hAnsi="Calibri" w:cs="Calibri"/>
        </w:rPr>
        <w:t xml:space="preserve">215912.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Miller, M.J. and Miller, T.A. (2005) ‘Theoretical application of Holland’s theory to individual decision‐making styles: Implications for career </w:t>
      </w:r>
      <w:proofErr w:type="spellStart"/>
      <w:r w:rsidRPr="00F274BF">
        <w:rPr>
          <w:rFonts w:ascii="Calibri" w:hAnsi="Calibri" w:cs="Calibri"/>
        </w:rPr>
        <w:t>counselors</w:t>
      </w:r>
      <w:proofErr w:type="spellEnd"/>
      <w:r w:rsidRPr="00F274BF">
        <w:rPr>
          <w:rFonts w:ascii="Calibri" w:hAnsi="Calibri" w:cs="Calibri"/>
        </w:rPr>
        <w:t xml:space="preserve">’, </w:t>
      </w:r>
      <w:r w:rsidRPr="00F274BF">
        <w:rPr>
          <w:rFonts w:ascii="Calibri" w:hAnsi="Calibri" w:cs="Calibri"/>
          <w:i/>
          <w:iCs/>
        </w:rPr>
        <w:t xml:space="preserve">Journal of Employment </w:t>
      </w:r>
      <w:proofErr w:type="spellStart"/>
      <w:r w:rsidRPr="00F274BF">
        <w:rPr>
          <w:rFonts w:ascii="Calibri" w:hAnsi="Calibri" w:cs="Calibri"/>
          <w:i/>
          <w:iCs/>
        </w:rPr>
        <w:t>Counseling</w:t>
      </w:r>
      <w:proofErr w:type="spellEnd"/>
      <w:r w:rsidRPr="00F274BF">
        <w:rPr>
          <w:rFonts w:ascii="Calibri" w:hAnsi="Calibri" w:cs="Calibri"/>
        </w:rPr>
        <w:t>, 42(1), pp. 20–28. doi:10.1002/j.2161-</w:t>
      </w:r>
      <w:proofErr w:type="gramStart"/>
      <w:r w:rsidRPr="00F274BF">
        <w:rPr>
          <w:rFonts w:ascii="Calibri" w:hAnsi="Calibri" w:cs="Calibri"/>
        </w:rPr>
        <w:t>1920.2005.tb</w:t>
      </w:r>
      <w:proofErr w:type="gramEnd"/>
      <w:r w:rsidRPr="00F274BF">
        <w:rPr>
          <w:rFonts w:ascii="Calibri" w:hAnsi="Calibri" w:cs="Calibri"/>
        </w:rPr>
        <w:t xml:space="preserve">00895.x.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Müller-Bloch, C. and Kranz, J. (2015) </w:t>
      </w:r>
      <w:r w:rsidRPr="00F274BF">
        <w:rPr>
          <w:rFonts w:ascii="Calibri" w:hAnsi="Calibri" w:cs="Calibri"/>
          <w:i/>
          <w:iCs/>
        </w:rPr>
        <w:t>A framework for rigorously identifying research gaps in ...</w:t>
      </w:r>
      <w:r w:rsidRPr="00F274BF">
        <w:rPr>
          <w:rFonts w:ascii="Calibri" w:hAnsi="Calibri" w:cs="Calibri"/>
        </w:rPr>
        <w:t xml:space="preserve">, </w:t>
      </w:r>
      <w:r w:rsidRPr="00F274BF">
        <w:rPr>
          <w:rFonts w:ascii="Calibri" w:hAnsi="Calibri" w:cs="Calibri"/>
          <w:i/>
          <w:iCs/>
        </w:rPr>
        <w:t>A Framework for Rigorously Identifying Research Gaps in Qualitative Literature Reviews</w:t>
      </w:r>
      <w:r w:rsidRPr="00F274BF">
        <w:rPr>
          <w:rFonts w:ascii="Calibri" w:hAnsi="Calibri" w:cs="Calibri"/>
        </w:rPr>
        <w:t>. Available at: https://core.ac.uk/download/pdf/301367526.pdf (Accessed: 13 April 2024).   ------ research paper that is relevant to the subject by addressing main possible gaps in a literature review.; however, the amin focus of the paper is addressed to literature reviews in information systems.</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Munn, Z.</w:t>
      </w:r>
      <w:r w:rsidRPr="00F274BF">
        <w:rPr>
          <w:rStyle w:val="apple-converted-space"/>
          <w:rFonts w:ascii="Calibri" w:hAnsi="Calibri" w:cs="Calibri"/>
          <w:color w:val="000000"/>
        </w:rPr>
        <w:t xml:space="preserve">, Peters, M., Stern, C., </w:t>
      </w:r>
      <w:proofErr w:type="spellStart"/>
      <w:r w:rsidRPr="00F274BF">
        <w:rPr>
          <w:rStyle w:val="apple-converted-space"/>
          <w:rFonts w:ascii="Calibri" w:hAnsi="Calibri" w:cs="Calibri"/>
          <w:color w:val="000000"/>
        </w:rPr>
        <w:t>Tufanaru</w:t>
      </w:r>
      <w:proofErr w:type="spellEnd"/>
      <w:r w:rsidRPr="00F274BF">
        <w:rPr>
          <w:rStyle w:val="apple-converted-space"/>
          <w:rFonts w:ascii="Calibri" w:hAnsi="Calibri" w:cs="Calibri"/>
          <w:color w:val="000000"/>
        </w:rPr>
        <w:t xml:space="preserve">, C., McArthur, A., </w:t>
      </w:r>
      <w:proofErr w:type="spellStart"/>
      <w:r w:rsidRPr="00F274BF">
        <w:rPr>
          <w:rStyle w:val="apple-converted-space"/>
          <w:rFonts w:ascii="Calibri" w:hAnsi="Calibri" w:cs="Calibri"/>
          <w:color w:val="000000"/>
        </w:rPr>
        <w:t>Aromataris</w:t>
      </w:r>
      <w:proofErr w:type="spellEnd"/>
      <w:r w:rsidRPr="00F274BF">
        <w:rPr>
          <w:rStyle w:val="apple-converted-space"/>
          <w:rFonts w:ascii="Calibri" w:hAnsi="Calibri" w:cs="Calibri"/>
          <w:color w:val="000000"/>
        </w:rPr>
        <w:t xml:space="preserve">, E., </w:t>
      </w:r>
      <w:r w:rsidRPr="00F274BF">
        <w:rPr>
          <w:rFonts w:ascii="Calibri" w:hAnsi="Calibri" w:cs="Calibri"/>
          <w:color w:val="000000"/>
        </w:rPr>
        <w:t>(2018) ‘Systematic Review or scoping review? guidance for authors when choosing between a systematic or scoping review approach’,</w:t>
      </w:r>
      <w:r w:rsidRPr="00F274BF">
        <w:rPr>
          <w:rStyle w:val="apple-converted-space"/>
          <w:rFonts w:ascii="Calibri" w:hAnsi="Calibri" w:cs="Calibri"/>
          <w:color w:val="000000"/>
        </w:rPr>
        <w:t> </w:t>
      </w:r>
      <w:r w:rsidRPr="00F274BF">
        <w:rPr>
          <w:rFonts w:ascii="Calibri" w:hAnsi="Calibri" w:cs="Calibri"/>
          <w:i/>
          <w:iCs/>
          <w:color w:val="000000"/>
        </w:rPr>
        <w:t>BMC Medical Research Methodology</w:t>
      </w:r>
      <w:r w:rsidRPr="00F274BF">
        <w:rPr>
          <w:rFonts w:ascii="Calibri" w:hAnsi="Calibri" w:cs="Calibri"/>
          <w:color w:val="000000"/>
        </w:rPr>
        <w:t>, 18(1). doi:10.1186/s12874-018-0611-x.</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Munn, Z.</w:t>
      </w:r>
      <w:r w:rsidRPr="00F274BF">
        <w:rPr>
          <w:rStyle w:val="apple-converted-space"/>
          <w:rFonts w:ascii="Calibri" w:hAnsi="Calibri" w:cs="Calibri"/>
          <w:color w:val="000000"/>
        </w:rPr>
        <w:t xml:space="preserve">, Pollock, D., Khalil, H., Alexander, L., </w:t>
      </w:r>
      <w:proofErr w:type="spellStart"/>
      <w:r w:rsidRPr="00F274BF">
        <w:rPr>
          <w:rStyle w:val="apple-converted-space"/>
          <w:rFonts w:ascii="Calibri" w:hAnsi="Calibri" w:cs="Calibri"/>
          <w:color w:val="000000"/>
        </w:rPr>
        <w:t>McLerney</w:t>
      </w:r>
      <w:proofErr w:type="spellEnd"/>
      <w:r w:rsidRPr="00F274BF">
        <w:rPr>
          <w:rStyle w:val="apple-converted-space"/>
          <w:rFonts w:ascii="Calibri" w:hAnsi="Calibri" w:cs="Calibri"/>
          <w:color w:val="000000"/>
        </w:rPr>
        <w:t xml:space="preserve">, P., Godfrey, C., Peters, M., </w:t>
      </w:r>
      <w:proofErr w:type="spellStart"/>
      <w:r w:rsidRPr="00F274BF">
        <w:rPr>
          <w:rStyle w:val="apple-converted-space"/>
          <w:rFonts w:ascii="Calibri" w:hAnsi="Calibri" w:cs="Calibri"/>
          <w:color w:val="000000"/>
        </w:rPr>
        <w:t>Tricco</w:t>
      </w:r>
      <w:proofErr w:type="spellEnd"/>
      <w:r w:rsidRPr="00F274BF">
        <w:rPr>
          <w:rStyle w:val="apple-converted-space"/>
          <w:rFonts w:ascii="Calibri" w:hAnsi="Calibri" w:cs="Calibri"/>
          <w:color w:val="000000"/>
        </w:rPr>
        <w:t xml:space="preserve">, A., </w:t>
      </w:r>
      <w:r w:rsidRPr="00F274BF">
        <w:rPr>
          <w:rFonts w:ascii="Calibri" w:hAnsi="Calibri" w:cs="Calibri"/>
          <w:color w:val="000000"/>
        </w:rPr>
        <w:t>(2022) ‘What are scoping reviews? providing a formal definition of scoping reviews as a type of evidence synthesis’,</w:t>
      </w:r>
      <w:r w:rsidRPr="00F274BF">
        <w:rPr>
          <w:rStyle w:val="apple-converted-space"/>
          <w:rFonts w:ascii="Calibri" w:hAnsi="Calibri" w:cs="Calibri"/>
          <w:color w:val="000000"/>
        </w:rPr>
        <w:t> </w:t>
      </w:r>
      <w:r w:rsidRPr="00F274BF">
        <w:rPr>
          <w:rFonts w:ascii="Calibri" w:hAnsi="Calibri" w:cs="Calibri"/>
          <w:i/>
          <w:iCs/>
          <w:color w:val="000000"/>
        </w:rPr>
        <w:t>JBI Evidence Synthesis</w:t>
      </w:r>
      <w:r w:rsidRPr="00F274BF">
        <w:rPr>
          <w:rFonts w:ascii="Calibri" w:hAnsi="Calibri" w:cs="Calibri"/>
          <w:color w:val="000000"/>
        </w:rPr>
        <w:t>, 20(4), pp. 950–952. doi:10.11124/jbies-21-00483.</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Style w:val="apple-converted-space"/>
          <w:rFonts w:ascii="Calibri" w:hAnsi="Calibri" w:cs="Calibri"/>
          <w:color w:val="000000"/>
        </w:rPr>
      </w:pPr>
      <w:r w:rsidRPr="00F274BF">
        <w:rPr>
          <w:rFonts w:ascii="Calibri" w:hAnsi="Calibri" w:cs="Calibri"/>
          <w:color w:val="000000"/>
        </w:rPr>
        <w:t xml:space="preserve">Ng, P.M.L., </w:t>
      </w:r>
      <w:proofErr w:type="spellStart"/>
      <w:r w:rsidRPr="00F274BF">
        <w:rPr>
          <w:rFonts w:ascii="Calibri" w:hAnsi="Calibri" w:cs="Calibri"/>
          <w:color w:val="000000"/>
        </w:rPr>
        <w:t>Wut</w:t>
      </w:r>
      <w:proofErr w:type="spellEnd"/>
      <w:r w:rsidRPr="00F274BF">
        <w:rPr>
          <w:rFonts w:ascii="Calibri" w:hAnsi="Calibri" w:cs="Calibri"/>
          <w:color w:val="000000"/>
        </w:rPr>
        <w:t>, T.M. and Chan, J.K.Y. (2022) ‘Enhancing perceived employability through work-integrated learning’,</w:t>
      </w:r>
      <w:r w:rsidRPr="00F274BF">
        <w:rPr>
          <w:rStyle w:val="apple-converted-space"/>
          <w:rFonts w:ascii="Calibri" w:hAnsi="Calibri" w:cs="Calibri"/>
          <w:color w:val="000000"/>
        </w:rPr>
        <w:t> </w:t>
      </w:r>
      <w:r w:rsidRPr="00F274BF">
        <w:rPr>
          <w:rFonts w:ascii="Calibri" w:hAnsi="Calibri" w:cs="Calibri"/>
          <w:i/>
          <w:iCs/>
          <w:color w:val="000000"/>
        </w:rPr>
        <w:t>Education + Training</w:t>
      </w:r>
      <w:r w:rsidRPr="00F274BF">
        <w:rPr>
          <w:rFonts w:ascii="Calibri" w:hAnsi="Calibri" w:cs="Calibri"/>
          <w:color w:val="000000"/>
        </w:rPr>
        <w:t>, 64(4), pp. 559–576. doi:10.1108/et-12-2021-0476.</w:t>
      </w:r>
      <w:r w:rsidRPr="00F274BF">
        <w:rPr>
          <w:rStyle w:val="apple-converted-space"/>
          <w:rFonts w:ascii="Calibri" w:hAnsi="Calibri" w:cs="Calibri"/>
          <w:color w:val="000000"/>
        </w:rPr>
        <w:t> </w:t>
      </w:r>
    </w:p>
    <w:p w:rsidR="00F274BF" w:rsidRDefault="00F274BF" w:rsidP="00F274BF">
      <w:pPr>
        <w:pStyle w:val="NormalWeb"/>
        <w:spacing w:line="360" w:lineRule="auto"/>
        <w:ind w:left="567" w:hanging="567"/>
        <w:rPr>
          <w:rStyle w:val="apple-converted-space"/>
          <w:rFonts w:ascii="Calibri" w:hAnsi="Calibri" w:cs="Calibri"/>
          <w:color w:val="000000"/>
        </w:rPr>
      </w:pPr>
      <w:proofErr w:type="spellStart"/>
      <w:r w:rsidRPr="00F274BF">
        <w:rPr>
          <w:rFonts w:ascii="Calibri" w:hAnsi="Calibri" w:cs="Calibri"/>
          <w:color w:val="000000"/>
        </w:rPr>
        <w:t>Nghia</w:t>
      </w:r>
      <w:proofErr w:type="spellEnd"/>
      <w:r w:rsidRPr="00F274BF">
        <w:rPr>
          <w:rFonts w:ascii="Calibri" w:hAnsi="Calibri" w:cs="Calibri"/>
          <w:color w:val="000000"/>
        </w:rPr>
        <w:t>, T.L.H.</w:t>
      </w:r>
      <w:r w:rsidRPr="00F274BF">
        <w:rPr>
          <w:rStyle w:val="apple-converted-space"/>
          <w:rFonts w:ascii="Calibri" w:hAnsi="Calibri" w:cs="Calibri"/>
          <w:color w:val="000000"/>
        </w:rPr>
        <w:t xml:space="preserve">, Bui, C. B., Singh, K. N. J., Lu, N. V., </w:t>
      </w:r>
      <w:r w:rsidRPr="00F274BF">
        <w:rPr>
          <w:rFonts w:ascii="Calibri" w:hAnsi="Calibri" w:cs="Calibri"/>
          <w:color w:val="000000"/>
        </w:rPr>
        <w:t>(2022)</w:t>
      </w:r>
      <w:r w:rsidRPr="00F274BF">
        <w:rPr>
          <w:rStyle w:val="apple-converted-space"/>
          <w:rFonts w:ascii="Calibri" w:hAnsi="Calibri" w:cs="Calibri"/>
          <w:color w:val="000000"/>
        </w:rPr>
        <w:t> </w:t>
      </w:r>
      <w:r w:rsidRPr="00F274BF">
        <w:rPr>
          <w:rFonts w:ascii="Calibri" w:hAnsi="Calibri" w:cs="Calibri"/>
          <w:i/>
          <w:iCs/>
          <w:color w:val="000000"/>
        </w:rPr>
        <w:t>Graduate employability across contexts: Perspectives, initiatives and outcomes</w:t>
      </w:r>
      <w:r w:rsidRPr="00F274BF">
        <w:rPr>
          <w:rFonts w:ascii="Calibri" w:hAnsi="Calibri" w:cs="Calibri"/>
          <w:color w:val="000000"/>
        </w:rPr>
        <w:t>. Singapore: Springer Nature.</w:t>
      </w:r>
      <w:r w:rsidRPr="00F274BF">
        <w:rPr>
          <w:rStyle w:val="apple-converted-space"/>
          <w:rFonts w:ascii="Calibri" w:hAnsi="Calibri" w:cs="Calibri"/>
          <w:color w:val="000000"/>
        </w:rPr>
        <w:t> </w:t>
      </w:r>
    </w:p>
    <w:p w:rsidR="007F7415" w:rsidRPr="00F274BF" w:rsidRDefault="007F7415" w:rsidP="00F274BF">
      <w:pPr>
        <w:pStyle w:val="NormalWeb"/>
        <w:spacing w:line="360" w:lineRule="auto"/>
        <w:ind w:left="567" w:hanging="567"/>
        <w:rPr>
          <w:rFonts w:ascii="Calibri" w:hAnsi="Calibri" w:cs="Calibri"/>
        </w:rPr>
      </w:pPr>
      <w:r w:rsidRPr="007F7415">
        <w:rPr>
          <w:rFonts w:ascii="Calibri" w:hAnsi="Calibri" w:cs="Calibri"/>
        </w:rPr>
        <w:t xml:space="preserve">Palmer, W., Schlepper, L., Hemmings, N., </w:t>
      </w:r>
      <w:proofErr w:type="spellStart"/>
      <w:r w:rsidRPr="007F7415">
        <w:rPr>
          <w:rFonts w:ascii="Calibri" w:hAnsi="Calibri" w:cs="Calibri"/>
        </w:rPr>
        <w:t>Crellin</w:t>
      </w:r>
      <w:proofErr w:type="spellEnd"/>
      <w:r w:rsidRPr="007F7415">
        <w:rPr>
          <w:rFonts w:ascii="Calibri" w:hAnsi="Calibri" w:cs="Calibri"/>
        </w:rPr>
        <w:t>, N., (2021) The right track: Participation and progression in psychology career paths, Nuffield Trust. Available at: https://www.nuffieldtrust.org.uk/research/the-right-track-participation-and-progression-in-psychology-career-paths (Accessed: 01 June 2024).</w:t>
      </w:r>
    </w:p>
    <w:p w:rsidR="00F274BF" w:rsidRPr="00F274BF" w:rsidRDefault="00F274BF" w:rsidP="00F274BF">
      <w:pPr>
        <w:pStyle w:val="Default"/>
        <w:spacing w:line="360" w:lineRule="auto"/>
        <w:jc w:val="both"/>
        <w:rPr>
          <w:color w:val="auto"/>
          <w:lang w:val="da-DK"/>
        </w:rPr>
      </w:pPr>
      <w:r w:rsidRPr="00F274BF">
        <w:rPr>
          <w:color w:val="auto"/>
        </w:rPr>
        <w:lastRenderedPageBreak/>
        <w:t xml:space="preserve">Page MJ, McKenzie JE, </w:t>
      </w:r>
      <w:proofErr w:type="spellStart"/>
      <w:r w:rsidRPr="00F274BF">
        <w:rPr>
          <w:color w:val="auto"/>
        </w:rPr>
        <w:t>Bossuyt</w:t>
      </w:r>
      <w:proofErr w:type="spellEnd"/>
      <w:r w:rsidRPr="00F274BF">
        <w:rPr>
          <w:color w:val="auto"/>
        </w:rPr>
        <w:t xml:space="preserve"> PM, </w:t>
      </w:r>
      <w:proofErr w:type="spellStart"/>
      <w:r w:rsidRPr="00F274BF">
        <w:rPr>
          <w:color w:val="auto"/>
        </w:rPr>
        <w:t>Boutron</w:t>
      </w:r>
      <w:proofErr w:type="spellEnd"/>
      <w:r w:rsidRPr="00F274BF">
        <w:rPr>
          <w:color w:val="auto"/>
        </w:rPr>
        <w:t xml:space="preserve"> I, Hoffmann TC, Mulrow CD, et al. The PRISMA 2020 statement: an updated guideline for reporting systematic reviews. BMJ 2021;</w:t>
      </w:r>
      <w:proofErr w:type="gramStart"/>
      <w:r w:rsidRPr="00F274BF">
        <w:rPr>
          <w:color w:val="auto"/>
        </w:rPr>
        <w:t>372:n</w:t>
      </w:r>
      <w:proofErr w:type="gramEnd"/>
      <w:r w:rsidRPr="00F274BF">
        <w:rPr>
          <w:color w:val="auto"/>
        </w:rPr>
        <w:t xml:space="preserve">71. </w:t>
      </w:r>
      <w:proofErr w:type="spellStart"/>
      <w:r w:rsidRPr="00F274BF">
        <w:rPr>
          <w:color w:val="auto"/>
        </w:rPr>
        <w:t>doi</w:t>
      </w:r>
      <w:proofErr w:type="spellEnd"/>
      <w:r w:rsidRPr="00F274BF">
        <w:rPr>
          <w:color w:val="auto"/>
        </w:rPr>
        <w:t>: 10.1136/</w:t>
      </w:r>
      <w:proofErr w:type="gramStart"/>
      <w:r w:rsidRPr="00F274BF">
        <w:rPr>
          <w:color w:val="auto"/>
        </w:rPr>
        <w:t>bmj.n</w:t>
      </w:r>
      <w:proofErr w:type="gramEnd"/>
      <w:r w:rsidRPr="00F274BF">
        <w:rPr>
          <w:color w:val="auto"/>
        </w:rPr>
        <w:t>71</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Paul, J. and </w:t>
      </w:r>
      <w:proofErr w:type="spellStart"/>
      <w:r w:rsidRPr="00F274BF">
        <w:rPr>
          <w:rFonts w:ascii="Calibri" w:hAnsi="Calibri" w:cs="Calibri"/>
        </w:rPr>
        <w:t>Barari</w:t>
      </w:r>
      <w:proofErr w:type="spellEnd"/>
      <w:r w:rsidRPr="00F274BF">
        <w:rPr>
          <w:rFonts w:ascii="Calibri" w:hAnsi="Calibri" w:cs="Calibri"/>
        </w:rPr>
        <w:t xml:space="preserve">, M. (2022) ‘Meta‐analysis and traditional systematic literature reviews—what, why, when, where, and how?’, </w:t>
      </w:r>
      <w:r w:rsidRPr="00F274BF">
        <w:rPr>
          <w:rFonts w:ascii="Calibri" w:hAnsi="Calibri" w:cs="Calibri"/>
          <w:i/>
          <w:iCs/>
        </w:rPr>
        <w:t>Psychology &amp;amp; Marketing</w:t>
      </w:r>
      <w:r w:rsidRPr="00F274BF">
        <w:rPr>
          <w:rFonts w:ascii="Calibri" w:hAnsi="Calibri" w:cs="Calibri"/>
        </w:rPr>
        <w:t xml:space="preserve">, 39(6), pp. 1099–1115. doi:10.1002/mar.21657.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Perry, J. (2024) </w:t>
      </w:r>
      <w:r w:rsidRPr="00F274BF">
        <w:rPr>
          <w:rFonts w:ascii="Calibri" w:hAnsi="Calibri" w:cs="Calibri"/>
          <w:i/>
          <w:iCs/>
        </w:rPr>
        <w:t>Autonomy: A pillar of success</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https://www.bps.org.uk/psychologist/autonomy-pillar-success (Accessed: 03 June 2024).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Purssell</w:t>
      </w:r>
      <w:proofErr w:type="spellEnd"/>
      <w:r w:rsidRPr="00F274BF">
        <w:rPr>
          <w:rFonts w:ascii="Calibri" w:hAnsi="Calibri" w:cs="Calibri"/>
        </w:rPr>
        <w:t xml:space="preserve">, E. and McCrae, N. (2020) </w:t>
      </w:r>
      <w:r w:rsidRPr="00F274BF">
        <w:rPr>
          <w:rFonts w:ascii="Calibri" w:hAnsi="Calibri" w:cs="Calibri"/>
          <w:i/>
          <w:iCs/>
        </w:rPr>
        <w:t>How to perform a systematic literature review: A guide for healthcare researchers, practitioners and students</w:t>
      </w:r>
      <w:r w:rsidRPr="00F274BF">
        <w:rPr>
          <w:rFonts w:ascii="Calibri" w:hAnsi="Calibri" w:cs="Calibri"/>
        </w:rPr>
        <w:t xml:space="preserve">. London, UK: Springer.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Quintana, M. J. C., Ramos, A. P. F. and Almeida, P. M., (2023) </w:t>
      </w:r>
      <w:r w:rsidRPr="00F274BF">
        <w:rPr>
          <w:rFonts w:ascii="Calibri" w:hAnsi="Calibri" w:cs="Calibri"/>
          <w:i/>
          <w:iCs/>
        </w:rPr>
        <w:t>The influence of perceived security in childhood on adult self-concept: The mediating role of resilience and self-esteem</w:t>
      </w:r>
      <w:r w:rsidRPr="00F274BF">
        <w:rPr>
          <w:rFonts w:ascii="Calibri" w:hAnsi="Calibri" w:cs="Calibri"/>
        </w:rPr>
        <w:t xml:space="preserve"> [Preprint]. doi:10.20944/preprints</w:t>
      </w:r>
      <w:proofErr w:type="gramStart"/>
      <w:r w:rsidRPr="00F274BF">
        <w:rPr>
          <w:rFonts w:ascii="Calibri" w:hAnsi="Calibri" w:cs="Calibri"/>
        </w:rPr>
        <w:t>202308.0116.v</w:t>
      </w:r>
      <w:proofErr w:type="gramEnd"/>
      <w:r w:rsidRPr="00F274BF">
        <w:rPr>
          <w:rFonts w:ascii="Calibri" w:hAnsi="Calibri" w:cs="Calibri"/>
        </w:rPr>
        <w:t xml:space="preserve">1.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Rhodes, J. E., Spencer, R., Keller, T. E., Liang, B., Noam, G., (2006) ‘A model for the influence of mentoring relationships on Youth Development’, </w:t>
      </w:r>
      <w:r w:rsidRPr="00F274BF">
        <w:rPr>
          <w:rFonts w:ascii="Calibri" w:hAnsi="Calibri" w:cs="Calibri"/>
          <w:i/>
          <w:iCs/>
        </w:rPr>
        <w:t>Journal of Community Psychology</w:t>
      </w:r>
      <w:r w:rsidRPr="00F274BF">
        <w:rPr>
          <w:rFonts w:ascii="Calibri" w:hAnsi="Calibri" w:cs="Calibri"/>
        </w:rPr>
        <w:t xml:space="preserve">, 34(6), pp. 691–707. doi:10.1002/jcop.20124.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Roberts, J. (2022) </w:t>
      </w:r>
      <w:r w:rsidRPr="00F274BF">
        <w:rPr>
          <w:rFonts w:ascii="Calibri" w:hAnsi="Calibri" w:cs="Calibri"/>
          <w:i/>
          <w:iCs/>
        </w:rPr>
        <w:t>Professional Skills for Psychology</w:t>
      </w:r>
      <w:r w:rsidRPr="00F274BF">
        <w:rPr>
          <w:rFonts w:ascii="Calibri" w:hAnsi="Calibri" w:cs="Calibri"/>
        </w:rPr>
        <w:t xml:space="preserve">. London, UK: SAGE Publications Ltd.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Ryan, R.M. and Deci, E.L. (2018) </w:t>
      </w:r>
      <w:r w:rsidRPr="00F274BF">
        <w:rPr>
          <w:rFonts w:ascii="Calibri" w:hAnsi="Calibri" w:cs="Calibri"/>
          <w:i/>
          <w:iCs/>
        </w:rPr>
        <w:t>Self-determination theory: Basic psychological needs in motivation, development, and Wellness</w:t>
      </w:r>
      <w:r w:rsidRPr="00F274BF">
        <w:rPr>
          <w:rFonts w:ascii="Calibri" w:hAnsi="Calibri" w:cs="Calibri"/>
        </w:rPr>
        <w:t xml:space="preserve">. New York, USA: Guilford Publications. </w:t>
      </w:r>
    </w:p>
    <w:p w:rsidR="00994975" w:rsidRDefault="00F274BF" w:rsidP="00994975">
      <w:pPr>
        <w:pStyle w:val="NormalWeb"/>
        <w:spacing w:line="360" w:lineRule="auto"/>
        <w:ind w:left="567" w:hanging="567"/>
        <w:rPr>
          <w:rFonts w:ascii="Calibri" w:hAnsi="Calibri" w:cs="Calibri"/>
        </w:rPr>
      </w:pPr>
      <w:r w:rsidRPr="00F274BF">
        <w:rPr>
          <w:rFonts w:ascii="Calibri" w:hAnsi="Calibri" w:cs="Calibri"/>
        </w:rPr>
        <w:t xml:space="preserve">Sanderson, V., </w:t>
      </w:r>
      <w:proofErr w:type="spellStart"/>
      <w:r w:rsidRPr="00F274BF">
        <w:rPr>
          <w:rFonts w:ascii="Calibri" w:hAnsi="Calibri" w:cs="Calibri"/>
        </w:rPr>
        <w:t>Harkry</w:t>
      </w:r>
      <w:proofErr w:type="spellEnd"/>
      <w:r w:rsidRPr="00F274BF">
        <w:rPr>
          <w:rFonts w:ascii="Calibri" w:hAnsi="Calibri" w:cs="Calibri"/>
        </w:rPr>
        <w:t xml:space="preserve">, L. and Pfeifer, G. (2024) </w:t>
      </w:r>
      <w:r w:rsidRPr="00F274BF">
        <w:rPr>
          <w:rFonts w:ascii="Calibri" w:hAnsi="Calibri" w:cs="Calibri"/>
          <w:i/>
          <w:iCs/>
        </w:rPr>
        <w:t>Why graduate outcome measures in psychology don’t add up</w:t>
      </w:r>
      <w:r w:rsidRPr="00F274BF">
        <w:rPr>
          <w:rFonts w:ascii="Calibri" w:hAnsi="Calibri" w:cs="Calibri"/>
        </w:rPr>
        <w:t xml:space="preserve">, </w:t>
      </w:r>
      <w:r w:rsidRPr="00F274BF">
        <w:rPr>
          <w:rFonts w:ascii="Calibri" w:hAnsi="Calibri" w:cs="Calibri"/>
          <w:i/>
          <w:iCs/>
        </w:rPr>
        <w:t>BPS</w:t>
      </w:r>
      <w:r w:rsidRPr="00F274BF">
        <w:rPr>
          <w:rFonts w:ascii="Calibri" w:hAnsi="Calibri" w:cs="Calibri"/>
        </w:rPr>
        <w:t xml:space="preserve">. Available at: https://www.bps.org.uk/psychologist/why-graduate-outcome-measures-psychology-dont-add (Accessed: 02 May 2024). </w:t>
      </w:r>
    </w:p>
    <w:p w:rsidR="00F274BF" w:rsidRPr="00F274BF" w:rsidRDefault="00F274BF" w:rsidP="00994975">
      <w:pPr>
        <w:pStyle w:val="NormalWeb"/>
        <w:spacing w:line="360" w:lineRule="auto"/>
        <w:ind w:left="567" w:hanging="567"/>
        <w:rPr>
          <w:rFonts w:ascii="Calibri" w:hAnsi="Calibri" w:cs="Calibri"/>
        </w:rPr>
      </w:pPr>
      <w:r w:rsidRPr="00F274BF">
        <w:rPr>
          <w:rFonts w:ascii="Calibri" w:hAnsi="Calibri" w:cs="Calibri"/>
        </w:rPr>
        <w:lastRenderedPageBreak/>
        <w:t xml:space="preserve">Savickas, M. L. (2013). Career construction theory and practice. In R. W. Lent &amp; S. D. Brown (Eds.), </w:t>
      </w:r>
      <w:r w:rsidRPr="00F274BF">
        <w:rPr>
          <w:rFonts w:ascii="Calibri" w:hAnsi="Calibri" w:cs="Calibri"/>
          <w:i/>
          <w:iCs/>
        </w:rPr>
        <w:t xml:space="preserve">Career development and </w:t>
      </w:r>
      <w:proofErr w:type="spellStart"/>
      <w:r w:rsidRPr="00F274BF">
        <w:rPr>
          <w:rFonts w:ascii="Calibri" w:hAnsi="Calibri" w:cs="Calibri"/>
          <w:i/>
          <w:iCs/>
        </w:rPr>
        <w:t>counseling</w:t>
      </w:r>
      <w:proofErr w:type="spellEnd"/>
      <w:r w:rsidRPr="00F274BF">
        <w:rPr>
          <w:rFonts w:ascii="Calibri" w:hAnsi="Calibri" w:cs="Calibri"/>
          <w:i/>
          <w:iCs/>
        </w:rPr>
        <w:t>: Putting theory and research to work</w:t>
      </w:r>
      <w:r w:rsidRPr="00F274BF">
        <w:rPr>
          <w:rFonts w:ascii="Calibri" w:hAnsi="Calibri" w:cs="Calibri"/>
        </w:rPr>
        <w:t xml:space="preserve"> (pp. 147-183). John Wiley &amp; Sons.</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Schwarzer, R. and Warner, L.M. (2012) ‘Perceived self-efficacy and its relationship to resilience’, </w:t>
      </w:r>
      <w:r w:rsidRPr="00F274BF">
        <w:rPr>
          <w:rFonts w:ascii="Calibri" w:hAnsi="Calibri" w:cs="Calibri"/>
          <w:i/>
          <w:iCs/>
        </w:rPr>
        <w:t>Resilience in Children, Adolescents, and Adults</w:t>
      </w:r>
      <w:r w:rsidRPr="00F274BF">
        <w:rPr>
          <w:rFonts w:ascii="Calibri" w:hAnsi="Calibri" w:cs="Calibri"/>
        </w:rPr>
        <w:t xml:space="preserve">, pp. 139–150. doi:10.1007/978-1-4614-4939-3_10.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Schweinsberg</w:t>
      </w:r>
      <w:proofErr w:type="spellEnd"/>
      <w:r w:rsidRPr="00F274BF">
        <w:rPr>
          <w:rFonts w:ascii="Calibri" w:hAnsi="Calibri" w:cs="Calibri"/>
        </w:rPr>
        <w:t xml:space="preserve">, A., Mundy, E. M., Dyer, R. K., </w:t>
      </w:r>
      <w:proofErr w:type="spellStart"/>
      <w:r w:rsidRPr="00F274BF">
        <w:rPr>
          <w:rFonts w:ascii="Calibri" w:hAnsi="Calibri" w:cs="Calibri"/>
        </w:rPr>
        <w:t>Garivaldis</w:t>
      </w:r>
      <w:proofErr w:type="spellEnd"/>
      <w:r w:rsidRPr="00F274BF">
        <w:rPr>
          <w:rFonts w:ascii="Calibri" w:hAnsi="Calibri" w:cs="Calibri"/>
        </w:rPr>
        <w:t xml:space="preserve">, F., (2021) ‘Psychology education and work readiness integration: A call for research in Australia’, </w:t>
      </w:r>
      <w:r w:rsidRPr="00F274BF">
        <w:rPr>
          <w:rFonts w:ascii="Calibri" w:hAnsi="Calibri" w:cs="Calibri"/>
          <w:i/>
          <w:iCs/>
        </w:rPr>
        <w:t>Frontiers in Psychology</w:t>
      </w:r>
      <w:r w:rsidRPr="00F274BF">
        <w:rPr>
          <w:rFonts w:ascii="Calibri" w:hAnsi="Calibri" w:cs="Calibri"/>
        </w:rPr>
        <w:t xml:space="preserve">, 12. doi:10.3389/fpsyg.2021.623353. </w:t>
      </w:r>
    </w:p>
    <w:p w:rsidR="00F274BF" w:rsidRPr="00F274BF" w:rsidRDefault="00F274BF" w:rsidP="00F274BF">
      <w:pPr>
        <w:spacing w:line="360" w:lineRule="auto"/>
        <w:rPr>
          <w:rFonts w:ascii="Calibri" w:hAnsi="Calibri" w:cs="Calibri"/>
        </w:rPr>
      </w:pPr>
      <w:proofErr w:type="spellStart"/>
      <w:r w:rsidRPr="00F274BF">
        <w:rPr>
          <w:rFonts w:ascii="Calibri" w:hAnsi="Calibri" w:cs="Calibri"/>
        </w:rPr>
        <w:t>Sharo</w:t>
      </w:r>
      <w:proofErr w:type="spellEnd"/>
      <w:r w:rsidRPr="00F274BF">
        <w:rPr>
          <w:rFonts w:ascii="Calibri" w:hAnsi="Calibri" w:cs="Calibri"/>
        </w:rPr>
        <w:t xml:space="preserve">, J. A., Peters, J. and Howard, K. (20-02). </w:t>
      </w:r>
      <w:r w:rsidRPr="00F274BF">
        <w:rPr>
          <w:rFonts w:ascii="Calibri" w:hAnsi="Calibri" w:cs="Calibri"/>
          <w:i/>
          <w:iCs/>
        </w:rPr>
        <w:t xml:space="preserve">The management of a Student Research Project. </w:t>
      </w:r>
      <w:r w:rsidRPr="00F274BF">
        <w:rPr>
          <w:rFonts w:ascii="Calibri" w:hAnsi="Calibri" w:cs="Calibri"/>
        </w:rPr>
        <w:t xml:space="preserve">Second edition. Aldershot: </w:t>
      </w:r>
      <w:proofErr w:type="spellStart"/>
      <w:r w:rsidRPr="00F274BF">
        <w:rPr>
          <w:rFonts w:ascii="Calibri" w:hAnsi="Calibri" w:cs="Calibri"/>
        </w:rPr>
        <w:t>Gover</w:t>
      </w:r>
      <w:proofErr w:type="spellEnd"/>
      <w:r w:rsidRPr="00F274BF">
        <w:rPr>
          <w:rFonts w:ascii="Calibri" w:hAnsi="Calibri" w:cs="Calibri"/>
        </w:rPr>
        <w:t xml:space="preserve">. (The e-book is 2017). -------------- ways to establish your research question.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Swargiary</w:t>
      </w:r>
      <w:proofErr w:type="spellEnd"/>
      <w:r w:rsidRPr="00F274BF">
        <w:rPr>
          <w:rFonts w:ascii="Calibri" w:hAnsi="Calibri" w:cs="Calibri"/>
        </w:rPr>
        <w:t xml:space="preserve">, K. (2024) </w:t>
      </w:r>
      <w:r w:rsidRPr="00F274BF">
        <w:rPr>
          <w:rFonts w:ascii="Calibri" w:hAnsi="Calibri" w:cs="Calibri"/>
          <w:i/>
          <w:iCs/>
        </w:rPr>
        <w:t>Dark psychology</w:t>
      </w:r>
      <w:r w:rsidRPr="00F274BF">
        <w:rPr>
          <w:rFonts w:ascii="Calibri" w:hAnsi="Calibri" w:cs="Calibri"/>
        </w:rPr>
        <w:t xml:space="preserve"> </w:t>
      </w:r>
      <w:r w:rsidRPr="00F274BF">
        <w:rPr>
          <w:rFonts w:ascii="Calibri" w:hAnsi="Calibri" w:cs="Calibri"/>
          <w:i/>
          <w:iCs/>
        </w:rPr>
        <w:t>Vol 2</w:t>
      </w:r>
      <w:r w:rsidRPr="00F274BF">
        <w:rPr>
          <w:rFonts w:ascii="Calibri" w:hAnsi="Calibri" w:cs="Calibri"/>
        </w:rPr>
        <w:t xml:space="preserve">. London, UK: Lambert Academic Publishing.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Tawk</w:t>
      </w:r>
      <w:proofErr w:type="spellEnd"/>
      <w:r w:rsidRPr="00F274BF">
        <w:rPr>
          <w:rFonts w:ascii="Calibri" w:hAnsi="Calibri" w:cs="Calibri"/>
        </w:rPr>
        <w:t xml:space="preserve">, C.J. (2023) </w:t>
      </w:r>
      <w:r w:rsidRPr="00F274BF">
        <w:rPr>
          <w:rFonts w:ascii="Calibri" w:hAnsi="Calibri" w:cs="Calibri"/>
          <w:i/>
          <w:iCs/>
        </w:rPr>
        <w:t>Articles: Ways Industrial and Organizational Psychology can help</w:t>
      </w:r>
      <w:r w:rsidRPr="00F274BF">
        <w:rPr>
          <w:rFonts w:ascii="Calibri" w:hAnsi="Calibri" w:cs="Calibri"/>
        </w:rPr>
        <w:t xml:space="preserve">, </w:t>
      </w:r>
      <w:proofErr w:type="spellStart"/>
      <w:r w:rsidRPr="00F274BF">
        <w:rPr>
          <w:rFonts w:ascii="Calibri" w:hAnsi="Calibri" w:cs="Calibri"/>
          <w:i/>
          <w:iCs/>
        </w:rPr>
        <w:t>Meirc</w:t>
      </w:r>
      <w:proofErr w:type="spellEnd"/>
      <w:r w:rsidRPr="00F274BF">
        <w:rPr>
          <w:rFonts w:ascii="Calibri" w:hAnsi="Calibri" w:cs="Calibri"/>
          <w:i/>
          <w:iCs/>
        </w:rPr>
        <w:t xml:space="preserve"> Training &amp; Consulting</w:t>
      </w:r>
      <w:r w:rsidRPr="00F274BF">
        <w:rPr>
          <w:rFonts w:ascii="Calibri" w:hAnsi="Calibri" w:cs="Calibri"/>
        </w:rPr>
        <w:t xml:space="preserve">. Available at: https://www.meirc.com/articles/industrial-organizational-psychology-human-resources-management (Accessed: 30 May 2024).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Tran, N., Cooley, N. and Fink, C. (2023)</w:t>
      </w:r>
      <w:r w:rsidRPr="00F274BF">
        <w:rPr>
          <w:rStyle w:val="apple-converted-space"/>
          <w:rFonts w:ascii="Calibri" w:hAnsi="Calibri" w:cs="Calibri"/>
          <w:color w:val="000000"/>
        </w:rPr>
        <w:t> </w:t>
      </w:r>
      <w:r w:rsidRPr="00F274BF">
        <w:rPr>
          <w:rFonts w:ascii="Calibri" w:hAnsi="Calibri" w:cs="Calibri"/>
          <w:i/>
          <w:iCs/>
          <w:color w:val="000000"/>
        </w:rPr>
        <w:t>Alternative Careers for Psychology Majors</w:t>
      </w:r>
      <w:r w:rsidRPr="00F274BF">
        <w:rPr>
          <w:rFonts w:ascii="Calibri" w:hAnsi="Calibri" w:cs="Calibri"/>
          <w:color w:val="000000"/>
        </w:rPr>
        <w:t>,</w:t>
      </w:r>
      <w:r w:rsidRPr="00F274BF">
        <w:rPr>
          <w:rStyle w:val="apple-converted-space"/>
          <w:rFonts w:ascii="Calibri" w:hAnsi="Calibri" w:cs="Calibri"/>
          <w:color w:val="000000"/>
        </w:rPr>
        <w:t> </w:t>
      </w:r>
      <w:r w:rsidRPr="00F274BF">
        <w:rPr>
          <w:rFonts w:ascii="Calibri" w:hAnsi="Calibri" w:cs="Calibri"/>
          <w:i/>
          <w:iCs/>
          <w:color w:val="000000"/>
        </w:rPr>
        <w:t>Psychology.org</w:t>
      </w:r>
      <w:r w:rsidRPr="00F274BF">
        <w:rPr>
          <w:rFonts w:ascii="Calibri" w:hAnsi="Calibri" w:cs="Calibri"/>
          <w:color w:val="000000"/>
        </w:rPr>
        <w:t>. Available at: https://www.psychology.org/resources/alternative-careers-for-psychology-majors/ (Accessed: 10 May 2024).</w:t>
      </w:r>
      <w:r w:rsidRPr="00F274BF">
        <w:rPr>
          <w:rStyle w:val="apple-converted-space"/>
          <w:rFonts w:ascii="Calibri" w:hAnsi="Calibri" w:cs="Calibri"/>
          <w:color w:val="000000"/>
        </w:rPr>
        <w:t> </w:t>
      </w:r>
    </w:p>
    <w:p w:rsidR="00F274BF" w:rsidRPr="00F274BF" w:rsidRDefault="00F274BF" w:rsidP="00F274BF">
      <w:pPr>
        <w:spacing w:line="360" w:lineRule="auto"/>
        <w:outlineLvl w:val="0"/>
        <w:rPr>
          <w:rFonts w:ascii="Calibri" w:eastAsia="Times New Roman" w:hAnsi="Calibri" w:cs="Calibri"/>
          <w:lang w:eastAsia="en-GB"/>
        </w:rPr>
      </w:pPr>
      <w:r w:rsidRPr="00F274BF">
        <w:rPr>
          <w:rFonts w:ascii="Calibri" w:hAnsi="Calibri" w:cs="Calibri"/>
        </w:rPr>
        <w:t xml:space="preserve">University of Melbourne. (2013). Reviewing the literature: a critical review. Retrieved from </w:t>
      </w:r>
      <w:hyperlink r:id="rId15" w:history="1">
        <w:r w:rsidRPr="00F274BF">
          <w:rPr>
            <w:rStyle w:val="Hyperlink"/>
            <w:rFonts w:ascii="Calibri" w:hAnsi="Calibri" w:cs="Calibri"/>
          </w:rPr>
          <w:t>http://services.unimelb.edu.au/academicskills/all_resources/writing-resources</w:t>
        </w:r>
      </w:hyperlink>
      <w:r w:rsidRPr="00F274BF">
        <w:rPr>
          <w:rFonts w:ascii="Calibri" w:hAnsi="Calibri" w:cs="Calibri"/>
        </w:rPr>
        <w:t xml:space="preserve"> </w:t>
      </w:r>
    </w:p>
    <w:p w:rsidR="00F274BF" w:rsidRPr="00F274BF" w:rsidRDefault="00F274BF" w:rsidP="00F274BF">
      <w:pPr>
        <w:pStyle w:val="NormalWeb"/>
        <w:spacing w:line="360" w:lineRule="auto"/>
        <w:ind w:left="567" w:hanging="567"/>
        <w:rPr>
          <w:rFonts w:ascii="Calibri" w:hAnsi="Calibri" w:cs="Calibri"/>
          <w:color w:val="000000"/>
        </w:rPr>
      </w:pPr>
      <w:r w:rsidRPr="00F274BF">
        <w:rPr>
          <w:rFonts w:ascii="Calibri" w:hAnsi="Calibri" w:cs="Calibri"/>
          <w:color w:val="000000"/>
        </w:rPr>
        <w:t>Wentzel, A. (2018)</w:t>
      </w:r>
      <w:r w:rsidRPr="00F274BF">
        <w:rPr>
          <w:rStyle w:val="apple-converted-space"/>
          <w:rFonts w:ascii="Calibri" w:hAnsi="Calibri" w:cs="Calibri"/>
          <w:color w:val="000000"/>
        </w:rPr>
        <w:t> </w:t>
      </w:r>
      <w:r w:rsidRPr="00F274BF">
        <w:rPr>
          <w:rFonts w:ascii="Calibri" w:hAnsi="Calibri" w:cs="Calibri"/>
          <w:i/>
          <w:iCs/>
          <w:color w:val="000000"/>
        </w:rPr>
        <w:t>A guide to argumentative research writing and thinking: Overcoming challenges</w:t>
      </w:r>
      <w:r w:rsidRPr="00F274BF">
        <w:rPr>
          <w:rFonts w:ascii="Calibri" w:hAnsi="Calibri" w:cs="Calibri"/>
          <w:color w:val="000000"/>
        </w:rPr>
        <w:t>. London: Routledge.</w:t>
      </w:r>
      <w:r w:rsidRPr="00F274BF">
        <w:rPr>
          <w:rStyle w:val="apple-converted-space"/>
          <w:rFonts w:ascii="Calibri" w:hAnsi="Calibri" w:cs="Calibri"/>
          <w:color w:val="000000"/>
        </w:rPr>
        <w:t>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lastRenderedPageBreak/>
        <w:t xml:space="preserve">Wentzel, K.R. and Ramani, G.B. (2016) </w:t>
      </w:r>
      <w:r w:rsidRPr="00F274BF">
        <w:rPr>
          <w:rFonts w:ascii="Calibri" w:hAnsi="Calibri" w:cs="Calibri"/>
          <w:i/>
          <w:iCs/>
        </w:rPr>
        <w:t>Handbook of Social Influences in school contexts: Social-emotional, motivation, and cognitive outcomes</w:t>
      </w:r>
      <w:r w:rsidRPr="00F274BF">
        <w:rPr>
          <w:rFonts w:ascii="Calibri" w:hAnsi="Calibri" w:cs="Calibri"/>
        </w:rPr>
        <w:t xml:space="preserve">. New York, USA: Routledge. </w:t>
      </w:r>
    </w:p>
    <w:p w:rsidR="00F274BF" w:rsidRPr="00F274BF" w:rsidRDefault="00F274BF" w:rsidP="00F274BF">
      <w:pPr>
        <w:pStyle w:val="NormalWeb"/>
        <w:spacing w:line="360" w:lineRule="auto"/>
        <w:ind w:left="567" w:hanging="567"/>
        <w:rPr>
          <w:rFonts w:ascii="Calibri" w:hAnsi="Calibri" w:cs="Calibri"/>
        </w:rPr>
      </w:pPr>
      <w:proofErr w:type="spellStart"/>
      <w:r w:rsidRPr="00F274BF">
        <w:rPr>
          <w:rFonts w:ascii="Calibri" w:hAnsi="Calibri" w:cs="Calibri"/>
        </w:rPr>
        <w:t>Whiteley</w:t>
      </w:r>
      <w:proofErr w:type="spellEnd"/>
      <w:r w:rsidRPr="00F274BF">
        <w:rPr>
          <w:rFonts w:ascii="Calibri" w:hAnsi="Calibri" w:cs="Calibri"/>
        </w:rPr>
        <w:t xml:space="preserve">, C. (2023) ‘University Guide Collection </w:t>
      </w:r>
      <w:proofErr w:type="gramStart"/>
      <w:r w:rsidRPr="00F274BF">
        <w:rPr>
          <w:rFonts w:ascii="Calibri" w:hAnsi="Calibri" w:cs="Calibri"/>
        </w:rPr>
        <w:t>For</w:t>
      </w:r>
      <w:proofErr w:type="gramEnd"/>
      <w:r w:rsidRPr="00F274BF">
        <w:rPr>
          <w:rFonts w:ascii="Calibri" w:hAnsi="Calibri" w:cs="Calibri"/>
        </w:rPr>
        <w:t xml:space="preserve"> Psychology Students’, </w:t>
      </w:r>
      <w:r w:rsidRPr="00F274BF">
        <w:rPr>
          <w:rFonts w:ascii="Calibri" w:hAnsi="Calibri" w:cs="Calibri"/>
          <w:i/>
          <w:iCs/>
        </w:rPr>
        <w:t>Google Books</w:t>
      </w:r>
      <w:r w:rsidRPr="00F274BF">
        <w:rPr>
          <w:rFonts w:ascii="Calibri" w:hAnsi="Calibri" w:cs="Calibri"/>
        </w:rPr>
        <w:t xml:space="preserve">. CGD Publishing, 22 September. </w:t>
      </w:r>
    </w:p>
    <w:p w:rsidR="00F274BF" w:rsidRP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Winchester, C.L. and </w:t>
      </w:r>
      <w:proofErr w:type="spellStart"/>
      <w:r w:rsidRPr="00F274BF">
        <w:rPr>
          <w:rFonts w:ascii="Calibri" w:hAnsi="Calibri" w:cs="Calibri"/>
        </w:rPr>
        <w:t>Salji</w:t>
      </w:r>
      <w:proofErr w:type="spellEnd"/>
      <w:r w:rsidRPr="00F274BF">
        <w:rPr>
          <w:rFonts w:ascii="Calibri" w:hAnsi="Calibri" w:cs="Calibri"/>
        </w:rPr>
        <w:t xml:space="preserve">, M. (2016) ‘Writing a literature review’, </w:t>
      </w:r>
      <w:r w:rsidRPr="00F274BF">
        <w:rPr>
          <w:rFonts w:ascii="Calibri" w:hAnsi="Calibri" w:cs="Calibri"/>
          <w:i/>
          <w:iCs/>
        </w:rPr>
        <w:t>Sage Journals - Journal of Clinical Urology</w:t>
      </w:r>
      <w:r w:rsidRPr="00F274BF">
        <w:rPr>
          <w:rFonts w:ascii="Calibri" w:hAnsi="Calibri" w:cs="Calibri"/>
        </w:rPr>
        <w:t xml:space="preserve">, 9(5). Available at: doi.org/10.1177/2051415816650133.  ===== good explanation of the importance of a literature review </w:t>
      </w:r>
    </w:p>
    <w:p w:rsidR="00F274BF" w:rsidRDefault="00F274BF" w:rsidP="00F274BF">
      <w:pPr>
        <w:pStyle w:val="NormalWeb"/>
        <w:spacing w:line="360" w:lineRule="auto"/>
        <w:ind w:left="567" w:hanging="567"/>
        <w:rPr>
          <w:rFonts w:ascii="Calibri" w:hAnsi="Calibri" w:cs="Calibri"/>
        </w:rPr>
      </w:pPr>
      <w:r w:rsidRPr="00F274BF">
        <w:rPr>
          <w:rFonts w:ascii="Calibri" w:hAnsi="Calibri" w:cs="Calibri"/>
        </w:rPr>
        <w:t xml:space="preserve">Yorke, M. (2006) </w:t>
      </w:r>
      <w:r w:rsidRPr="00F274BF">
        <w:rPr>
          <w:rFonts w:ascii="Calibri" w:hAnsi="Calibri" w:cs="Calibri"/>
          <w:i/>
          <w:iCs/>
        </w:rPr>
        <w:t>Employability in higher education: What it is - what it is not</w:t>
      </w:r>
      <w:r w:rsidRPr="00F274BF">
        <w:rPr>
          <w:rFonts w:ascii="Calibri" w:hAnsi="Calibri" w:cs="Calibri"/>
        </w:rPr>
        <w:t xml:space="preserve">. York: Learning and Teaching Support Network (1). </w:t>
      </w:r>
    </w:p>
    <w:p w:rsidR="0091785B" w:rsidRDefault="0091785B" w:rsidP="005B59F9">
      <w:pPr>
        <w:pStyle w:val="NormalWeb"/>
      </w:pPr>
      <w:r>
        <w:t xml:space="preserve">Lonsdale, M. (2020) </w:t>
      </w:r>
      <w:r>
        <w:rPr>
          <w:i/>
          <w:iCs/>
        </w:rPr>
        <w:t>What can I do with a psychology degree? | prospects.ac.uk</w:t>
      </w:r>
      <w:r>
        <w:t xml:space="preserve">, </w:t>
      </w:r>
      <w:r>
        <w:rPr>
          <w:i/>
          <w:iCs/>
        </w:rPr>
        <w:t>Careers in Psychology</w:t>
      </w:r>
      <w:r>
        <w:t xml:space="preserve">. Available at: https://www.careersinpsychology.co.uk/what-are-career-prospects-for-psychology-graduate.html#google_vignette (Accessed: 30 May 2024). </w:t>
      </w:r>
    </w:p>
    <w:p w:rsidR="0091785B" w:rsidRPr="00F274BF" w:rsidRDefault="0091785B" w:rsidP="00F274BF">
      <w:pPr>
        <w:pStyle w:val="NormalWeb"/>
        <w:spacing w:line="360" w:lineRule="auto"/>
        <w:ind w:left="567" w:hanging="567"/>
        <w:rPr>
          <w:rFonts w:ascii="Calibri" w:hAnsi="Calibri" w:cs="Calibri"/>
        </w:rPr>
      </w:pPr>
    </w:p>
    <w:tbl>
      <w:tblPr>
        <w:tblpPr w:leftFromText="180" w:rightFromText="180" w:vertAnchor="text" w:horzAnchor="page" w:tblpX="-147" w:tblpY="-1439"/>
        <w:tblW w:w="12173" w:type="dxa"/>
        <w:tblBorders>
          <w:top w:val="nil"/>
          <w:left w:val="nil"/>
          <w:bottom w:val="nil"/>
          <w:right w:val="nil"/>
        </w:tblBorders>
        <w:tblLook w:val="0000" w:firstRow="0" w:lastRow="0" w:firstColumn="0" w:lastColumn="0" w:noHBand="0" w:noVBand="0"/>
      </w:tblPr>
      <w:tblGrid>
        <w:gridCol w:w="1460"/>
        <w:gridCol w:w="627"/>
        <w:gridCol w:w="9054"/>
        <w:gridCol w:w="1032"/>
      </w:tblGrid>
      <w:tr w:rsidR="00170057" w:rsidRPr="004C1685" w:rsidTr="00170057">
        <w:trPr>
          <w:trHeight w:val="64"/>
          <w:tblHeader/>
        </w:trPr>
        <w:tc>
          <w:tcPr>
            <w:tcW w:w="1460" w:type="dxa"/>
            <w:tcBorders>
              <w:top w:val="double" w:sz="5" w:space="0" w:color="000000"/>
              <w:left w:val="single" w:sz="5" w:space="0" w:color="000000"/>
              <w:bottom w:val="double" w:sz="2" w:space="0" w:color="FFFFCC"/>
              <w:right w:val="single" w:sz="5" w:space="0" w:color="000000"/>
            </w:tcBorders>
            <w:shd w:val="clear" w:color="auto" w:fill="63639A"/>
            <w:vAlign w:val="center"/>
          </w:tcPr>
          <w:p w:rsidR="00170057" w:rsidRPr="00930A31" w:rsidRDefault="00170057" w:rsidP="00170057">
            <w:pPr>
              <w:pStyle w:val="Default"/>
              <w:rPr>
                <w:rFonts w:ascii="Arial" w:hAnsi="Arial" w:cs="Arial"/>
                <w:color w:val="FFFFFF"/>
                <w:sz w:val="18"/>
                <w:szCs w:val="18"/>
              </w:rPr>
            </w:pPr>
            <w:r w:rsidRPr="00930A31">
              <w:rPr>
                <w:rFonts w:ascii="Arial" w:hAnsi="Arial" w:cs="Arial"/>
                <w:b/>
                <w:bCs/>
                <w:color w:val="FFFFFF"/>
                <w:sz w:val="18"/>
                <w:szCs w:val="18"/>
              </w:rPr>
              <w:lastRenderedPageBreak/>
              <w:t xml:space="preserve">Section and Topic </w:t>
            </w:r>
          </w:p>
        </w:tc>
        <w:tc>
          <w:tcPr>
            <w:tcW w:w="627" w:type="dxa"/>
            <w:tcBorders>
              <w:top w:val="double" w:sz="5" w:space="0" w:color="000000"/>
              <w:left w:val="single" w:sz="5" w:space="0" w:color="000000"/>
              <w:bottom w:val="double" w:sz="2" w:space="0" w:color="FFFFCC"/>
              <w:right w:val="single" w:sz="5" w:space="0" w:color="000000"/>
            </w:tcBorders>
            <w:shd w:val="clear" w:color="auto" w:fill="63639A"/>
            <w:vAlign w:val="center"/>
          </w:tcPr>
          <w:p w:rsidR="00170057" w:rsidRPr="00930A31" w:rsidRDefault="00170057" w:rsidP="00170057">
            <w:pPr>
              <w:pStyle w:val="Default"/>
              <w:rPr>
                <w:rFonts w:ascii="Arial" w:hAnsi="Arial" w:cs="Arial"/>
                <w:b/>
                <w:bCs/>
                <w:color w:val="FFFFFF"/>
                <w:sz w:val="18"/>
                <w:szCs w:val="18"/>
              </w:rPr>
            </w:pPr>
            <w:r w:rsidRPr="00930A31">
              <w:rPr>
                <w:rFonts w:ascii="Arial" w:hAnsi="Arial" w:cs="Arial"/>
                <w:b/>
                <w:bCs/>
                <w:color w:val="FFFFFF"/>
                <w:sz w:val="18"/>
                <w:szCs w:val="18"/>
              </w:rPr>
              <w:t>Item #</w:t>
            </w:r>
          </w:p>
        </w:tc>
        <w:tc>
          <w:tcPr>
            <w:tcW w:w="9054" w:type="dxa"/>
            <w:tcBorders>
              <w:top w:val="double" w:sz="5" w:space="0" w:color="000000"/>
              <w:left w:val="single" w:sz="5" w:space="0" w:color="000000"/>
              <w:bottom w:val="double" w:sz="5" w:space="0" w:color="000000"/>
              <w:right w:val="single" w:sz="5" w:space="0" w:color="000000"/>
            </w:tcBorders>
            <w:shd w:val="clear" w:color="auto" w:fill="63639A"/>
            <w:vAlign w:val="center"/>
          </w:tcPr>
          <w:p w:rsidR="00170057" w:rsidRPr="00930A31" w:rsidRDefault="00170057" w:rsidP="00170057">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032" w:type="dxa"/>
            <w:tcBorders>
              <w:top w:val="double" w:sz="5" w:space="0" w:color="000000"/>
              <w:left w:val="single" w:sz="5" w:space="0" w:color="000000"/>
              <w:bottom w:val="double" w:sz="5" w:space="0" w:color="000000"/>
              <w:right w:val="single" w:sz="5" w:space="0" w:color="000000"/>
            </w:tcBorders>
            <w:shd w:val="clear" w:color="auto" w:fill="63639A"/>
            <w:vAlign w:val="center"/>
          </w:tcPr>
          <w:p w:rsidR="00170057" w:rsidRPr="00930A31" w:rsidRDefault="00170057" w:rsidP="00170057">
            <w:pPr>
              <w:pStyle w:val="Default"/>
              <w:rPr>
                <w:rFonts w:ascii="Arial" w:hAnsi="Arial" w:cs="Arial"/>
                <w:color w:val="FFFFFF"/>
                <w:sz w:val="18"/>
                <w:szCs w:val="18"/>
              </w:rPr>
            </w:pPr>
            <w:r w:rsidRPr="00930A31">
              <w:rPr>
                <w:rFonts w:ascii="Arial" w:hAnsi="Arial" w:cs="Arial"/>
                <w:b/>
                <w:bCs/>
                <w:color w:val="FFFFFF"/>
                <w:sz w:val="18"/>
                <w:szCs w:val="18"/>
              </w:rPr>
              <w:t xml:space="preserve">Location where item is reported </w:t>
            </w: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TITLE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right"/>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627"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w:t>
            </w:r>
          </w:p>
        </w:tc>
        <w:tc>
          <w:tcPr>
            <w:tcW w:w="9054"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032"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ABSTRACT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right"/>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Abstract </w:t>
            </w:r>
          </w:p>
        </w:tc>
        <w:tc>
          <w:tcPr>
            <w:tcW w:w="627"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w:t>
            </w:r>
          </w:p>
        </w:tc>
        <w:tc>
          <w:tcPr>
            <w:tcW w:w="9054"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Pr>
                <w:rFonts w:ascii="Arial" w:hAnsi="Arial" w:cs="Arial"/>
                <w:sz w:val="18"/>
                <w:szCs w:val="18"/>
              </w:rPr>
              <w:t>.</w:t>
            </w:r>
          </w:p>
        </w:tc>
        <w:tc>
          <w:tcPr>
            <w:tcW w:w="1032"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INTRODUCTION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right"/>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3</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627" w:type="dxa"/>
            <w:tcBorders>
              <w:top w:val="single" w:sz="5" w:space="0" w:color="000000"/>
              <w:left w:val="single" w:sz="5" w:space="0" w:color="000000"/>
              <w:bottom w:val="double" w:sz="2" w:space="0" w:color="FFFFCC"/>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4</w:t>
            </w:r>
          </w:p>
        </w:tc>
        <w:tc>
          <w:tcPr>
            <w:tcW w:w="9054"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032"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METHODS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right"/>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5</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191"/>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6</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Search strategy</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7</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Selection process</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8</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151"/>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9</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10a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for all measures, time points, analyses), and if not, the methods used to decide which results to collect.</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10b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w:t>
            </w:r>
            <w:proofErr w:type="gramStart"/>
            <w:r w:rsidRPr="00930A31">
              <w:rPr>
                <w:rFonts w:ascii="Arial" w:hAnsi="Arial" w:cs="Arial"/>
                <w:sz w:val="18"/>
                <w:szCs w:val="18"/>
              </w:rPr>
              <w:t>e.g.</w:t>
            </w:r>
            <w:proofErr w:type="gramEnd"/>
            <w:r w:rsidRPr="00930A31">
              <w:rPr>
                <w:rFonts w:ascii="Arial" w:hAnsi="Arial" w:cs="Arial"/>
                <w:sz w:val="18"/>
                <w:szCs w:val="18"/>
              </w:rPr>
              <w:t xml:space="preserve"> participant and intervention characteristics, funding sources). Describe any assumptions made about any missing or unclear information.</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Study risk of bias assessment</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11</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Effect measures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12</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Specify for each outcome the effect measure(s) (</w:t>
            </w:r>
            <w:proofErr w:type="gramStart"/>
            <w:r w:rsidRPr="00930A31">
              <w:rPr>
                <w:rFonts w:ascii="Arial" w:hAnsi="Arial" w:cs="Arial"/>
                <w:sz w:val="18"/>
                <w:szCs w:val="18"/>
              </w:rPr>
              <w:t>e.g.</w:t>
            </w:r>
            <w:proofErr w:type="gramEnd"/>
            <w:r w:rsidRPr="00930A31">
              <w:rPr>
                <w:rFonts w:ascii="Arial" w:hAnsi="Arial" w:cs="Arial"/>
                <w:sz w:val="18"/>
                <w:szCs w:val="18"/>
              </w:rPr>
              <w:t xml:space="preserve"> risk ratio, mean difference) used in the synthesis or presentation of results.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Synthesis methods</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w:t>
            </w:r>
            <w:proofErr w:type="gramStart"/>
            <w:r w:rsidRPr="00930A31">
              <w:rPr>
                <w:rFonts w:ascii="Arial" w:hAnsi="Arial" w:cs="Arial"/>
                <w:sz w:val="18"/>
                <w:szCs w:val="18"/>
              </w:rPr>
              <w:t>e.g.</w:t>
            </w:r>
            <w:proofErr w:type="gramEnd"/>
            <w:r w:rsidRPr="00930A31">
              <w:rPr>
                <w:rFonts w:ascii="Arial" w:hAnsi="Arial" w:cs="Arial"/>
                <w:sz w:val="18"/>
                <w:szCs w:val="18"/>
              </w:rPr>
              <w:t xml:space="preserve"> tabulating the study intervention characteristics and comparing against the planned groups for each synthesis (item #5)).</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13c</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13d</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13e</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w:t>
            </w:r>
            <w:proofErr w:type="gramStart"/>
            <w:r w:rsidRPr="00930A31">
              <w:rPr>
                <w:rFonts w:ascii="Arial" w:hAnsi="Arial" w:cs="Arial"/>
                <w:sz w:val="18"/>
                <w:szCs w:val="18"/>
              </w:rPr>
              <w:t>e.g.</w:t>
            </w:r>
            <w:proofErr w:type="gramEnd"/>
            <w:r w:rsidRPr="00930A31">
              <w:rPr>
                <w:rFonts w:ascii="Arial" w:hAnsi="Arial" w:cs="Arial"/>
                <w:sz w:val="18"/>
                <w:szCs w:val="18"/>
              </w:rPr>
              <w:t xml:space="preserve"> subgroup analysis, meta-regression).</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9"/>
        </w:trPr>
        <w:tc>
          <w:tcPr>
            <w:tcW w:w="1460" w:type="dxa"/>
            <w:vMerge/>
            <w:tcBorders>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13f</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14</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15</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RESULTS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center"/>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16a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16b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102"/>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17</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Risk of bias in </w:t>
            </w:r>
            <w:r w:rsidRPr="00930A31">
              <w:rPr>
                <w:rFonts w:ascii="Arial" w:hAnsi="Arial" w:cs="Arial"/>
                <w:sz w:val="18"/>
                <w:szCs w:val="18"/>
              </w:rPr>
              <w:lastRenderedPageBreak/>
              <w:t xml:space="preserve">studies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lastRenderedPageBreak/>
              <w:t>18</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19</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20a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03"/>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20b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w:t>
            </w:r>
            <w:proofErr w:type="gramStart"/>
            <w:r w:rsidRPr="00930A31">
              <w:rPr>
                <w:rFonts w:ascii="Arial" w:hAnsi="Arial" w:cs="Arial"/>
                <w:sz w:val="18"/>
                <w:szCs w:val="18"/>
              </w:rPr>
              <w:t>e.g.</w:t>
            </w:r>
            <w:proofErr w:type="gramEnd"/>
            <w:r w:rsidRPr="00930A31">
              <w:rPr>
                <w:rFonts w:ascii="Arial" w:hAnsi="Arial" w:cs="Arial"/>
                <w:sz w:val="18"/>
                <w:szCs w:val="18"/>
              </w:rPr>
              <w:t xml:space="preserve"> confidence/credible interval) and measures of statistical heterogeneity. If comparing groups, describe the direction of the effect.</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20c</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20d</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Reporting biases</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21</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22</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 xml:space="preserve">DISCUSSION </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center"/>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23a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23b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4" w:space="0" w:color="auto"/>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23c</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bottom w:val="single" w:sz="4" w:space="0" w:color="auto"/>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4" w:space="0" w:color="auto"/>
              <w:left w:val="single" w:sz="5" w:space="0" w:color="000000"/>
              <w:bottom w:val="single" w:sz="4" w:space="0" w:color="auto"/>
              <w:right w:val="single" w:sz="4" w:space="0" w:color="auto"/>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23d</w:t>
            </w:r>
          </w:p>
        </w:tc>
        <w:tc>
          <w:tcPr>
            <w:tcW w:w="9054" w:type="dxa"/>
            <w:tcBorders>
              <w:top w:val="single" w:sz="5" w:space="0" w:color="000000"/>
              <w:left w:val="single" w:sz="4" w:space="0" w:color="auto"/>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032"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3"/>
        </w:trPr>
        <w:tc>
          <w:tcPr>
            <w:tcW w:w="11141"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rsidR="00170057" w:rsidRPr="00930A31" w:rsidRDefault="00170057" w:rsidP="00170057">
            <w:pPr>
              <w:pStyle w:val="Default"/>
              <w:rPr>
                <w:rFonts w:ascii="Arial" w:hAnsi="Arial" w:cs="Arial"/>
                <w:sz w:val="18"/>
                <w:szCs w:val="18"/>
              </w:rPr>
            </w:pPr>
            <w:r w:rsidRPr="00930A31">
              <w:rPr>
                <w:rFonts w:ascii="Arial" w:hAnsi="Arial" w:cs="Arial"/>
                <w:b/>
                <w:bCs/>
                <w:sz w:val="18"/>
                <w:szCs w:val="18"/>
              </w:rPr>
              <w:t>OTHER INFORMATION</w:t>
            </w:r>
          </w:p>
        </w:tc>
        <w:tc>
          <w:tcPr>
            <w:tcW w:w="1032" w:type="dxa"/>
            <w:tcBorders>
              <w:top w:val="double" w:sz="5" w:space="0" w:color="000000"/>
              <w:left w:val="single" w:sz="5" w:space="0" w:color="000000"/>
              <w:bottom w:val="single" w:sz="5" w:space="0" w:color="000000"/>
              <w:right w:val="single" w:sz="5" w:space="0" w:color="000000"/>
            </w:tcBorders>
            <w:shd w:val="clear" w:color="auto" w:fill="FFFFCC"/>
          </w:tcPr>
          <w:p w:rsidR="00170057" w:rsidRPr="00930A31" w:rsidRDefault="00170057" w:rsidP="00170057">
            <w:pPr>
              <w:pStyle w:val="Default"/>
              <w:jc w:val="center"/>
              <w:rPr>
                <w:rFonts w:ascii="Arial" w:hAnsi="Arial" w:cs="Arial"/>
                <w:color w:val="auto"/>
                <w:sz w:val="18"/>
                <w:szCs w:val="18"/>
              </w:rPr>
            </w:pPr>
          </w:p>
        </w:tc>
      </w:tr>
      <w:tr w:rsidR="00170057" w:rsidRPr="004C1685" w:rsidTr="00170057">
        <w:trPr>
          <w:trHeight w:val="47"/>
        </w:trPr>
        <w:tc>
          <w:tcPr>
            <w:tcW w:w="1460" w:type="dxa"/>
            <w:vMerge w:val="restart"/>
            <w:tcBorders>
              <w:top w:val="single" w:sz="5" w:space="0" w:color="000000"/>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24a</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56"/>
        </w:trPr>
        <w:tc>
          <w:tcPr>
            <w:tcW w:w="1460" w:type="dxa"/>
            <w:vMerge/>
            <w:tcBorders>
              <w:left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24b</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vMerge/>
            <w:tcBorders>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24c</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Support</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25</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47"/>
        </w:trPr>
        <w:tc>
          <w:tcPr>
            <w:tcW w:w="1460"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627"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26</w:t>
            </w:r>
          </w:p>
        </w:tc>
        <w:tc>
          <w:tcPr>
            <w:tcW w:w="9054"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032" w:type="dxa"/>
            <w:tcBorders>
              <w:top w:val="single" w:sz="5" w:space="0" w:color="000000"/>
              <w:left w:val="single" w:sz="5" w:space="0" w:color="000000"/>
              <w:bottom w:val="sing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r w:rsidR="00170057" w:rsidRPr="004C1685" w:rsidTr="00170057">
        <w:trPr>
          <w:trHeight w:val="219"/>
        </w:trPr>
        <w:tc>
          <w:tcPr>
            <w:tcW w:w="1460"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627"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jc w:val="right"/>
              <w:rPr>
                <w:rFonts w:ascii="Arial" w:hAnsi="Arial" w:cs="Arial"/>
                <w:sz w:val="18"/>
                <w:szCs w:val="18"/>
              </w:rPr>
            </w:pPr>
            <w:r w:rsidRPr="00930A31">
              <w:rPr>
                <w:rFonts w:ascii="Arial" w:hAnsi="Arial" w:cs="Arial"/>
                <w:sz w:val="18"/>
                <w:szCs w:val="18"/>
              </w:rPr>
              <w:t>27</w:t>
            </w:r>
          </w:p>
        </w:tc>
        <w:tc>
          <w:tcPr>
            <w:tcW w:w="9054"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032" w:type="dxa"/>
            <w:tcBorders>
              <w:top w:val="single" w:sz="5" w:space="0" w:color="000000"/>
              <w:left w:val="single" w:sz="5" w:space="0" w:color="000000"/>
              <w:bottom w:val="double" w:sz="5" w:space="0" w:color="000000"/>
              <w:right w:val="single" w:sz="5" w:space="0" w:color="000000"/>
            </w:tcBorders>
          </w:tcPr>
          <w:p w:rsidR="00170057" w:rsidRPr="00930A31" w:rsidRDefault="00170057" w:rsidP="00170057">
            <w:pPr>
              <w:pStyle w:val="Default"/>
              <w:spacing w:before="40" w:after="40"/>
              <w:rPr>
                <w:rFonts w:ascii="Arial" w:hAnsi="Arial" w:cs="Arial"/>
                <w:color w:val="auto"/>
                <w:sz w:val="18"/>
                <w:szCs w:val="18"/>
              </w:rPr>
            </w:pPr>
          </w:p>
        </w:tc>
      </w:tr>
    </w:tbl>
    <w:p w:rsidR="00170057" w:rsidRDefault="00170057" w:rsidP="00170057">
      <w:pPr>
        <w:pStyle w:val="Default"/>
        <w:spacing w:line="183" w:lineRule="atLeast"/>
        <w:jc w:val="both"/>
        <w:rPr>
          <w:rFonts w:ascii="Arial" w:hAnsi="Arial" w:cs="Arial"/>
          <w:i/>
          <w:iCs/>
          <w:color w:val="auto"/>
          <w:sz w:val="16"/>
          <w:szCs w:val="16"/>
        </w:rPr>
      </w:pPr>
    </w:p>
    <w:p w:rsidR="00170057" w:rsidRPr="00B730D1" w:rsidRDefault="00170057" w:rsidP="00170057">
      <w:pPr>
        <w:pStyle w:val="Default"/>
        <w:spacing w:line="183" w:lineRule="atLeast"/>
        <w:jc w:val="both"/>
        <w:rPr>
          <w:rFonts w:ascii="Arial" w:hAnsi="Arial" w:cs="Arial"/>
          <w:color w:val="auto"/>
          <w:sz w:val="16"/>
          <w:szCs w:val="16"/>
          <w:lang w:val="da-DK"/>
        </w:rPr>
      </w:pPr>
      <w:r w:rsidRPr="00461576">
        <w:rPr>
          <w:rFonts w:ascii="Arial" w:hAnsi="Arial" w:cs="Arial"/>
          <w:color w:val="auto"/>
          <w:sz w:val="16"/>
          <w:szCs w:val="16"/>
        </w:rPr>
        <w:t xml:space="preserve">Page MJ, McKenzie JE, </w:t>
      </w:r>
      <w:proofErr w:type="spellStart"/>
      <w:r w:rsidRPr="00461576">
        <w:rPr>
          <w:rFonts w:ascii="Arial" w:hAnsi="Arial" w:cs="Arial"/>
          <w:color w:val="auto"/>
          <w:sz w:val="16"/>
          <w:szCs w:val="16"/>
        </w:rPr>
        <w:t>Bossuyt</w:t>
      </w:r>
      <w:proofErr w:type="spellEnd"/>
      <w:r w:rsidRPr="00461576">
        <w:rPr>
          <w:rFonts w:ascii="Arial" w:hAnsi="Arial" w:cs="Arial"/>
          <w:color w:val="auto"/>
          <w:sz w:val="16"/>
          <w:szCs w:val="16"/>
        </w:rPr>
        <w:t xml:space="preserve"> PM, </w:t>
      </w:r>
      <w:proofErr w:type="spellStart"/>
      <w:r w:rsidRPr="00461576">
        <w:rPr>
          <w:rFonts w:ascii="Arial" w:hAnsi="Arial" w:cs="Arial"/>
          <w:color w:val="auto"/>
          <w:sz w:val="16"/>
          <w:szCs w:val="16"/>
        </w:rPr>
        <w:t>Boutron</w:t>
      </w:r>
      <w:proofErr w:type="spellEnd"/>
      <w:r w:rsidRPr="00461576">
        <w:rPr>
          <w:rFonts w:ascii="Arial" w:hAnsi="Arial" w:cs="Arial"/>
          <w:color w:val="auto"/>
          <w:sz w:val="16"/>
          <w:szCs w:val="16"/>
        </w:rPr>
        <w:t xml:space="preserve"> I, Hoffmann TC, Mulrow CD, et al. The PRISMA 2020 statement: an updated guideline for reporting systematic reviews.</w:t>
      </w:r>
      <w:r>
        <w:rPr>
          <w:rFonts w:ascii="Arial" w:hAnsi="Arial" w:cs="Arial"/>
          <w:color w:val="auto"/>
          <w:sz w:val="16"/>
          <w:szCs w:val="16"/>
        </w:rPr>
        <w:t xml:space="preserve"> BMJ 2021;</w:t>
      </w:r>
      <w:proofErr w:type="gramStart"/>
      <w:r>
        <w:rPr>
          <w:rFonts w:ascii="Arial" w:hAnsi="Arial" w:cs="Arial"/>
          <w:color w:val="auto"/>
          <w:sz w:val="16"/>
          <w:szCs w:val="16"/>
        </w:rPr>
        <w:t>372:n</w:t>
      </w:r>
      <w:proofErr w:type="gramEnd"/>
      <w:r>
        <w:rPr>
          <w:rFonts w:ascii="Arial" w:hAnsi="Arial" w:cs="Arial"/>
          <w:color w:val="auto"/>
          <w:sz w:val="16"/>
          <w:szCs w:val="16"/>
        </w:rPr>
        <w:t>71</w:t>
      </w:r>
      <w:r w:rsidRPr="00461576">
        <w:rPr>
          <w:rFonts w:ascii="Arial" w:hAnsi="Arial" w:cs="Arial"/>
          <w:color w:val="auto"/>
          <w:sz w:val="16"/>
          <w:szCs w:val="16"/>
        </w:rPr>
        <w:t>.</w:t>
      </w:r>
      <w:r>
        <w:rPr>
          <w:rFonts w:ascii="Arial" w:hAnsi="Arial" w:cs="Arial"/>
          <w:color w:val="auto"/>
          <w:sz w:val="16"/>
          <w:szCs w:val="16"/>
        </w:rPr>
        <w:t xml:space="preserve"> </w:t>
      </w:r>
      <w:proofErr w:type="spellStart"/>
      <w:r>
        <w:rPr>
          <w:rFonts w:ascii="Arial" w:hAnsi="Arial" w:cs="Arial"/>
          <w:color w:val="auto"/>
          <w:sz w:val="16"/>
          <w:szCs w:val="16"/>
        </w:rPr>
        <w:t>doi</w:t>
      </w:r>
      <w:proofErr w:type="spellEnd"/>
      <w:r>
        <w:rPr>
          <w:rFonts w:ascii="Arial" w:hAnsi="Arial" w:cs="Arial"/>
          <w:color w:val="auto"/>
          <w:sz w:val="16"/>
          <w:szCs w:val="16"/>
        </w:rPr>
        <w:t xml:space="preserve">: </w:t>
      </w:r>
      <w:r w:rsidRPr="0077253C">
        <w:rPr>
          <w:rFonts w:ascii="Arial" w:hAnsi="Arial" w:cs="Arial"/>
          <w:color w:val="auto"/>
          <w:sz w:val="16"/>
          <w:szCs w:val="16"/>
        </w:rPr>
        <w:t>10.1136/</w:t>
      </w:r>
      <w:proofErr w:type="gramStart"/>
      <w:r w:rsidRPr="0077253C">
        <w:rPr>
          <w:rFonts w:ascii="Arial" w:hAnsi="Arial" w:cs="Arial"/>
          <w:color w:val="auto"/>
          <w:sz w:val="16"/>
          <w:szCs w:val="16"/>
        </w:rPr>
        <w:t>bmj.n</w:t>
      </w:r>
      <w:proofErr w:type="gramEnd"/>
      <w:r w:rsidRPr="0077253C">
        <w:rPr>
          <w:rFonts w:ascii="Arial" w:hAnsi="Arial" w:cs="Arial"/>
          <w:color w:val="auto"/>
          <w:sz w:val="16"/>
          <w:szCs w:val="16"/>
        </w:rPr>
        <w:t>71</w:t>
      </w:r>
    </w:p>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p w:rsidR="00170057" w:rsidRDefault="00170057" w:rsidP="00A647E4">
      <w:r>
        <w:t xml:space="preserve">Appendix </w:t>
      </w:r>
    </w:p>
    <w:p w:rsidR="00170057" w:rsidRDefault="00170057" w:rsidP="00A647E4"/>
    <w:p w:rsidR="00170057" w:rsidRDefault="00170057" w:rsidP="00A647E4"/>
    <w:p w:rsidR="00170057" w:rsidRPr="004C1685" w:rsidRDefault="00170057" w:rsidP="00170057">
      <w:pPr>
        <w:pStyle w:val="Default"/>
        <w:rPr>
          <w:rFonts w:ascii="Arial" w:hAnsi="Arial" w:cs="Arial"/>
          <w:color w:val="auto"/>
        </w:rPr>
      </w:pPr>
    </w:p>
    <w:p w:rsidR="00170057" w:rsidRDefault="00170057" w:rsidP="00A647E4"/>
    <w:sectPr w:rsidR="001700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CC3F75"/>
    <w:multiLevelType w:val="hybridMultilevel"/>
    <w:tmpl w:val="A55657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61B6152"/>
    <w:multiLevelType w:val="hybridMultilevel"/>
    <w:tmpl w:val="1CA67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945546"/>
    <w:multiLevelType w:val="hybridMultilevel"/>
    <w:tmpl w:val="2F8A512A"/>
    <w:lvl w:ilvl="0" w:tplc="BAF4A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595494">
    <w:abstractNumId w:val="0"/>
  </w:num>
  <w:num w:numId="2" w16cid:durableId="1958095076">
    <w:abstractNumId w:val="2"/>
  </w:num>
  <w:num w:numId="3" w16cid:durableId="1158888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28"/>
    <w:rsid w:val="00002655"/>
    <w:rsid w:val="00002F8D"/>
    <w:rsid w:val="00004A15"/>
    <w:rsid w:val="00005C5D"/>
    <w:rsid w:val="000127FA"/>
    <w:rsid w:val="00013F85"/>
    <w:rsid w:val="000209EC"/>
    <w:rsid w:val="00020DB8"/>
    <w:rsid w:val="00027626"/>
    <w:rsid w:val="000376FD"/>
    <w:rsid w:val="000422C8"/>
    <w:rsid w:val="00050272"/>
    <w:rsid w:val="00053FD4"/>
    <w:rsid w:val="00064D94"/>
    <w:rsid w:val="00075F49"/>
    <w:rsid w:val="00082AD8"/>
    <w:rsid w:val="00086B31"/>
    <w:rsid w:val="000A3FBD"/>
    <w:rsid w:val="000B30C0"/>
    <w:rsid w:val="000B40A0"/>
    <w:rsid w:val="000D1199"/>
    <w:rsid w:val="000D7280"/>
    <w:rsid w:val="000E08AD"/>
    <w:rsid w:val="000F4CBE"/>
    <w:rsid w:val="000F7380"/>
    <w:rsid w:val="00101FCE"/>
    <w:rsid w:val="001121FC"/>
    <w:rsid w:val="00113AD0"/>
    <w:rsid w:val="001145C1"/>
    <w:rsid w:val="0011588B"/>
    <w:rsid w:val="001221E3"/>
    <w:rsid w:val="001232EE"/>
    <w:rsid w:val="001320C5"/>
    <w:rsid w:val="0013738E"/>
    <w:rsid w:val="00141A03"/>
    <w:rsid w:val="001447F7"/>
    <w:rsid w:val="00151419"/>
    <w:rsid w:val="00160663"/>
    <w:rsid w:val="0016334C"/>
    <w:rsid w:val="00170057"/>
    <w:rsid w:val="0017601D"/>
    <w:rsid w:val="00176531"/>
    <w:rsid w:val="00181190"/>
    <w:rsid w:val="00181A77"/>
    <w:rsid w:val="00181D82"/>
    <w:rsid w:val="001853A7"/>
    <w:rsid w:val="00191419"/>
    <w:rsid w:val="00191B7E"/>
    <w:rsid w:val="00192443"/>
    <w:rsid w:val="00193294"/>
    <w:rsid w:val="0019440C"/>
    <w:rsid w:val="00195858"/>
    <w:rsid w:val="001A08C8"/>
    <w:rsid w:val="001A14FC"/>
    <w:rsid w:val="001A2CC8"/>
    <w:rsid w:val="001A6462"/>
    <w:rsid w:val="001A7C0B"/>
    <w:rsid w:val="001B63CB"/>
    <w:rsid w:val="001B652A"/>
    <w:rsid w:val="001B75FF"/>
    <w:rsid w:val="001C6033"/>
    <w:rsid w:val="001C6AE8"/>
    <w:rsid w:val="001C70AD"/>
    <w:rsid w:val="001E3935"/>
    <w:rsid w:val="001E4907"/>
    <w:rsid w:val="001E54DD"/>
    <w:rsid w:val="0020104B"/>
    <w:rsid w:val="00207101"/>
    <w:rsid w:val="002106F5"/>
    <w:rsid w:val="00210E64"/>
    <w:rsid w:val="00211D5B"/>
    <w:rsid w:val="00215FED"/>
    <w:rsid w:val="00221486"/>
    <w:rsid w:val="0024025D"/>
    <w:rsid w:val="002427EE"/>
    <w:rsid w:val="00246714"/>
    <w:rsid w:val="002470B0"/>
    <w:rsid w:val="002525DC"/>
    <w:rsid w:val="00253A51"/>
    <w:rsid w:val="00254E04"/>
    <w:rsid w:val="002551D5"/>
    <w:rsid w:val="002754C9"/>
    <w:rsid w:val="00275FA0"/>
    <w:rsid w:val="002767A2"/>
    <w:rsid w:val="00283F68"/>
    <w:rsid w:val="00286654"/>
    <w:rsid w:val="00290A12"/>
    <w:rsid w:val="00290D55"/>
    <w:rsid w:val="00293658"/>
    <w:rsid w:val="002938D9"/>
    <w:rsid w:val="00296DF2"/>
    <w:rsid w:val="002A4BDC"/>
    <w:rsid w:val="002B4B1F"/>
    <w:rsid w:val="002C341D"/>
    <w:rsid w:val="002C3AF0"/>
    <w:rsid w:val="002C62F3"/>
    <w:rsid w:val="002D3280"/>
    <w:rsid w:val="002D51D3"/>
    <w:rsid w:val="002D770B"/>
    <w:rsid w:val="002D7CB1"/>
    <w:rsid w:val="002E058E"/>
    <w:rsid w:val="002E3ECF"/>
    <w:rsid w:val="002E4D61"/>
    <w:rsid w:val="003003AA"/>
    <w:rsid w:val="00300C20"/>
    <w:rsid w:val="00301EAC"/>
    <w:rsid w:val="00304C36"/>
    <w:rsid w:val="0030542B"/>
    <w:rsid w:val="003061AF"/>
    <w:rsid w:val="0031011F"/>
    <w:rsid w:val="0031225A"/>
    <w:rsid w:val="00317504"/>
    <w:rsid w:val="00322792"/>
    <w:rsid w:val="00323E44"/>
    <w:rsid w:val="0032780E"/>
    <w:rsid w:val="00330D08"/>
    <w:rsid w:val="003317F6"/>
    <w:rsid w:val="00342718"/>
    <w:rsid w:val="00345270"/>
    <w:rsid w:val="00345326"/>
    <w:rsid w:val="00347BC4"/>
    <w:rsid w:val="00351230"/>
    <w:rsid w:val="0035350C"/>
    <w:rsid w:val="003613E1"/>
    <w:rsid w:val="00365897"/>
    <w:rsid w:val="003662AB"/>
    <w:rsid w:val="00366B48"/>
    <w:rsid w:val="003678C6"/>
    <w:rsid w:val="00371BE0"/>
    <w:rsid w:val="00373FF3"/>
    <w:rsid w:val="00375C36"/>
    <w:rsid w:val="00376EF7"/>
    <w:rsid w:val="003770C1"/>
    <w:rsid w:val="00377C7E"/>
    <w:rsid w:val="00385D77"/>
    <w:rsid w:val="003903F9"/>
    <w:rsid w:val="003914A3"/>
    <w:rsid w:val="003970E1"/>
    <w:rsid w:val="003A1FFF"/>
    <w:rsid w:val="003B2315"/>
    <w:rsid w:val="003B2AD1"/>
    <w:rsid w:val="003B5C13"/>
    <w:rsid w:val="003C2389"/>
    <w:rsid w:val="003C23D6"/>
    <w:rsid w:val="003C2958"/>
    <w:rsid w:val="003C3E88"/>
    <w:rsid w:val="003D082A"/>
    <w:rsid w:val="003D38E0"/>
    <w:rsid w:val="003E0F16"/>
    <w:rsid w:val="003E5589"/>
    <w:rsid w:val="003F1671"/>
    <w:rsid w:val="003F18F4"/>
    <w:rsid w:val="003F4ED7"/>
    <w:rsid w:val="00403165"/>
    <w:rsid w:val="004058B3"/>
    <w:rsid w:val="00407FC2"/>
    <w:rsid w:val="00410729"/>
    <w:rsid w:val="0041282A"/>
    <w:rsid w:val="00415BD1"/>
    <w:rsid w:val="0041731E"/>
    <w:rsid w:val="00422273"/>
    <w:rsid w:val="004230CB"/>
    <w:rsid w:val="00424D99"/>
    <w:rsid w:val="004265EB"/>
    <w:rsid w:val="00437117"/>
    <w:rsid w:val="00442763"/>
    <w:rsid w:val="00446ADD"/>
    <w:rsid w:val="0045620A"/>
    <w:rsid w:val="004564B2"/>
    <w:rsid w:val="00457004"/>
    <w:rsid w:val="00462F35"/>
    <w:rsid w:val="00464784"/>
    <w:rsid w:val="00472CDC"/>
    <w:rsid w:val="00481934"/>
    <w:rsid w:val="00482115"/>
    <w:rsid w:val="0048467F"/>
    <w:rsid w:val="0048522A"/>
    <w:rsid w:val="00491A9B"/>
    <w:rsid w:val="0049786B"/>
    <w:rsid w:val="004A0734"/>
    <w:rsid w:val="004A0EC9"/>
    <w:rsid w:val="004A46F9"/>
    <w:rsid w:val="004B5381"/>
    <w:rsid w:val="004B6FE5"/>
    <w:rsid w:val="004C23CD"/>
    <w:rsid w:val="004C4796"/>
    <w:rsid w:val="004C5B26"/>
    <w:rsid w:val="004C60A1"/>
    <w:rsid w:val="004C7CEA"/>
    <w:rsid w:val="004D14D6"/>
    <w:rsid w:val="004D297F"/>
    <w:rsid w:val="004D61BA"/>
    <w:rsid w:val="004E6A7F"/>
    <w:rsid w:val="004F185E"/>
    <w:rsid w:val="004F38E8"/>
    <w:rsid w:val="004F4006"/>
    <w:rsid w:val="005119B6"/>
    <w:rsid w:val="005123CC"/>
    <w:rsid w:val="00513876"/>
    <w:rsid w:val="00515778"/>
    <w:rsid w:val="00524176"/>
    <w:rsid w:val="005348B9"/>
    <w:rsid w:val="0053565B"/>
    <w:rsid w:val="00546746"/>
    <w:rsid w:val="00547B91"/>
    <w:rsid w:val="00554F5C"/>
    <w:rsid w:val="00574E86"/>
    <w:rsid w:val="00580068"/>
    <w:rsid w:val="00582523"/>
    <w:rsid w:val="00586794"/>
    <w:rsid w:val="0059173D"/>
    <w:rsid w:val="005950D3"/>
    <w:rsid w:val="005A0208"/>
    <w:rsid w:val="005A7E25"/>
    <w:rsid w:val="005B31C4"/>
    <w:rsid w:val="005B59F9"/>
    <w:rsid w:val="005C4868"/>
    <w:rsid w:val="005C7A2B"/>
    <w:rsid w:val="005D03F3"/>
    <w:rsid w:val="005D5382"/>
    <w:rsid w:val="005E6726"/>
    <w:rsid w:val="005E775F"/>
    <w:rsid w:val="005F1B93"/>
    <w:rsid w:val="005F49CC"/>
    <w:rsid w:val="005F7D95"/>
    <w:rsid w:val="006010C5"/>
    <w:rsid w:val="00603574"/>
    <w:rsid w:val="006064B7"/>
    <w:rsid w:val="00610626"/>
    <w:rsid w:val="006114FE"/>
    <w:rsid w:val="006131BA"/>
    <w:rsid w:val="0061369C"/>
    <w:rsid w:val="00617DE8"/>
    <w:rsid w:val="00621B47"/>
    <w:rsid w:val="00630928"/>
    <w:rsid w:val="0063297F"/>
    <w:rsid w:val="00634F86"/>
    <w:rsid w:val="006401FD"/>
    <w:rsid w:val="00651F24"/>
    <w:rsid w:val="00653961"/>
    <w:rsid w:val="006570CB"/>
    <w:rsid w:val="0066036E"/>
    <w:rsid w:val="00662EF2"/>
    <w:rsid w:val="00664B4A"/>
    <w:rsid w:val="00670DF9"/>
    <w:rsid w:val="006736BA"/>
    <w:rsid w:val="006802CD"/>
    <w:rsid w:val="00682BCD"/>
    <w:rsid w:val="00684B46"/>
    <w:rsid w:val="00691595"/>
    <w:rsid w:val="00696E5A"/>
    <w:rsid w:val="00696F23"/>
    <w:rsid w:val="006A0227"/>
    <w:rsid w:val="006A165A"/>
    <w:rsid w:val="006A2F2A"/>
    <w:rsid w:val="006A41E4"/>
    <w:rsid w:val="006A4373"/>
    <w:rsid w:val="006B01C0"/>
    <w:rsid w:val="006B2D61"/>
    <w:rsid w:val="006B534D"/>
    <w:rsid w:val="006B5C19"/>
    <w:rsid w:val="006B6797"/>
    <w:rsid w:val="006C5972"/>
    <w:rsid w:val="006C647A"/>
    <w:rsid w:val="006C64E7"/>
    <w:rsid w:val="006C77B4"/>
    <w:rsid w:val="006E102B"/>
    <w:rsid w:val="006E1A37"/>
    <w:rsid w:val="006E4DB6"/>
    <w:rsid w:val="006E5359"/>
    <w:rsid w:val="006E56CB"/>
    <w:rsid w:val="006F53EB"/>
    <w:rsid w:val="006F57EA"/>
    <w:rsid w:val="006F6C5D"/>
    <w:rsid w:val="006F7DA5"/>
    <w:rsid w:val="007062C9"/>
    <w:rsid w:val="00706F86"/>
    <w:rsid w:val="00707F2E"/>
    <w:rsid w:val="0071230D"/>
    <w:rsid w:val="00723944"/>
    <w:rsid w:val="007243E4"/>
    <w:rsid w:val="00730CC7"/>
    <w:rsid w:val="007343DD"/>
    <w:rsid w:val="0074719F"/>
    <w:rsid w:val="00751018"/>
    <w:rsid w:val="0075111D"/>
    <w:rsid w:val="00751C41"/>
    <w:rsid w:val="007534B5"/>
    <w:rsid w:val="007560AA"/>
    <w:rsid w:val="0075781B"/>
    <w:rsid w:val="00763535"/>
    <w:rsid w:val="00770A92"/>
    <w:rsid w:val="00772252"/>
    <w:rsid w:val="00780EB2"/>
    <w:rsid w:val="007822FB"/>
    <w:rsid w:val="0079060D"/>
    <w:rsid w:val="00792EBA"/>
    <w:rsid w:val="007A504C"/>
    <w:rsid w:val="007A6032"/>
    <w:rsid w:val="007B6608"/>
    <w:rsid w:val="007B6694"/>
    <w:rsid w:val="007C3EF7"/>
    <w:rsid w:val="007C406B"/>
    <w:rsid w:val="007E62C4"/>
    <w:rsid w:val="007F2A4C"/>
    <w:rsid w:val="007F2E00"/>
    <w:rsid w:val="007F4C55"/>
    <w:rsid w:val="007F72FF"/>
    <w:rsid w:val="007F7415"/>
    <w:rsid w:val="00801235"/>
    <w:rsid w:val="00803ADE"/>
    <w:rsid w:val="00813347"/>
    <w:rsid w:val="00824BA0"/>
    <w:rsid w:val="008279AE"/>
    <w:rsid w:val="00831B85"/>
    <w:rsid w:val="0084424E"/>
    <w:rsid w:val="00852FE7"/>
    <w:rsid w:val="0085456C"/>
    <w:rsid w:val="0086313A"/>
    <w:rsid w:val="008636D8"/>
    <w:rsid w:val="0087039F"/>
    <w:rsid w:val="0088045C"/>
    <w:rsid w:val="00883564"/>
    <w:rsid w:val="00890594"/>
    <w:rsid w:val="00891D3C"/>
    <w:rsid w:val="00894DF6"/>
    <w:rsid w:val="008A1236"/>
    <w:rsid w:val="008A2AC5"/>
    <w:rsid w:val="008A3ABE"/>
    <w:rsid w:val="008A5B51"/>
    <w:rsid w:val="008A5BDA"/>
    <w:rsid w:val="008B2285"/>
    <w:rsid w:val="008C1494"/>
    <w:rsid w:val="008C2F57"/>
    <w:rsid w:val="008C39D9"/>
    <w:rsid w:val="008C5BC6"/>
    <w:rsid w:val="008C6D45"/>
    <w:rsid w:val="008C74D1"/>
    <w:rsid w:val="008D27B0"/>
    <w:rsid w:val="008D4423"/>
    <w:rsid w:val="008D4A94"/>
    <w:rsid w:val="008D506A"/>
    <w:rsid w:val="008D5550"/>
    <w:rsid w:val="008D5721"/>
    <w:rsid w:val="008E01A0"/>
    <w:rsid w:val="008E4277"/>
    <w:rsid w:val="008E76B5"/>
    <w:rsid w:val="008F3414"/>
    <w:rsid w:val="008F35EE"/>
    <w:rsid w:val="00906D06"/>
    <w:rsid w:val="00906DE5"/>
    <w:rsid w:val="0091067D"/>
    <w:rsid w:val="0091785B"/>
    <w:rsid w:val="00921DDC"/>
    <w:rsid w:val="00922ACF"/>
    <w:rsid w:val="00924315"/>
    <w:rsid w:val="00925C4A"/>
    <w:rsid w:val="00933419"/>
    <w:rsid w:val="00936745"/>
    <w:rsid w:val="00947BEE"/>
    <w:rsid w:val="009504BD"/>
    <w:rsid w:val="00952A35"/>
    <w:rsid w:val="00956530"/>
    <w:rsid w:val="0096137A"/>
    <w:rsid w:val="009651AB"/>
    <w:rsid w:val="0097024E"/>
    <w:rsid w:val="00973677"/>
    <w:rsid w:val="009801C3"/>
    <w:rsid w:val="00985796"/>
    <w:rsid w:val="009876F7"/>
    <w:rsid w:val="009878F4"/>
    <w:rsid w:val="00987B89"/>
    <w:rsid w:val="00990886"/>
    <w:rsid w:val="00994975"/>
    <w:rsid w:val="00995130"/>
    <w:rsid w:val="009A5590"/>
    <w:rsid w:val="009B7883"/>
    <w:rsid w:val="009C0759"/>
    <w:rsid w:val="009C2F82"/>
    <w:rsid w:val="009D3A4A"/>
    <w:rsid w:val="009E144B"/>
    <w:rsid w:val="009E3293"/>
    <w:rsid w:val="009E3B24"/>
    <w:rsid w:val="009F2AB3"/>
    <w:rsid w:val="009F2ABF"/>
    <w:rsid w:val="009F4520"/>
    <w:rsid w:val="009F7D19"/>
    <w:rsid w:val="00A02E12"/>
    <w:rsid w:val="00A034D8"/>
    <w:rsid w:val="00A15611"/>
    <w:rsid w:val="00A1658D"/>
    <w:rsid w:val="00A23951"/>
    <w:rsid w:val="00A24A02"/>
    <w:rsid w:val="00A265BF"/>
    <w:rsid w:val="00A2696B"/>
    <w:rsid w:val="00A26D08"/>
    <w:rsid w:val="00A36B38"/>
    <w:rsid w:val="00A41D8A"/>
    <w:rsid w:val="00A42808"/>
    <w:rsid w:val="00A44446"/>
    <w:rsid w:val="00A45529"/>
    <w:rsid w:val="00A46C07"/>
    <w:rsid w:val="00A504D0"/>
    <w:rsid w:val="00A560FC"/>
    <w:rsid w:val="00A5721C"/>
    <w:rsid w:val="00A647E4"/>
    <w:rsid w:val="00A75428"/>
    <w:rsid w:val="00A75F02"/>
    <w:rsid w:val="00A768E7"/>
    <w:rsid w:val="00A81A37"/>
    <w:rsid w:val="00A8313B"/>
    <w:rsid w:val="00A858F8"/>
    <w:rsid w:val="00A86152"/>
    <w:rsid w:val="00A90820"/>
    <w:rsid w:val="00A923C5"/>
    <w:rsid w:val="00A927D6"/>
    <w:rsid w:val="00A93268"/>
    <w:rsid w:val="00AA157E"/>
    <w:rsid w:val="00AA6253"/>
    <w:rsid w:val="00AA669C"/>
    <w:rsid w:val="00AB10BA"/>
    <w:rsid w:val="00AB4796"/>
    <w:rsid w:val="00AD3AB8"/>
    <w:rsid w:val="00AD7170"/>
    <w:rsid w:val="00AE1A76"/>
    <w:rsid w:val="00AE1EA9"/>
    <w:rsid w:val="00AE2B26"/>
    <w:rsid w:val="00AE3E17"/>
    <w:rsid w:val="00AE47B9"/>
    <w:rsid w:val="00AE5EF7"/>
    <w:rsid w:val="00AF2328"/>
    <w:rsid w:val="00AF4949"/>
    <w:rsid w:val="00AF7A44"/>
    <w:rsid w:val="00B02EF7"/>
    <w:rsid w:val="00B03B09"/>
    <w:rsid w:val="00B059DC"/>
    <w:rsid w:val="00B075DB"/>
    <w:rsid w:val="00B109D3"/>
    <w:rsid w:val="00B4337D"/>
    <w:rsid w:val="00B46526"/>
    <w:rsid w:val="00B508D2"/>
    <w:rsid w:val="00B54FCF"/>
    <w:rsid w:val="00B6428E"/>
    <w:rsid w:val="00B6559A"/>
    <w:rsid w:val="00B72A66"/>
    <w:rsid w:val="00B73F61"/>
    <w:rsid w:val="00B76C35"/>
    <w:rsid w:val="00B776D9"/>
    <w:rsid w:val="00B80BB7"/>
    <w:rsid w:val="00B859C9"/>
    <w:rsid w:val="00B86376"/>
    <w:rsid w:val="00B8657C"/>
    <w:rsid w:val="00B914D9"/>
    <w:rsid w:val="00B97B1B"/>
    <w:rsid w:val="00BA0021"/>
    <w:rsid w:val="00BA50BF"/>
    <w:rsid w:val="00BB25D9"/>
    <w:rsid w:val="00BB45BF"/>
    <w:rsid w:val="00BB55EE"/>
    <w:rsid w:val="00BC005D"/>
    <w:rsid w:val="00BC18AA"/>
    <w:rsid w:val="00BC431E"/>
    <w:rsid w:val="00BD0D7D"/>
    <w:rsid w:val="00BD5D71"/>
    <w:rsid w:val="00BD70AA"/>
    <w:rsid w:val="00BE19C1"/>
    <w:rsid w:val="00BE2201"/>
    <w:rsid w:val="00BE5E05"/>
    <w:rsid w:val="00BF4DB7"/>
    <w:rsid w:val="00C0215B"/>
    <w:rsid w:val="00C115B7"/>
    <w:rsid w:val="00C13B07"/>
    <w:rsid w:val="00C176BD"/>
    <w:rsid w:val="00C17D62"/>
    <w:rsid w:val="00C24597"/>
    <w:rsid w:val="00C30105"/>
    <w:rsid w:val="00C327E0"/>
    <w:rsid w:val="00C36EEA"/>
    <w:rsid w:val="00C402B5"/>
    <w:rsid w:val="00C4236D"/>
    <w:rsid w:val="00C44B3B"/>
    <w:rsid w:val="00C47ACF"/>
    <w:rsid w:val="00C52560"/>
    <w:rsid w:val="00C55781"/>
    <w:rsid w:val="00C6353D"/>
    <w:rsid w:val="00C64BC4"/>
    <w:rsid w:val="00C65EDE"/>
    <w:rsid w:val="00C676E6"/>
    <w:rsid w:val="00C716D9"/>
    <w:rsid w:val="00C71890"/>
    <w:rsid w:val="00C7781C"/>
    <w:rsid w:val="00C808F3"/>
    <w:rsid w:val="00C82105"/>
    <w:rsid w:val="00C848BA"/>
    <w:rsid w:val="00C87083"/>
    <w:rsid w:val="00C92CE6"/>
    <w:rsid w:val="00C93BC8"/>
    <w:rsid w:val="00CA4074"/>
    <w:rsid w:val="00CA7A14"/>
    <w:rsid w:val="00CB2E4E"/>
    <w:rsid w:val="00CB485C"/>
    <w:rsid w:val="00CC2530"/>
    <w:rsid w:val="00CC43C0"/>
    <w:rsid w:val="00CC5C0D"/>
    <w:rsid w:val="00CC6478"/>
    <w:rsid w:val="00CD0465"/>
    <w:rsid w:val="00CD3DCA"/>
    <w:rsid w:val="00CD410E"/>
    <w:rsid w:val="00CD5514"/>
    <w:rsid w:val="00CD77FA"/>
    <w:rsid w:val="00CD7B37"/>
    <w:rsid w:val="00CE507D"/>
    <w:rsid w:val="00CF67FE"/>
    <w:rsid w:val="00D028FF"/>
    <w:rsid w:val="00D04978"/>
    <w:rsid w:val="00D05560"/>
    <w:rsid w:val="00D0617B"/>
    <w:rsid w:val="00D1333F"/>
    <w:rsid w:val="00D135A4"/>
    <w:rsid w:val="00D21642"/>
    <w:rsid w:val="00D26A93"/>
    <w:rsid w:val="00D26CF1"/>
    <w:rsid w:val="00D309D6"/>
    <w:rsid w:val="00D43BB9"/>
    <w:rsid w:val="00D44822"/>
    <w:rsid w:val="00D462CF"/>
    <w:rsid w:val="00D51559"/>
    <w:rsid w:val="00D60C49"/>
    <w:rsid w:val="00D62FE3"/>
    <w:rsid w:val="00D656AA"/>
    <w:rsid w:val="00D75052"/>
    <w:rsid w:val="00D825B8"/>
    <w:rsid w:val="00D83630"/>
    <w:rsid w:val="00D8675F"/>
    <w:rsid w:val="00D87E6C"/>
    <w:rsid w:val="00D91971"/>
    <w:rsid w:val="00D93538"/>
    <w:rsid w:val="00D97EB0"/>
    <w:rsid w:val="00DA339F"/>
    <w:rsid w:val="00DA7381"/>
    <w:rsid w:val="00DB00CE"/>
    <w:rsid w:val="00DB2057"/>
    <w:rsid w:val="00DB7D99"/>
    <w:rsid w:val="00DC0734"/>
    <w:rsid w:val="00DC5AB7"/>
    <w:rsid w:val="00DD4363"/>
    <w:rsid w:val="00DD5530"/>
    <w:rsid w:val="00DE0178"/>
    <w:rsid w:val="00DE3C55"/>
    <w:rsid w:val="00DE4EA5"/>
    <w:rsid w:val="00DF1F55"/>
    <w:rsid w:val="00DF3A40"/>
    <w:rsid w:val="00E1005E"/>
    <w:rsid w:val="00E1101C"/>
    <w:rsid w:val="00E124D9"/>
    <w:rsid w:val="00E2127F"/>
    <w:rsid w:val="00E24EEB"/>
    <w:rsid w:val="00E43FB4"/>
    <w:rsid w:val="00E60CB2"/>
    <w:rsid w:val="00E65A86"/>
    <w:rsid w:val="00E65DA2"/>
    <w:rsid w:val="00E8576E"/>
    <w:rsid w:val="00E87B4E"/>
    <w:rsid w:val="00EA15E9"/>
    <w:rsid w:val="00EA703C"/>
    <w:rsid w:val="00EA719D"/>
    <w:rsid w:val="00EB0BB2"/>
    <w:rsid w:val="00EB294F"/>
    <w:rsid w:val="00EB2B1B"/>
    <w:rsid w:val="00EB69AB"/>
    <w:rsid w:val="00EC4B2D"/>
    <w:rsid w:val="00EC4FF9"/>
    <w:rsid w:val="00EC674C"/>
    <w:rsid w:val="00EC77A3"/>
    <w:rsid w:val="00ED2D6B"/>
    <w:rsid w:val="00ED3BA8"/>
    <w:rsid w:val="00ED5A06"/>
    <w:rsid w:val="00ED7E27"/>
    <w:rsid w:val="00EE13D4"/>
    <w:rsid w:val="00EF2FF5"/>
    <w:rsid w:val="00EF3DBF"/>
    <w:rsid w:val="00EF5F6B"/>
    <w:rsid w:val="00F0236A"/>
    <w:rsid w:val="00F02C5B"/>
    <w:rsid w:val="00F10093"/>
    <w:rsid w:val="00F131E3"/>
    <w:rsid w:val="00F23291"/>
    <w:rsid w:val="00F274BF"/>
    <w:rsid w:val="00F30B35"/>
    <w:rsid w:val="00F3611F"/>
    <w:rsid w:val="00F36603"/>
    <w:rsid w:val="00F36FDC"/>
    <w:rsid w:val="00F37CB4"/>
    <w:rsid w:val="00F4034E"/>
    <w:rsid w:val="00F4068C"/>
    <w:rsid w:val="00F4071C"/>
    <w:rsid w:val="00F452CC"/>
    <w:rsid w:val="00F47762"/>
    <w:rsid w:val="00F50344"/>
    <w:rsid w:val="00F51500"/>
    <w:rsid w:val="00F56CD8"/>
    <w:rsid w:val="00F614B2"/>
    <w:rsid w:val="00F638AD"/>
    <w:rsid w:val="00F65533"/>
    <w:rsid w:val="00F66675"/>
    <w:rsid w:val="00F8435D"/>
    <w:rsid w:val="00F85245"/>
    <w:rsid w:val="00F91437"/>
    <w:rsid w:val="00F94931"/>
    <w:rsid w:val="00F94AF6"/>
    <w:rsid w:val="00FA49A2"/>
    <w:rsid w:val="00FA7941"/>
    <w:rsid w:val="00FA7FF1"/>
    <w:rsid w:val="00FB3499"/>
    <w:rsid w:val="00FB64B5"/>
    <w:rsid w:val="00FC1391"/>
    <w:rsid w:val="00FC4BA2"/>
    <w:rsid w:val="00FC5D5D"/>
    <w:rsid w:val="00FC5E2F"/>
    <w:rsid w:val="00FD1E5C"/>
    <w:rsid w:val="00FD43E0"/>
    <w:rsid w:val="00FD5221"/>
    <w:rsid w:val="00FD6724"/>
    <w:rsid w:val="00FD708F"/>
    <w:rsid w:val="00FE2492"/>
    <w:rsid w:val="00FE3E70"/>
    <w:rsid w:val="00FE4BD0"/>
    <w:rsid w:val="00FE68F5"/>
    <w:rsid w:val="00FF2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FDA025"/>
  <w15:chartTrackingRefBased/>
  <w15:docId w15:val="{B8B0459E-C82C-734A-8235-9EE9C5FA4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pPr>
    <w:rPr>
      <w:rFonts w:eastAsia="Times New Roman" w:cstheme="minorHAnsi"/>
      <w:b/>
      <w:bCs/>
      <w:i/>
      <w:iCs/>
      <w:lang w:eastAsia="en-GB"/>
    </w:rPr>
  </w:style>
  <w:style w:type="paragraph" w:styleId="ListParagraph">
    <w:name w:val="List Paragraph"/>
    <w:basedOn w:val="Normal"/>
    <w:uiPriority w:val="34"/>
    <w:qFormat/>
    <w:rsid w:val="00317504"/>
    <w:pPr>
      <w:ind w:left="720"/>
      <w:contextualSpacing/>
    </w:pPr>
  </w:style>
  <w:style w:type="paragraph" w:styleId="NormalWeb">
    <w:name w:val="Normal (Web)"/>
    <w:basedOn w:val="Normal"/>
    <w:uiPriority w:val="99"/>
    <w:unhideWhenUsed/>
    <w:rsid w:val="00EC77A3"/>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170057"/>
    <w:pPr>
      <w:widowControl w:val="0"/>
      <w:autoSpaceDE w:val="0"/>
      <w:autoSpaceDN w:val="0"/>
      <w:adjustRightInd w:val="0"/>
    </w:pPr>
    <w:rPr>
      <w:rFonts w:ascii="Calibri" w:eastAsia="Times New Roman" w:hAnsi="Calibri" w:cs="Calibri"/>
      <w:color w:val="000000"/>
      <w:lang w:val="en-CA" w:eastAsia="en-CA"/>
    </w:rPr>
  </w:style>
  <w:style w:type="character" w:customStyle="1" w:styleId="apple-converted-space">
    <w:name w:val="apple-converted-space"/>
    <w:basedOn w:val="DefaultParagraphFont"/>
    <w:rsid w:val="006B534D"/>
  </w:style>
  <w:style w:type="character" w:styleId="Hyperlink">
    <w:name w:val="Hyperlink"/>
    <w:basedOn w:val="DefaultParagraphFont"/>
    <w:uiPriority w:val="99"/>
    <w:unhideWhenUsed/>
    <w:rsid w:val="004A0734"/>
    <w:rPr>
      <w:color w:val="0563C1" w:themeColor="hyperlink"/>
      <w:u w:val="single"/>
    </w:rPr>
  </w:style>
  <w:style w:type="character" w:styleId="Emphasis">
    <w:name w:val="Emphasis"/>
    <w:basedOn w:val="DefaultParagraphFont"/>
    <w:uiPriority w:val="20"/>
    <w:qFormat/>
    <w:rsid w:val="007C3E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0874">
      <w:bodyDiv w:val="1"/>
      <w:marLeft w:val="0"/>
      <w:marRight w:val="0"/>
      <w:marTop w:val="0"/>
      <w:marBottom w:val="0"/>
      <w:divBdr>
        <w:top w:val="none" w:sz="0" w:space="0" w:color="auto"/>
        <w:left w:val="none" w:sz="0" w:space="0" w:color="auto"/>
        <w:bottom w:val="none" w:sz="0" w:space="0" w:color="auto"/>
        <w:right w:val="none" w:sz="0" w:space="0" w:color="auto"/>
      </w:divBdr>
    </w:div>
    <w:div w:id="61297292">
      <w:bodyDiv w:val="1"/>
      <w:marLeft w:val="0"/>
      <w:marRight w:val="0"/>
      <w:marTop w:val="0"/>
      <w:marBottom w:val="0"/>
      <w:divBdr>
        <w:top w:val="none" w:sz="0" w:space="0" w:color="auto"/>
        <w:left w:val="none" w:sz="0" w:space="0" w:color="auto"/>
        <w:bottom w:val="none" w:sz="0" w:space="0" w:color="auto"/>
        <w:right w:val="none" w:sz="0" w:space="0" w:color="auto"/>
      </w:divBdr>
    </w:div>
    <w:div w:id="106629473">
      <w:bodyDiv w:val="1"/>
      <w:marLeft w:val="0"/>
      <w:marRight w:val="0"/>
      <w:marTop w:val="0"/>
      <w:marBottom w:val="0"/>
      <w:divBdr>
        <w:top w:val="none" w:sz="0" w:space="0" w:color="auto"/>
        <w:left w:val="none" w:sz="0" w:space="0" w:color="auto"/>
        <w:bottom w:val="none" w:sz="0" w:space="0" w:color="auto"/>
        <w:right w:val="none" w:sz="0" w:space="0" w:color="auto"/>
      </w:divBdr>
    </w:div>
    <w:div w:id="124935190">
      <w:bodyDiv w:val="1"/>
      <w:marLeft w:val="0"/>
      <w:marRight w:val="0"/>
      <w:marTop w:val="0"/>
      <w:marBottom w:val="0"/>
      <w:divBdr>
        <w:top w:val="none" w:sz="0" w:space="0" w:color="auto"/>
        <w:left w:val="none" w:sz="0" w:space="0" w:color="auto"/>
        <w:bottom w:val="none" w:sz="0" w:space="0" w:color="auto"/>
        <w:right w:val="none" w:sz="0" w:space="0" w:color="auto"/>
      </w:divBdr>
    </w:div>
    <w:div w:id="160706409">
      <w:bodyDiv w:val="1"/>
      <w:marLeft w:val="0"/>
      <w:marRight w:val="0"/>
      <w:marTop w:val="0"/>
      <w:marBottom w:val="0"/>
      <w:divBdr>
        <w:top w:val="none" w:sz="0" w:space="0" w:color="auto"/>
        <w:left w:val="none" w:sz="0" w:space="0" w:color="auto"/>
        <w:bottom w:val="none" w:sz="0" w:space="0" w:color="auto"/>
        <w:right w:val="none" w:sz="0" w:space="0" w:color="auto"/>
      </w:divBdr>
    </w:div>
    <w:div w:id="162823065">
      <w:bodyDiv w:val="1"/>
      <w:marLeft w:val="0"/>
      <w:marRight w:val="0"/>
      <w:marTop w:val="0"/>
      <w:marBottom w:val="0"/>
      <w:divBdr>
        <w:top w:val="none" w:sz="0" w:space="0" w:color="auto"/>
        <w:left w:val="none" w:sz="0" w:space="0" w:color="auto"/>
        <w:bottom w:val="none" w:sz="0" w:space="0" w:color="auto"/>
        <w:right w:val="none" w:sz="0" w:space="0" w:color="auto"/>
      </w:divBdr>
    </w:div>
    <w:div w:id="387146007">
      <w:bodyDiv w:val="1"/>
      <w:marLeft w:val="0"/>
      <w:marRight w:val="0"/>
      <w:marTop w:val="0"/>
      <w:marBottom w:val="0"/>
      <w:divBdr>
        <w:top w:val="none" w:sz="0" w:space="0" w:color="auto"/>
        <w:left w:val="none" w:sz="0" w:space="0" w:color="auto"/>
        <w:bottom w:val="none" w:sz="0" w:space="0" w:color="auto"/>
        <w:right w:val="none" w:sz="0" w:space="0" w:color="auto"/>
      </w:divBdr>
    </w:div>
    <w:div w:id="465851931">
      <w:bodyDiv w:val="1"/>
      <w:marLeft w:val="0"/>
      <w:marRight w:val="0"/>
      <w:marTop w:val="0"/>
      <w:marBottom w:val="0"/>
      <w:divBdr>
        <w:top w:val="none" w:sz="0" w:space="0" w:color="auto"/>
        <w:left w:val="none" w:sz="0" w:space="0" w:color="auto"/>
        <w:bottom w:val="none" w:sz="0" w:space="0" w:color="auto"/>
        <w:right w:val="none" w:sz="0" w:space="0" w:color="auto"/>
      </w:divBdr>
    </w:div>
    <w:div w:id="475487044">
      <w:bodyDiv w:val="1"/>
      <w:marLeft w:val="0"/>
      <w:marRight w:val="0"/>
      <w:marTop w:val="0"/>
      <w:marBottom w:val="0"/>
      <w:divBdr>
        <w:top w:val="none" w:sz="0" w:space="0" w:color="auto"/>
        <w:left w:val="none" w:sz="0" w:space="0" w:color="auto"/>
        <w:bottom w:val="none" w:sz="0" w:space="0" w:color="auto"/>
        <w:right w:val="none" w:sz="0" w:space="0" w:color="auto"/>
      </w:divBdr>
    </w:div>
    <w:div w:id="480538162">
      <w:bodyDiv w:val="1"/>
      <w:marLeft w:val="0"/>
      <w:marRight w:val="0"/>
      <w:marTop w:val="0"/>
      <w:marBottom w:val="0"/>
      <w:divBdr>
        <w:top w:val="none" w:sz="0" w:space="0" w:color="auto"/>
        <w:left w:val="none" w:sz="0" w:space="0" w:color="auto"/>
        <w:bottom w:val="none" w:sz="0" w:space="0" w:color="auto"/>
        <w:right w:val="none" w:sz="0" w:space="0" w:color="auto"/>
      </w:divBdr>
      <w:divsChild>
        <w:div w:id="1297950957">
          <w:marLeft w:val="0"/>
          <w:marRight w:val="0"/>
          <w:marTop w:val="0"/>
          <w:marBottom w:val="0"/>
          <w:divBdr>
            <w:top w:val="none" w:sz="0" w:space="0" w:color="auto"/>
            <w:left w:val="none" w:sz="0" w:space="0" w:color="auto"/>
            <w:bottom w:val="none" w:sz="0" w:space="0" w:color="auto"/>
            <w:right w:val="none" w:sz="0" w:space="0" w:color="auto"/>
          </w:divBdr>
          <w:divsChild>
            <w:div w:id="63368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149550">
      <w:bodyDiv w:val="1"/>
      <w:marLeft w:val="0"/>
      <w:marRight w:val="0"/>
      <w:marTop w:val="0"/>
      <w:marBottom w:val="0"/>
      <w:divBdr>
        <w:top w:val="none" w:sz="0" w:space="0" w:color="auto"/>
        <w:left w:val="none" w:sz="0" w:space="0" w:color="auto"/>
        <w:bottom w:val="none" w:sz="0" w:space="0" w:color="auto"/>
        <w:right w:val="none" w:sz="0" w:space="0" w:color="auto"/>
      </w:divBdr>
    </w:div>
    <w:div w:id="496194268">
      <w:bodyDiv w:val="1"/>
      <w:marLeft w:val="0"/>
      <w:marRight w:val="0"/>
      <w:marTop w:val="0"/>
      <w:marBottom w:val="0"/>
      <w:divBdr>
        <w:top w:val="none" w:sz="0" w:space="0" w:color="auto"/>
        <w:left w:val="none" w:sz="0" w:space="0" w:color="auto"/>
        <w:bottom w:val="none" w:sz="0" w:space="0" w:color="auto"/>
        <w:right w:val="none" w:sz="0" w:space="0" w:color="auto"/>
      </w:divBdr>
    </w:div>
    <w:div w:id="522016771">
      <w:bodyDiv w:val="1"/>
      <w:marLeft w:val="0"/>
      <w:marRight w:val="0"/>
      <w:marTop w:val="0"/>
      <w:marBottom w:val="0"/>
      <w:divBdr>
        <w:top w:val="none" w:sz="0" w:space="0" w:color="auto"/>
        <w:left w:val="none" w:sz="0" w:space="0" w:color="auto"/>
        <w:bottom w:val="none" w:sz="0" w:space="0" w:color="auto"/>
        <w:right w:val="none" w:sz="0" w:space="0" w:color="auto"/>
      </w:divBdr>
    </w:div>
    <w:div w:id="642780560">
      <w:bodyDiv w:val="1"/>
      <w:marLeft w:val="0"/>
      <w:marRight w:val="0"/>
      <w:marTop w:val="0"/>
      <w:marBottom w:val="0"/>
      <w:divBdr>
        <w:top w:val="none" w:sz="0" w:space="0" w:color="auto"/>
        <w:left w:val="none" w:sz="0" w:space="0" w:color="auto"/>
        <w:bottom w:val="none" w:sz="0" w:space="0" w:color="auto"/>
        <w:right w:val="none" w:sz="0" w:space="0" w:color="auto"/>
      </w:divBdr>
    </w:div>
    <w:div w:id="647588421">
      <w:bodyDiv w:val="1"/>
      <w:marLeft w:val="0"/>
      <w:marRight w:val="0"/>
      <w:marTop w:val="0"/>
      <w:marBottom w:val="0"/>
      <w:divBdr>
        <w:top w:val="none" w:sz="0" w:space="0" w:color="auto"/>
        <w:left w:val="none" w:sz="0" w:space="0" w:color="auto"/>
        <w:bottom w:val="none" w:sz="0" w:space="0" w:color="auto"/>
        <w:right w:val="none" w:sz="0" w:space="0" w:color="auto"/>
      </w:divBdr>
    </w:div>
    <w:div w:id="672998949">
      <w:bodyDiv w:val="1"/>
      <w:marLeft w:val="0"/>
      <w:marRight w:val="0"/>
      <w:marTop w:val="0"/>
      <w:marBottom w:val="0"/>
      <w:divBdr>
        <w:top w:val="none" w:sz="0" w:space="0" w:color="auto"/>
        <w:left w:val="none" w:sz="0" w:space="0" w:color="auto"/>
        <w:bottom w:val="none" w:sz="0" w:space="0" w:color="auto"/>
        <w:right w:val="none" w:sz="0" w:space="0" w:color="auto"/>
      </w:divBdr>
    </w:div>
    <w:div w:id="699747739">
      <w:bodyDiv w:val="1"/>
      <w:marLeft w:val="0"/>
      <w:marRight w:val="0"/>
      <w:marTop w:val="0"/>
      <w:marBottom w:val="0"/>
      <w:divBdr>
        <w:top w:val="none" w:sz="0" w:space="0" w:color="auto"/>
        <w:left w:val="none" w:sz="0" w:space="0" w:color="auto"/>
        <w:bottom w:val="none" w:sz="0" w:space="0" w:color="auto"/>
        <w:right w:val="none" w:sz="0" w:space="0" w:color="auto"/>
      </w:divBdr>
    </w:div>
    <w:div w:id="777485175">
      <w:bodyDiv w:val="1"/>
      <w:marLeft w:val="0"/>
      <w:marRight w:val="0"/>
      <w:marTop w:val="0"/>
      <w:marBottom w:val="0"/>
      <w:divBdr>
        <w:top w:val="none" w:sz="0" w:space="0" w:color="auto"/>
        <w:left w:val="none" w:sz="0" w:space="0" w:color="auto"/>
        <w:bottom w:val="none" w:sz="0" w:space="0" w:color="auto"/>
        <w:right w:val="none" w:sz="0" w:space="0" w:color="auto"/>
      </w:divBdr>
    </w:div>
    <w:div w:id="814297978">
      <w:bodyDiv w:val="1"/>
      <w:marLeft w:val="0"/>
      <w:marRight w:val="0"/>
      <w:marTop w:val="0"/>
      <w:marBottom w:val="0"/>
      <w:divBdr>
        <w:top w:val="none" w:sz="0" w:space="0" w:color="auto"/>
        <w:left w:val="none" w:sz="0" w:space="0" w:color="auto"/>
        <w:bottom w:val="none" w:sz="0" w:space="0" w:color="auto"/>
        <w:right w:val="none" w:sz="0" w:space="0" w:color="auto"/>
      </w:divBdr>
    </w:div>
    <w:div w:id="861210403">
      <w:bodyDiv w:val="1"/>
      <w:marLeft w:val="0"/>
      <w:marRight w:val="0"/>
      <w:marTop w:val="0"/>
      <w:marBottom w:val="0"/>
      <w:divBdr>
        <w:top w:val="none" w:sz="0" w:space="0" w:color="auto"/>
        <w:left w:val="none" w:sz="0" w:space="0" w:color="auto"/>
        <w:bottom w:val="none" w:sz="0" w:space="0" w:color="auto"/>
        <w:right w:val="none" w:sz="0" w:space="0" w:color="auto"/>
      </w:divBdr>
    </w:div>
    <w:div w:id="977151803">
      <w:bodyDiv w:val="1"/>
      <w:marLeft w:val="0"/>
      <w:marRight w:val="0"/>
      <w:marTop w:val="0"/>
      <w:marBottom w:val="0"/>
      <w:divBdr>
        <w:top w:val="none" w:sz="0" w:space="0" w:color="auto"/>
        <w:left w:val="none" w:sz="0" w:space="0" w:color="auto"/>
        <w:bottom w:val="none" w:sz="0" w:space="0" w:color="auto"/>
        <w:right w:val="none" w:sz="0" w:space="0" w:color="auto"/>
      </w:divBdr>
    </w:div>
    <w:div w:id="1017537808">
      <w:bodyDiv w:val="1"/>
      <w:marLeft w:val="0"/>
      <w:marRight w:val="0"/>
      <w:marTop w:val="0"/>
      <w:marBottom w:val="0"/>
      <w:divBdr>
        <w:top w:val="none" w:sz="0" w:space="0" w:color="auto"/>
        <w:left w:val="none" w:sz="0" w:space="0" w:color="auto"/>
        <w:bottom w:val="none" w:sz="0" w:space="0" w:color="auto"/>
        <w:right w:val="none" w:sz="0" w:space="0" w:color="auto"/>
      </w:divBdr>
    </w:div>
    <w:div w:id="1029915098">
      <w:bodyDiv w:val="1"/>
      <w:marLeft w:val="0"/>
      <w:marRight w:val="0"/>
      <w:marTop w:val="0"/>
      <w:marBottom w:val="0"/>
      <w:divBdr>
        <w:top w:val="none" w:sz="0" w:space="0" w:color="auto"/>
        <w:left w:val="none" w:sz="0" w:space="0" w:color="auto"/>
        <w:bottom w:val="none" w:sz="0" w:space="0" w:color="auto"/>
        <w:right w:val="none" w:sz="0" w:space="0" w:color="auto"/>
      </w:divBdr>
    </w:div>
    <w:div w:id="1079867169">
      <w:bodyDiv w:val="1"/>
      <w:marLeft w:val="0"/>
      <w:marRight w:val="0"/>
      <w:marTop w:val="0"/>
      <w:marBottom w:val="0"/>
      <w:divBdr>
        <w:top w:val="none" w:sz="0" w:space="0" w:color="auto"/>
        <w:left w:val="none" w:sz="0" w:space="0" w:color="auto"/>
        <w:bottom w:val="none" w:sz="0" w:space="0" w:color="auto"/>
        <w:right w:val="none" w:sz="0" w:space="0" w:color="auto"/>
      </w:divBdr>
    </w:div>
    <w:div w:id="1117456234">
      <w:bodyDiv w:val="1"/>
      <w:marLeft w:val="0"/>
      <w:marRight w:val="0"/>
      <w:marTop w:val="0"/>
      <w:marBottom w:val="0"/>
      <w:divBdr>
        <w:top w:val="none" w:sz="0" w:space="0" w:color="auto"/>
        <w:left w:val="none" w:sz="0" w:space="0" w:color="auto"/>
        <w:bottom w:val="none" w:sz="0" w:space="0" w:color="auto"/>
        <w:right w:val="none" w:sz="0" w:space="0" w:color="auto"/>
      </w:divBdr>
    </w:div>
    <w:div w:id="1163274634">
      <w:bodyDiv w:val="1"/>
      <w:marLeft w:val="0"/>
      <w:marRight w:val="0"/>
      <w:marTop w:val="0"/>
      <w:marBottom w:val="0"/>
      <w:divBdr>
        <w:top w:val="none" w:sz="0" w:space="0" w:color="auto"/>
        <w:left w:val="none" w:sz="0" w:space="0" w:color="auto"/>
        <w:bottom w:val="none" w:sz="0" w:space="0" w:color="auto"/>
        <w:right w:val="none" w:sz="0" w:space="0" w:color="auto"/>
      </w:divBdr>
    </w:div>
    <w:div w:id="1244604755">
      <w:bodyDiv w:val="1"/>
      <w:marLeft w:val="0"/>
      <w:marRight w:val="0"/>
      <w:marTop w:val="0"/>
      <w:marBottom w:val="0"/>
      <w:divBdr>
        <w:top w:val="none" w:sz="0" w:space="0" w:color="auto"/>
        <w:left w:val="none" w:sz="0" w:space="0" w:color="auto"/>
        <w:bottom w:val="none" w:sz="0" w:space="0" w:color="auto"/>
        <w:right w:val="none" w:sz="0" w:space="0" w:color="auto"/>
      </w:divBdr>
    </w:div>
    <w:div w:id="1245532715">
      <w:bodyDiv w:val="1"/>
      <w:marLeft w:val="0"/>
      <w:marRight w:val="0"/>
      <w:marTop w:val="0"/>
      <w:marBottom w:val="0"/>
      <w:divBdr>
        <w:top w:val="none" w:sz="0" w:space="0" w:color="auto"/>
        <w:left w:val="none" w:sz="0" w:space="0" w:color="auto"/>
        <w:bottom w:val="none" w:sz="0" w:space="0" w:color="auto"/>
        <w:right w:val="none" w:sz="0" w:space="0" w:color="auto"/>
      </w:divBdr>
    </w:div>
    <w:div w:id="1273829185">
      <w:bodyDiv w:val="1"/>
      <w:marLeft w:val="0"/>
      <w:marRight w:val="0"/>
      <w:marTop w:val="0"/>
      <w:marBottom w:val="0"/>
      <w:divBdr>
        <w:top w:val="none" w:sz="0" w:space="0" w:color="auto"/>
        <w:left w:val="none" w:sz="0" w:space="0" w:color="auto"/>
        <w:bottom w:val="none" w:sz="0" w:space="0" w:color="auto"/>
        <w:right w:val="none" w:sz="0" w:space="0" w:color="auto"/>
      </w:divBdr>
    </w:div>
    <w:div w:id="1281496927">
      <w:bodyDiv w:val="1"/>
      <w:marLeft w:val="0"/>
      <w:marRight w:val="0"/>
      <w:marTop w:val="0"/>
      <w:marBottom w:val="0"/>
      <w:divBdr>
        <w:top w:val="none" w:sz="0" w:space="0" w:color="auto"/>
        <w:left w:val="none" w:sz="0" w:space="0" w:color="auto"/>
        <w:bottom w:val="none" w:sz="0" w:space="0" w:color="auto"/>
        <w:right w:val="none" w:sz="0" w:space="0" w:color="auto"/>
      </w:divBdr>
    </w:div>
    <w:div w:id="1478106571">
      <w:bodyDiv w:val="1"/>
      <w:marLeft w:val="0"/>
      <w:marRight w:val="0"/>
      <w:marTop w:val="0"/>
      <w:marBottom w:val="0"/>
      <w:divBdr>
        <w:top w:val="none" w:sz="0" w:space="0" w:color="auto"/>
        <w:left w:val="none" w:sz="0" w:space="0" w:color="auto"/>
        <w:bottom w:val="none" w:sz="0" w:space="0" w:color="auto"/>
        <w:right w:val="none" w:sz="0" w:space="0" w:color="auto"/>
      </w:divBdr>
    </w:div>
    <w:div w:id="1490176170">
      <w:bodyDiv w:val="1"/>
      <w:marLeft w:val="0"/>
      <w:marRight w:val="0"/>
      <w:marTop w:val="0"/>
      <w:marBottom w:val="0"/>
      <w:divBdr>
        <w:top w:val="none" w:sz="0" w:space="0" w:color="auto"/>
        <w:left w:val="none" w:sz="0" w:space="0" w:color="auto"/>
        <w:bottom w:val="none" w:sz="0" w:space="0" w:color="auto"/>
        <w:right w:val="none" w:sz="0" w:space="0" w:color="auto"/>
      </w:divBdr>
    </w:div>
    <w:div w:id="1501388694">
      <w:bodyDiv w:val="1"/>
      <w:marLeft w:val="0"/>
      <w:marRight w:val="0"/>
      <w:marTop w:val="0"/>
      <w:marBottom w:val="0"/>
      <w:divBdr>
        <w:top w:val="none" w:sz="0" w:space="0" w:color="auto"/>
        <w:left w:val="none" w:sz="0" w:space="0" w:color="auto"/>
        <w:bottom w:val="none" w:sz="0" w:space="0" w:color="auto"/>
        <w:right w:val="none" w:sz="0" w:space="0" w:color="auto"/>
      </w:divBdr>
    </w:div>
    <w:div w:id="1527787395">
      <w:bodyDiv w:val="1"/>
      <w:marLeft w:val="0"/>
      <w:marRight w:val="0"/>
      <w:marTop w:val="0"/>
      <w:marBottom w:val="0"/>
      <w:divBdr>
        <w:top w:val="none" w:sz="0" w:space="0" w:color="auto"/>
        <w:left w:val="none" w:sz="0" w:space="0" w:color="auto"/>
        <w:bottom w:val="none" w:sz="0" w:space="0" w:color="auto"/>
        <w:right w:val="none" w:sz="0" w:space="0" w:color="auto"/>
      </w:divBdr>
    </w:div>
    <w:div w:id="1808550605">
      <w:bodyDiv w:val="1"/>
      <w:marLeft w:val="0"/>
      <w:marRight w:val="0"/>
      <w:marTop w:val="0"/>
      <w:marBottom w:val="0"/>
      <w:divBdr>
        <w:top w:val="none" w:sz="0" w:space="0" w:color="auto"/>
        <w:left w:val="none" w:sz="0" w:space="0" w:color="auto"/>
        <w:bottom w:val="none" w:sz="0" w:space="0" w:color="auto"/>
        <w:right w:val="none" w:sz="0" w:space="0" w:color="auto"/>
      </w:divBdr>
    </w:div>
    <w:div w:id="1835219053">
      <w:bodyDiv w:val="1"/>
      <w:marLeft w:val="0"/>
      <w:marRight w:val="0"/>
      <w:marTop w:val="0"/>
      <w:marBottom w:val="0"/>
      <w:divBdr>
        <w:top w:val="none" w:sz="0" w:space="0" w:color="auto"/>
        <w:left w:val="none" w:sz="0" w:space="0" w:color="auto"/>
        <w:bottom w:val="none" w:sz="0" w:space="0" w:color="auto"/>
        <w:right w:val="none" w:sz="0" w:space="0" w:color="auto"/>
      </w:divBdr>
    </w:div>
    <w:div w:id="1867717366">
      <w:bodyDiv w:val="1"/>
      <w:marLeft w:val="0"/>
      <w:marRight w:val="0"/>
      <w:marTop w:val="0"/>
      <w:marBottom w:val="0"/>
      <w:divBdr>
        <w:top w:val="none" w:sz="0" w:space="0" w:color="auto"/>
        <w:left w:val="none" w:sz="0" w:space="0" w:color="auto"/>
        <w:bottom w:val="none" w:sz="0" w:space="0" w:color="auto"/>
        <w:right w:val="none" w:sz="0" w:space="0" w:color="auto"/>
      </w:divBdr>
    </w:div>
    <w:div w:id="1917470967">
      <w:bodyDiv w:val="1"/>
      <w:marLeft w:val="0"/>
      <w:marRight w:val="0"/>
      <w:marTop w:val="0"/>
      <w:marBottom w:val="0"/>
      <w:divBdr>
        <w:top w:val="none" w:sz="0" w:space="0" w:color="auto"/>
        <w:left w:val="none" w:sz="0" w:space="0" w:color="auto"/>
        <w:bottom w:val="none" w:sz="0" w:space="0" w:color="auto"/>
        <w:right w:val="none" w:sz="0" w:space="0" w:color="auto"/>
      </w:divBdr>
    </w:div>
    <w:div w:id="1918512280">
      <w:bodyDiv w:val="1"/>
      <w:marLeft w:val="0"/>
      <w:marRight w:val="0"/>
      <w:marTop w:val="0"/>
      <w:marBottom w:val="0"/>
      <w:divBdr>
        <w:top w:val="none" w:sz="0" w:space="0" w:color="auto"/>
        <w:left w:val="none" w:sz="0" w:space="0" w:color="auto"/>
        <w:bottom w:val="none" w:sz="0" w:space="0" w:color="auto"/>
        <w:right w:val="none" w:sz="0" w:space="0" w:color="auto"/>
      </w:divBdr>
    </w:div>
    <w:div w:id="1930238601">
      <w:bodyDiv w:val="1"/>
      <w:marLeft w:val="0"/>
      <w:marRight w:val="0"/>
      <w:marTop w:val="0"/>
      <w:marBottom w:val="0"/>
      <w:divBdr>
        <w:top w:val="none" w:sz="0" w:space="0" w:color="auto"/>
        <w:left w:val="none" w:sz="0" w:space="0" w:color="auto"/>
        <w:bottom w:val="none" w:sz="0" w:space="0" w:color="auto"/>
        <w:right w:val="none" w:sz="0" w:space="0" w:color="auto"/>
      </w:divBdr>
    </w:div>
    <w:div w:id="1937785113">
      <w:bodyDiv w:val="1"/>
      <w:marLeft w:val="0"/>
      <w:marRight w:val="0"/>
      <w:marTop w:val="0"/>
      <w:marBottom w:val="0"/>
      <w:divBdr>
        <w:top w:val="none" w:sz="0" w:space="0" w:color="auto"/>
        <w:left w:val="none" w:sz="0" w:space="0" w:color="auto"/>
        <w:bottom w:val="none" w:sz="0" w:space="0" w:color="auto"/>
        <w:right w:val="none" w:sz="0" w:space="0" w:color="auto"/>
      </w:divBdr>
    </w:div>
    <w:div w:id="2012218692">
      <w:bodyDiv w:val="1"/>
      <w:marLeft w:val="0"/>
      <w:marRight w:val="0"/>
      <w:marTop w:val="0"/>
      <w:marBottom w:val="0"/>
      <w:divBdr>
        <w:top w:val="none" w:sz="0" w:space="0" w:color="auto"/>
        <w:left w:val="none" w:sz="0" w:space="0" w:color="auto"/>
        <w:bottom w:val="none" w:sz="0" w:space="0" w:color="auto"/>
        <w:right w:val="none" w:sz="0" w:space="0" w:color="auto"/>
      </w:divBdr>
    </w:div>
    <w:div w:id="2050452159">
      <w:bodyDiv w:val="1"/>
      <w:marLeft w:val="0"/>
      <w:marRight w:val="0"/>
      <w:marTop w:val="0"/>
      <w:marBottom w:val="0"/>
      <w:divBdr>
        <w:top w:val="none" w:sz="0" w:space="0" w:color="auto"/>
        <w:left w:val="none" w:sz="0" w:space="0" w:color="auto"/>
        <w:bottom w:val="none" w:sz="0" w:space="0" w:color="auto"/>
        <w:right w:val="none" w:sz="0" w:space="0" w:color="auto"/>
      </w:divBdr>
    </w:div>
    <w:div w:id="21119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libguides.csu.edu.au/review/Types"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rvices.unimelb.edu.au/academicskills/all_resources/writing-resources"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onlinelibrary.wiley.com/doi/epdf/10.1111/j.1471-1842.2009.0084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1277</TotalTime>
  <Pages>30</Pages>
  <Words>8449</Words>
  <Characters>48161</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693</cp:revision>
  <dcterms:created xsi:type="dcterms:W3CDTF">2024-04-05T09:41:00Z</dcterms:created>
  <dcterms:modified xsi:type="dcterms:W3CDTF">2024-06-05T00:40:00Z</dcterms:modified>
</cp:coreProperties>
</file>