
<file path=[Content_Types].xml><?xml version="1.0" encoding="utf-8"?>
<Types xmlns="http://schemas.openxmlformats.org/package/2006/content-types">
  <Default Extension="rels" ContentType="application/vnd.openxmlformats-package.relationships+xml"/>
  <Default Extension="wmf" ContentType="image/x-wmf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W w:w="9500" w:type="dxa"/>
        <w:tblInd w:w="-192" w:type="dxa"/>
        <w:tblBorders>
          <w:top w:val="double" w:sz="6" w:space="0" w:color="auto"/>
          <w:left w:val="double" w:sz="6" w:space="0" w:color="auto"/>
          <w:bottom w:val="double" w:sz="6" w:space="0" w:color="auto"/>
          <w:right w:val="double" w:sz="6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500"/>
        <w:gridCol w:w="1000"/>
        <w:gridCol w:w="6000"/>
      </w:tblGrid>
      <w:tr w:rsidR="00BB6F29" w14:paraId="2E6A4DB6" w14:textId="77777777" w:rsidTr="000E65E0">
        <w:trPr>
          <w:cantSplit/>
          <w:trHeight w:val="348"/>
        </w:trPr>
        <w:tc>
          <w:tcPr>
            <w:tcW w:w="2500" w:type="dxa"/>
            <w:vMerge w:val="restart"/>
            <w:tcBorders>
              <w:top w:val="double" w:sz="6" w:space="0" w:color="auto"/>
            </w:tcBorders>
          </w:tcPr>
          <w:p w14:paraId="2E6A4DB1" w14:textId="77777777" w:rsidR="00BB6F29" w:rsidRDefault="00C924DF">
            <w:pPr>
              <w:pStyle w:val="Heading1"/>
            </w:pPr>
            <w:r>
              <w:t xml:space="preserve">Site Specific Activity and Control Measures        </w:t>
            </w:r>
          </w:p>
          <w:p w14:paraId="2E6A4DB2" w14:textId="77777777" w:rsidR="00BB6F29" w:rsidRDefault="00C924DF">
            <w:r>
              <w:t xml:space="preserve">                                     (This section </w:t>
            </w:r>
            <w:r>
              <w:rPr>
                <w:b/>
                <w:bCs/>
              </w:rPr>
              <w:t>must</w:t>
            </w:r>
            <w:r>
              <w:t xml:space="preserve"> be completed)</w:t>
            </w:r>
          </w:p>
          <w:p w14:paraId="2E6A4DB3" w14:textId="77777777" w:rsidR="00BB6F29" w:rsidRDefault="00BB6F29">
            <w:pPr>
              <w:pStyle w:val="Header"/>
              <w:tabs>
                <w:tab w:val="clear" w:pos="4153"/>
                <w:tab w:val="clear" w:pos="8306"/>
              </w:tabs>
            </w:pPr>
          </w:p>
        </w:tc>
        <w:tc>
          <w:tcPr>
            <w:tcW w:w="1000" w:type="dxa"/>
            <w:tcBorders>
              <w:top w:val="double" w:sz="6" w:space="0" w:color="auto"/>
              <w:bottom w:val="nil"/>
              <w:right w:val="nil"/>
            </w:tcBorders>
          </w:tcPr>
          <w:p w14:paraId="2E6A4DB4" w14:textId="77777777" w:rsidR="00BB6F29" w:rsidRDefault="00C924DF">
            <w:pPr>
              <w:pStyle w:val="Heading1"/>
              <w:rPr>
                <w:b w:val="0"/>
              </w:rPr>
            </w:pPr>
            <w:r>
              <w:rPr>
                <w:b w:val="0"/>
              </w:rPr>
              <w:t>Method</w:t>
            </w:r>
          </w:p>
        </w:tc>
        <w:tc>
          <w:tcPr>
            <w:tcW w:w="6000" w:type="dxa"/>
            <w:tcBorders>
              <w:top w:val="double" w:sz="6" w:space="0" w:color="auto"/>
              <w:left w:val="nil"/>
              <w:bottom w:val="nil"/>
            </w:tcBorders>
          </w:tcPr>
          <w:p w14:paraId="2E6A4DB5" w14:textId="77777777" w:rsidR="00BB6F29" w:rsidRDefault="00BB6F29"/>
        </w:tc>
      </w:tr>
      <w:tr w:rsidR="00BB6F29" w14:paraId="2E6A4DBA" w14:textId="77777777" w:rsidTr="000E65E0">
        <w:trPr>
          <w:cantSplit/>
          <w:trHeight w:val="346"/>
        </w:trPr>
        <w:tc>
          <w:tcPr>
            <w:tcW w:w="2500" w:type="dxa"/>
            <w:vMerge/>
          </w:tcPr>
          <w:p w14:paraId="2E6A4DB7" w14:textId="77777777" w:rsidR="00BB6F29" w:rsidRDefault="00BB6F29">
            <w:pPr>
              <w:pStyle w:val="Heading1"/>
            </w:pPr>
          </w:p>
        </w:tc>
        <w:tc>
          <w:tcPr>
            <w:tcW w:w="1000" w:type="dxa"/>
            <w:tcBorders>
              <w:top w:val="nil"/>
              <w:bottom w:val="nil"/>
              <w:right w:val="nil"/>
            </w:tcBorders>
          </w:tcPr>
          <w:p w14:paraId="2E6A4DB8" w14:textId="77777777" w:rsidR="00BB6F29" w:rsidRDefault="00C924DF">
            <w:pPr>
              <w:pStyle w:val="Header"/>
              <w:tabs>
                <w:tab w:val="clear" w:pos="4153"/>
                <w:tab w:val="clear" w:pos="8306"/>
              </w:tabs>
            </w:pPr>
            <w:r>
              <w:t>Location</w:t>
            </w:r>
          </w:p>
        </w:tc>
        <w:tc>
          <w:tcPr>
            <w:tcW w:w="6000" w:type="dxa"/>
            <w:tcBorders>
              <w:top w:val="nil"/>
              <w:left w:val="nil"/>
              <w:bottom w:val="nil"/>
            </w:tcBorders>
          </w:tcPr>
          <w:p w14:paraId="2E6A4DB9" w14:textId="73317037" w:rsidR="00BB6F29" w:rsidRDefault="000E65E0">
            <w:r>
              <w:t>Carpark and access road</w:t>
            </w:r>
          </w:p>
        </w:tc>
      </w:tr>
      <w:tr w:rsidR="000E65E0" w14:paraId="2E6A4DBE" w14:textId="77777777" w:rsidTr="000E65E0">
        <w:trPr>
          <w:cantSplit/>
          <w:trHeight w:val="346"/>
        </w:trPr>
        <w:tc>
          <w:tcPr>
            <w:tcW w:w="2500" w:type="dxa"/>
            <w:vMerge/>
          </w:tcPr>
          <w:p w14:paraId="2E6A4DBB" w14:textId="77777777" w:rsidR="000E65E0" w:rsidRDefault="000E65E0" w:rsidP="000E65E0">
            <w:pPr>
              <w:pStyle w:val="Heading1"/>
            </w:pPr>
          </w:p>
        </w:tc>
        <w:tc>
          <w:tcPr>
            <w:tcW w:w="1000" w:type="dxa"/>
            <w:tcBorders>
              <w:top w:val="nil"/>
              <w:bottom w:val="nil"/>
              <w:right w:val="nil"/>
            </w:tcBorders>
          </w:tcPr>
          <w:p w14:paraId="2E6A4DBC" w14:textId="77777777" w:rsidR="000E65E0" w:rsidRDefault="000E65E0" w:rsidP="000E65E0">
            <w:pPr>
              <w:pStyle w:val="Header"/>
              <w:tabs>
                <w:tab w:val="clear" w:pos="4153"/>
                <w:tab w:val="clear" w:pos="8306"/>
              </w:tabs>
            </w:pPr>
            <w:r>
              <w:t>Duration</w:t>
            </w:r>
          </w:p>
        </w:tc>
        <w:tc>
          <w:tcPr>
            <w:tcW w:w="6000" w:type="dxa"/>
            <w:tcBorders>
              <w:top w:val="nil"/>
              <w:left w:val="nil"/>
              <w:bottom w:val="nil"/>
            </w:tcBorders>
          </w:tcPr>
          <w:p w14:paraId="2E6A4DBD" w14:textId="25C43E64" w:rsidR="000E65E0" w:rsidRDefault="000E65E0" w:rsidP="000E65E0">
            <w:pPr>
              <w:pStyle w:val="Header"/>
              <w:tabs>
                <w:tab w:val="clear" w:pos="4153"/>
                <w:tab w:val="clear" w:pos="8306"/>
              </w:tabs>
            </w:pPr>
            <w:r>
              <w:t>Various stages during contract duration</w:t>
            </w:r>
          </w:p>
        </w:tc>
      </w:tr>
      <w:tr w:rsidR="000E65E0" w14:paraId="2E6A4DC2" w14:textId="77777777" w:rsidTr="000E65E0">
        <w:trPr>
          <w:cantSplit/>
          <w:trHeight w:val="346"/>
        </w:trPr>
        <w:tc>
          <w:tcPr>
            <w:tcW w:w="2500" w:type="dxa"/>
            <w:vMerge/>
            <w:tcBorders>
              <w:bottom w:val="single" w:sz="4" w:space="0" w:color="auto"/>
            </w:tcBorders>
          </w:tcPr>
          <w:p w14:paraId="2E6A4DBF" w14:textId="77777777" w:rsidR="000E65E0" w:rsidRDefault="000E65E0" w:rsidP="000E65E0">
            <w:pPr>
              <w:pStyle w:val="Heading1"/>
            </w:pPr>
          </w:p>
        </w:tc>
        <w:tc>
          <w:tcPr>
            <w:tcW w:w="1000" w:type="dxa"/>
            <w:tcBorders>
              <w:top w:val="nil"/>
              <w:bottom w:val="single" w:sz="4" w:space="0" w:color="auto"/>
              <w:right w:val="nil"/>
            </w:tcBorders>
          </w:tcPr>
          <w:p w14:paraId="2E6A4DC0" w14:textId="77777777" w:rsidR="000E65E0" w:rsidRDefault="000E65E0" w:rsidP="000E65E0">
            <w:pPr>
              <w:pStyle w:val="Header"/>
              <w:tabs>
                <w:tab w:val="clear" w:pos="4153"/>
                <w:tab w:val="clear" w:pos="8306"/>
              </w:tabs>
            </w:pPr>
            <w:r>
              <w:t>Control</w:t>
            </w:r>
          </w:p>
        </w:tc>
        <w:tc>
          <w:tcPr>
            <w:tcW w:w="6000" w:type="dxa"/>
            <w:tcBorders>
              <w:top w:val="nil"/>
              <w:left w:val="nil"/>
              <w:bottom w:val="single" w:sz="4" w:space="0" w:color="auto"/>
            </w:tcBorders>
          </w:tcPr>
          <w:p w14:paraId="2E6A4DC1" w14:textId="749A586B" w:rsidR="000E65E0" w:rsidRDefault="000E65E0" w:rsidP="000E65E0">
            <w:r>
              <w:t>Assessment included in RA/MP’s briefing</w:t>
            </w:r>
          </w:p>
        </w:tc>
      </w:tr>
      <w:tr w:rsidR="000E65E0" w14:paraId="2E6A4DC9" w14:textId="77777777" w:rsidTr="000E65E0">
        <w:tc>
          <w:tcPr>
            <w:tcW w:w="2500" w:type="dxa"/>
            <w:tcBorders>
              <w:top w:val="single" w:sz="4" w:space="0" w:color="auto"/>
              <w:bottom w:val="single" w:sz="4" w:space="0" w:color="auto"/>
            </w:tcBorders>
          </w:tcPr>
          <w:p w14:paraId="2E6A4DC3" w14:textId="77777777" w:rsidR="000E65E0" w:rsidRDefault="000E65E0" w:rsidP="000E65E0">
            <w:pPr>
              <w:pStyle w:val="Heading1"/>
            </w:pPr>
            <w:r>
              <w:t>Exposure Limits</w:t>
            </w:r>
          </w:p>
          <w:p w14:paraId="2E6A4DC4" w14:textId="77777777" w:rsidR="000E65E0" w:rsidRDefault="000E65E0" w:rsidP="000E65E0"/>
          <w:p w14:paraId="2E6A4DC5" w14:textId="77777777" w:rsidR="000E65E0" w:rsidRDefault="000E65E0" w:rsidP="000E65E0"/>
        </w:tc>
        <w:tc>
          <w:tcPr>
            <w:tcW w:w="7000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14:paraId="2E6A4DC6" w14:textId="77777777" w:rsidR="000E65E0" w:rsidRDefault="000E65E0" w:rsidP="000E65E0">
            <w:r>
              <w:t>Asphalt, petroleum fumes 5mg/m</w:t>
            </w:r>
            <w:r>
              <w:rPr>
                <w:vertAlign w:val="superscript"/>
              </w:rPr>
              <w:t xml:space="preserve">3 </w:t>
            </w:r>
            <w:r>
              <w:t>8hr TWA</w:t>
            </w:r>
          </w:p>
          <w:p w14:paraId="2E6A4DC7" w14:textId="77777777" w:rsidR="000E65E0" w:rsidRDefault="000E65E0" w:rsidP="000E65E0">
            <w:r>
              <w:t>Hydrogen sulphide 10ppm 8hr TWA</w:t>
            </w:r>
          </w:p>
          <w:p w14:paraId="2E6A4DC8" w14:textId="77777777" w:rsidR="000E65E0" w:rsidRDefault="000E65E0" w:rsidP="000E65E0"/>
        </w:tc>
      </w:tr>
      <w:tr w:rsidR="000E65E0" w14:paraId="2E6A4DD0" w14:textId="77777777" w:rsidTr="000E65E0">
        <w:tc>
          <w:tcPr>
            <w:tcW w:w="2500" w:type="dxa"/>
            <w:tcBorders>
              <w:top w:val="single" w:sz="4" w:space="0" w:color="auto"/>
              <w:bottom w:val="single" w:sz="4" w:space="0" w:color="auto"/>
            </w:tcBorders>
          </w:tcPr>
          <w:p w14:paraId="2E6A4DCA" w14:textId="77777777" w:rsidR="000E65E0" w:rsidRDefault="000E65E0" w:rsidP="000E65E0">
            <w:pPr>
              <w:pStyle w:val="Heading1"/>
            </w:pPr>
            <w:r>
              <w:t>Physical Properties</w:t>
            </w:r>
          </w:p>
          <w:p w14:paraId="2E6A4DCB" w14:textId="77777777" w:rsidR="000E65E0" w:rsidRDefault="000E65E0" w:rsidP="000E65E0">
            <w:pPr>
              <w:jc w:val="center"/>
              <w:rPr>
                <w:color w:val="000000"/>
                <w:lang w:val="en-US"/>
              </w:rPr>
            </w:pPr>
            <w:r>
              <w:rPr>
                <w:noProof/>
                <w:color w:val="000000"/>
                <w:lang w:val="en-US"/>
              </w:rPr>
              <w:drawing>
                <wp:inline distT="0" distB="0" distL="0" distR="0" wp14:anchorId="2E6A4E01" wp14:editId="2E6A4E02">
                  <wp:extent cx="664210" cy="534670"/>
                  <wp:effectExtent l="19050" t="0" r="2540" b="0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664210" cy="53467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2E6A4DCC" w14:textId="77777777" w:rsidR="000E65E0" w:rsidRDefault="000E65E0" w:rsidP="000E65E0"/>
        </w:tc>
        <w:tc>
          <w:tcPr>
            <w:tcW w:w="7000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14:paraId="2E6A4DCD" w14:textId="77777777" w:rsidR="000E65E0" w:rsidRDefault="000E65E0" w:rsidP="000E65E0">
            <w:r>
              <w:t>Bitumen is a hydrocarbon derived from the distillation of petroleum crude oil.</w:t>
            </w:r>
          </w:p>
          <w:p w14:paraId="2E6A4DCE" w14:textId="77777777" w:rsidR="000E65E0" w:rsidRDefault="000E65E0" w:rsidP="000E65E0">
            <w:pPr>
              <w:rPr>
                <w:snapToGrid w:val="0"/>
              </w:rPr>
            </w:pPr>
          </w:p>
          <w:p w14:paraId="2E6A4DCF" w14:textId="77777777" w:rsidR="000E65E0" w:rsidRDefault="000E65E0" w:rsidP="000E65E0">
            <w:r>
              <w:rPr>
                <w:snapToGrid w:val="0"/>
              </w:rPr>
              <w:t xml:space="preserve">Black solid at ambient temperature supplied in cardboard or metal kegs, which gradually softens, becomes liquid when heated. </w:t>
            </w:r>
          </w:p>
        </w:tc>
      </w:tr>
      <w:tr w:rsidR="000E65E0" w14:paraId="2E6A4DD8" w14:textId="77777777" w:rsidTr="000E65E0">
        <w:trPr>
          <w:cantSplit/>
          <w:trHeight w:val="761"/>
        </w:trPr>
        <w:tc>
          <w:tcPr>
            <w:tcW w:w="2500" w:type="dxa"/>
            <w:vMerge w:val="restart"/>
            <w:tcBorders>
              <w:top w:val="single" w:sz="4" w:space="0" w:color="auto"/>
            </w:tcBorders>
          </w:tcPr>
          <w:p w14:paraId="2E6A4DD1" w14:textId="77777777" w:rsidR="000E65E0" w:rsidRDefault="000E65E0" w:rsidP="000E65E0">
            <w:pPr>
              <w:pStyle w:val="Heading1"/>
            </w:pPr>
            <w:r>
              <w:t>Hazard</w:t>
            </w:r>
          </w:p>
          <w:p w14:paraId="2E6A4DD2" w14:textId="77777777" w:rsidR="000E65E0" w:rsidRDefault="000E65E0" w:rsidP="000E65E0"/>
          <w:p w14:paraId="2E6A4DD3" w14:textId="77777777" w:rsidR="000E65E0" w:rsidRDefault="000E65E0" w:rsidP="000E65E0">
            <w:pPr>
              <w:jc w:val="center"/>
              <w:rPr>
                <w:color w:val="000000"/>
                <w:lang w:val="en-US"/>
              </w:rPr>
            </w:pPr>
            <w:r>
              <w:rPr>
                <w:noProof/>
                <w:color w:val="000000"/>
                <w:lang w:val="en-US"/>
              </w:rPr>
              <w:drawing>
                <wp:inline distT="0" distB="0" distL="0" distR="0" wp14:anchorId="2E6A4E03" wp14:editId="2E6A4E04">
                  <wp:extent cx="673100" cy="526415"/>
                  <wp:effectExtent l="1905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673100" cy="526415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2E6A4DD4" w14:textId="77777777" w:rsidR="000E65E0" w:rsidRDefault="000E65E0" w:rsidP="000E65E0"/>
        </w:tc>
        <w:tc>
          <w:tcPr>
            <w:tcW w:w="1000" w:type="dxa"/>
            <w:tcBorders>
              <w:top w:val="single" w:sz="4" w:space="0" w:color="auto"/>
              <w:bottom w:val="nil"/>
              <w:right w:val="nil"/>
            </w:tcBorders>
          </w:tcPr>
          <w:p w14:paraId="2E6A4DD5" w14:textId="77777777" w:rsidR="000E65E0" w:rsidRDefault="000E65E0" w:rsidP="000E65E0"/>
        </w:tc>
        <w:tc>
          <w:tcPr>
            <w:tcW w:w="6000" w:type="dxa"/>
            <w:tcBorders>
              <w:top w:val="single" w:sz="4" w:space="0" w:color="auto"/>
              <w:left w:val="nil"/>
              <w:bottom w:val="nil"/>
            </w:tcBorders>
          </w:tcPr>
          <w:p w14:paraId="2E6A4DD6" w14:textId="77777777" w:rsidR="000E65E0" w:rsidRDefault="000E65E0" w:rsidP="000E65E0">
            <w:r>
              <w:t>Burns from contact with hot bitumen</w:t>
            </w:r>
          </w:p>
          <w:p w14:paraId="2E6A4DD7" w14:textId="77777777" w:rsidR="000E65E0" w:rsidRDefault="000E65E0" w:rsidP="000E65E0">
            <w:pPr>
              <w:spacing w:before="120"/>
            </w:pPr>
            <w:r>
              <w:rPr>
                <w:snapToGrid w:val="0"/>
              </w:rPr>
              <w:t>Bitumen presents no acute health hazards to the skin other than burning when handled at elevated temperatures</w:t>
            </w:r>
          </w:p>
        </w:tc>
      </w:tr>
      <w:tr w:rsidR="000E65E0" w14:paraId="2E6A4DDC" w14:textId="77777777" w:rsidTr="000E65E0">
        <w:trPr>
          <w:cantSplit/>
          <w:trHeight w:val="761"/>
        </w:trPr>
        <w:tc>
          <w:tcPr>
            <w:tcW w:w="2500" w:type="dxa"/>
            <w:vMerge/>
            <w:tcBorders>
              <w:bottom w:val="single" w:sz="4" w:space="0" w:color="auto"/>
            </w:tcBorders>
          </w:tcPr>
          <w:p w14:paraId="2E6A4DD9" w14:textId="77777777" w:rsidR="000E65E0" w:rsidRDefault="000E65E0" w:rsidP="000E65E0">
            <w:pPr>
              <w:pStyle w:val="Heading1"/>
            </w:pPr>
          </w:p>
        </w:tc>
        <w:tc>
          <w:tcPr>
            <w:tcW w:w="1000" w:type="dxa"/>
            <w:tcBorders>
              <w:top w:val="nil"/>
              <w:bottom w:val="single" w:sz="4" w:space="0" w:color="auto"/>
              <w:right w:val="nil"/>
            </w:tcBorders>
          </w:tcPr>
          <w:p w14:paraId="2E6A4DDA" w14:textId="77777777" w:rsidR="000E65E0" w:rsidRDefault="000E65E0" w:rsidP="000E65E0"/>
        </w:tc>
        <w:tc>
          <w:tcPr>
            <w:tcW w:w="6000" w:type="dxa"/>
            <w:tcBorders>
              <w:top w:val="nil"/>
              <w:left w:val="nil"/>
              <w:bottom w:val="single" w:sz="4" w:space="0" w:color="auto"/>
            </w:tcBorders>
          </w:tcPr>
          <w:p w14:paraId="2E6A4DDB" w14:textId="77777777" w:rsidR="000E65E0" w:rsidRDefault="000E65E0" w:rsidP="000E65E0">
            <w:pPr>
              <w:pStyle w:val="Header"/>
              <w:tabs>
                <w:tab w:val="clear" w:pos="4153"/>
                <w:tab w:val="clear" w:pos="8306"/>
              </w:tabs>
            </w:pPr>
            <w:r>
              <w:t>Inhalation of vapour in confined spaces may cause irritation to respiratory tract, eyes can lead to headaches and dizziness.</w:t>
            </w:r>
          </w:p>
        </w:tc>
      </w:tr>
      <w:tr w:rsidR="000E65E0" w14:paraId="2E6A4DE6" w14:textId="77777777" w:rsidTr="000E65E0">
        <w:tc>
          <w:tcPr>
            <w:tcW w:w="2500" w:type="dxa"/>
            <w:tcBorders>
              <w:top w:val="single" w:sz="4" w:space="0" w:color="auto"/>
              <w:bottom w:val="single" w:sz="4" w:space="0" w:color="auto"/>
            </w:tcBorders>
          </w:tcPr>
          <w:p w14:paraId="2E6A4DDD" w14:textId="77777777" w:rsidR="000E65E0" w:rsidRDefault="000E65E0" w:rsidP="000E65E0">
            <w:pPr>
              <w:pStyle w:val="BodyText"/>
            </w:pPr>
            <w:r>
              <w:t>Work Procedures/PPE</w:t>
            </w:r>
          </w:p>
          <w:p w14:paraId="2E6A4DDE" w14:textId="77777777" w:rsidR="000E65E0" w:rsidRDefault="000E65E0" w:rsidP="000E65E0">
            <w:pPr>
              <w:pStyle w:val="BodyText"/>
            </w:pPr>
          </w:p>
          <w:p w14:paraId="2E6A4DDF" w14:textId="77777777" w:rsidR="000E65E0" w:rsidRDefault="000E65E0" w:rsidP="000E65E0">
            <w:pPr>
              <w:jc w:val="center"/>
              <w:rPr>
                <w:color w:val="000000"/>
                <w:lang w:val="en-US"/>
              </w:rPr>
            </w:pPr>
            <w:r>
              <w:rPr>
                <w:noProof/>
                <w:lang w:val="en-US"/>
              </w:rPr>
              <w:drawing>
                <wp:inline distT="0" distB="0" distL="0" distR="0" wp14:anchorId="2E6A4E05" wp14:editId="2E6A4E06">
                  <wp:extent cx="543560" cy="534670"/>
                  <wp:effectExtent l="19050" t="0" r="8890" b="0"/>
                  <wp:docPr id="3" name="Picture 3" descr="BD06720_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 descr="BD06720_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43560" cy="53467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2E6A4DE0" w14:textId="77777777" w:rsidR="000E65E0" w:rsidRDefault="000E65E0" w:rsidP="000E65E0"/>
        </w:tc>
        <w:tc>
          <w:tcPr>
            <w:tcW w:w="7000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14:paraId="2E6A4DE1" w14:textId="77777777" w:rsidR="000E65E0" w:rsidRDefault="000E65E0" w:rsidP="000E65E0">
            <w:proofErr w:type="gramStart"/>
            <w:r>
              <w:t>Heavy duty,</w:t>
            </w:r>
            <w:proofErr w:type="gramEnd"/>
            <w:r>
              <w:t xml:space="preserve"> heat resistant gloves (BS EN 374, 388 &amp; 511), footwear and overalls.</w:t>
            </w:r>
          </w:p>
          <w:p w14:paraId="2E6A4DE2" w14:textId="77777777" w:rsidR="000E65E0" w:rsidRDefault="000E65E0" w:rsidP="000E65E0">
            <w:r>
              <w:t>Wear full face visor to protect against splashes.</w:t>
            </w:r>
          </w:p>
          <w:p w14:paraId="2E6A4DE3" w14:textId="77777777" w:rsidR="000E65E0" w:rsidRDefault="000E65E0" w:rsidP="000E65E0">
            <w:r>
              <w:t>Ensure adequate ventilation during heating / application.</w:t>
            </w:r>
          </w:p>
          <w:p w14:paraId="2E6A4DE4" w14:textId="77777777" w:rsidR="000E65E0" w:rsidRDefault="000E65E0" w:rsidP="000E65E0">
            <w:r>
              <w:t xml:space="preserve">Avoid water contact when heating in suitable bitumen boiler – causes splatter / rapid ejection of hot bitumen. </w:t>
            </w:r>
          </w:p>
          <w:p w14:paraId="2E6A4DE5" w14:textId="77777777" w:rsidR="000E65E0" w:rsidRDefault="000E65E0" w:rsidP="000E65E0">
            <w:r>
              <w:t>Restrict public access during application and until set</w:t>
            </w:r>
          </w:p>
        </w:tc>
      </w:tr>
      <w:tr w:rsidR="000E65E0" w14:paraId="2E6A4DF0" w14:textId="77777777" w:rsidTr="000E65E0">
        <w:tc>
          <w:tcPr>
            <w:tcW w:w="2500" w:type="dxa"/>
            <w:tcBorders>
              <w:top w:val="single" w:sz="4" w:space="0" w:color="auto"/>
              <w:bottom w:val="single" w:sz="4" w:space="0" w:color="auto"/>
            </w:tcBorders>
          </w:tcPr>
          <w:p w14:paraId="2E6A4DE7" w14:textId="77777777" w:rsidR="000E65E0" w:rsidRDefault="000E65E0" w:rsidP="000E65E0">
            <w:pPr>
              <w:pStyle w:val="Heading1"/>
            </w:pPr>
            <w:r>
              <w:t>First Aid/Fire</w:t>
            </w:r>
          </w:p>
          <w:p w14:paraId="2E6A4DE8" w14:textId="77777777" w:rsidR="000E65E0" w:rsidRDefault="000E65E0" w:rsidP="000E65E0"/>
          <w:p w14:paraId="2E6A4DE9" w14:textId="77777777" w:rsidR="000E65E0" w:rsidRDefault="000E65E0" w:rsidP="000E65E0">
            <w:pPr>
              <w:jc w:val="center"/>
              <w:rPr>
                <w:color w:val="000000"/>
                <w:lang w:val="en-US"/>
              </w:rPr>
            </w:pPr>
            <w:r>
              <w:rPr>
                <w:noProof/>
                <w:color w:val="000000"/>
                <w:lang w:val="en-US"/>
              </w:rPr>
              <w:drawing>
                <wp:inline distT="0" distB="0" distL="0" distR="0" wp14:anchorId="2E6A4E07" wp14:editId="2E6A4E08">
                  <wp:extent cx="681355" cy="560705"/>
                  <wp:effectExtent l="19050" t="0" r="4445" b="0"/>
                  <wp:docPr id="4" name="Picture 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681355" cy="560705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2E6A4DEA" w14:textId="77777777" w:rsidR="000E65E0" w:rsidRDefault="000E65E0" w:rsidP="000E65E0"/>
        </w:tc>
        <w:tc>
          <w:tcPr>
            <w:tcW w:w="7000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14:paraId="2E6A4DEB" w14:textId="77777777" w:rsidR="000E65E0" w:rsidRDefault="000E65E0" w:rsidP="000E65E0">
            <w:pPr>
              <w:tabs>
                <w:tab w:val="left" w:pos="1392"/>
              </w:tabs>
              <w:ind w:left="1392" w:hanging="1392"/>
            </w:pPr>
            <w:r>
              <w:rPr>
                <w:b/>
                <w:bCs/>
              </w:rPr>
              <w:t>Skin Contact</w:t>
            </w:r>
            <w:r>
              <w:t>:</w:t>
            </w:r>
            <w:r>
              <w:tab/>
              <w:t>Flush with cold water, DO NOT ATTEMPT TO REMOVE BITUMEN, cover with sterile dressing, seek immediate medical attention</w:t>
            </w:r>
          </w:p>
          <w:p w14:paraId="2E6A4DEC" w14:textId="77777777" w:rsidR="000E65E0" w:rsidRDefault="000E65E0" w:rsidP="000E65E0">
            <w:pPr>
              <w:tabs>
                <w:tab w:val="left" w:pos="1392"/>
              </w:tabs>
            </w:pPr>
            <w:r>
              <w:rPr>
                <w:b/>
                <w:bCs/>
              </w:rPr>
              <w:t>Inhalation:</w:t>
            </w:r>
            <w:r>
              <w:t xml:space="preserve"> </w:t>
            </w:r>
            <w:r>
              <w:tab/>
              <w:t>Remove to fresh air and rest, seek medical attention</w:t>
            </w:r>
          </w:p>
          <w:p w14:paraId="2E6A4DED" w14:textId="77777777" w:rsidR="000E65E0" w:rsidRDefault="000E65E0" w:rsidP="000E65E0">
            <w:pPr>
              <w:tabs>
                <w:tab w:val="left" w:pos="1392"/>
              </w:tabs>
            </w:pPr>
            <w:r>
              <w:rPr>
                <w:b/>
                <w:bCs/>
              </w:rPr>
              <w:t>Ingestion:</w:t>
            </w:r>
            <w:r>
              <w:t xml:space="preserve"> </w:t>
            </w:r>
            <w:r>
              <w:tab/>
              <w:t>Ensure airways are not obstructed, treat as for Skin.</w:t>
            </w:r>
          </w:p>
          <w:p w14:paraId="2E6A4DEE" w14:textId="77777777" w:rsidR="000E65E0" w:rsidRDefault="000E65E0" w:rsidP="000E65E0">
            <w:pPr>
              <w:tabs>
                <w:tab w:val="left" w:pos="1392"/>
              </w:tabs>
            </w:pPr>
            <w:r>
              <w:rPr>
                <w:b/>
                <w:bCs/>
              </w:rPr>
              <w:t>Eye Contact</w:t>
            </w:r>
            <w:r>
              <w:t xml:space="preserve">: </w:t>
            </w:r>
            <w:r>
              <w:tab/>
              <w:t xml:space="preserve">See and treat as for Skin. </w:t>
            </w:r>
          </w:p>
          <w:p w14:paraId="2E6A4DEF" w14:textId="77777777" w:rsidR="000E65E0" w:rsidRDefault="000E65E0" w:rsidP="000E65E0">
            <w:pPr>
              <w:tabs>
                <w:tab w:val="left" w:pos="1392"/>
              </w:tabs>
              <w:ind w:left="1392" w:hanging="1392"/>
            </w:pPr>
            <w:r>
              <w:rPr>
                <w:b/>
                <w:bCs/>
              </w:rPr>
              <w:t>Fire:</w:t>
            </w:r>
            <w:r>
              <w:t xml:space="preserve"> </w:t>
            </w:r>
            <w:r>
              <w:tab/>
              <w:t>Use dry powder/foam/CO2 – Do not use water.</w:t>
            </w:r>
          </w:p>
        </w:tc>
      </w:tr>
      <w:tr w:rsidR="000E65E0" w14:paraId="2E6A4DF9" w14:textId="77777777" w:rsidTr="000E65E0">
        <w:tc>
          <w:tcPr>
            <w:tcW w:w="2500" w:type="dxa"/>
            <w:tcBorders>
              <w:top w:val="single" w:sz="4" w:space="0" w:color="auto"/>
              <w:bottom w:val="single" w:sz="4" w:space="0" w:color="auto"/>
            </w:tcBorders>
          </w:tcPr>
          <w:p w14:paraId="2E6A4DF1" w14:textId="77777777" w:rsidR="000E65E0" w:rsidRDefault="000E65E0" w:rsidP="000E65E0">
            <w:pPr>
              <w:pStyle w:val="Heading1"/>
            </w:pPr>
            <w:r>
              <w:t>Storage/Disposal</w:t>
            </w:r>
          </w:p>
          <w:p w14:paraId="2E6A4DF2" w14:textId="77777777" w:rsidR="000E65E0" w:rsidRDefault="000E65E0" w:rsidP="000E65E0"/>
          <w:p w14:paraId="2E6A4DF3" w14:textId="77777777" w:rsidR="000E65E0" w:rsidRDefault="000E65E0" w:rsidP="000E65E0">
            <w:pPr>
              <w:jc w:val="center"/>
              <w:rPr>
                <w:color w:val="000000"/>
                <w:lang w:val="en-US"/>
              </w:rPr>
            </w:pPr>
            <w:r>
              <w:rPr>
                <w:noProof/>
                <w:color w:val="000000"/>
                <w:lang w:val="en-US"/>
              </w:rPr>
              <w:drawing>
                <wp:inline distT="0" distB="0" distL="0" distR="0" wp14:anchorId="2E6A4E09" wp14:editId="2E6A4E0A">
                  <wp:extent cx="509270" cy="569595"/>
                  <wp:effectExtent l="19050" t="0" r="5080" b="0"/>
                  <wp:docPr id="5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09270" cy="569595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2E6A4DF4" w14:textId="77777777" w:rsidR="000E65E0" w:rsidRDefault="000E65E0" w:rsidP="000E65E0"/>
        </w:tc>
        <w:tc>
          <w:tcPr>
            <w:tcW w:w="7000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14:paraId="2E6A4DF5" w14:textId="77777777" w:rsidR="000E65E0" w:rsidRDefault="000E65E0" w:rsidP="000E65E0">
            <w:r>
              <w:t>Hot bitumen – store in suitable tank / container at correct storage temperature. Keep water away from hot bitumen. Do not overheat. Avoid sources of ignition.</w:t>
            </w:r>
          </w:p>
          <w:p w14:paraId="2E6A4DF6" w14:textId="77777777" w:rsidR="000E65E0" w:rsidRDefault="000E65E0" w:rsidP="000E65E0">
            <w:pPr>
              <w:pStyle w:val="Header"/>
              <w:tabs>
                <w:tab w:val="clear" w:pos="4153"/>
                <w:tab w:val="clear" w:pos="8306"/>
              </w:tabs>
              <w:spacing w:before="120"/>
            </w:pPr>
            <w:r>
              <w:t xml:space="preserve">Kegged bitumen – keep dry, </w:t>
            </w:r>
          </w:p>
          <w:p w14:paraId="2E6A4DF7" w14:textId="77777777" w:rsidR="000E65E0" w:rsidRDefault="000E65E0" w:rsidP="000E65E0"/>
          <w:p w14:paraId="2E6A4DF8" w14:textId="77777777" w:rsidR="000E65E0" w:rsidRDefault="000E65E0" w:rsidP="000E65E0">
            <w:r>
              <w:rPr>
                <w:b/>
                <w:bCs/>
              </w:rPr>
              <w:t>Disposal:</w:t>
            </w:r>
            <w:r>
              <w:t xml:space="preserve"> in accordance with legislative and company requirements</w:t>
            </w:r>
          </w:p>
        </w:tc>
      </w:tr>
      <w:tr w:rsidR="000E65E0" w14:paraId="2E6A4DFF" w14:textId="77777777" w:rsidTr="000E65E0">
        <w:tc>
          <w:tcPr>
            <w:tcW w:w="2500" w:type="dxa"/>
            <w:tcBorders>
              <w:top w:val="single" w:sz="4" w:space="0" w:color="auto"/>
              <w:bottom w:val="double" w:sz="6" w:space="0" w:color="auto"/>
            </w:tcBorders>
          </w:tcPr>
          <w:p w14:paraId="2E6A4DFA" w14:textId="77777777" w:rsidR="000E65E0" w:rsidRDefault="000E65E0" w:rsidP="000E65E0">
            <w:pPr>
              <w:pStyle w:val="Heading1"/>
            </w:pPr>
            <w:r>
              <w:t>Environmental</w:t>
            </w:r>
          </w:p>
          <w:p w14:paraId="2E6A4DFB" w14:textId="77777777" w:rsidR="000E65E0" w:rsidRDefault="000E65E0" w:rsidP="000E65E0">
            <w:pPr>
              <w:jc w:val="center"/>
            </w:pPr>
            <w:r>
              <w:rPr>
                <w:noProof/>
                <w:lang w:val="en-US"/>
              </w:rPr>
              <w:drawing>
                <wp:inline distT="0" distB="0" distL="0" distR="0" wp14:anchorId="2E6A4E0B" wp14:editId="2E6A4E0C">
                  <wp:extent cx="551815" cy="534670"/>
                  <wp:effectExtent l="19050" t="0" r="635" b="0"/>
                  <wp:docPr id="6" name="Picture 6" descr="SY00155_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6" descr="SY00155_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51815" cy="53467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2E6A4DFC" w14:textId="77777777" w:rsidR="000E65E0" w:rsidRDefault="000E65E0" w:rsidP="000E65E0"/>
        </w:tc>
        <w:tc>
          <w:tcPr>
            <w:tcW w:w="7000" w:type="dxa"/>
            <w:gridSpan w:val="2"/>
            <w:tcBorders>
              <w:top w:val="single" w:sz="4" w:space="0" w:color="auto"/>
              <w:bottom w:val="double" w:sz="6" w:space="0" w:color="auto"/>
            </w:tcBorders>
          </w:tcPr>
          <w:p w14:paraId="2E6A4DFD" w14:textId="77777777" w:rsidR="000E65E0" w:rsidRDefault="000E65E0" w:rsidP="000E65E0">
            <w:r>
              <w:rPr>
                <w:b/>
                <w:bCs/>
              </w:rPr>
              <w:t>Spillage:</w:t>
            </w:r>
            <w:r>
              <w:t xml:space="preserve"> bund using sand or earth to prevent from entering mains drain, sewers, watercourses etc.  Shut off source of spillage and allow to cool. Shovel into suitably marked containers for disposal.</w:t>
            </w:r>
          </w:p>
          <w:p w14:paraId="2E6A4DFE" w14:textId="77777777" w:rsidR="000E65E0" w:rsidRDefault="000E65E0" w:rsidP="000E65E0">
            <w:pPr>
              <w:pStyle w:val="Header"/>
              <w:tabs>
                <w:tab w:val="clear" w:pos="4153"/>
                <w:tab w:val="clear" w:pos="8306"/>
              </w:tabs>
              <w:spacing w:before="120"/>
            </w:pPr>
            <w:r>
              <w:t>Inform authorities if bitumen enters mains drain, sewers, watercourses.</w:t>
            </w:r>
          </w:p>
        </w:tc>
      </w:tr>
    </w:tbl>
    <w:p w14:paraId="2E6A4E00" w14:textId="77777777" w:rsidR="00C924DF" w:rsidRDefault="00C924DF"/>
    <w:sectPr w:rsidR="00C924DF" w:rsidSect="00BB6F29">
      <w:headerReference w:type="even" r:id="rId12"/>
      <w:headerReference w:type="default" r:id="rId13"/>
      <w:footerReference w:type="even" r:id="rId14"/>
      <w:footerReference w:type="default" r:id="rId15"/>
      <w:headerReference w:type="first" r:id="rId16"/>
      <w:footerReference w:type="first" r:id="rId17"/>
      <w:pgSz w:w="11906" w:h="16838"/>
      <w:pgMar w:top="1134" w:right="1418" w:bottom="1361" w:left="1418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E6A4E0F" w14:textId="77777777" w:rsidR="00CC0C55" w:rsidRDefault="00CC0C55">
      <w:r>
        <w:separator/>
      </w:r>
    </w:p>
  </w:endnote>
  <w:endnote w:type="continuationSeparator" w:id="0">
    <w:p w14:paraId="2E6A4E10" w14:textId="77777777" w:rsidR="00CC0C55" w:rsidRDefault="00CC0C5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61002A87" w:usb1="80000000" w:usb2="00000008" w:usb3="00000000" w:csb0="000101FF" w:csb1="00000000"/>
  </w:font>
  <w:font w:name="Arial Black">
    <w:panose1 w:val="020B0A0402010202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293B19B" w14:textId="77777777" w:rsidR="000E65E0" w:rsidRDefault="000E65E0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E6A4E1F" w14:textId="77777777" w:rsidR="00BB6F29" w:rsidRDefault="000E65E0">
    <w:pPr>
      <w:pStyle w:val="Footer"/>
    </w:pPr>
    <w:r>
      <w:rPr>
        <w:noProof/>
      </w:rPr>
      <w:pict w14:anchorId="2E6A4E2C">
        <v:line id="_x0000_s1036" style="position:absolute;z-index:251660800" from="-5pt,2.25pt" to="455pt,2.25pt" o:allowincell="f"/>
      </w:pict>
    </w:r>
  </w:p>
  <w:p w14:paraId="2E6A4E20" w14:textId="4CEAA339" w:rsidR="00BB6F29" w:rsidRDefault="00C924DF" w:rsidP="000E65E0">
    <w:pPr>
      <w:pStyle w:val="Footer"/>
      <w:jc w:val="center"/>
      <w:rPr>
        <w:rStyle w:val="PageNumber"/>
      </w:rPr>
    </w:pPr>
    <w:bookmarkStart w:id="0" w:name="_GoBack"/>
    <w:bookmarkEnd w:id="0"/>
    <w:r>
      <w:t xml:space="preserve">Page </w:t>
    </w:r>
    <w:r w:rsidR="00BB6F29"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 w:rsidR="00BB6F29">
      <w:rPr>
        <w:rStyle w:val="PageNumber"/>
      </w:rPr>
      <w:fldChar w:fldCharType="separate"/>
    </w:r>
    <w:r w:rsidR="00C3162B">
      <w:rPr>
        <w:rStyle w:val="PageNumber"/>
        <w:noProof/>
      </w:rPr>
      <w:t>1</w:t>
    </w:r>
    <w:r w:rsidR="00BB6F29">
      <w:rPr>
        <w:rStyle w:val="PageNumber"/>
      </w:rPr>
      <w:fldChar w:fldCharType="end"/>
    </w:r>
    <w:r>
      <w:rPr>
        <w:rStyle w:val="PageNumber"/>
      </w:rPr>
      <w:t xml:space="preserve"> of </w:t>
    </w:r>
    <w:r w:rsidR="00BB6F29">
      <w:rPr>
        <w:rStyle w:val="PageNumber"/>
      </w:rPr>
      <w:fldChar w:fldCharType="begin"/>
    </w:r>
    <w:r>
      <w:rPr>
        <w:rStyle w:val="PageNumber"/>
      </w:rPr>
      <w:instrText xml:space="preserve"> NUMPAGES </w:instrText>
    </w:r>
    <w:r w:rsidR="00BB6F29">
      <w:rPr>
        <w:rStyle w:val="PageNumber"/>
      </w:rPr>
      <w:fldChar w:fldCharType="separate"/>
    </w:r>
    <w:r w:rsidR="00C3162B">
      <w:rPr>
        <w:rStyle w:val="PageNumber"/>
        <w:noProof/>
      </w:rPr>
      <w:t>1</w:t>
    </w:r>
    <w:r w:rsidR="00BB6F29">
      <w:rPr>
        <w:rStyle w:val="PageNumber"/>
      </w:rPr>
      <w:fldChar w:fldCharType="end"/>
    </w:r>
  </w:p>
  <w:p w14:paraId="2E6A4E21" w14:textId="77777777" w:rsidR="00BB6F29" w:rsidRDefault="00BB6F29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8AE619B" w14:textId="77777777" w:rsidR="000E65E0" w:rsidRDefault="000E65E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E6A4E0D" w14:textId="77777777" w:rsidR="00CC0C55" w:rsidRDefault="00CC0C55">
      <w:r>
        <w:separator/>
      </w:r>
    </w:p>
  </w:footnote>
  <w:footnote w:type="continuationSeparator" w:id="0">
    <w:p w14:paraId="2E6A4E0E" w14:textId="77777777" w:rsidR="00CC0C55" w:rsidRDefault="00CC0C5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506EAE6" w14:textId="77777777" w:rsidR="000E65E0" w:rsidRDefault="000E65E0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E6A4E12" w14:textId="77777777" w:rsidR="00BB6F29" w:rsidRDefault="000E65E0">
    <w:pPr>
      <w:pStyle w:val="Header"/>
      <w:shd w:val="clear" w:color="auto" w:fill="FFFFFF"/>
      <w:rPr>
        <w:sz w:val="16"/>
      </w:rPr>
    </w:pPr>
    <w:r>
      <w:rPr>
        <w:noProof/>
      </w:rPr>
      <w:pict w14:anchorId="2E6A4E24">
        <v:shapetype id="_x0000_t202" coordsize="21600,21600" o:spt="202" path="m,l,21600r21600,l21600,xe">
          <v:stroke joinstyle="miter"/>
          <v:path gradientshapeok="t" o:connecttype="rect"/>
        </v:shapetype>
        <v:shape id="_x0000_s1026" type="#_x0000_t202" style="position:absolute;margin-left:115pt;margin-top:.2pt;width:205pt;height:27pt;z-index:251654656" o:allowincell="f" fillcolor="#ddd">
          <v:textbox style="mso-next-textbox:#_x0000_s1026">
            <w:txbxContent>
              <w:p w14:paraId="2E6A4E2D" w14:textId="77777777" w:rsidR="00BB6F29" w:rsidRDefault="00C924DF">
                <w:pPr>
                  <w:pStyle w:val="Heading5"/>
                  <w:rPr>
                    <w:sz w:val="24"/>
                  </w:rPr>
                </w:pPr>
                <w:r>
                  <w:rPr>
                    <w:sz w:val="24"/>
                  </w:rPr>
                  <w:t>COSHH ASSESSMENT SHEET</w:t>
                </w:r>
              </w:p>
            </w:txbxContent>
          </v:textbox>
        </v:shape>
      </w:pict>
    </w:r>
  </w:p>
  <w:p w14:paraId="2E6A4E13" w14:textId="41CC6C7C" w:rsidR="00BB6F29" w:rsidRDefault="00BB6F29">
    <w:pPr>
      <w:pStyle w:val="Header"/>
      <w:rPr>
        <w:sz w:val="16"/>
      </w:rPr>
    </w:pPr>
  </w:p>
  <w:p w14:paraId="2E6A4E14" w14:textId="77777777" w:rsidR="00BB6F29" w:rsidRDefault="00BB6F29">
    <w:pPr>
      <w:pStyle w:val="Header"/>
      <w:rPr>
        <w:sz w:val="16"/>
      </w:rPr>
    </w:pPr>
  </w:p>
  <w:p w14:paraId="2E6A4E15" w14:textId="77777777" w:rsidR="00BB6F29" w:rsidRDefault="000E65E0">
    <w:pPr>
      <w:pStyle w:val="Header"/>
      <w:rPr>
        <w:sz w:val="16"/>
      </w:rPr>
    </w:pPr>
    <w:r>
      <w:rPr>
        <w:noProof/>
      </w:rPr>
      <w:pict w14:anchorId="2E6A4E27">
        <v:shape id="_x0000_s1028" type="#_x0000_t202" style="position:absolute;margin-left:200pt;margin-top:8.6pt;width:240pt;height:18pt;z-index:251656704" o:allowincell="f" fillcolor="#ddd">
          <v:textbox style="mso-next-textbox:#_x0000_s1028">
            <w:txbxContent>
              <w:p w14:paraId="2E6A4E2E" w14:textId="0A385839" w:rsidR="00BB6F29" w:rsidRDefault="00C924DF">
                <w:r>
                  <w:t>Si</w:t>
                </w:r>
                <w:r w:rsidR="00333BC1">
                  <w:t xml:space="preserve">te: </w:t>
                </w:r>
                <w:r w:rsidR="000E65E0">
                  <w:t>Plot E9 Development</w:t>
                </w:r>
              </w:p>
            </w:txbxContent>
          </v:textbox>
        </v:shape>
      </w:pict>
    </w:r>
    <w:r>
      <w:rPr>
        <w:noProof/>
      </w:rPr>
      <w:pict w14:anchorId="2E6A4E28">
        <v:shape id="_x0000_s1027" type="#_x0000_t202" style="position:absolute;margin-left:-4.95pt;margin-top:8.6pt;width:189.95pt;height:18pt;z-index:251655680" o:allowincell="f" fillcolor="#ddd">
          <v:textbox style="mso-next-textbox:#_x0000_s1027">
            <w:txbxContent>
              <w:p w14:paraId="2E6A4E2F" w14:textId="77777777" w:rsidR="00BB6F29" w:rsidRDefault="00C924DF">
                <w:pPr>
                  <w:rPr>
                    <w:rFonts w:ascii="Arial Black" w:hAnsi="Arial Black"/>
                  </w:rPr>
                </w:pPr>
                <w:r>
                  <w:t xml:space="preserve">Product: </w:t>
                </w:r>
                <w:r>
                  <w:rPr>
                    <w:rFonts w:cs="Arial"/>
                  </w:rPr>
                  <w:t>Bitumen</w:t>
                </w:r>
              </w:p>
            </w:txbxContent>
          </v:textbox>
        </v:shape>
      </w:pict>
    </w:r>
  </w:p>
  <w:p w14:paraId="2E6A4E16" w14:textId="77777777" w:rsidR="00BB6F29" w:rsidRDefault="00BB6F29">
    <w:pPr>
      <w:pStyle w:val="Header"/>
      <w:rPr>
        <w:sz w:val="16"/>
      </w:rPr>
    </w:pPr>
  </w:p>
  <w:p w14:paraId="2E6A4E17" w14:textId="77777777" w:rsidR="00BB6F29" w:rsidRDefault="00BB6F29">
    <w:pPr>
      <w:pStyle w:val="Header"/>
      <w:rPr>
        <w:sz w:val="16"/>
      </w:rPr>
    </w:pPr>
  </w:p>
  <w:p w14:paraId="2E6A4E18" w14:textId="77777777" w:rsidR="00BB6F29" w:rsidRDefault="00BB6F29">
    <w:pPr>
      <w:pStyle w:val="Header"/>
      <w:rPr>
        <w:sz w:val="16"/>
      </w:rPr>
    </w:pPr>
  </w:p>
  <w:p w14:paraId="2E6A4E19" w14:textId="77777777" w:rsidR="00BB6F29" w:rsidRDefault="000E65E0">
    <w:pPr>
      <w:pStyle w:val="Header"/>
      <w:rPr>
        <w:sz w:val="16"/>
      </w:rPr>
    </w:pPr>
    <w:r>
      <w:rPr>
        <w:noProof/>
      </w:rPr>
      <w:pict w14:anchorId="2E6A4E29">
        <v:shape id="_x0000_s1033" type="#_x0000_t202" style="position:absolute;margin-left:200pt;margin-top:1.85pt;width:240pt;height:18pt;z-index:251659776" o:allowincell="f" fillcolor="#ddd">
          <v:textbox style="mso-next-textbox:#_x0000_s1033">
            <w:txbxContent>
              <w:p w14:paraId="2E6A4E30" w14:textId="393A7AE7" w:rsidR="00BB6F29" w:rsidRDefault="00C924DF">
                <w:r>
                  <w:t xml:space="preserve">Assessment </w:t>
                </w:r>
                <w:proofErr w:type="gramStart"/>
                <w:r>
                  <w:t>by:</w:t>
                </w:r>
                <w:proofErr w:type="gramEnd"/>
                <w:r>
                  <w:t xml:space="preserve"> </w:t>
                </w:r>
                <w:r w:rsidR="000E65E0">
                  <w:t>Nathan Hunt</w:t>
                </w:r>
              </w:p>
            </w:txbxContent>
          </v:textbox>
        </v:shape>
      </w:pict>
    </w:r>
    <w:r>
      <w:rPr>
        <w:noProof/>
      </w:rPr>
      <w:pict w14:anchorId="2E6A4E2A">
        <v:shape id="_x0000_s1030" type="#_x0000_t202" style="position:absolute;margin-left:100pt;margin-top:1.85pt;width:85pt;height:18pt;z-index:251658752" o:allowincell="f" fillcolor="#ddd">
          <v:textbox style="mso-next-textbox:#_x0000_s1030">
            <w:txbxContent>
              <w:p w14:paraId="2E6A4E31" w14:textId="088A34ED" w:rsidR="00BB6F29" w:rsidRDefault="00333BC1">
                <w:r>
                  <w:t xml:space="preserve">Date: </w:t>
                </w:r>
                <w:r w:rsidR="000E65E0">
                  <w:t>10.03.20</w:t>
                </w:r>
                <w:r w:rsidR="00C924DF">
                  <w:t xml:space="preserve"> /20072007 2007</w:t>
                </w:r>
              </w:p>
            </w:txbxContent>
          </v:textbox>
        </v:shape>
      </w:pict>
    </w:r>
    <w:r>
      <w:rPr>
        <w:noProof/>
      </w:rPr>
      <w:pict w14:anchorId="2E6A4E2B">
        <v:shape id="_x0000_s1029" type="#_x0000_t202" style="position:absolute;margin-left:-5pt;margin-top:1.85pt;width:90pt;height:18pt;z-index:251657728" o:allowincell="f" fillcolor="#ddd">
          <v:textbox style="mso-next-textbox:#_x0000_s1029">
            <w:txbxContent>
              <w:p w14:paraId="2E6A4E32" w14:textId="77777777" w:rsidR="00BB6F29" w:rsidRDefault="00C924DF">
                <w:r>
                  <w:t>REF No: 004</w:t>
                </w:r>
              </w:p>
            </w:txbxContent>
          </v:textbox>
        </v:shape>
      </w:pict>
    </w:r>
  </w:p>
  <w:p w14:paraId="2E6A4E1A" w14:textId="77777777" w:rsidR="00BB6F29" w:rsidRDefault="00BB6F29">
    <w:pPr>
      <w:pStyle w:val="Header"/>
      <w:rPr>
        <w:sz w:val="16"/>
      </w:rPr>
    </w:pPr>
  </w:p>
  <w:p w14:paraId="2E6A4E1B" w14:textId="77777777" w:rsidR="00BB6F29" w:rsidRDefault="00BB6F29">
    <w:pPr>
      <w:pStyle w:val="Header"/>
    </w:pPr>
  </w:p>
  <w:p w14:paraId="2E6A4E1C" w14:textId="77777777" w:rsidR="00BB6F29" w:rsidRDefault="00BB6F29">
    <w:pPr>
      <w:pStyle w:val="Header"/>
    </w:pPr>
  </w:p>
  <w:p w14:paraId="2E6A4E1D" w14:textId="77777777" w:rsidR="00BB6F29" w:rsidRDefault="00BB6F29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374E1B2" w14:textId="77777777" w:rsidR="000E65E0" w:rsidRDefault="000E65E0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drawingGridHorizontalSpacing w:val="100"/>
  <w:displayHorizontalDrawingGridEvery w:val="2"/>
  <w:displayVerticalDrawingGridEvery w:val="2"/>
  <w:noPunctuationKerning/>
  <w:characterSpacingControl w:val="doNotCompress"/>
  <w:hdrShapeDefaults>
    <o:shapedefaults v:ext="edit" spidmax="2050">
      <o:colormru v:ext="edit" colors="#ddd"/>
      <o:colormenu v:ext="edit" fillcolor="#ddd" strokecolor="none"/>
    </o:shapedefaults>
    <o:shapelayout v:ext="edit">
      <o:idmap v:ext="edit" data="1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333BC1"/>
    <w:rsid w:val="000E65E0"/>
    <w:rsid w:val="00333BC1"/>
    <w:rsid w:val="00BB6F29"/>
    <w:rsid w:val="00C3162B"/>
    <w:rsid w:val="00C924DF"/>
    <w:rsid w:val="00CC0C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>
      <o:colormru v:ext="edit" colors="#ddd"/>
      <o:colormenu v:ext="edit" fillcolor="#ddd" strokecolor="none"/>
    </o:shapedefaults>
    <o:shapelayout v:ext="edit">
      <o:idmap v:ext="edit" data="2"/>
    </o:shapelayout>
  </w:shapeDefaults>
  <w:decimalSymbol w:val="."/>
  <w:listSeparator w:val=","/>
  <w14:docId w14:val="2E6A4DB1"/>
  <w15:docId w15:val="{40A05DD8-8C0C-4482-8B43-3DF52D606B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uiPriority="9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B6F29"/>
    <w:rPr>
      <w:rFonts w:ascii="Arial" w:hAnsi="Arial"/>
      <w:szCs w:val="24"/>
      <w:lang w:val="en-GB"/>
    </w:rPr>
  </w:style>
  <w:style w:type="paragraph" w:styleId="Heading1">
    <w:name w:val="heading 1"/>
    <w:basedOn w:val="Normal"/>
    <w:next w:val="Normal"/>
    <w:qFormat/>
    <w:rsid w:val="00BB6F29"/>
    <w:pPr>
      <w:keepNext/>
      <w:outlineLvl w:val="0"/>
    </w:pPr>
    <w:rPr>
      <w:b/>
      <w:bCs/>
    </w:rPr>
  </w:style>
  <w:style w:type="paragraph" w:styleId="Heading5">
    <w:name w:val="heading 5"/>
    <w:basedOn w:val="Normal"/>
    <w:next w:val="Normal"/>
    <w:qFormat/>
    <w:rsid w:val="00BB6F29"/>
    <w:pPr>
      <w:keepNext/>
      <w:jc w:val="center"/>
      <w:outlineLvl w:val="4"/>
    </w:pPr>
    <w:rPr>
      <w:b/>
      <w:sz w:val="22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semiHidden/>
    <w:rsid w:val="00BB6F29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semiHidden/>
    <w:rsid w:val="00BB6F29"/>
    <w:pPr>
      <w:tabs>
        <w:tab w:val="center" w:pos="4153"/>
        <w:tab w:val="right" w:pos="8306"/>
      </w:tabs>
    </w:pPr>
  </w:style>
  <w:style w:type="paragraph" w:styleId="BodyText">
    <w:name w:val="Body Text"/>
    <w:basedOn w:val="Normal"/>
    <w:semiHidden/>
    <w:rsid w:val="00BB6F29"/>
    <w:rPr>
      <w:b/>
      <w:bCs/>
    </w:rPr>
  </w:style>
  <w:style w:type="character" w:styleId="PageNumber">
    <w:name w:val="page number"/>
    <w:basedOn w:val="DefaultParagraphFont"/>
    <w:semiHidden/>
    <w:rsid w:val="00BB6F29"/>
  </w:style>
  <w:style w:type="paragraph" w:styleId="BalloonText">
    <w:name w:val="Balloon Text"/>
    <w:basedOn w:val="Normal"/>
    <w:link w:val="BalloonTextChar"/>
    <w:uiPriority w:val="99"/>
    <w:semiHidden/>
    <w:unhideWhenUsed/>
    <w:rsid w:val="00C3162B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3162B"/>
    <w:rPr>
      <w:rFonts w:ascii="Tahoma" w:hAnsi="Tahoma" w:cs="Tahoma"/>
      <w:sz w:val="16"/>
      <w:szCs w:val="16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wmf"/><Relationship Id="rId13" Type="http://schemas.openxmlformats.org/officeDocument/2006/relationships/header" Target="header2.xml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2.wmf"/><Relationship Id="rId12" Type="http://schemas.openxmlformats.org/officeDocument/2006/relationships/header" Target="header1.xml"/><Relationship Id="rId17" Type="http://schemas.openxmlformats.org/officeDocument/2006/relationships/footer" Target="footer3.xml"/><Relationship Id="rId2" Type="http://schemas.openxmlformats.org/officeDocument/2006/relationships/settings" Target="settings.xml"/><Relationship Id="rId16" Type="http://schemas.openxmlformats.org/officeDocument/2006/relationships/header" Target="header3.xml"/><Relationship Id="rId1" Type="http://schemas.openxmlformats.org/officeDocument/2006/relationships/styles" Target="styles.xml"/><Relationship Id="rId6" Type="http://schemas.openxmlformats.org/officeDocument/2006/relationships/image" Target="media/image1.wmf"/><Relationship Id="rId11" Type="http://schemas.openxmlformats.org/officeDocument/2006/relationships/image" Target="media/image6.wmf"/><Relationship Id="rId5" Type="http://schemas.openxmlformats.org/officeDocument/2006/relationships/endnotes" Target="endnotes.xml"/><Relationship Id="rId15" Type="http://schemas.openxmlformats.org/officeDocument/2006/relationships/footer" Target="footer2.xml"/><Relationship Id="rId10" Type="http://schemas.openxmlformats.org/officeDocument/2006/relationships/image" Target="media/image5.wmf"/><Relationship Id="rId19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image" Target="media/image4.wmf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328</Words>
  <Characters>1876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Exposure Limits</vt:lpstr>
    </vt:vector>
  </TitlesOfParts>
  <Company>Subterra</Company>
  <LinksUpToDate>false</LinksUpToDate>
  <CharactersWithSpaces>2200</CharactersWithSpaces>
  <SharedDoc>false</SharedDoc>
  <HLinks>
    <vt:vector size="12" baseType="variant">
      <vt:variant>
        <vt:i4>4128853</vt:i4>
      </vt:variant>
      <vt:variant>
        <vt:i4>1821</vt:i4>
      </vt:variant>
      <vt:variant>
        <vt:i4>1027</vt:i4>
      </vt:variant>
      <vt:variant>
        <vt:i4>1</vt:i4>
      </vt:variant>
      <vt:variant>
        <vt:lpwstr>BD06720_</vt:lpwstr>
      </vt:variant>
      <vt:variant>
        <vt:lpwstr/>
      </vt:variant>
      <vt:variant>
        <vt:i4>2293831</vt:i4>
      </vt:variant>
      <vt:variant>
        <vt:i4>2850</vt:i4>
      </vt:variant>
      <vt:variant>
        <vt:i4>1030</vt:i4>
      </vt:variant>
      <vt:variant>
        <vt:i4>1</vt:i4>
      </vt:variant>
      <vt:variant>
        <vt:lpwstr>SY00155_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Exposure Limits</dc:title>
  <dc:subject/>
  <dc:creator>Lynsey Page</dc:creator>
  <cp:keywords/>
  <dc:description/>
  <cp:lastModifiedBy>Hunt, Nathan</cp:lastModifiedBy>
  <cp:revision>2</cp:revision>
  <cp:lastPrinted>2010-07-05T15:43:00Z</cp:lastPrinted>
  <dcterms:created xsi:type="dcterms:W3CDTF">2020-03-10T14:09:00Z</dcterms:created>
  <dcterms:modified xsi:type="dcterms:W3CDTF">2020-03-10T14:09:00Z</dcterms:modified>
</cp:coreProperties>
</file>