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2D4E" w:rsidRPr="00B85094" w:rsidRDefault="00252D4E" w:rsidP="00252D4E"/>
    <w:tbl>
      <w:tblPr>
        <w:tblStyle w:val="TableGrid1"/>
        <w:tblW w:w="0" w:type="auto"/>
        <w:tblLook w:val="04A0" w:firstRow="1" w:lastRow="0" w:firstColumn="1" w:lastColumn="0" w:noHBand="0" w:noVBand="1"/>
      </w:tblPr>
      <w:tblGrid>
        <w:gridCol w:w="2875"/>
        <w:gridCol w:w="6475"/>
      </w:tblGrid>
      <w:tr w:rsidR="00252D4E" w:rsidRPr="00B85094" w:rsidTr="00BB7202">
        <w:tc>
          <w:tcPr>
            <w:tcW w:w="2875" w:type="dxa"/>
            <w:shd w:val="clear" w:color="auto" w:fill="D9D9D9" w:themeFill="background1" w:themeFillShade="D9"/>
          </w:tcPr>
          <w:p w:rsidR="00252D4E" w:rsidRPr="00B85094" w:rsidRDefault="00252D4E" w:rsidP="00BB7202">
            <w:pPr>
              <w:keepNext/>
              <w:keepLines/>
              <w:spacing w:before="240" w:after="0" w:line="240" w:lineRule="auto"/>
              <w:outlineLvl w:val="0"/>
              <w:rPr>
                <w:rFonts w:asciiTheme="majorHAnsi" w:eastAsiaTheme="majorEastAsia" w:hAnsiTheme="majorHAnsi" w:cstheme="majorBidi"/>
                <w:color w:val="2E74B5" w:themeColor="accent1" w:themeShade="BF"/>
                <w:sz w:val="32"/>
                <w:szCs w:val="32"/>
              </w:rPr>
            </w:pPr>
            <w:r w:rsidRPr="00B85094">
              <w:rPr>
                <w:rFonts w:asciiTheme="majorHAnsi" w:eastAsiaTheme="majorEastAsia" w:hAnsiTheme="majorHAnsi" w:cstheme="majorBidi"/>
                <w:color w:val="2E74B5" w:themeColor="accent1" w:themeShade="BF"/>
                <w:sz w:val="32"/>
                <w:szCs w:val="32"/>
              </w:rPr>
              <w:t>Student Name:</w:t>
            </w:r>
          </w:p>
        </w:tc>
        <w:tc>
          <w:tcPr>
            <w:tcW w:w="6475" w:type="dxa"/>
          </w:tcPr>
          <w:p w:rsidR="00252D4E" w:rsidRPr="00B85094" w:rsidRDefault="00252D4E" w:rsidP="00BB7202">
            <w:pPr>
              <w:keepNext/>
              <w:keepLines/>
              <w:spacing w:before="240" w:after="0" w:line="240" w:lineRule="auto"/>
              <w:outlineLvl w:val="0"/>
              <w:rPr>
                <w:rFonts w:asciiTheme="majorHAnsi" w:eastAsiaTheme="majorEastAsia" w:hAnsiTheme="majorHAnsi" w:cstheme="majorBidi"/>
                <w:color w:val="2E74B5" w:themeColor="accent1" w:themeShade="BF"/>
                <w:sz w:val="32"/>
                <w:szCs w:val="32"/>
              </w:rPr>
            </w:pPr>
            <w:proofErr w:type="spellStart"/>
            <w:r w:rsidRPr="00B85094">
              <w:rPr>
                <w:rFonts w:asciiTheme="majorHAnsi" w:eastAsiaTheme="majorEastAsia" w:hAnsiTheme="majorHAnsi" w:cstheme="majorBidi"/>
                <w:color w:val="2E74B5" w:themeColor="accent1" w:themeShade="BF"/>
                <w:sz w:val="32"/>
                <w:szCs w:val="32"/>
              </w:rPr>
              <w:t>Aleksandrs</w:t>
            </w:r>
            <w:proofErr w:type="spellEnd"/>
            <w:r w:rsidRPr="00B85094">
              <w:rPr>
                <w:rFonts w:asciiTheme="majorHAnsi" w:eastAsiaTheme="majorEastAsia" w:hAnsiTheme="majorHAnsi" w:cstheme="majorBidi"/>
                <w:color w:val="2E74B5" w:themeColor="accent1" w:themeShade="BF"/>
                <w:sz w:val="32"/>
                <w:szCs w:val="32"/>
              </w:rPr>
              <w:t xml:space="preserve"> </w:t>
            </w:r>
            <w:proofErr w:type="spellStart"/>
            <w:r w:rsidRPr="00B85094">
              <w:rPr>
                <w:rFonts w:asciiTheme="majorHAnsi" w:eastAsiaTheme="majorEastAsia" w:hAnsiTheme="majorHAnsi" w:cstheme="majorBidi"/>
                <w:color w:val="2E74B5" w:themeColor="accent1" w:themeShade="BF"/>
                <w:sz w:val="32"/>
                <w:szCs w:val="32"/>
              </w:rPr>
              <w:t>Pliseckis</w:t>
            </w:r>
            <w:proofErr w:type="spellEnd"/>
          </w:p>
        </w:tc>
      </w:tr>
      <w:tr w:rsidR="00252D4E" w:rsidRPr="00B85094" w:rsidTr="00BB7202">
        <w:tc>
          <w:tcPr>
            <w:tcW w:w="2875" w:type="dxa"/>
            <w:shd w:val="clear" w:color="auto" w:fill="D9D9D9" w:themeFill="background1" w:themeFillShade="D9"/>
          </w:tcPr>
          <w:p w:rsidR="00252D4E" w:rsidRPr="00B85094" w:rsidRDefault="00252D4E" w:rsidP="00BB7202">
            <w:pPr>
              <w:keepNext/>
              <w:keepLines/>
              <w:spacing w:before="240" w:after="0" w:line="240" w:lineRule="auto"/>
              <w:outlineLvl w:val="0"/>
              <w:rPr>
                <w:rFonts w:asciiTheme="majorHAnsi" w:eastAsiaTheme="majorEastAsia" w:hAnsiTheme="majorHAnsi" w:cstheme="majorBidi"/>
                <w:color w:val="2E74B5" w:themeColor="accent1" w:themeShade="BF"/>
                <w:sz w:val="32"/>
                <w:szCs w:val="32"/>
              </w:rPr>
            </w:pPr>
            <w:r w:rsidRPr="00B85094">
              <w:rPr>
                <w:rFonts w:asciiTheme="majorHAnsi" w:eastAsiaTheme="majorEastAsia" w:hAnsiTheme="majorHAnsi" w:cstheme="majorBidi"/>
                <w:color w:val="2E74B5" w:themeColor="accent1" w:themeShade="BF"/>
                <w:sz w:val="32"/>
                <w:szCs w:val="32"/>
              </w:rPr>
              <w:t>Student Number:</w:t>
            </w:r>
          </w:p>
        </w:tc>
        <w:tc>
          <w:tcPr>
            <w:tcW w:w="6475" w:type="dxa"/>
          </w:tcPr>
          <w:p w:rsidR="00252D4E" w:rsidRPr="00B85094" w:rsidRDefault="00252D4E" w:rsidP="00BB7202">
            <w:pPr>
              <w:keepNext/>
              <w:keepLines/>
              <w:spacing w:before="240" w:after="0" w:line="240" w:lineRule="auto"/>
              <w:outlineLvl w:val="0"/>
              <w:rPr>
                <w:rFonts w:asciiTheme="majorHAnsi" w:eastAsiaTheme="majorEastAsia" w:hAnsiTheme="majorHAnsi" w:cstheme="majorBidi"/>
                <w:color w:val="2E74B5" w:themeColor="accent1" w:themeShade="BF"/>
                <w:sz w:val="32"/>
                <w:szCs w:val="32"/>
              </w:rPr>
            </w:pPr>
            <w:r w:rsidRPr="00B85094">
              <w:rPr>
                <w:rFonts w:asciiTheme="majorHAnsi" w:eastAsiaTheme="majorEastAsia" w:hAnsiTheme="majorHAnsi" w:cstheme="majorBidi"/>
                <w:color w:val="2E74B5" w:themeColor="accent1" w:themeShade="BF"/>
                <w:sz w:val="32"/>
                <w:szCs w:val="32"/>
              </w:rPr>
              <w:t>1814644</w:t>
            </w:r>
          </w:p>
        </w:tc>
      </w:tr>
      <w:tr w:rsidR="00252D4E" w:rsidRPr="00B85094" w:rsidTr="00BB7202">
        <w:tc>
          <w:tcPr>
            <w:tcW w:w="2875" w:type="dxa"/>
            <w:shd w:val="clear" w:color="auto" w:fill="D9D9D9" w:themeFill="background1" w:themeFillShade="D9"/>
          </w:tcPr>
          <w:p w:rsidR="00252D4E" w:rsidRPr="00B85094" w:rsidRDefault="00252D4E" w:rsidP="00BB7202">
            <w:pPr>
              <w:keepNext/>
              <w:keepLines/>
              <w:spacing w:before="240" w:after="0" w:line="240" w:lineRule="auto"/>
              <w:outlineLvl w:val="0"/>
              <w:rPr>
                <w:rFonts w:asciiTheme="majorHAnsi" w:eastAsiaTheme="majorEastAsia" w:hAnsiTheme="majorHAnsi" w:cstheme="majorBidi"/>
                <w:color w:val="2E74B5" w:themeColor="accent1" w:themeShade="BF"/>
                <w:sz w:val="32"/>
                <w:szCs w:val="32"/>
              </w:rPr>
            </w:pPr>
            <w:r w:rsidRPr="00B85094">
              <w:rPr>
                <w:rFonts w:asciiTheme="majorHAnsi" w:eastAsiaTheme="majorEastAsia" w:hAnsiTheme="majorHAnsi" w:cstheme="majorBidi"/>
                <w:color w:val="2E74B5" w:themeColor="accent1" w:themeShade="BF"/>
                <w:sz w:val="32"/>
                <w:szCs w:val="32"/>
              </w:rPr>
              <w:t>Module No:</w:t>
            </w:r>
          </w:p>
        </w:tc>
        <w:tc>
          <w:tcPr>
            <w:tcW w:w="6475" w:type="dxa"/>
          </w:tcPr>
          <w:p w:rsidR="00252D4E" w:rsidRPr="00B85094" w:rsidRDefault="004D2F37" w:rsidP="00BB7202">
            <w:pPr>
              <w:keepNext/>
              <w:keepLines/>
              <w:spacing w:before="240" w:after="0" w:line="240" w:lineRule="auto"/>
              <w:outlineLvl w:val="0"/>
              <w:rPr>
                <w:rFonts w:asciiTheme="majorHAnsi" w:eastAsiaTheme="majorEastAsia" w:hAnsiTheme="majorHAnsi" w:cstheme="majorBidi"/>
                <w:color w:val="2E74B5" w:themeColor="accent1" w:themeShade="BF"/>
                <w:sz w:val="32"/>
                <w:szCs w:val="32"/>
              </w:rPr>
            </w:pPr>
            <w:r>
              <w:rPr>
                <w:rFonts w:asciiTheme="majorHAnsi" w:eastAsiaTheme="majorEastAsia" w:hAnsiTheme="majorHAnsi" w:cstheme="majorBidi"/>
                <w:color w:val="2E74B5" w:themeColor="accent1" w:themeShade="BF"/>
                <w:sz w:val="32"/>
                <w:szCs w:val="32"/>
              </w:rPr>
              <w:t>BMHP5004</w:t>
            </w:r>
          </w:p>
        </w:tc>
      </w:tr>
      <w:tr w:rsidR="00252D4E" w:rsidRPr="00B85094" w:rsidTr="00BB7202">
        <w:tc>
          <w:tcPr>
            <w:tcW w:w="2875" w:type="dxa"/>
            <w:shd w:val="clear" w:color="auto" w:fill="D9D9D9" w:themeFill="background1" w:themeFillShade="D9"/>
          </w:tcPr>
          <w:p w:rsidR="00252D4E" w:rsidRPr="00B85094" w:rsidRDefault="00252D4E" w:rsidP="00BB7202">
            <w:pPr>
              <w:keepNext/>
              <w:keepLines/>
              <w:spacing w:before="240" w:after="0" w:line="240" w:lineRule="auto"/>
              <w:outlineLvl w:val="0"/>
              <w:rPr>
                <w:rFonts w:asciiTheme="majorHAnsi" w:eastAsiaTheme="majorEastAsia" w:hAnsiTheme="majorHAnsi" w:cstheme="majorBidi"/>
                <w:color w:val="2E74B5" w:themeColor="accent1" w:themeShade="BF"/>
                <w:sz w:val="32"/>
                <w:szCs w:val="32"/>
              </w:rPr>
            </w:pPr>
            <w:r w:rsidRPr="00B85094">
              <w:rPr>
                <w:rFonts w:asciiTheme="majorHAnsi" w:eastAsiaTheme="majorEastAsia" w:hAnsiTheme="majorHAnsi" w:cstheme="majorBidi"/>
                <w:color w:val="2E74B5" w:themeColor="accent1" w:themeShade="BF"/>
                <w:sz w:val="32"/>
                <w:szCs w:val="32"/>
              </w:rPr>
              <w:t>Module Title:</w:t>
            </w:r>
          </w:p>
          <w:p w:rsidR="00252D4E" w:rsidRPr="00B85094" w:rsidRDefault="00252D4E" w:rsidP="00BB7202">
            <w:pPr>
              <w:spacing w:after="0" w:line="240" w:lineRule="auto"/>
            </w:pPr>
          </w:p>
        </w:tc>
        <w:tc>
          <w:tcPr>
            <w:tcW w:w="6475" w:type="dxa"/>
          </w:tcPr>
          <w:p w:rsidR="00252D4E" w:rsidRPr="00B85094" w:rsidRDefault="004D2F37" w:rsidP="00BB7202">
            <w:pPr>
              <w:keepNext/>
              <w:keepLines/>
              <w:spacing w:before="240" w:after="0" w:line="240" w:lineRule="auto"/>
              <w:outlineLvl w:val="0"/>
              <w:rPr>
                <w:rFonts w:asciiTheme="majorHAnsi" w:eastAsiaTheme="majorEastAsia" w:hAnsiTheme="majorHAnsi" w:cstheme="majorBidi"/>
                <w:color w:val="2E74B5" w:themeColor="accent1" w:themeShade="BF"/>
                <w:sz w:val="32"/>
                <w:szCs w:val="32"/>
              </w:rPr>
            </w:pPr>
            <w:r>
              <w:rPr>
                <w:rFonts w:asciiTheme="majorHAnsi" w:eastAsiaTheme="majorEastAsia" w:hAnsiTheme="majorHAnsi" w:cstheme="majorBidi"/>
                <w:color w:val="2E74B5" w:themeColor="accent1" w:themeShade="BF"/>
                <w:sz w:val="32"/>
                <w:szCs w:val="32"/>
              </w:rPr>
              <w:t>Children, Young People and Families</w:t>
            </w:r>
          </w:p>
        </w:tc>
      </w:tr>
      <w:tr w:rsidR="007372C3" w:rsidRPr="00A02ABF" w:rsidTr="007372C3">
        <w:tc>
          <w:tcPr>
            <w:tcW w:w="2875" w:type="dxa"/>
          </w:tcPr>
          <w:p w:rsidR="007372C3" w:rsidRPr="00B85094" w:rsidRDefault="007372C3" w:rsidP="00AC5695">
            <w:pPr>
              <w:keepNext/>
              <w:keepLines/>
              <w:spacing w:before="240" w:after="0" w:line="240" w:lineRule="auto"/>
              <w:outlineLvl w:val="0"/>
              <w:rPr>
                <w:rFonts w:asciiTheme="majorHAnsi" w:eastAsiaTheme="majorEastAsia" w:hAnsiTheme="majorHAnsi" w:cstheme="majorBidi"/>
                <w:color w:val="2E74B5" w:themeColor="accent1" w:themeShade="BF"/>
                <w:sz w:val="32"/>
                <w:szCs w:val="32"/>
              </w:rPr>
            </w:pPr>
            <w:r>
              <w:rPr>
                <w:rFonts w:asciiTheme="majorHAnsi" w:eastAsiaTheme="majorEastAsia" w:hAnsiTheme="majorHAnsi" w:cstheme="majorBidi"/>
                <w:color w:val="2E74B5" w:themeColor="accent1" w:themeShade="BF"/>
                <w:sz w:val="32"/>
                <w:szCs w:val="32"/>
              </w:rPr>
              <w:t>Lecturer:</w:t>
            </w:r>
          </w:p>
        </w:tc>
        <w:tc>
          <w:tcPr>
            <w:tcW w:w="6475" w:type="dxa"/>
          </w:tcPr>
          <w:p w:rsidR="007372C3" w:rsidRPr="00A02ABF" w:rsidRDefault="007372C3" w:rsidP="00AC5695">
            <w:pPr>
              <w:keepNext/>
              <w:keepLines/>
              <w:spacing w:before="240" w:after="0" w:line="240" w:lineRule="auto"/>
              <w:outlineLvl w:val="0"/>
              <w:rPr>
                <w:rFonts w:asciiTheme="majorHAnsi" w:eastAsiaTheme="majorEastAsia" w:hAnsiTheme="majorHAnsi" w:cstheme="majorBidi"/>
                <w:color w:val="2E74B5" w:themeColor="accent1" w:themeShade="BF"/>
                <w:sz w:val="32"/>
                <w:szCs w:val="32"/>
              </w:rPr>
            </w:pPr>
            <w:r w:rsidRPr="00A02ABF">
              <w:rPr>
                <w:rFonts w:asciiTheme="majorHAnsi" w:eastAsiaTheme="majorEastAsia" w:hAnsiTheme="majorHAnsi" w:cstheme="majorBidi"/>
                <w:color w:val="2E74B5" w:themeColor="accent1" w:themeShade="BF"/>
                <w:sz w:val="32"/>
                <w:szCs w:val="32"/>
              </w:rPr>
              <w:t xml:space="preserve">Dr. </w:t>
            </w:r>
            <w:proofErr w:type="spellStart"/>
            <w:r w:rsidRPr="00A02ABF">
              <w:rPr>
                <w:rFonts w:asciiTheme="majorHAnsi" w:eastAsiaTheme="majorEastAsia" w:hAnsiTheme="majorHAnsi" w:cstheme="majorBidi"/>
                <w:color w:val="2E74B5" w:themeColor="accent1" w:themeShade="BF"/>
                <w:sz w:val="32"/>
                <w:szCs w:val="32"/>
              </w:rPr>
              <w:t>Gulnar</w:t>
            </w:r>
            <w:proofErr w:type="spellEnd"/>
            <w:r w:rsidRPr="00A02ABF">
              <w:rPr>
                <w:rFonts w:asciiTheme="majorHAnsi" w:eastAsiaTheme="majorEastAsia" w:hAnsiTheme="majorHAnsi" w:cstheme="majorBidi"/>
                <w:color w:val="2E74B5" w:themeColor="accent1" w:themeShade="BF"/>
                <w:sz w:val="32"/>
                <w:szCs w:val="32"/>
              </w:rPr>
              <w:t xml:space="preserve"> Ali</w:t>
            </w:r>
          </w:p>
        </w:tc>
      </w:tr>
    </w:tbl>
    <w:p w:rsidR="006B4142" w:rsidRDefault="006B4142"/>
    <w:p w:rsidR="00252D4E" w:rsidRDefault="00252D4E"/>
    <w:p w:rsidR="00252D4E" w:rsidRDefault="00252D4E"/>
    <w:p w:rsidR="00252D4E" w:rsidRDefault="00252D4E"/>
    <w:p w:rsidR="00252D4E" w:rsidRDefault="00252D4E"/>
    <w:p w:rsidR="00252D4E" w:rsidRDefault="00252D4E"/>
    <w:p w:rsidR="00252D4E" w:rsidRDefault="00252D4E"/>
    <w:p w:rsidR="00252D4E" w:rsidRDefault="00252D4E"/>
    <w:p w:rsidR="00252D4E" w:rsidRDefault="00252D4E"/>
    <w:p w:rsidR="00252D4E" w:rsidRDefault="00252D4E"/>
    <w:p w:rsidR="00252D4E" w:rsidRDefault="00252D4E"/>
    <w:p w:rsidR="00252D4E" w:rsidRDefault="00252D4E"/>
    <w:p w:rsidR="00252D4E" w:rsidRDefault="00252D4E"/>
    <w:p w:rsidR="00252D4E" w:rsidRDefault="00252D4E"/>
    <w:p w:rsidR="00252D4E" w:rsidRDefault="00252D4E"/>
    <w:p w:rsidR="00252D4E" w:rsidRDefault="00252D4E"/>
    <w:p w:rsidR="00252D4E" w:rsidRDefault="00252D4E"/>
    <w:p w:rsidR="00252D4E" w:rsidRDefault="00252D4E"/>
    <w:p w:rsidR="00252D4E" w:rsidRDefault="00252D4E"/>
    <w:p w:rsidR="00252D4E" w:rsidRDefault="00252D4E">
      <w:bookmarkStart w:id="0" w:name="_GoBack"/>
      <w:bookmarkEnd w:id="0"/>
    </w:p>
    <w:sdt>
      <w:sdtPr>
        <w:id w:val="-794837387"/>
        <w:docPartObj>
          <w:docPartGallery w:val="Table of Contents"/>
          <w:docPartUnique/>
        </w:docPartObj>
      </w:sdtPr>
      <w:sdtEndPr>
        <w:rPr>
          <w:b/>
          <w:bCs/>
          <w:noProof/>
        </w:rPr>
      </w:sdtEndPr>
      <w:sdtContent>
        <w:p w:rsidR="00252D4E" w:rsidRPr="00252D4E" w:rsidRDefault="00252D4E" w:rsidP="00252D4E">
          <w:pPr>
            <w:keepNext/>
            <w:keepLines/>
            <w:spacing w:before="240" w:after="0"/>
            <w:rPr>
              <w:rFonts w:asciiTheme="majorHAnsi" w:eastAsiaTheme="majorEastAsia" w:hAnsiTheme="majorHAnsi" w:cstheme="majorBidi"/>
              <w:color w:val="2E74B5" w:themeColor="accent1" w:themeShade="BF"/>
              <w:sz w:val="32"/>
              <w:szCs w:val="32"/>
            </w:rPr>
          </w:pPr>
          <w:r w:rsidRPr="00252D4E">
            <w:rPr>
              <w:rFonts w:asciiTheme="majorHAnsi" w:eastAsiaTheme="majorEastAsia" w:hAnsiTheme="majorHAnsi" w:cstheme="majorBidi"/>
              <w:color w:val="2E74B5" w:themeColor="accent1" w:themeShade="BF"/>
              <w:sz w:val="32"/>
              <w:szCs w:val="32"/>
            </w:rPr>
            <w:t>Table of Contents</w:t>
          </w:r>
        </w:p>
        <w:p w:rsidR="00252D4E" w:rsidRPr="00252D4E" w:rsidRDefault="00252D4E" w:rsidP="00252D4E">
          <w:pPr>
            <w:tabs>
              <w:tab w:val="right" w:leader="dot" w:pos="9350"/>
            </w:tabs>
            <w:spacing w:after="100" w:line="240" w:lineRule="auto"/>
            <w:rPr>
              <w:rFonts w:eastAsiaTheme="minorEastAsia"/>
              <w:noProof/>
            </w:rPr>
          </w:pPr>
          <w:r w:rsidRPr="00252D4E">
            <w:rPr>
              <w:b/>
              <w:bCs/>
              <w:noProof/>
            </w:rPr>
            <w:fldChar w:fldCharType="begin"/>
          </w:r>
          <w:r w:rsidRPr="00252D4E">
            <w:rPr>
              <w:b/>
              <w:bCs/>
              <w:noProof/>
            </w:rPr>
            <w:instrText xml:space="preserve"> TOC \o "1-3" \h \z \u </w:instrText>
          </w:r>
          <w:r w:rsidRPr="00252D4E">
            <w:rPr>
              <w:b/>
              <w:bCs/>
              <w:noProof/>
            </w:rPr>
            <w:fldChar w:fldCharType="separate"/>
          </w:r>
          <w:hyperlink w:anchor="_Toc39775648" w:history="1">
            <w:r w:rsidRPr="00252D4E">
              <w:rPr>
                <w:noProof/>
                <w:color w:val="0563C1" w:themeColor="hyperlink"/>
                <w:u w:val="single"/>
              </w:rPr>
              <w:t>Introduction</w:t>
            </w:r>
            <w:r w:rsidRPr="00252D4E">
              <w:rPr>
                <w:noProof/>
                <w:webHidden/>
              </w:rPr>
              <w:tab/>
            </w:r>
            <w:r w:rsidRPr="00252D4E">
              <w:rPr>
                <w:noProof/>
                <w:webHidden/>
              </w:rPr>
              <w:fldChar w:fldCharType="begin"/>
            </w:r>
            <w:r w:rsidRPr="00252D4E">
              <w:rPr>
                <w:noProof/>
                <w:webHidden/>
              </w:rPr>
              <w:instrText xml:space="preserve"> PAGEREF _Toc39775648 \h </w:instrText>
            </w:r>
            <w:r w:rsidRPr="00252D4E">
              <w:rPr>
                <w:noProof/>
                <w:webHidden/>
              </w:rPr>
            </w:r>
            <w:r w:rsidRPr="00252D4E">
              <w:rPr>
                <w:noProof/>
                <w:webHidden/>
              </w:rPr>
              <w:fldChar w:fldCharType="separate"/>
            </w:r>
            <w:r w:rsidRPr="00252D4E">
              <w:rPr>
                <w:noProof/>
                <w:webHidden/>
              </w:rPr>
              <w:t>2</w:t>
            </w:r>
            <w:r w:rsidRPr="00252D4E">
              <w:rPr>
                <w:noProof/>
                <w:webHidden/>
              </w:rPr>
              <w:fldChar w:fldCharType="end"/>
            </w:r>
          </w:hyperlink>
        </w:p>
        <w:p w:rsidR="00252D4E" w:rsidRPr="00252D4E" w:rsidRDefault="0077729E" w:rsidP="00252D4E">
          <w:pPr>
            <w:tabs>
              <w:tab w:val="right" w:leader="dot" w:pos="9350"/>
            </w:tabs>
            <w:spacing w:after="100" w:line="240" w:lineRule="auto"/>
            <w:rPr>
              <w:rFonts w:eastAsiaTheme="minorEastAsia"/>
              <w:noProof/>
            </w:rPr>
          </w:pPr>
          <w:hyperlink w:anchor="_Toc39775649" w:history="1">
            <w:r w:rsidR="00252D4E" w:rsidRPr="00252D4E">
              <w:rPr>
                <w:noProof/>
                <w:color w:val="0563C1" w:themeColor="hyperlink"/>
                <w:u w:val="single"/>
              </w:rPr>
              <w:t>Case Study</w:t>
            </w:r>
            <w:r w:rsidR="00252D4E" w:rsidRPr="00252D4E">
              <w:rPr>
                <w:noProof/>
                <w:webHidden/>
              </w:rPr>
              <w:tab/>
            </w:r>
            <w:r w:rsidR="00252D4E" w:rsidRPr="00252D4E">
              <w:rPr>
                <w:noProof/>
                <w:webHidden/>
              </w:rPr>
              <w:fldChar w:fldCharType="begin"/>
            </w:r>
            <w:r w:rsidR="00252D4E" w:rsidRPr="00252D4E">
              <w:rPr>
                <w:noProof/>
                <w:webHidden/>
              </w:rPr>
              <w:instrText xml:space="preserve"> PAGEREF _Toc39775649 \h </w:instrText>
            </w:r>
            <w:r w:rsidR="00252D4E" w:rsidRPr="00252D4E">
              <w:rPr>
                <w:noProof/>
                <w:webHidden/>
              </w:rPr>
            </w:r>
            <w:r w:rsidR="00252D4E" w:rsidRPr="00252D4E">
              <w:rPr>
                <w:noProof/>
                <w:webHidden/>
              </w:rPr>
              <w:fldChar w:fldCharType="separate"/>
            </w:r>
            <w:r w:rsidR="00252D4E" w:rsidRPr="00252D4E">
              <w:rPr>
                <w:noProof/>
                <w:webHidden/>
              </w:rPr>
              <w:t>3</w:t>
            </w:r>
            <w:r w:rsidR="00252D4E" w:rsidRPr="00252D4E">
              <w:rPr>
                <w:noProof/>
                <w:webHidden/>
              </w:rPr>
              <w:fldChar w:fldCharType="end"/>
            </w:r>
          </w:hyperlink>
        </w:p>
        <w:p w:rsidR="00252D4E" w:rsidRPr="00252D4E" w:rsidRDefault="0077729E" w:rsidP="00252D4E">
          <w:pPr>
            <w:tabs>
              <w:tab w:val="right" w:leader="dot" w:pos="9350"/>
            </w:tabs>
            <w:spacing w:after="100" w:line="240" w:lineRule="auto"/>
            <w:rPr>
              <w:rFonts w:eastAsiaTheme="minorEastAsia"/>
              <w:noProof/>
            </w:rPr>
          </w:pPr>
          <w:hyperlink w:anchor="_Toc39775650" w:history="1">
            <w:r w:rsidR="00252D4E" w:rsidRPr="00252D4E">
              <w:rPr>
                <w:noProof/>
                <w:color w:val="0563C1" w:themeColor="hyperlink"/>
                <w:u w:val="single"/>
              </w:rPr>
              <w:t>Analysis and evaluation</w:t>
            </w:r>
            <w:r w:rsidR="00252D4E" w:rsidRPr="00252D4E">
              <w:rPr>
                <w:noProof/>
                <w:webHidden/>
              </w:rPr>
              <w:tab/>
            </w:r>
            <w:r w:rsidR="00252D4E" w:rsidRPr="00252D4E">
              <w:rPr>
                <w:noProof/>
                <w:webHidden/>
              </w:rPr>
              <w:fldChar w:fldCharType="begin"/>
            </w:r>
            <w:r w:rsidR="00252D4E" w:rsidRPr="00252D4E">
              <w:rPr>
                <w:noProof/>
                <w:webHidden/>
              </w:rPr>
              <w:instrText xml:space="preserve"> PAGEREF _Toc39775650 \h </w:instrText>
            </w:r>
            <w:r w:rsidR="00252D4E" w:rsidRPr="00252D4E">
              <w:rPr>
                <w:noProof/>
                <w:webHidden/>
              </w:rPr>
            </w:r>
            <w:r w:rsidR="00252D4E" w:rsidRPr="00252D4E">
              <w:rPr>
                <w:noProof/>
                <w:webHidden/>
              </w:rPr>
              <w:fldChar w:fldCharType="separate"/>
            </w:r>
            <w:r w:rsidR="00252D4E" w:rsidRPr="00252D4E">
              <w:rPr>
                <w:noProof/>
                <w:webHidden/>
              </w:rPr>
              <w:t>3</w:t>
            </w:r>
            <w:r w:rsidR="00252D4E" w:rsidRPr="00252D4E">
              <w:rPr>
                <w:noProof/>
                <w:webHidden/>
              </w:rPr>
              <w:fldChar w:fldCharType="end"/>
            </w:r>
          </w:hyperlink>
        </w:p>
        <w:p w:rsidR="00252D4E" w:rsidRPr="00252D4E" w:rsidRDefault="0077729E" w:rsidP="00252D4E">
          <w:pPr>
            <w:tabs>
              <w:tab w:val="right" w:leader="dot" w:pos="9350"/>
            </w:tabs>
            <w:spacing w:after="100" w:line="240" w:lineRule="auto"/>
            <w:rPr>
              <w:rFonts w:eastAsiaTheme="minorEastAsia"/>
              <w:noProof/>
            </w:rPr>
          </w:pPr>
          <w:hyperlink w:anchor="_Toc39775651" w:history="1">
            <w:r w:rsidR="00252D4E" w:rsidRPr="00252D4E">
              <w:rPr>
                <w:noProof/>
                <w:color w:val="0563C1" w:themeColor="hyperlink"/>
                <w:u w:val="single"/>
              </w:rPr>
              <w:t>Conclusion</w:t>
            </w:r>
            <w:r w:rsidR="00252D4E" w:rsidRPr="00252D4E">
              <w:rPr>
                <w:noProof/>
                <w:webHidden/>
              </w:rPr>
              <w:tab/>
            </w:r>
            <w:r w:rsidR="00252D4E" w:rsidRPr="00252D4E">
              <w:rPr>
                <w:noProof/>
                <w:webHidden/>
              </w:rPr>
              <w:fldChar w:fldCharType="begin"/>
            </w:r>
            <w:r w:rsidR="00252D4E" w:rsidRPr="00252D4E">
              <w:rPr>
                <w:noProof/>
                <w:webHidden/>
              </w:rPr>
              <w:instrText xml:space="preserve"> PAGEREF _Toc39775651 \h </w:instrText>
            </w:r>
            <w:r w:rsidR="00252D4E" w:rsidRPr="00252D4E">
              <w:rPr>
                <w:noProof/>
                <w:webHidden/>
              </w:rPr>
            </w:r>
            <w:r w:rsidR="00252D4E" w:rsidRPr="00252D4E">
              <w:rPr>
                <w:noProof/>
                <w:webHidden/>
              </w:rPr>
              <w:fldChar w:fldCharType="separate"/>
            </w:r>
            <w:r w:rsidR="00252D4E" w:rsidRPr="00252D4E">
              <w:rPr>
                <w:noProof/>
                <w:webHidden/>
              </w:rPr>
              <w:t>6</w:t>
            </w:r>
            <w:r w:rsidR="00252D4E" w:rsidRPr="00252D4E">
              <w:rPr>
                <w:noProof/>
                <w:webHidden/>
              </w:rPr>
              <w:fldChar w:fldCharType="end"/>
            </w:r>
          </w:hyperlink>
        </w:p>
        <w:p w:rsidR="00252D4E" w:rsidRPr="00252D4E" w:rsidRDefault="0077729E" w:rsidP="00252D4E">
          <w:pPr>
            <w:tabs>
              <w:tab w:val="right" w:leader="dot" w:pos="9350"/>
            </w:tabs>
            <w:spacing w:after="100" w:line="240" w:lineRule="auto"/>
            <w:rPr>
              <w:rFonts w:eastAsiaTheme="minorEastAsia"/>
              <w:noProof/>
            </w:rPr>
          </w:pPr>
          <w:hyperlink w:anchor="_Toc39775652" w:history="1">
            <w:r w:rsidR="00252D4E" w:rsidRPr="00252D4E">
              <w:rPr>
                <w:noProof/>
                <w:color w:val="0563C1" w:themeColor="hyperlink"/>
                <w:u w:val="single"/>
              </w:rPr>
              <w:t>References</w:t>
            </w:r>
            <w:r w:rsidR="00252D4E" w:rsidRPr="00252D4E">
              <w:rPr>
                <w:noProof/>
                <w:webHidden/>
              </w:rPr>
              <w:tab/>
            </w:r>
            <w:r w:rsidR="00252D4E" w:rsidRPr="00252D4E">
              <w:rPr>
                <w:noProof/>
                <w:webHidden/>
              </w:rPr>
              <w:fldChar w:fldCharType="begin"/>
            </w:r>
            <w:r w:rsidR="00252D4E" w:rsidRPr="00252D4E">
              <w:rPr>
                <w:noProof/>
                <w:webHidden/>
              </w:rPr>
              <w:instrText xml:space="preserve"> PAGEREF _Toc39775652 \h </w:instrText>
            </w:r>
            <w:r w:rsidR="00252D4E" w:rsidRPr="00252D4E">
              <w:rPr>
                <w:noProof/>
                <w:webHidden/>
              </w:rPr>
            </w:r>
            <w:r w:rsidR="00252D4E" w:rsidRPr="00252D4E">
              <w:rPr>
                <w:noProof/>
                <w:webHidden/>
              </w:rPr>
              <w:fldChar w:fldCharType="separate"/>
            </w:r>
            <w:r w:rsidR="00252D4E" w:rsidRPr="00252D4E">
              <w:rPr>
                <w:noProof/>
                <w:webHidden/>
              </w:rPr>
              <w:t>7</w:t>
            </w:r>
            <w:r w:rsidR="00252D4E" w:rsidRPr="00252D4E">
              <w:rPr>
                <w:noProof/>
                <w:webHidden/>
              </w:rPr>
              <w:fldChar w:fldCharType="end"/>
            </w:r>
          </w:hyperlink>
        </w:p>
        <w:p w:rsidR="00252D4E" w:rsidRPr="00252D4E" w:rsidRDefault="00252D4E" w:rsidP="00252D4E">
          <w:pPr>
            <w:spacing w:after="0" w:line="240" w:lineRule="auto"/>
          </w:pPr>
          <w:r w:rsidRPr="00252D4E">
            <w:rPr>
              <w:b/>
              <w:bCs/>
              <w:noProof/>
            </w:rPr>
            <w:fldChar w:fldCharType="end"/>
          </w:r>
        </w:p>
      </w:sdtContent>
    </w:sdt>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rPr>
          <w:lang w:val="ru-RU"/>
        </w:rPr>
      </w:pPr>
    </w:p>
    <w:p w:rsidR="00252D4E" w:rsidRPr="00252D4E" w:rsidRDefault="00252D4E" w:rsidP="00252D4E">
      <w:pPr>
        <w:keepNext/>
        <w:keepLines/>
        <w:spacing w:before="240" w:after="0" w:line="240" w:lineRule="auto"/>
        <w:outlineLvl w:val="0"/>
        <w:rPr>
          <w:rFonts w:asciiTheme="majorHAnsi" w:eastAsiaTheme="majorEastAsia" w:hAnsiTheme="majorHAnsi" w:cstheme="majorBidi"/>
          <w:color w:val="2E74B5" w:themeColor="accent1" w:themeShade="BF"/>
          <w:sz w:val="32"/>
          <w:szCs w:val="32"/>
        </w:rPr>
      </w:pPr>
      <w:bookmarkStart w:id="1" w:name="_Toc39775648"/>
      <w:r w:rsidRPr="00252D4E">
        <w:rPr>
          <w:rFonts w:asciiTheme="majorHAnsi" w:eastAsiaTheme="majorEastAsia" w:hAnsiTheme="majorHAnsi" w:cstheme="majorBidi"/>
          <w:color w:val="2E74B5" w:themeColor="accent1" w:themeShade="BF"/>
          <w:sz w:val="32"/>
          <w:szCs w:val="32"/>
        </w:rPr>
        <w:lastRenderedPageBreak/>
        <w:t>Introduction</w:t>
      </w:r>
      <w:bookmarkEnd w:id="1"/>
    </w:p>
    <w:p w:rsidR="00252D4E" w:rsidRPr="00252D4E" w:rsidRDefault="00252D4E" w:rsidP="00252D4E">
      <w:pPr>
        <w:spacing w:after="0" w:line="240" w:lineRule="auto"/>
      </w:pPr>
    </w:p>
    <w:p w:rsidR="00252D4E" w:rsidRPr="00252D4E" w:rsidRDefault="00252D4E" w:rsidP="00252D4E">
      <w:pPr>
        <w:spacing w:after="0" w:line="240" w:lineRule="auto"/>
      </w:pPr>
      <w:r w:rsidRPr="00252D4E">
        <w:t xml:space="preserve">Children are one of the most vulnerable social groups. Based on the moral values of the modern person, every person, family, society and state is obliged to protect the rights of children. In accordance with the Human Rights Act 1998, fundamental rights </w:t>
      </w:r>
      <w:proofErr w:type="gramStart"/>
      <w:r w:rsidRPr="00252D4E">
        <w:t>are established</w:t>
      </w:r>
      <w:proofErr w:type="gramEnd"/>
      <w:r w:rsidRPr="00252D4E">
        <w:t xml:space="preserve"> for each person. A person has the right to life, health, freedom, education, security and </w:t>
      </w:r>
      <w:proofErr w:type="gramStart"/>
      <w:r w:rsidRPr="00252D4E">
        <w:t>is protected</w:t>
      </w:r>
      <w:proofErr w:type="gramEnd"/>
      <w:r w:rsidRPr="00252D4E">
        <w:t xml:space="preserve"> from discrimination. Parliament has developed and promulgated several special laws that protect children from abuse:</w:t>
      </w:r>
    </w:p>
    <w:p w:rsidR="00252D4E" w:rsidRPr="00252D4E" w:rsidRDefault="00252D4E" w:rsidP="00252D4E">
      <w:pPr>
        <w:numPr>
          <w:ilvl w:val="0"/>
          <w:numId w:val="1"/>
        </w:numPr>
        <w:spacing w:after="0" w:line="240" w:lineRule="auto"/>
        <w:contextualSpacing/>
      </w:pPr>
      <w:r w:rsidRPr="00252D4E">
        <w:t>Children Act 1989;</w:t>
      </w:r>
    </w:p>
    <w:p w:rsidR="00252D4E" w:rsidRPr="00252D4E" w:rsidRDefault="00252D4E" w:rsidP="00252D4E">
      <w:pPr>
        <w:numPr>
          <w:ilvl w:val="0"/>
          <w:numId w:val="1"/>
        </w:numPr>
        <w:spacing w:after="0" w:line="240" w:lineRule="auto"/>
        <w:contextualSpacing/>
      </w:pPr>
      <w:r w:rsidRPr="00252D4E">
        <w:t>Children Act 2004;</w:t>
      </w:r>
    </w:p>
    <w:p w:rsidR="00252D4E" w:rsidRPr="00252D4E" w:rsidRDefault="00252D4E" w:rsidP="00252D4E">
      <w:pPr>
        <w:numPr>
          <w:ilvl w:val="0"/>
          <w:numId w:val="1"/>
        </w:numPr>
        <w:spacing w:after="0" w:line="240" w:lineRule="auto"/>
        <w:contextualSpacing/>
      </w:pPr>
      <w:r w:rsidRPr="00252D4E">
        <w:t>Sexual Offences Act 2003;</w:t>
      </w:r>
    </w:p>
    <w:p w:rsidR="00252D4E" w:rsidRPr="00252D4E" w:rsidRDefault="00252D4E" w:rsidP="00252D4E">
      <w:pPr>
        <w:numPr>
          <w:ilvl w:val="0"/>
          <w:numId w:val="1"/>
        </w:numPr>
        <w:spacing w:after="0" w:line="240" w:lineRule="auto"/>
        <w:contextualSpacing/>
      </w:pPr>
      <w:r w:rsidRPr="00252D4E">
        <w:t>The Care Act;</w:t>
      </w:r>
    </w:p>
    <w:p w:rsidR="00252D4E" w:rsidRPr="00252D4E" w:rsidRDefault="00252D4E" w:rsidP="00252D4E">
      <w:pPr>
        <w:numPr>
          <w:ilvl w:val="0"/>
          <w:numId w:val="1"/>
        </w:numPr>
        <w:spacing w:after="0" w:line="240" w:lineRule="auto"/>
        <w:contextualSpacing/>
      </w:pPr>
      <w:r w:rsidRPr="00252D4E">
        <w:t>Children and Families Act 2014.</w:t>
      </w:r>
    </w:p>
    <w:p w:rsidR="00252D4E" w:rsidRPr="00252D4E" w:rsidRDefault="0077729E" w:rsidP="00252D4E">
      <w:pPr>
        <w:spacing w:after="0" w:line="240" w:lineRule="auto"/>
      </w:pPr>
      <w:hyperlink r:id="rId5" w:history="1">
        <w:r w:rsidR="00252D4E" w:rsidRPr="00252D4E">
          <w:rPr>
            <w:color w:val="0000FF"/>
            <w:u w:val="single"/>
          </w:rPr>
          <w:t>http://www.legislation.gov.uk/ukpga/1989/41/contents</w:t>
        </w:r>
      </w:hyperlink>
    </w:p>
    <w:p w:rsidR="00252D4E" w:rsidRPr="00252D4E" w:rsidRDefault="00252D4E" w:rsidP="00252D4E">
      <w:pPr>
        <w:spacing w:after="0" w:line="240" w:lineRule="auto"/>
      </w:pPr>
      <w:r w:rsidRPr="00252D4E">
        <w:t xml:space="preserve">The most common types of abuse are physical, emotional, sexual, neglects, </w:t>
      </w:r>
      <w:proofErr w:type="spellStart"/>
      <w:r w:rsidRPr="00252D4E">
        <w:t>radicalisation</w:t>
      </w:r>
      <w:proofErr w:type="spellEnd"/>
      <w:r w:rsidRPr="00252D4E">
        <w:t>, child trafficking (</w:t>
      </w:r>
      <w:proofErr w:type="spellStart"/>
      <w:r w:rsidRPr="00252D4E">
        <w:t>CareTech</w:t>
      </w:r>
      <w:proofErr w:type="spellEnd"/>
      <w:r w:rsidRPr="00252D4E">
        <w:t xml:space="preserve">, 2015, pp.92). One of the most vulnerable groups of children is children with disabilities and children from refugee families. According to studies by the World Health Organization, children with disabilities are 3.7 times more likely to be victims of violence </w:t>
      </w:r>
      <w:proofErr w:type="gramStart"/>
      <w:r w:rsidRPr="00252D4E">
        <w:t>than healthy children (WHO, 2020)</w:t>
      </w:r>
      <w:proofErr w:type="gramEnd"/>
      <w:r w:rsidRPr="00252D4E">
        <w:t>.</w:t>
      </w:r>
    </w:p>
    <w:p w:rsidR="00252D4E" w:rsidRPr="00252D4E" w:rsidRDefault="00252D4E" w:rsidP="00252D4E">
      <w:pPr>
        <w:spacing w:after="0" w:line="240" w:lineRule="auto"/>
      </w:pPr>
      <w:r w:rsidRPr="00252D4E">
        <w:t>This study discusses the causes of children's vulnerability. The article proposes to consider aspects of the lack of health care and social assistance for a child with a learning disability (living at residence home for vulnerable children).</w:t>
      </w: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keepNext/>
        <w:keepLines/>
        <w:spacing w:before="240" w:after="0" w:line="240" w:lineRule="auto"/>
        <w:outlineLvl w:val="0"/>
        <w:rPr>
          <w:rFonts w:asciiTheme="majorHAnsi" w:eastAsiaTheme="majorEastAsia" w:hAnsiTheme="majorHAnsi" w:cstheme="majorBidi"/>
          <w:color w:val="2E74B5" w:themeColor="accent1" w:themeShade="BF"/>
          <w:sz w:val="32"/>
          <w:szCs w:val="32"/>
        </w:rPr>
      </w:pPr>
      <w:bookmarkStart w:id="2" w:name="_Toc39775649"/>
      <w:r w:rsidRPr="00252D4E">
        <w:rPr>
          <w:rFonts w:asciiTheme="majorHAnsi" w:eastAsiaTheme="majorEastAsia" w:hAnsiTheme="majorHAnsi" w:cstheme="majorBidi"/>
          <w:color w:val="2E74B5" w:themeColor="accent1" w:themeShade="BF"/>
          <w:sz w:val="32"/>
          <w:szCs w:val="32"/>
        </w:rPr>
        <w:lastRenderedPageBreak/>
        <w:t>Case Study</w:t>
      </w:r>
      <w:bookmarkEnd w:id="2"/>
      <w:r w:rsidRPr="00252D4E">
        <w:rPr>
          <w:rFonts w:asciiTheme="majorHAnsi" w:eastAsiaTheme="majorEastAsia" w:hAnsiTheme="majorHAnsi" w:cstheme="majorBidi"/>
          <w:color w:val="2E74B5" w:themeColor="accent1" w:themeShade="BF"/>
          <w:sz w:val="32"/>
          <w:szCs w:val="32"/>
        </w:rPr>
        <w:t xml:space="preserve"> </w:t>
      </w:r>
    </w:p>
    <w:p w:rsidR="00252D4E" w:rsidRPr="00252D4E" w:rsidRDefault="00252D4E" w:rsidP="00252D4E">
      <w:pPr>
        <w:spacing w:after="0" w:line="240" w:lineRule="auto"/>
      </w:pPr>
    </w:p>
    <w:p w:rsidR="00252D4E" w:rsidRPr="00252D4E" w:rsidRDefault="00252D4E" w:rsidP="00252D4E">
      <w:pPr>
        <w:spacing w:after="0" w:line="240" w:lineRule="auto"/>
      </w:pPr>
      <w:r w:rsidRPr="00252D4E">
        <w:t>One of the common cases of difficulties in organizing the care of children with cerebral palsy is feeding, especially when the child does not communicate using speech and has some difficulties with movement. Children with this disorder have an increased risk of malnutrition due to feeding difficulties (</w:t>
      </w:r>
      <w:proofErr w:type="spellStart"/>
      <w:r w:rsidRPr="00252D4E">
        <w:t>Doncor</w:t>
      </w:r>
      <w:proofErr w:type="spellEnd"/>
      <w:r w:rsidRPr="00252D4E">
        <w:t>, 2019). This creates a dilemma when the views of doctors do not coincide with the views of parents on the best interests of the child. Both sides can see the abuse of neglect. Parents believe that maintaining a good quality of life for the child is their independent decision, despite the fact that the weight of the child is not normal.</w:t>
      </w:r>
    </w:p>
    <w:p w:rsidR="00252D4E" w:rsidRPr="00252D4E" w:rsidRDefault="00252D4E" w:rsidP="00252D4E">
      <w:pPr>
        <w:spacing w:after="0" w:line="240" w:lineRule="auto"/>
      </w:pPr>
      <w:r w:rsidRPr="00252D4E">
        <w:t xml:space="preserve">In order to make the best decision, arguments such as the net benefit and the potential harm from any action </w:t>
      </w:r>
      <w:proofErr w:type="gramStart"/>
      <w:r w:rsidRPr="00252D4E">
        <w:t>should be taken</w:t>
      </w:r>
      <w:proofErr w:type="gramEnd"/>
      <w:r w:rsidRPr="00252D4E">
        <w:t xml:space="preserve"> into account (NCBI-Greenberg, 2015). How can we solve the problem that is associated with the health of the child and with the ethical principle of autonomy and the ability to make independent decisions? Parents believe that their child should eat independently in the amount that he considers necessary. In this case, the child may not receive enough food and will be in danger of losing weight. Parents believe that their child’s health should not be at risk. In this case, the rights of the child are in conflict with the obligation of doctors to ensure healthy nutrition.</w:t>
      </w:r>
    </w:p>
    <w:p w:rsidR="00252D4E" w:rsidRPr="00252D4E" w:rsidRDefault="00252D4E" w:rsidP="00252D4E">
      <w:pPr>
        <w:spacing w:after="0" w:line="240" w:lineRule="auto"/>
      </w:pPr>
      <w:r w:rsidRPr="00252D4E">
        <w:t xml:space="preserve">As a result of losing weight, the doctor, as a professional, is obliged to protect the child and has taken actions to maintain health. In this case, parents suspect that their child </w:t>
      </w:r>
      <w:proofErr w:type="gramStart"/>
      <w:r w:rsidRPr="00252D4E">
        <w:t>is being abused</w:t>
      </w:r>
      <w:proofErr w:type="gramEnd"/>
      <w:r w:rsidRPr="00252D4E">
        <w:t xml:space="preserve"> and their rights are violated. On the other hand, the doctor may suspect violence by parents who endanger their child’s health. Parents leave their child in a special boarding school during working hours so that the staff takes maximum care. Parents little follow their staff work, but trust them. Their claims </w:t>
      </w:r>
      <w:proofErr w:type="gramStart"/>
      <w:r w:rsidRPr="00252D4E">
        <w:t>are directed</w:t>
      </w:r>
      <w:proofErr w:type="gramEnd"/>
      <w:r w:rsidRPr="00252D4E">
        <w:t xml:space="preserve"> to the doctor, who insists that their child should receive more food. Both parties believe that they act in the interests of the child and protect their rights (Sullivan, 2016).</w:t>
      </w:r>
    </w:p>
    <w:p w:rsidR="00252D4E" w:rsidRPr="00252D4E" w:rsidRDefault="00252D4E" w:rsidP="00252D4E">
      <w:pPr>
        <w:spacing w:after="0" w:line="240" w:lineRule="auto"/>
      </w:pPr>
    </w:p>
    <w:p w:rsidR="00252D4E" w:rsidRPr="00252D4E" w:rsidRDefault="00252D4E" w:rsidP="00252D4E">
      <w:pPr>
        <w:keepNext/>
        <w:keepLines/>
        <w:spacing w:before="240" w:after="0" w:line="240" w:lineRule="auto"/>
        <w:outlineLvl w:val="0"/>
        <w:rPr>
          <w:rFonts w:asciiTheme="majorHAnsi" w:eastAsiaTheme="majorEastAsia" w:hAnsiTheme="majorHAnsi" w:cstheme="majorBidi"/>
          <w:color w:val="2E74B5" w:themeColor="accent1" w:themeShade="BF"/>
          <w:sz w:val="32"/>
          <w:szCs w:val="32"/>
        </w:rPr>
      </w:pPr>
      <w:bookmarkStart w:id="3" w:name="_Toc39775650"/>
      <w:r w:rsidRPr="00252D4E">
        <w:rPr>
          <w:rFonts w:asciiTheme="majorHAnsi" w:eastAsiaTheme="majorEastAsia" w:hAnsiTheme="majorHAnsi" w:cstheme="majorBidi"/>
          <w:color w:val="2E74B5" w:themeColor="accent1" w:themeShade="BF"/>
          <w:sz w:val="32"/>
          <w:szCs w:val="32"/>
        </w:rPr>
        <w:t>Analysis and evaluation</w:t>
      </w:r>
      <w:bookmarkEnd w:id="3"/>
    </w:p>
    <w:p w:rsidR="00252D4E" w:rsidRPr="00252D4E" w:rsidRDefault="00252D4E" w:rsidP="00252D4E">
      <w:pPr>
        <w:spacing w:after="0" w:line="240" w:lineRule="auto"/>
      </w:pPr>
    </w:p>
    <w:p w:rsidR="00252D4E" w:rsidRPr="00252D4E" w:rsidRDefault="00252D4E" w:rsidP="00252D4E">
      <w:pPr>
        <w:spacing w:after="0" w:line="240" w:lineRule="auto"/>
      </w:pPr>
      <w:r w:rsidRPr="00252D4E">
        <w:t xml:space="preserve">To understand if there is a fact of child abuse, it is important to consider the nature of violence, the interests of children and the vulnerability of the family. According to the 2008 Law on Health and Welfare, “violence” </w:t>
      </w:r>
      <w:proofErr w:type="gramStart"/>
      <w:r w:rsidRPr="00252D4E">
        <w:t>is explained</w:t>
      </w:r>
      <w:proofErr w:type="gramEnd"/>
      <w:r w:rsidRPr="00252D4E">
        <w:t xml:space="preserve"> as any human behavior that constitutes an offense, including physical and psychological ill-treatment. (CQC, 2020). According to the National Society for the Prevention of Child Abuse: abuse takes various forms: physical, bullying, emotional or psychological, sexual neglect, radicalization, child trafficking. Neglect is a constant inability to meet the basic needs of the child. This is a common form of child abuse. If a child remains hungry, dirty, without shelter, care or medical care, this leads to long-term consequences for his well-being</w:t>
      </w:r>
    </w:p>
    <w:p w:rsidR="00252D4E" w:rsidRPr="00252D4E" w:rsidRDefault="00252D4E" w:rsidP="00252D4E">
      <w:pPr>
        <w:spacing w:after="0" w:line="240" w:lineRule="auto"/>
      </w:pPr>
      <w:r w:rsidRPr="00252D4E">
        <w:t xml:space="preserve">Under the Children and Youth Act of 2008, neglect is a criminal offense. (Parliamentary, </w:t>
      </w:r>
      <w:proofErr w:type="gramStart"/>
      <w:r w:rsidRPr="00252D4E">
        <w:t>2012 ,</w:t>
      </w:r>
      <w:proofErr w:type="gramEnd"/>
      <w:r w:rsidRPr="00252D4E">
        <w:t xml:space="preserve"> NSPCC, 2009, NHS, 2020). One of the reasons for neglect may be the fact that the parent or </w:t>
      </w:r>
      <w:proofErr w:type="spellStart"/>
      <w:r w:rsidRPr="00252D4E">
        <w:t>carer</w:t>
      </w:r>
      <w:proofErr w:type="spellEnd"/>
      <w:r w:rsidRPr="00252D4E">
        <w:t xml:space="preserve"> after the birth of the child is not able to provide himself with food or is not able to provide housing for himself and the </w:t>
      </w:r>
      <w:proofErr w:type="gramStart"/>
      <w:r w:rsidRPr="00252D4E">
        <w:t>child,</w:t>
      </w:r>
      <w:proofErr w:type="gramEnd"/>
      <w:r w:rsidRPr="00252D4E">
        <w:t xml:space="preserve"> cannot use adequate guardians to protect the child from harm. The definition of neglect </w:t>
      </w:r>
      <w:proofErr w:type="gramStart"/>
      <w:r w:rsidRPr="00252D4E">
        <w:t>is also described</w:t>
      </w:r>
      <w:proofErr w:type="gramEnd"/>
      <w:r w:rsidRPr="00252D4E">
        <w:t xml:space="preserve"> in the Children Act (1989) and shows abuse or neglect as part of a civil offense (Parliamentary, 2012, NSPCC, 2009).</w:t>
      </w:r>
    </w:p>
    <w:p w:rsidR="00252D4E" w:rsidRPr="00252D4E" w:rsidRDefault="00252D4E" w:rsidP="00252D4E">
      <w:pPr>
        <w:spacing w:after="0" w:line="240" w:lineRule="auto"/>
      </w:pPr>
      <w:r w:rsidRPr="00252D4E">
        <w:t xml:space="preserve">Unsatisfactory living conditions in which the child </w:t>
      </w:r>
      <w:proofErr w:type="gramStart"/>
      <w:r w:rsidRPr="00252D4E">
        <w:t>is forced</w:t>
      </w:r>
      <w:proofErr w:type="gramEnd"/>
      <w:r w:rsidRPr="00252D4E">
        <w:t xml:space="preserve"> to live adversely affects the whole seven as a whole. Failure to provide acceptable living conditions for the family and for the child leads to the vulnerability of the whole family. In this case, the significance of vulnerability lies in the inability to withstand the effects of an aggressive environment, including stress, disaster, </w:t>
      </w:r>
      <w:proofErr w:type="gramStart"/>
      <w:r w:rsidRPr="00252D4E">
        <w:t>shock</w:t>
      </w:r>
      <w:proofErr w:type="gramEnd"/>
      <w:r w:rsidRPr="00252D4E">
        <w:t xml:space="preserve">. The vulnerability of an adult puts the whole family in such a state. </w:t>
      </w:r>
      <w:proofErr w:type="gramStart"/>
      <w:r w:rsidRPr="00252D4E">
        <w:t>And</w:t>
      </w:r>
      <w:proofErr w:type="gramEnd"/>
      <w:r w:rsidRPr="00252D4E">
        <w:t xml:space="preserve"> the factors that put a family in a vulnerable position are based on adult vulnerability factors. This list of conditions includes medical conditions, poverty, </w:t>
      </w:r>
      <w:r w:rsidRPr="00252D4E">
        <w:lastRenderedPageBreak/>
        <w:t>single parents, unemployment of one or both parents or crime, domestic violence, racism, and other forms of discrimination (CSAT, 2009).</w:t>
      </w:r>
    </w:p>
    <w:p w:rsidR="00252D4E" w:rsidRPr="00252D4E" w:rsidRDefault="00252D4E" w:rsidP="00252D4E">
      <w:pPr>
        <w:spacing w:after="0" w:line="240" w:lineRule="auto"/>
      </w:pPr>
      <w:r w:rsidRPr="00252D4E">
        <w:t>The Office of the Children's Commissioner determined the basic type of definition of vulnerable children and included vulnerable children in groups:</w:t>
      </w:r>
    </w:p>
    <w:p w:rsidR="00252D4E" w:rsidRPr="00252D4E" w:rsidRDefault="00252D4E" w:rsidP="00252D4E">
      <w:pPr>
        <w:numPr>
          <w:ilvl w:val="0"/>
          <w:numId w:val="2"/>
        </w:numPr>
        <w:spacing w:after="0" w:line="240" w:lineRule="auto"/>
        <w:contextualSpacing/>
      </w:pPr>
      <w:r w:rsidRPr="00252D4E">
        <w:t>state-sponsored children, such as an offending institution, specialized boarding school, psychiatric hospitals, or other forms of government support;</w:t>
      </w:r>
    </w:p>
    <w:p w:rsidR="00252D4E" w:rsidRPr="00252D4E" w:rsidRDefault="00252D4E" w:rsidP="00252D4E">
      <w:pPr>
        <w:numPr>
          <w:ilvl w:val="0"/>
          <w:numId w:val="2"/>
        </w:numPr>
        <w:spacing w:after="0" w:line="240" w:lineRule="auto"/>
        <w:contextualSpacing/>
      </w:pPr>
      <w:r w:rsidRPr="00252D4E">
        <w:t>children with needs reflected in family circumstances - these are free school meals, homeless people, children in need;</w:t>
      </w:r>
    </w:p>
    <w:p w:rsidR="00252D4E" w:rsidRPr="00252D4E" w:rsidRDefault="00252D4E" w:rsidP="00252D4E">
      <w:pPr>
        <w:numPr>
          <w:ilvl w:val="0"/>
          <w:numId w:val="2"/>
        </w:numPr>
        <w:spacing w:after="0" w:line="240" w:lineRule="auto"/>
        <w:contextualSpacing/>
      </w:pPr>
      <w:r w:rsidRPr="00252D4E">
        <w:t>children with special educational needs who are assisted or supervised in accordance with the Children Act have a disability;</w:t>
      </w:r>
    </w:p>
    <w:p w:rsidR="00252D4E" w:rsidRPr="00252D4E" w:rsidRDefault="00252D4E" w:rsidP="00252D4E">
      <w:pPr>
        <w:numPr>
          <w:ilvl w:val="0"/>
          <w:numId w:val="2"/>
        </w:numPr>
        <w:spacing w:after="0" w:line="240" w:lineRule="auto"/>
        <w:contextualSpacing/>
      </w:pPr>
      <w:r w:rsidRPr="00252D4E">
        <w:t>children receiving public service as CAHMS may not have official statues;</w:t>
      </w:r>
    </w:p>
    <w:p w:rsidR="00252D4E" w:rsidRPr="00252D4E" w:rsidRDefault="00252D4E" w:rsidP="00252D4E">
      <w:pPr>
        <w:numPr>
          <w:ilvl w:val="0"/>
          <w:numId w:val="2"/>
        </w:numPr>
        <w:spacing w:after="0" w:line="240" w:lineRule="auto"/>
        <w:contextualSpacing/>
      </w:pPr>
      <w:proofErr w:type="gramStart"/>
      <w:r w:rsidRPr="00252D4E">
        <w:t>an</w:t>
      </w:r>
      <w:proofErr w:type="gramEnd"/>
      <w:r w:rsidRPr="00252D4E">
        <w:t xml:space="preserve"> informal type of vulnerability that is more associated with local agencies regarding CAHMS and families exposed to domestic violence.</w:t>
      </w:r>
    </w:p>
    <w:p w:rsidR="00252D4E" w:rsidRPr="00252D4E" w:rsidRDefault="00252D4E" w:rsidP="00252D4E">
      <w:pPr>
        <w:spacing w:after="0" w:line="240" w:lineRule="auto"/>
      </w:pPr>
      <w:r w:rsidRPr="00252D4E">
        <w:t xml:space="preserve">The next category relates to national family management policies and definitions of “dysfunctional families”. </w:t>
      </w:r>
      <w:proofErr w:type="gramStart"/>
      <w:r w:rsidRPr="00252D4E">
        <w:t>And</w:t>
      </w:r>
      <w:proofErr w:type="gramEnd"/>
      <w:r w:rsidRPr="00252D4E">
        <w:t xml:space="preserve"> the last group on academic bodies. According to the Children's Commissioner, the framework does not provide a clear definition of children's vulnerability. In practice, there are different frameworks for working with vulnerable children from different perspectives, such as social security, healthcare, and criminal justice. Some structures are in official status, the same is true for agencies or academic bodies (</w:t>
      </w:r>
      <w:proofErr w:type="spellStart"/>
      <w:r w:rsidRPr="00252D4E">
        <w:t>ChildrenCommissioner</w:t>
      </w:r>
      <w:proofErr w:type="spellEnd"/>
      <w:r w:rsidRPr="00252D4E">
        <w:t>, 2017).</w:t>
      </w:r>
    </w:p>
    <w:p w:rsidR="00252D4E" w:rsidRPr="00252D4E" w:rsidRDefault="00252D4E" w:rsidP="00252D4E">
      <w:pPr>
        <w:spacing w:after="0" w:line="240" w:lineRule="auto"/>
      </w:pPr>
      <w:r w:rsidRPr="00252D4E">
        <w:t xml:space="preserve">In the United Kingdom, the general decision of </w:t>
      </w:r>
      <w:proofErr w:type="gramStart"/>
      <w:r w:rsidRPr="00252D4E">
        <w:t>child care</w:t>
      </w:r>
      <w:proofErr w:type="gramEnd"/>
      <w:r w:rsidRPr="00252D4E">
        <w:t xml:space="preserve"> agencies to protect children is a strict consequence of the fact that state law maintains trust in the staff. The government changes the rules or updates them almost every year. Organizations working with children are constantly updating policies, following the principle of providing services, where one of the problem areas is children with disabilities, especially children who cannot express a desire or make a decision on their own. This area controlled by various representatives of the government and institutions: the Department of Health and Social Welfare, </w:t>
      </w:r>
      <w:proofErr w:type="spellStart"/>
      <w:r w:rsidRPr="00252D4E">
        <w:t>Ofsted</w:t>
      </w:r>
      <w:proofErr w:type="spellEnd"/>
      <w:r w:rsidRPr="00252D4E">
        <w:t xml:space="preserve">, the Commission on Quality of Health Care, NHS, and others. Since ordinary people with disabilities take medicines throughout their lives, this increases the vulnerability of the child depending on the type of drug and the strategy of administration, as well as covers other criminal liability and requires confidentiality from guardians. In most cases, the requirements that apply to staff during the employment process require appropriate qualifications. Care companies can provide training for staff (Walsh, 2011). For example, Care Tech Holding (2020) provides each new employee with a complete level 2 health and social </w:t>
      </w:r>
      <w:proofErr w:type="gramStart"/>
      <w:r w:rsidRPr="00252D4E">
        <w:t>care training</w:t>
      </w:r>
      <w:proofErr w:type="gramEnd"/>
      <w:r w:rsidRPr="00252D4E">
        <w:t xml:space="preserve"> package. </w:t>
      </w:r>
      <w:proofErr w:type="gramStart"/>
      <w:r w:rsidRPr="00252D4E">
        <w:t>Basically, this</w:t>
      </w:r>
      <w:proofErr w:type="gramEnd"/>
      <w:r w:rsidRPr="00252D4E">
        <w:t xml:space="preserve"> qualification contains regulatory requirements regarding protection, equality, and diversity, confidentiality and dignity, safety at the workplace, data protection. Improving employee competencies helps vulnerable children and adults exercise their rights. The second component is the policies and procedures that update at least annually. These updates take into account new legislation and new practices. Workers with a care role are required to update all this knowledge every year (</w:t>
      </w:r>
      <w:proofErr w:type="spellStart"/>
      <w:r w:rsidRPr="00252D4E">
        <w:t>CareTEch</w:t>
      </w:r>
      <w:proofErr w:type="spellEnd"/>
      <w:r w:rsidRPr="00252D4E">
        <w:t>, 2020).</w:t>
      </w:r>
    </w:p>
    <w:p w:rsidR="00252D4E" w:rsidRPr="00252D4E" w:rsidRDefault="00252D4E" w:rsidP="00252D4E">
      <w:pPr>
        <w:spacing w:after="0" w:line="240" w:lineRule="auto"/>
      </w:pPr>
      <w:proofErr w:type="gramStart"/>
      <w:r w:rsidRPr="00252D4E">
        <w:t>Taking into account children and young people with disabilities,</w:t>
      </w:r>
      <w:proofErr w:type="gramEnd"/>
      <w:r w:rsidRPr="00252D4E">
        <w:t xml:space="preserve"> </w:t>
      </w:r>
      <w:proofErr w:type="gramStart"/>
      <w:r w:rsidRPr="00252D4E">
        <w:t>it</w:t>
      </w:r>
      <w:proofErr w:type="gramEnd"/>
      <w:r w:rsidRPr="00252D4E">
        <w:t xml:space="preserve"> is important to look at the groups of main factors and causes that affect risk and protection. Disability created barriers in people's daily lives and reduced opportunities for participation in social activities. They feel isolated. This experience creates vulnerability and reduces confidence in their actions. Parents and professionals supporting children with serious disabilities can only understand </w:t>
      </w:r>
      <w:proofErr w:type="gramStart"/>
      <w:r w:rsidRPr="00252D4E">
        <w:t>on the basis of</w:t>
      </w:r>
      <w:proofErr w:type="gramEnd"/>
      <w:r w:rsidRPr="00252D4E">
        <w:t xml:space="preserve"> behavioral communication that the child feels clear. Risk factors of the second group are obstacles to the provision of services in the form of assistance provided. Children with serious health problems experience communication difficulties. It is difficult for these people to use transport. They do not always possess the necessary information. Many vulnerable children are from ethnic minorities or from migrant families. The financial situation of migrants also poses barriers to vulnerable children. As a result, this can lead to a lot of isolation. Children living in boarding schools, and parents who have difficulty visiting them regularly, maybe at risk </w:t>
      </w:r>
      <w:r w:rsidRPr="00252D4E">
        <w:lastRenderedPageBreak/>
        <w:t xml:space="preserve">and feel isolated due to less communication with loved ones. Communication with parents and loved ones gives the child a sense of security. </w:t>
      </w:r>
      <w:proofErr w:type="gramStart"/>
      <w:r w:rsidRPr="00252D4E">
        <w:t>And</w:t>
      </w:r>
      <w:proofErr w:type="gramEnd"/>
      <w:r w:rsidRPr="00252D4E">
        <w:t xml:space="preserve"> the child may be afraid of the consequences of their actions. Another part of this group of risk factors is communication barriers and obstacles that prevent one from seeking help. Vulnerable children may not know their rights, misunderstand their rights, or misunderstand what abuse is. They may not understand that they may ask for help. For example, each child has the opportunity to use the telephone helpline or physically seek help from the protection center. The child does not have the opportunity to talk with a trustee and ask for protection. Another group of risk factors is violations by children. A child may become addicted to other people or children. </w:t>
      </w:r>
      <w:proofErr w:type="gramStart"/>
      <w:r w:rsidRPr="00252D4E">
        <w:t>There are most support complexes related</w:t>
      </w:r>
      <w:proofErr w:type="gramEnd"/>
      <w:r w:rsidRPr="00252D4E">
        <w:t xml:space="preserve"> to personal hygiene. In fact, a child with mobility problems is not able to withstand violence. The last group of risk and protection factors is an identification barrier to protection. The need for a holistic approach requires taking into account the financial situation of parents and their physical condition. The lack of coordination between parents regarding the assessment of the well-being of the child also has a negative impact. Another factor is the reluctance to challenge parents and professionals (such as a teacher or doctor). Partnerships with care professionals are highly valued and effective in protecting children. Poor relationships between professionals can be a barrier to building trust with a child (Miller, 2014, CQC, 2015).</w:t>
      </w: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keepNext/>
        <w:keepLines/>
        <w:spacing w:before="240" w:after="0" w:line="240" w:lineRule="auto"/>
        <w:outlineLvl w:val="0"/>
        <w:rPr>
          <w:rFonts w:asciiTheme="majorHAnsi" w:eastAsiaTheme="majorEastAsia" w:hAnsiTheme="majorHAnsi" w:cstheme="majorBidi"/>
          <w:color w:val="2E74B5" w:themeColor="accent1" w:themeShade="BF"/>
          <w:sz w:val="32"/>
          <w:szCs w:val="32"/>
        </w:rPr>
      </w:pPr>
      <w:bookmarkStart w:id="4" w:name="_Toc39775651"/>
      <w:r w:rsidRPr="00252D4E">
        <w:rPr>
          <w:rFonts w:asciiTheme="majorHAnsi" w:eastAsiaTheme="majorEastAsia" w:hAnsiTheme="majorHAnsi" w:cstheme="majorBidi"/>
          <w:color w:val="2E74B5" w:themeColor="accent1" w:themeShade="BF"/>
          <w:sz w:val="32"/>
          <w:szCs w:val="32"/>
        </w:rPr>
        <w:lastRenderedPageBreak/>
        <w:t>Conclusion</w:t>
      </w:r>
      <w:bookmarkEnd w:id="4"/>
    </w:p>
    <w:p w:rsidR="003917B0" w:rsidRDefault="003917B0" w:rsidP="00252D4E">
      <w:pPr>
        <w:spacing w:after="0" w:line="240" w:lineRule="auto"/>
      </w:pPr>
    </w:p>
    <w:p w:rsidR="00252D4E" w:rsidRPr="00252D4E" w:rsidRDefault="00252D4E" w:rsidP="00252D4E">
      <w:pPr>
        <w:spacing w:after="0" w:line="240" w:lineRule="auto"/>
      </w:pPr>
      <w:r w:rsidRPr="00252D4E">
        <w:t xml:space="preserve">Vulnerable children( including with learning disabilities) need constant help from professionals to lead an independent life as much as possible. Children with learning disabilities are highly dependent on the level of care and support they receive. Negligence and violation of the rules of care do not contribute to the development of vulnerable children. Based on this work, we can conclude that in the UK the system of child protection and family vulnerability is constantly developing and enriching. All agencies involved in working with vulnerable children are responsible and take the necessary measures to prevent the risk of abuse. In order to make a better decision, it is important to take into account the benefits and possible harm. The legislation takes into account all risks that may violate children's rights. The vulnerability of children and families </w:t>
      </w:r>
      <w:proofErr w:type="gramStart"/>
      <w:r w:rsidRPr="00252D4E">
        <w:t>is taken</w:t>
      </w:r>
      <w:proofErr w:type="gramEnd"/>
      <w:r w:rsidRPr="00252D4E">
        <w:t xml:space="preserve"> into account by organizations providing care for vulnerable children. The NHS develops special techniques and trains staff to avoid adverse health effects.</w:t>
      </w: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spacing w:after="0" w:line="240" w:lineRule="auto"/>
      </w:pPr>
    </w:p>
    <w:p w:rsidR="00252D4E" w:rsidRPr="00252D4E" w:rsidRDefault="00252D4E" w:rsidP="00252D4E">
      <w:pPr>
        <w:keepNext/>
        <w:keepLines/>
        <w:spacing w:before="240" w:after="0" w:line="240" w:lineRule="auto"/>
        <w:outlineLvl w:val="0"/>
        <w:rPr>
          <w:rFonts w:asciiTheme="majorHAnsi" w:eastAsiaTheme="majorEastAsia" w:hAnsiTheme="majorHAnsi" w:cstheme="majorBidi"/>
          <w:color w:val="2E74B5" w:themeColor="accent1" w:themeShade="BF"/>
          <w:sz w:val="32"/>
          <w:szCs w:val="32"/>
        </w:rPr>
      </w:pPr>
      <w:bookmarkStart w:id="5" w:name="_Toc39775652"/>
      <w:r w:rsidRPr="00252D4E">
        <w:rPr>
          <w:rFonts w:asciiTheme="majorHAnsi" w:eastAsiaTheme="majorEastAsia" w:hAnsiTheme="majorHAnsi" w:cstheme="majorBidi"/>
          <w:color w:val="2E74B5" w:themeColor="accent1" w:themeShade="BF"/>
          <w:sz w:val="32"/>
          <w:szCs w:val="32"/>
        </w:rPr>
        <w:lastRenderedPageBreak/>
        <w:t>References</w:t>
      </w:r>
      <w:bookmarkEnd w:id="5"/>
    </w:p>
    <w:p w:rsidR="00252D4E" w:rsidRPr="00252D4E" w:rsidRDefault="00252D4E" w:rsidP="00252D4E">
      <w:pPr>
        <w:spacing w:after="0" w:line="240" w:lineRule="auto"/>
      </w:pPr>
    </w:p>
    <w:p w:rsidR="00252D4E" w:rsidRPr="00252D4E" w:rsidRDefault="00252D4E" w:rsidP="00252D4E">
      <w:pPr>
        <w:spacing w:after="0" w:line="240" w:lineRule="auto"/>
      </w:pPr>
      <w:proofErr w:type="spellStart"/>
      <w:r w:rsidRPr="00252D4E">
        <w:t>CareTech</w:t>
      </w:r>
      <w:proofErr w:type="spellEnd"/>
      <w:r w:rsidRPr="00252D4E">
        <w:t xml:space="preserve"> (2015) </w:t>
      </w:r>
      <w:r w:rsidRPr="00252D4E">
        <w:rPr>
          <w:i/>
        </w:rPr>
        <w:t xml:space="preserve">Care Tech Development </w:t>
      </w:r>
      <w:proofErr w:type="spellStart"/>
      <w:r w:rsidRPr="00252D4E">
        <w:rPr>
          <w:i/>
        </w:rPr>
        <w:t>Programme</w:t>
      </w:r>
      <w:proofErr w:type="spellEnd"/>
      <w:r w:rsidRPr="00252D4E">
        <w:rPr>
          <w:i/>
        </w:rPr>
        <w:t xml:space="preserve"> Knowledge book</w:t>
      </w:r>
      <w:r w:rsidRPr="00252D4E">
        <w:t>. Birmingham: Care Tech Community Services Ltd.</w:t>
      </w:r>
    </w:p>
    <w:p w:rsidR="00252D4E" w:rsidRPr="00252D4E" w:rsidRDefault="00252D4E" w:rsidP="00252D4E">
      <w:pPr>
        <w:spacing w:after="0" w:line="240" w:lineRule="auto"/>
      </w:pPr>
    </w:p>
    <w:p w:rsidR="00252D4E" w:rsidRPr="00252D4E" w:rsidRDefault="00252D4E" w:rsidP="00252D4E">
      <w:pPr>
        <w:spacing w:after="0" w:line="240" w:lineRule="auto"/>
      </w:pPr>
      <w:proofErr w:type="spellStart"/>
      <w:r w:rsidRPr="00252D4E">
        <w:t>CareTech</w:t>
      </w:r>
      <w:proofErr w:type="spellEnd"/>
      <w:r w:rsidRPr="00252D4E">
        <w:t xml:space="preserve"> (2020) </w:t>
      </w:r>
      <w:r w:rsidRPr="00252D4E">
        <w:rPr>
          <w:i/>
        </w:rPr>
        <w:t>Welcome to Care Tech. Care Tech Community Services Ltd</w:t>
      </w:r>
      <w:r w:rsidRPr="00252D4E">
        <w:t xml:space="preserve"> [online]. Available from: https://www.caretech-uk.com/ [Accessed 2/05/2020].</w:t>
      </w:r>
    </w:p>
    <w:p w:rsidR="00252D4E" w:rsidRPr="00252D4E" w:rsidRDefault="00252D4E" w:rsidP="00252D4E">
      <w:pPr>
        <w:spacing w:after="0" w:line="240" w:lineRule="auto"/>
      </w:pPr>
    </w:p>
    <w:p w:rsidR="00252D4E" w:rsidRPr="00252D4E" w:rsidRDefault="00252D4E" w:rsidP="00252D4E">
      <w:pPr>
        <w:spacing w:after="0" w:line="240" w:lineRule="auto"/>
      </w:pPr>
      <w:r w:rsidRPr="00252D4E">
        <w:t>Care Quality Commission (2015</w:t>
      </w:r>
      <w:r w:rsidRPr="00252D4E">
        <w:rPr>
          <w:i/>
        </w:rPr>
        <w:t>) Statement on CQC roles and responsibilities for safeguarding children and adults</w:t>
      </w:r>
      <w:r w:rsidRPr="00252D4E">
        <w:t>. London: CQC.</w:t>
      </w:r>
    </w:p>
    <w:p w:rsidR="00252D4E" w:rsidRPr="00252D4E" w:rsidRDefault="00252D4E" w:rsidP="00252D4E">
      <w:pPr>
        <w:spacing w:after="0" w:line="240" w:lineRule="auto"/>
      </w:pPr>
    </w:p>
    <w:p w:rsidR="00252D4E" w:rsidRPr="00252D4E" w:rsidRDefault="00252D4E" w:rsidP="00252D4E">
      <w:pPr>
        <w:spacing w:after="0" w:line="240" w:lineRule="auto"/>
      </w:pPr>
      <w:r w:rsidRPr="00252D4E">
        <w:t xml:space="preserve">Care Quality Commission (2020) </w:t>
      </w:r>
      <w:r w:rsidRPr="00252D4E">
        <w:rPr>
          <w:i/>
        </w:rPr>
        <w:t xml:space="preserve">Glossary of terms used. In the guidance for providers and managers. Care Quality Commission </w:t>
      </w:r>
      <w:r w:rsidRPr="00252D4E">
        <w:t>[</w:t>
      </w:r>
      <w:proofErr w:type="spellStart"/>
      <w:r w:rsidRPr="00252D4E">
        <w:t>onile</w:t>
      </w:r>
      <w:proofErr w:type="spellEnd"/>
      <w:r w:rsidRPr="00252D4E">
        <w:t>]. Available from: https://www.cqc.org.uk/guidance-providers/regulations-enforcement/glossary-terms-used-guidance-providers-managers   [Accessed 2/05/2020].</w:t>
      </w:r>
    </w:p>
    <w:p w:rsidR="00252D4E" w:rsidRPr="00252D4E" w:rsidRDefault="00252D4E" w:rsidP="00252D4E">
      <w:pPr>
        <w:spacing w:after="0" w:line="240" w:lineRule="auto"/>
      </w:pPr>
    </w:p>
    <w:p w:rsidR="00252D4E" w:rsidRPr="00252D4E" w:rsidRDefault="00252D4E" w:rsidP="00252D4E">
      <w:pPr>
        <w:spacing w:after="0" w:line="240" w:lineRule="auto"/>
      </w:pPr>
      <w:r w:rsidRPr="00252D4E">
        <w:t xml:space="preserve">Care Quality Commission (2020). </w:t>
      </w:r>
      <w:r w:rsidRPr="00252D4E">
        <w:rPr>
          <w:i/>
        </w:rPr>
        <w:t>Regulations for service providers and managers: relevant legislation</w:t>
      </w:r>
      <w:r w:rsidRPr="00252D4E">
        <w:t>. CQC [online].  Available from:</w:t>
      </w:r>
    </w:p>
    <w:p w:rsidR="00252D4E" w:rsidRPr="00252D4E" w:rsidRDefault="00252D4E" w:rsidP="00252D4E">
      <w:pPr>
        <w:spacing w:after="0" w:line="240" w:lineRule="auto"/>
      </w:pPr>
      <w:r w:rsidRPr="00252D4E">
        <w:t>https://www.cqc.org.uk/guidance-providers/regulations-enforcement/regulations-service-providers-managers-relevant [Accessed 2/05/2020].</w:t>
      </w:r>
    </w:p>
    <w:p w:rsidR="00252D4E" w:rsidRPr="00252D4E" w:rsidRDefault="00252D4E" w:rsidP="00252D4E">
      <w:pPr>
        <w:spacing w:after="0" w:line="240" w:lineRule="auto"/>
      </w:pPr>
    </w:p>
    <w:p w:rsidR="00252D4E" w:rsidRPr="00252D4E" w:rsidRDefault="00252D4E" w:rsidP="00252D4E">
      <w:pPr>
        <w:spacing w:after="0" w:line="240" w:lineRule="auto"/>
      </w:pPr>
      <w:r w:rsidRPr="00252D4E">
        <w:t xml:space="preserve">Center for Substance Abuse Treatment. (2009) </w:t>
      </w:r>
      <w:r w:rsidRPr="00252D4E">
        <w:rPr>
          <w:i/>
        </w:rPr>
        <w:t>Substance Abuse Treatment: Addressing the Specific Needs of Women</w:t>
      </w:r>
      <w:r w:rsidRPr="00252D4E">
        <w:t>. Treatment Improvement Protocol (TIP) London: HHS Publication</w:t>
      </w:r>
    </w:p>
    <w:p w:rsidR="00252D4E" w:rsidRPr="00252D4E" w:rsidRDefault="00252D4E" w:rsidP="00252D4E">
      <w:pPr>
        <w:spacing w:after="0" w:line="240" w:lineRule="auto"/>
      </w:pPr>
    </w:p>
    <w:p w:rsidR="00252D4E" w:rsidRPr="00252D4E" w:rsidRDefault="00252D4E" w:rsidP="00252D4E">
      <w:pPr>
        <w:spacing w:after="0" w:line="240" w:lineRule="auto"/>
      </w:pPr>
      <w:r w:rsidRPr="00252D4E">
        <w:t xml:space="preserve">Children Commissioner (2017) </w:t>
      </w:r>
      <w:r w:rsidRPr="00252D4E">
        <w:rPr>
          <w:i/>
        </w:rPr>
        <w:t>Defining child vulnerability: Definition, Frameworks and groups. UK</w:t>
      </w:r>
      <w:r w:rsidRPr="00252D4E">
        <w:t xml:space="preserve">; </w:t>
      </w:r>
      <w:proofErr w:type="spellStart"/>
      <w:r w:rsidRPr="00252D4E">
        <w:t>Cordis</w:t>
      </w:r>
      <w:proofErr w:type="spellEnd"/>
      <w:r w:rsidRPr="00252D4E">
        <w:t xml:space="preserve"> Bright.</w:t>
      </w:r>
    </w:p>
    <w:p w:rsidR="00252D4E" w:rsidRPr="00252D4E" w:rsidRDefault="00252D4E" w:rsidP="00252D4E">
      <w:pPr>
        <w:spacing w:after="0" w:line="240" w:lineRule="auto"/>
      </w:pPr>
    </w:p>
    <w:p w:rsidR="00252D4E" w:rsidRPr="00252D4E" w:rsidRDefault="00252D4E" w:rsidP="00252D4E">
      <w:pPr>
        <w:spacing w:after="0" w:line="240" w:lineRule="auto"/>
      </w:pPr>
      <w:proofErr w:type="spellStart"/>
      <w:r w:rsidRPr="00252D4E">
        <w:t>Donkor</w:t>
      </w:r>
      <w:proofErr w:type="spellEnd"/>
      <w:r w:rsidRPr="00252D4E">
        <w:t xml:space="preserve">, C. M., Lee, J., </w:t>
      </w:r>
      <w:proofErr w:type="spellStart"/>
      <w:r w:rsidRPr="00252D4E">
        <w:t>Lelijveld</w:t>
      </w:r>
      <w:proofErr w:type="spellEnd"/>
      <w:r w:rsidRPr="00252D4E">
        <w:t xml:space="preserve">, N., Adams, M., </w:t>
      </w:r>
      <w:proofErr w:type="spellStart"/>
      <w:r w:rsidRPr="00252D4E">
        <w:t>Baltussen</w:t>
      </w:r>
      <w:proofErr w:type="spellEnd"/>
      <w:r w:rsidRPr="00252D4E">
        <w:t xml:space="preserve">, M. M., </w:t>
      </w:r>
      <w:proofErr w:type="spellStart"/>
      <w:r w:rsidRPr="00252D4E">
        <w:t>Keras</w:t>
      </w:r>
      <w:proofErr w:type="spellEnd"/>
      <w:r w:rsidRPr="00252D4E">
        <w:t xml:space="preserve">, M., </w:t>
      </w:r>
      <w:proofErr w:type="spellStart"/>
      <w:r w:rsidRPr="00252D4E">
        <w:t>Nyante</w:t>
      </w:r>
      <w:proofErr w:type="spellEnd"/>
      <w:r w:rsidRPr="00252D4E">
        <w:t xml:space="preserve">, G. G., (2019) </w:t>
      </w:r>
      <w:r w:rsidRPr="00252D4E">
        <w:rPr>
          <w:i/>
        </w:rPr>
        <w:t xml:space="preserve">Improving nutritional status of children with Cerebral palsy: a qualitative study of caregiver experiences and community - based </w:t>
      </w:r>
      <w:proofErr w:type="spellStart"/>
      <w:r w:rsidRPr="00252D4E">
        <w:rPr>
          <w:i/>
        </w:rPr>
        <w:t>traning</w:t>
      </w:r>
      <w:proofErr w:type="spellEnd"/>
      <w:r w:rsidRPr="00252D4E">
        <w:rPr>
          <w:i/>
        </w:rPr>
        <w:t xml:space="preserve"> in Ghana</w:t>
      </w:r>
      <w:r w:rsidRPr="00252D4E">
        <w:t>. Food Science Nutrition. 7(1) pp.35 - 45.</w:t>
      </w:r>
    </w:p>
    <w:p w:rsidR="00252D4E" w:rsidRPr="00252D4E" w:rsidRDefault="00252D4E" w:rsidP="00252D4E">
      <w:pPr>
        <w:spacing w:after="0" w:line="240" w:lineRule="auto"/>
      </w:pPr>
    </w:p>
    <w:p w:rsidR="00252D4E" w:rsidRPr="00252D4E" w:rsidRDefault="00252D4E" w:rsidP="00252D4E">
      <w:pPr>
        <w:spacing w:after="0" w:line="240" w:lineRule="auto"/>
      </w:pPr>
      <w:r w:rsidRPr="00252D4E">
        <w:t>Greenberg, R. A., Weingarten, K., (2015</w:t>
      </w:r>
      <w:r w:rsidRPr="00252D4E">
        <w:rPr>
          <w:i/>
        </w:rPr>
        <w:t xml:space="preserve">) </w:t>
      </w:r>
      <w:proofErr w:type="gramStart"/>
      <w:r w:rsidRPr="00252D4E">
        <w:rPr>
          <w:i/>
        </w:rPr>
        <w:t>When</w:t>
      </w:r>
      <w:proofErr w:type="gramEnd"/>
      <w:r w:rsidRPr="00252D4E">
        <w:rPr>
          <w:i/>
        </w:rPr>
        <w:t xml:space="preserve"> health care professionals say “more” and parents say “enough”. </w:t>
      </w:r>
      <w:proofErr w:type="spellStart"/>
      <w:r w:rsidRPr="00252D4E">
        <w:t>Paediatr</w:t>
      </w:r>
      <w:proofErr w:type="spellEnd"/>
      <w:r w:rsidRPr="00252D4E">
        <w:t xml:space="preserve"> Child Health. </w:t>
      </w:r>
      <w:proofErr w:type="gramStart"/>
      <w:r w:rsidRPr="00252D4E">
        <w:t>20</w:t>
      </w:r>
      <w:proofErr w:type="gramEnd"/>
      <w:r w:rsidRPr="00252D4E">
        <w:t xml:space="preserve"> (3) pp.131-134.</w:t>
      </w:r>
    </w:p>
    <w:p w:rsidR="00252D4E" w:rsidRPr="00252D4E" w:rsidRDefault="00252D4E" w:rsidP="00252D4E">
      <w:pPr>
        <w:spacing w:after="0" w:line="240" w:lineRule="auto"/>
      </w:pPr>
    </w:p>
    <w:p w:rsidR="00252D4E" w:rsidRPr="00252D4E" w:rsidRDefault="00252D4E" w:rsidP="00252D4E">
      <w:pPr>
        <w:spacing w:after="0" w:line="240" w:lineRule="auto"/>
      </w:pPr>
      <w:r w:rsidRPr="00252D4E">
        <w:t xml:space="preserve">Miller, D., Brown, J., (2014) </w:t>
      </w:r>
      <w:proofErr w:type="gramStart"/>
      <w:r w:rsidRPr="00252D4E">
        <w:rPr>
          <w:i/>
        </w:rPr>
        <w:t>We</w:t>
      </w:r>
      <w:proofErr w:type="gramEnd"/>
      <w:r w:rsidRPr="00252D4E">
        <w:rPr>
          <w:i/>
        </w:rPr>
        <w:t xml:space="preserve"> have the right to be safe. Protection disabled children from abuse.</w:t>
      </w:r>
      <w:r w:rsidRPr="00252D4E">
        <w:t xml:space="preserve"> London: NSPCC.</w:t>
      </w:r>
    </w:p>
    <w:p w:rsidR="00252D4E" w:rsidRPr="00252D4E" w:rsidRDefault="00252D4E" w:rsidP="00252D4E">
      <w:pPr>
        <w:spacing w:after="0" w:line="240" w:lineRule="auto"/>
      </w:pPr>
    </w:p>
    <w:p w:rsidR="00252D4E" w:rsidRPr="00252D4E" w:rsidRDefault="00252D4E" w:rsidP="00252D4E">
      <w:pPr>
        <w:spacing w:after="0" w:line="240" w:lineRule="auto"/>
      </w:pPr>
      <w:r w:rsidRPr="00252D4E">
        <w:t xml:space="preserve">NHS (2020) </w:t>
      </w:r>
      <w:r w:rsidRPr="00252D4E">
        <w:rPr>
          <w:i/>
        </w:rPr>
        <w:t>Abuse and neglect of vulnerable adults</w:t>
      </w:r>
      <w:r w:rsidRPr="00252D4E">
        <w:t>. NHS [online].  Available from: https://www.nhs.uk/conditions/social-care-and-support-guide/help-from-social-services-and-charities/abuse-and-neglect-vulnerable-adults</w:t>
      </w:r>
      <w:proofErr w:type="gramStart"/>
      <w:r w:rsidRPr="00252D4E">
        <w:t>/  [</w:t>
      </w:r>
      <w:proofErr w:type="gramEnd"/>
      <w:r w:rsidRPr="00252D4E">
        <w:t>Accessed 2/05/2020].</w:t>
      </w:r>
    </w:p>
    <w:p w:rsidR="00252D4E" w:rsidRPr="00252D4E" w:rsidRDefault="00252D4E" w:rsidP="00252D4E">
      <w:pPr>
        <w:spacing w:after="0" w:line="240" w:lineRule="auto"/>
      </w:pPr>
    </w:p>
    <w:p w:rsidR="00252D4E" w:rsidRPr="00252D4E" w:rsidRDefault="00252D4E" w:rsidP="00252D4E">
      <w:pPr>
        <w:spacing w:after="0" w:line="240" w:lineRule="auto"/>
      </w:pPr>
      <w:r w:rsidRPr="00252D4E">
        <w:t xml:space="preserve">NSPCC (2009) </w:t>
      </w:r>
      <w:r w:rsidRPr="00252D4E">
        <w:rPr>
          <w:i/>
        </w:rPr>
        <w:t>Child protection fact sheet: The definition and signs of child abuse</w:t>
      </w:r>
      <w:r w:rsidRPr="00252D4E">
        <w:t>. London: NSPCC.</w:t>
      </w:r>
    </w:p>
    <w:p w:rsidR="00252D4E" w:rsidRPr="00252D4E" w:rsidRDefault="00252D4E" w:rsidP="00252D4E">
      <w:pPr>
        <w:spacing w:after="0" w:line="240" w:lineRule="auto"/>
      </w:pPr>
    </w:p>
    <w:p w:rsidR="00252D4E" w:rsidRPr="00252D4E" w:rsidRDefault="00252D4E" w:rsidP="00252D4E">
      <w:pPr>
        <w:spacing w:after="0" w:line="240" w:lineRule="auto"/>
      </w:pPr>
      <w:r w:rsidRPr="00252D4E">
        <w:t>Parliamentary (2012</w:t>
      </w:r>
      <w:r w:rsidRPr="00252D4E">
        <w:rPr>
          <w:i/>
        </w:rPr>
        <w:t>) Education committee - Fourth Report</w:t>
      </w:r>
      <w:r w:rsidRPr="00252D4E">
        <w:t>: Children first: the child protection system in England. Parliamentary [</w:t>
      </w:r>
      <w:proofErr w:type="spellStart"/>
      <w:r w:rsidRPr="00252D4E">
        <w:t>oline</w:t>
      </w:r>
      <w:proofErr w:type="spellEnd"/>
      <w:r w:rsidRPr="00252D4E">
        <w:t>]. Available from:</w:t>
      </w:r>
    </w:p>
    <w:p w:rsidR="00252D4E" w:rsidRPr="00252D4E" w:rsidRDefault="00252D4E" w:rsidP="00252D4E">
      <w:pPr>
        <w:spacing w:after="0" w:line="240" w:lineRule="auto"/>
      </w:pPr>
      <w:r w:rsidRPr="00252D4E">
        <w:t>https://publications.parliament.uk/pa/cm201213/cmselect/cmeduc/137/13705.htm [Accessed 2/05/2020].</w:t>
      </w:r>
    </w:p>
    <w:p w:rsidR="00252D4E" w:rsidRPr="00252D4E" w:rsidRDefault="00252D4E" w:rsidP="00252D4E">
      <w:pPr>
        <w:spacing w:after="0" w:line="240" w:lineRule="auto"/>
      </w:pPr>
    </w:p>
    <w:p w:rsidR="00252D4E" w:rsidRPr="00252D4E" w:rsidRDefault="00252D4E" w:rsidP="00252D4E">
      <w:pPr>
        <w:spacing w:after="0" w:line="240" w:lineRule="auto"/>
      </w:pPr>
      <w:r w:rsidRPr="00252D4E">
        <w:t xml:space="preserve">Sullivan, P., </w:t>
      </w:r>
      <w:proofErr w:type="spellStart"/>
      <w:r w:rsidRPr="00252D4E">
        <w:t>Papadopoulou</w:t>
      </w:r>
      <w:proofErr w:type="spellEnd"/>
      <w:r w:rsidRPr="00252D4E">
        <w:t xml:space="preserve">, A., (2016) </w:t>
      </w:r>
      <w:r w:rsidRPr="00252D4E">
        <w:rPr>
          <w:i/>
        </w:rPr>
        <w:t>Enteral Tube Feeding in Children with Cerebral Palsy - Ethical Considerations.</w:t>
      </w:r>
      <w:r w:rsidRPr="00252D4E">
        <w:t xml:space="preserve"> Phys Med </w:t>
      </w:r>
      <w:proofErr w:type="spellStart"/>
      <w:r w:rsidRPr="00252D4E">
        <w:t>Rehabit</w:t>
      </w:r>
      <w:proofErr w:type="spellEnd"/>
      <w:r w:rsidRPr="00252D4E">
        <w:t xml:space="preserve"> Int. 3(3) pp.1088.</w:t>
      </w:r>
    </w:p>
    <w:p w:rsidR="00252D4E" w:rsidRPr="00252D4E" w:rsidRDefault="00252D4E" w:rsidP="00252D4E">
      <w:pPr>
        <w:spacing w:after="0" w:line="240" w:lineRule="auto"/>
      </w:pPr>
    </w:p>
    <w:p w:rsidR="00252D4E" w:rsidRPr="00252D4E" w:rsidRDefault="00252D4E" w:rsidP="00252D4E">
      <w:pPr>
        <w:spacing w:after="0" w:line="240" w:lineRule="auto"/>
      </w:pPr>
      <w:r w:rsidRPr="00252D4E">
        <w:t xml:space="preserve">Walsh, M., Mitchell, A., Millar, E., Rowe, J., </w:t>
      </w:r>
      <w:proofErr w:type="spellStart"/>
      <w:r w:rsidRPr="00252D4E">
        <w:t>Greenhalgh</w:t>
      </w:r>
      <w:proofErr w:type="spellEnd"/>
      <w:r w:rsidRPr="00252D4E">
        <w:t>, L (2011</w:t>
      </w:r>
      <w:r w:rsidRPr="00252D4E">
        <w:rPr>
          <w:i/>
        </w:rPr>
        <w:t xml:space="preserve">) Health and Social Care Diplomas - Level </w:t>
      </w:r>
      <w:proofErr w:type="gramStart"/>
      <w:r w:rsidRPr="00252D4E">
        <w:rPr>
          <w:i/>
        </w:rPr>
        <w:t>3</w:t>
      </w:r>
      <w:proofErr w:type="gramEnd"/>
      <w:r w:rsidRPr="00252D4E">
        <w:t xml:space="preserve"> Candidate Handbook. Glasgow: Harper Collins Publishers.</w:t>
      </w:r>
    </w:p>
    <w:p w:rsidR="00252D4E" w:rsidRPr="00252D4E" w:rsidRDefault="00252D4E" w:rsidP="00252D4E">
      <w:pPr>
        <w:spacing w:after="0" w:line="240" w:lineRule="auto"/>
      </w:pPr>
    </w:p>
    <w:p w:rsidR="00252D4E" w:rsidRPr="00252D4E" w:rsidRDefault="00252D4E" w:rsidP="00252D4E">
      <w:pPr>
        <w:spacing w:after="0" w:line="240" w:lineRule="auto"/>
      </w:pPr>
      <w:r w:rsidRPr="00252D4E">
        <w:t xml:space="preserve">World Health Organization (2020) </w:t>
      </w:r>
      <w:r w:rsidRPr="00252D4E">
        <w:rPr>
          <w:i/>
        </w:rPr>
        <w:t>Violence against adults and children with disabilities</w:t>
      </w:r>
      <w:r w:rsidRPr="00252D4E">
        <w:t>. World Health Organization [online]. Available from: https://www.who.int/disabilities/violence/en/ [Accessed 2/05/2020].</w:t>
      </w:r>
    </w:p>
    <w:p w:rsidR="00252D4E" w:rsidRDefault="00252D4E"/>
    <w:sectPr w:rsidR="00252D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57D36BB"/>
    <w:multiLevelType w:val="hybridMultilevel"/>
    <w:tmpl w:val="BFF46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AD96228"/>
    <w:multiLevelType w:val="hybridMultilevel"/>
    <w:tmpl w:val="E79E5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7F2"/>
    <w:rsid w:val="00252D4E"/>
    <w:rsid w:val="002567F2"/>
    <w:rsid w:val="003917B0"/>
    <w:rsid w:val="004D2F37"/>
    <w:rsid w:val="006B4142"/>
    <w:rsid w:val="007372C3"/>
    <w:rsid w:val="007772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764530-1B68-4BB3-9383-DD8748BEB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2D4E"/>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252D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52D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legislation.gov.uk/ukpga/1989/41/conten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2413</Words>
  <Characters>13759</Characters>
  <Application>Microsoft Office Word</Application>
  <DocSecurity>0</DocSecurity>
  <Lines>114</Lines>
  <Paragraphs>32</Paragraphs>
  <ScaleCrop>false</ScaleCrop>
  <Company/>
  <LinksUpToDate>false</LinksUpToDate>
  <CharactersWithSpaces>16140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dc:creator>
  <cp:keywords/>
  <dc:description/>
  <cp:lastModifiedBy>Margarita</cp:lastModifiedBy>
  <cp:revision>6</cp:revision>
  <dcterms:created xsi:type="dcterms:W3CDTF">2020-05-07T19:36:00Z</dcterms:created>
  <dcterms:modified xsi:type="dcterms:W3CDTF">2020-05-07T19:46:00Z</dcterms:modified>
</cp:coreProperties>
</file>