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0E72C" w14:textId="780E93DC" w:rsidR="003C168D" w:rsidRDefault="00C168D6" w:rsidP="003E12AB">
      <w:pPr>
        <w:spacing w:after="400" w:line="360" w:lineRule="auto"/>
        <w:rPr>
          <w:rFonts w:ascii="Arial" w:eastAsia="Calibri" w:hAnsi="Arial" w:cs="Arial"/>
          <w:b/>
          <w:bCs/>
          <w:color w:val="000000" w:themeColor="text1"/>
          <w:sz w:val="32"/>
          <w:szCs w:val="32"/>
        </w:rPr>
      </w:pPr>
      <w:r w:rsidRPr="00CD33A8">
        <w:rPr>
          <w:rFonts w:asciiTheme="minorBidi" w:hAnsiTheme="minorBidi"/>
          <w:noProof/>
          <w:sz w:val="22"/>
        </w:rPr>
        <w:drawing>
          <wp:anchor distT="0" distB="0" distL="114300" distR="114300" simplePos="0" relativeHeight="251659264" behindDoc="0" locked="0" layoutInCell="1" allowOverlap="1" wp14:anchorId="624B6352" wp14:editId="012E1922">
            <wp:simplePos x="0" y="0"/>
            <wp:positionH relativeFrom="column">
              <wp:posOffset>0</wp:posOffset>
            </wp:positionH>
            <wp:positionV relativeFrom="paragraph">
              <wp:posOffset>601980</wp:posOffset>
            </wp:positionV>
            <wp:extent cx="1809750" cy="723900"/>
            <wp:effectExtent l="0" t="0" r="0" b="0"/>
            <wp:wrapSquare wrapText="bothSides"/>
            <wp:docPr id="2020982511" name="Picture 202098251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EA8CA3C" w14:textId="77777777" w:rsidR="003E12AB" w:rsidRDefault="003E12AB" w:rsidP="003E12AB">
      <w:pPr>
        <w:spacing w:after="400" w:line="360" w:lineRule="auto"/>
        <w:rPr>
          <w:rFonts w:ascii="Arial" w:eastAsia="Calibri" w:hAnsi="Arial" w:cs="Arial"/>
          <w:b/>
          <w:bCs/>
          <w:color w:val="000000" w:themeColor="text1"/>
          <w:sz w:val="32"/>
          <w:szCs w:val="32"/>
        </w:rPr>
      </w:pPr>
    </w:p>
    <w:p w14:paraId="37BABBF6" w14:textId="77777777" w:rsidR="003E12AB" w:rsidRDefault="003E12AB" w:rsidP="003E12AB">
      <w:pPr>
        <w:spacing w:after="400" w:line="360" w:lineRule="auto"/>
        <w:rPr>
          <w:rFonts w:ascii="Arial" w:eastAsia="Calibri" w:hAnsi="Arial" w:cs="Arial"/>
          <w:b/>
          <w:bCs/>
          <w:color w:val="000000" w:themeColor="text1"/>
          <w:sz w:val="32"/>
          <w:szCs w:val="32"/>
        </w:rPr>
      </w:pPr>
    </w:p>
    <w:p w14:paraId="7E4FA175" w14:textId="3005C099" w:rsidR="00432F44" w:rsidRPr="00CD33A8" w:rsidRDefault="00432F44" w:rsidP="00432F44">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Pr>
          <w:rFonts w:ascii="Arial" w:hAnsi="Arial" w:cs="Arial"/>
          <w:sz w:val="28"/>
          <w:szCs w:val="28"/>
          <w:lang w:val="nl-NL"/>
        </w:rPr>
        <w:t>Introduction to Public Health</w:t>
      </w:r>
    </w:p>
    <w:p w14:paraId="4FF209AD" w14:textId="549C4915" w:rsidR="00432F44" w:rsidRPr="00CD33A8" w:rsidRDefault="00432F44" w:rsidP="00432F44">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Pr>
          <w:rFonts w:ascii="Arial" w:hAnsi="Arial" w:cs="Arial"/>
          <w:sz w:val="28"/>
          <w:szCs w:val="28"/>
        </w:rPr>
        <w:t xml:space="preserve"> LCHS4008</w:t>
      </w:r>
    </w:p>
    <w:p w14:paraId="136A1B93" w14:textId="77777777" w:rsidR="00432F44" w:rsidRPr="00CD33A8" w:rsidRDefault="00432F44" w:rsidP="00432F44">
      <w:pPr>
        <w:tabs>
          <w:tab w:val="left" w:pos="6540"/>
        </w:tabs>
        <w:spacing w:line="360" w:lineRule="auto"/>
        <w:rPr>
          <w:rFonts w:ascii="Arial" w:hAnsi="Arial" w:cs="Arial"/>
          <w:b/>
          <w:bCs/>
          <w:sz w:val="28"/>
          <w:szCs w:val="28"/>
          <w:lang w:val="nl-NL"/>
        </w:rPr>
      </w:pPr>
    </w:p>
    <w:p w14:paraId="68B09531" w14:textId="5570D488" w:rsidR="00432F44" w:rsidRPr="00CD33A8" w:rsidRDefault="00432F44" w:rsidP="00432F44">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Pr>
          <w:rFonts w:ascii="Arial" w:hAnsi="Arial" w:cs="Arial"/>
          <w:sz w:val="28"/>
          <w:szCs w:val="28"/>
          <w:lang w:val="nl-NL"/>
        </w:rPr>
        <w:t xml:space="preserve"> Rachel Amon</w:t>
      </w:r>
    </w:p>
    <w:p w14:paraId="59585AE1" w14:textId="3B496AC0" w:rsidR="00432F44" w:rsidRPr="00CD33A8" w:rsidRDefault="00432F44" w:rsidP="00432F44">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Pr>
          <w:rFonts w:ascii="Arial" w:hAnsi="Arial" w:cs="Arial"/>
          <w:sz w:val="28"/>
          <w:szCs w:val="28"/>
          <w:lang w:val="nl-NL"/>
        </w:rPr>
        <w:t xml:space="preserve"> 2532272</w:t>
      </w:r>
    </w:p>
    <w:p w14:paraId="00A6892C" w14:textId="77777777" w:rsidR="003E12AB" w:rsidRDefault="003E12AB" w:rsidP="003E12AB">
      <w:pPr>
        <w:spacing w:after="400" w:line="360" w:lineRule="auto"/>
        <w:rPr>
          <w:rFonts w:ascii="Arial" w:eastAsia="Calibri" w:hAnsi="Arial" w:cs="Arial"/>
          <w:b/>
          <w:bCs/>
          <w:color w:val="000000" w:themeColor="text1"/>
          <w:sz w:val="32"/>
          <w:szCs w:val="32"/>
        </w:rPr>
      </w:pPr>
    </w:p>
    <w:p w14:paraId="7888AECD" w14:textId="77777777" w:rsidR="003E12AB" w:rsidRDefault="003E12AB" w:rsidP="003E12AB">
      <w:pPr>
        <w:spacing w:after="400" w:line="360" w:lineRule="auto"/>
        <w:rPr>
          <w:rFonts w:ascii="Arial" w:eastAsia="Calibri" w:hAnsi="Arial" w:cs="Arial"/>
          <w:b/>
          <w:bCs/>
          <w:color w:val="000000" w:themeColor="text1"/>
          <w:sz w:val="32"/>
          <w:szCs w:val="32"/>
        </w:rPr>
      </w:pPr>
    </w:p>
    <w:p w14:paraId="51D0AAB8" w14:textId="77777777" w:rsidR="003E12AB" w:rsidRDefault="003E12AB" w:rsidP="003E12AB">
      <w:pPr>
        <w:spacing w:after="400" w:line="360" w:lineRule="auto"/>
        <w:rPr>
          <w:rFonts w:ascii="Arial" w:eastAsia="Calibri" w:hAnsi="Arial" w:cs="Arial"/>
          <w:b/>
          <w:bCs/>
          <w:color w:val="000000" w:themeColor="text1"/>
          <w:sz w:val="32"/>
          <w:szCs w:val="32"/>
        </w:rPr>
      </w:pPr>
    </w:p>
    <w:p w14:paraId="48B12DC5" w14:textId="77777777" w:rsidR="003C168D" w:rsidRDefault="003C168D" w:rsidP="003C168D">
      <w:pPr>
        <w:spacing w:after="400" w:line="360" w:lineRule="auto"/>
        <w:jc w:val="center"/>
        <w:rPr>
          <w:rFonts w:ascii="Arial" w:eastAsia="Calibri" w:hAnsi="Arial" w:cs="Arial"/>
          <w:b/>
          <w:bCs/>
          <w:color w:val="000000" w:themeColor="text1"/>
          <w:sz w:val="32"/>
          <w:szCs w:val="32"/>
        </w:rPr>
      </w:pPr>
    </w:p>
    <w:p w14:paraId="5035AD8A" w14:textId="77777777" w:rsidR="00D911F3" w:rsidRDefault="0013480B" w:rsidP="003C168D">
      <w:pPr>
        <w:spacing w:after="400" w:line="360" w:lineRule="auto"/>
        <w:jc w:val="center"/>
        <w:rPr>
          <w:rFonts w:ascii="Arial" w:eastAsia="Calibri" w:hAnsi="Arial" w:cs="Arial"/>
          <w:b/>
          <w:bCs/>
          <w:color w:val="000000" w:themeColor="text1"/>
          <w:sz w:val="32"/>
          <w:szCs w:val="32"/>
        </w:rPr>
      </w:pPr>
      <w:r w:rsidRPr="00CC0A61">
        <w:rPr>
          <w:rFonts w:ascii="Arial" w:eastAsia="Calibri" w:hAnsi="Arial" w:cs="Arial"/>
          <w:b/>
          <w:bCs/>
          <w:color w:val="000000" w:themeColor="text1"/>
          <w:sz w:val="32"/>
          <w:szCs w:val="32"/>
        </w:rPr>
        <w:t>Coronary Heart Disease: A Report on a Non-Communicable Health Issue in the UK and Globally</w:t>
      </w:r>
    </w:p>
    <w:p w14:paraId="364F7235" w14:textId="77777777" w:rsidR="003C168D" w:rsidRDefault="003C168D" w:rsidP="003C168D">
      <w:pPr>
        <w:spacing w:after="400" w:line="360" w:lineRule="auto"/>
        <w:jc w:val="center"/>
        <w:rPr>
          <w:rFonts w:ascii="Arial" w:eastAsia="Calibri" w:hAnsi="Arial" w:cs="Arial"/>
          <w:b/>
          <w:bCs/>
          <w:color w:val="000000" w:themeColor="text1"/>
          <w:sz w:val="32"/>
          <w:szCs w:val="32"/>
        </w:rPr>
      </w:pPr>
    </w:p>
    <w:p w14:paraId="20DD2463" w14:textId="77777777" w:rsidR="003C168D" w:rsidRDefault="003C168D" w:rsidP="003C168D">
      <w:pPr>
        <w:spacing w:after="400" w:line="360" w:lineRule="auto"/>
        <w:jc w:val="center"/>
        <w:rPr>
          <w:rFonts w:ascii="Arial" w:eastAsia="Calibri" w:hAnsi="Arial" w:cs="Arial"/>
          <w:b/>
          <w:bCs/>
          <w:color w:val="000000" w:themeColor="text1"/>
          <w:sz w:val="32"/>
          <w:szCs w:val="32"/>
        </w:rPr>
      </w:pPr>
    </w:p>
    <w:p w14:paraId="5EC9A83B" w14:textId="77777777" w:rsidR="003C168D" w:rsidRDefault="003C168D" w:rsidP="003C168D">
      <w:pPr>
        <w:spacing w:after="400" w:line="360" w:lineRule="auto"/>
        <w:jc w:val="center"/>
        <w:rPr>
          <w:rFonts w:ascii="Arial" w:eastAsia="Calibri" w:hAnsi="Arial" w:cs="Arial"/>
          <w:b/>
          <w:bCs/>
          <w:color w:val="000000" w:themeColor="text1"/>
          <w:sz w:val="32"/>
          <w:szCs w:val="32"/>
        </w:rPr>
      </w:pPr>
    </w:p>
    <w:p w14:paraId="7947B719" w14:textId="77777777" w:rsidR="003C168D" w:rsidRDefault="003C168D" w:rsidP="003C168D">
      <w:pPr>
        <w:spacing w:after="400" w:line="360" w:lineRule="auto"/>
        <w:jc w:val="center"/>
        <w:rPr>
          <w:rFonts w:ascii="Arial" w:eastAsia="Calibri" w:hAnsi="Arial" w:cs="Arial"/>
          <w:b/>
          <w:bCs/>
          <w:color w:val="000000" w:themeColor="text1"/>
          <w:sz w:val="32"/>
          <w:szCs w:val="32"/>
        </w:rPr>
      </w:pPr>
    </w:p>
    <w:p w14:paraId="4F4827DA" w14:textId="77777777" w:rsidR="003C168D" w:rsidRDefault="003C168D" w:rsidP="003C168D">
      <w:pPr>
        <w:spacing w:after="400" w:line="360" w:lineRule="auto"/>
        <w:rPr>
          <w:rFonts w:ascii="Arial" w:eastAsia="Calibri" w:hAnsi="Arial" w:cs="Arial"/>
          <w:b/>
          <w:bCs/>
          <w:color w:val="000000" w:themeColor="text1"/>
          <w:sz w:val="32"/>
          <w:szCs w:val="32"/>
        </w:rPr>
      </w:pPr>
    </w:p>
    <w:p w14:paraId="1E2DB415" w14:textId="77777777" w:rsidR="003C168D" w:rsidRDefault="003C168D" w:rsidP="003C168D">
      <w:pPr>
        <w:spacing w:after="400" w:line="360" w:lineRule="auto"/>
        <w:rPr>
          <w:rFonts w:ascii="Arial" w:eastAsia="Calibri" w:hAnsi="Arial" w:cs="Arial"/>
          <w:b/>
          <w:bCs/>
          <w:color w:val="000000" w:themeColor="text1"/>
          <w:sz w:val="32"/>
          <w:szCs w:val="32"/>
        </w:rPr>
      </w:pPr>
    </w:p>
    <w:sdt>
      <w:sdtPr>
        <w:rPr>
          <w:rFonts w:ascii="Arial" w:eastAsia="Times New Roman" w:hAnsi="Arial" w:cs="Arial"/>
          <w:color w:val="auto"/>
          <w:sz w:val="24"/>
          <w:szCs w:val="24"/>
          <w:lang w:val="en-GB" w:eastAsia="en-GB"/>
        </w:rPr>
        <w:id w:val="70311551"/>
        <w:docPartObj>
          <w:docPartGallery w:val="Table of Contents"/>
          <w:docPartUnique/>
        </w:docPartObj>
      </w:sdtPr>
      <w:sdtEndPr>
        <w:rPr>
          <w:bCs/>
          <w:noProof/>
        </w:rPr>
      </w:sdtEndPr>
      <w:sdtContent>
        <w:p w14:paraId="5A6253F5" w14:textId="77777777" w:rsidR="003C168D" w:rsidRPr="003C168D" w:rsidRDefault="003C168D" w:rsidP="003C168D">
          <w:pPr>
            <w:pStyle w:val="TOCHeading"/>
            <w:spacing w:line="360" w:lineRule="auto"/>
            <w:jc w:val="center"/>
            <w:rPr>
              <w:rFonts w:ascii="Arial" w:hAnsi="Arial" w:cs="Arial"/>
              <w:sz w:val="24"/>
              <w:szCs w:val="24"/>
            </w:rPr>
          </w:pPr>
          <w:r w:rsidRPr="003C168D">
            <w:rPr>
              <w:rFonts w:ascii="Arial" w:hAnsi="Arial" w:cs="Arial"/>
              <w:sz w:val="24"/>
              <w:szCs w:val="24"/>
            </w:rPr>
            <w:t>Table of Contents</w:t>
          </w:r>
        </w:p>
        <w:p w14:paraId="093BBF0A" w14:textId="77777777" w:rsidR="003C168D" w:rsidRPr="003C168D" w:rsidRDefault="003C168D" w:rsidP="003C168D">
          <w:pPr>
            <w:pStyle w:val="TOC1"/>
            <w:tabs>
              <w:tab w:val="right" w:leader="dot" w:pos="9016"/>
            </w:tabs>
            <w:spacing w:line="360" w:lineRule="auto"/>
            <w:rPr>
              <w:rFonts w:ascii="Arial" w:hAnsi="Arial" w:cs="Arial"/>
              <w:noProof/>
              <w:sz w:val="24"/>
              <w:szCs w:val="24"/>
            </w:rPr>
          </w:pPr>
          <w:r w:rsidRPr="003C168D">
            <w:rPr>
              <w:rFonts w:ascii="Arial" w:hAnsi="Arial" w:cs="Arial"/>
              <w:sz w:val="24"/>
              <w:szCs w:val="24"/>
            </w:rPr>
            <w:fldChar w:fldCharType="begin"/>
          </w:r>
          <w:r w:rsidRPr="003C168D">
            <w:rPr>
              <w:rFonts w:ascii="Arial" w:hAnsi="Arial" w:cs="Arial"/>
              <w:sz w:val="24"/>
              <w:szCs w:val="24"/>
            </w:rPr>
            <w:instrText xml:space="preserve"> TOC \o "1-3" \h \z \u </w:instrText>
          </w:r>
          <w:r w:rsidRPr="003C168D">
            <w:rPr>
              <w:rFonts w:ascii="Arial" w:hAnsi="Arial" w:cs="Arial"/>
              <w:sz w:val="24"/>
              <w:szCs w:val="24"/>
            </w:rPr>
            <w:fldChar w:fldCharType="separate"/>
          </w:r>
          <w:hyperlink w:anchor="_Toc237375281" w:history="1">
            <w:r w:rsidRPr="003C168D">
              <w:rPr>
                <w:rStyle w:val="Hyperlink"/>
                <w:rFonts w:ascii="Arial" w:eastAsia="Calibri" w:hAnsi="Arial" w:cs="Arial"/>
                <w:bCs/>
                <w:noProof/>
                <w:sz w:val="24"/>
                <w:szCs w:val="24"/>
              </w:rPr>
              <w:t>Introduction</w:t>
            </w:r>
            <w:r w:rsidRPr="003C168D">
              <w:rPr>
                <w:rFonts w:ascii="Arial" w:hAnsi="Arial" w:cs="Arial"/>
                <w:noProof/>
                <w:webHidden/>
                <w:sz w:val="24"/>
                <w:szCs w:val="24"/>
              </w:rPr>
              <w:tab/>
            </w:r>
            <w:r w:rsidRPr="003C168D">
              <w:rPr>
                <w:rFonts w:ascii="Arial" w:hAnsi="Arial" w:cs="Arial"/>
                <w:noProof/>
                <w:webHidden/>
                <w:sz w:val="24"/>
                <w:szCs w:val="24"/>
              </w:rPr>
              <w:fldChar w:fldCharType="begin"/>
            </w:r>
            <w:r w:rsidRPr="003C168D">
              <w:rPr>
                <w:rFonts w:ascii="Arial" w:hAnsi="Arial" w:cs="Arial"/>
                <w:noProof/>
                <w:webHidden/>
                <w:sz w:val="24"/>
                <w:szCs w:val="24"/>
              </w:rPr>
              <w:instrText xml:space="preserve"> PAGEREF _Toc237375281 \h </w:instrText>
            </w:r>
            <w:r w:rsidRPr="003C168D">
              <w:rPr>
                <w:rFonts w:ascii="Arial" w:hAnsi="Arial" w:cs="Arial"/>
                <w:noProof/>
                <w:webHidden/>
                <w:sz w:val="24"/>
                <w:szCs w:val="24"/>
              </w:rPr>
            </w:r>
            <w:r w:rsidRPr="003C168D">
              <w:rPr>
                <w:rFonts w:ascii="Arial" w:hAnsi="Arial" w:cs="Arial"/>
                <w:noProof/>
                <w:webHidden/>
                <w:sz w:val="24"/>
                <w:szCs w:val="24"/>
              </w:rPr>
              <w:fldChar w:fldCharType="separate"/>
            </w:r>
            <w:r w:rsidR="008C1140">
              <w:rPr>
                <w:rFonts w:ascii="Arial" w:hAnsi="Arial" w:cs="Arial"/>
                <w:noProof/>
                <w:webHidden/>
                <w:sz w:val="24"/>
                <w:szCs w:val="24"/>
              </w:rPr>
              <w:t>3</w:t>
            </w:r>
            <w:r w:rsidRPr="003C168D">
              <w:rPr>
                <w:rFonts w:ascii="Arial" w:hAnsi="Arial" w:cs="Arial"/>
                <w:noProof/>
                <w:webHidden/>
                <w:sz w:val="24"/>
                <w:szCs w:val="24"/>
              </w:rPr>
              <w:fldChar w:fldCharType="end"/>
            </w:r>
          </w:hyperlink>
        </w:p>
        <w:p w14:paraId="541C9EB9" w14:textId="77777777" w:rsidR="003C168D" w:rsidRPr="003C168D" w:rsidRDefault="003C168D" w:rsidP="003C168D">
          <w:pPr>
            <w:pStyle w:val="TOC1"/>
            <w:tabs>
              <w:tab w:val="right" w:leader="dot" w:pos="9016"/>
            </w:tabs>
            <w:spacing w:line="360" w:lineRule="auto"/>
            <w:rPr>
              <w:rFonts w:ascii="Arial" w:hAnsi="Arial" w:cs="Arial"/>
              <w:noProof/>
              <w:sz w:val="24"/>
              <w:szCs w:val="24"/>
            </w:rPr>
          </w:pPr>
          <w:hyperlink w:anchor="_Toc237375282" w:history="1">
            <w:r w:rsidRPr="003C168D">
              <w:rPr>
                <w:rStyle w:val="Hyperlink"/>
                <w:rFonts w:ascii="Arial" w:eastAsia="Calibri" w:hAnsi="Arial" w:cs="Arial"/>
                <w:bCs/>
                <w:noProof/>
                <w:sz w:val="24"/>
                <w:szCs w:val="24"/>
              </w:rPr>
              <w:t>Main Body</w:t>
            </w:r>
            <w:r w:rsidRPr="003C168D">
              <w:rPr>
                <w:rFonts w:ascii="Arial" w:hAnsi="Arial" w:cs="Arial"/>
                <w:noProof/>
                <w:webHidden/>
                <w:sz w:val="24"/>
                <w:szCs w:val="24"/>
              </w:rPr>
              <w:tab/>
            </w:r>
            <w:r w:rsidRPr="003C168D">
              <w:rPr>
                <w:rFonts w:ascii="Arial" w:hAnsi="Arial" w:cs="Arial"/>
                <w:noProof/>
                <w:webHidden/>
                <w:sz w:val="24"/>
                <w:szCs w:val="24"/>
              </w:rPr>
              <w:fldChar w:fldCharType="begin"/>
            </w:r>
            <w:r w:rsidRPr="003C168D">
              <w:rPr>
                <w:rFonts w:ascii="Arial" w:hAnsi="Arial" w:cs="Arial"/>
                <w:noProof/>
                <w:webHidden/>
                <w:sz w:val="24"/>
                <w:szCs w:val="24"/>
              </w:rPr>
              <w:instrText xml:space="preserve"> PAGEREF _Toc237375282 \h </w:instrText>
            </w:r>
            <w:r w:rsidRPr="003C168D">
              <w:rPr>
                <w:rFonts w:ascii="Arial" w:hAnsi="Arial" w:cs="Arial"/>
                <w:noProof/>
                <w:webHidden/>
                <w:sz w:val="24"/>
                <w:szCs w:val="24"/>
              </w:rPr>
            </w:r>
            <w:r w:rsidRPr="003C168D">
              <w:rPr>
                <w:rFonts w:ascii="Arial" w:hAnsi="Arial" w:cs="Arial"/>
                <w:noProof/>
                <w:webHidden/>
                <w:sz w:val="24"/>
                <w:szCs w:val="24"/>
              </w:rPr>
              <w:fldChar w:fldCharType="separate"/>
            </w:r>
            <w:r w:rsidR="008C1140">
              <w:rPr>
                <w:rFonts w:ascii="Arial" w:hAnsi="Arial" w:cs="Arial"/>
                <w:noProof/>
                <w:webHidden/>
                <w:sz w:val="24"/>
                <w:szCs w:val="24"/>
              </w:rPr>
              <w:t>4</w:t>
            </w:r>
            <w:r w:rsidRPr="003C168D">
              <w:rPr>
                <w:rFonts w:ascii="Arial" w:hAnsi="Arial" w:cs="Arial"/>
                <w:noProof/>
                <w:webHidden/>
                <w:sz w:val="24"/>
                <w:szCs w:val="24"/>
              </w:rPr>
              <w:fldChar w:fldCharType="end"/>
            </w:r>
          </w:hyperlink>
        </w:p>
        <w:p w14:paraId="690212F8" w14:textId="77777777" w:rsidR="003C168D" w:rsidRPr="003C168D" w:rsidRDefault="003C168D" w:rsidP="003C168D">
          <w:pPr>
            <w:pStyle w:val="TOC2"/>
            <w:tabs>
              <w:tab w:val="right" w:leader="dot" w:pos="9016"/>
            </w:tabs>
            <w:spacing w:line="360" w:lineRule="auto"/>
            <w:rPr>
              <w:rFonts w:ascii="Arial" w:hAnsi="Arial" w:cs="Arial"/>
              <w:noProof/>
              <w:sz w:val="24"/>
              <w:szCs w:val="24"/>
            </w:rPr>
          </w:pPr>
          <w:hyperlink w:anchor="_Toc237375283" w:history="1">
            <w:r w:rsidRPr="003C168D">
              <w:rPr>
                <w:rStyle w:val="Hyperlink"/>
                <w:rFonts w:ascii="Arial" w:eastAsia="Calibri" w:hAnsi="Arial" w:cs="Arial"/>
                <w:bCs/>
                <w:noProof/>
                <w:sz w:val="24"/>
                <w:szCs w:val="24"/>
              </w:rPr>
              <w:t>Incidence, Prevalence, Morbidity and Mortality</w:t>
            </w:r>
            <w:r w:rsidRPr="003C168D">
              <w:rPr>
                <w:rFonts w:ascii="Arial" w:hAnsi="Arial" w:cs="Arial"/>
                <w:noProof/>
                <w:webHidden/>
                <w:sz w:val="24"/>
                <w:szCs w:val="24"/>
              </w:rPr>
              <w:tab/>
            </w:r>
            <w:r w:rsidRPr="003C168D">
              <w:rPr>
                <w:rFonts w:ascii="Arial" w:hAnsi="Arial" w:cs="Arial"/>
                <w:noProof/>
                <w:webHidden/>
                <w:sz w:val="24"/>
                <w:szCs w:val="24"/>
              </w:rPr>
              <w:fldChar w:fldCharType="begin"/>
            </w:r>
            <w:r w:rsidRPr="003C168D">
              <w:rPr>
                <w:rFonts w:ascii="Arial" w:hAnsi="Arial" w:cs="Arial"/>
                <w:noProof/>
                <w:webHidden/>
                <w:sz w:val="24"/>
                <w:szCs w:val="24"/>
              </w:rPr>
              <w:instrText xml:space="preserve"> PAGEREF _Toc237375283 \h </w:instrText>
            </w:r>
            <w:r w:rsidRPr="003C168D">
              <w:rPr>
                <w:rFonts w:ascii="Arial" w:hAnsi="Arial" w:cs="Arial"/>
                <w:noProof/>
                <w:webHidden/>
                <w:sz w:val="24"/>
                <w:szCs w:val="24"/>
              </w:rPr>
            </w:r>
            <w:r w:rsidRPr="003C168D">
              <w:rPr>
                <w:rFonts w:ascii="Arial" w:hAnsi="Arial" w:cs="Arial"/>
                <w:noProof/>
                <w:webHidden/>
                <w:sz w:val="24"/>
                <w:szCs w:val="24"/>
              </w:rPr>
              <w:fldChar w:fldCharType="separate"/>
            </w:r>
            <w:r w:rsidR="008C1140">
              <w:rPr>
                <w:rFonts w:ascii="Arial" w:hAnsi="Arial" w:cs="Arial"/>
                <w:noProof/>
                <w:webHidden/>
                <w:sz w:val="24"/>
                <w:szCs w:val="24"/>
              </w:rPr>
              <w:t>4</w:t>
            </w:r>
            <w:r w:rsidRPr="003C168D">
              <w:rPr>
                <w:rFonts w:ascii="Arial" w:hAnsi="Arial" w:cs="Arial"/>
                <w:noProof/>
                <w:webHidden/>
                <w:sz w:val="24"/>
                <w:szCs w:val="24"/>
              </w:rPr>
              <w:fldChar w:fldCharType="end"/>
            </w:r>
          </w:hyperlink>
        </w:p>
        <w:p w14:paraId="0F9EA64A" w14:textId="77777777" w:rsidR="003C168D" w:rsidRPr="003C168D" w:rsidRDefault="003C168D" w:rsidP="003C168D">
          <w:pPr>
            <w:pStyle w:val="TOC2"/>
            <w:tabs>
              <w:tab w:val="right" w:leader="dot" w:pos="9016"/>
            </w:tabs>
            <w:spacing w:line="360" w:lineRule="auto"/>
            <w:rPr>
              <w:rFonts w:ascii="Arial" w:hAnsi="Arial" w:cs="Arial"/>
              <w:noProof/>
              <w:sz w:val="24"/>
              <w:szCs w:val="24"/>
            </w:rPr>
          </w:pPr>
          <w:hyperlink w:anchor="_Toc237375284" w:history="1">
            <w:r w:rsidRPr="003C168D">
              <w:rPr>
                <w:rStyle w:val="Hyperlink"/>
                <w:rFonts w:ascii="Arial" w:eastAsia="Calibri" w:hAnsi="Arial" w:cs="Arial"/>
                <w:bCs/>
                <w:noProof/>
                <w:sz w:val="24"/>
                <w:szCs w:val="24"/>
              </w:rPr>
              <w:t>Determinants of CHD: Applying the 3Ps of Public Health</w:t>
            </w:r>
            <w:r w:rsidRPr="003C168D">
              <w:rPr>
                <w:rFonts w:ascii="Arial" w:hAnsi="Arial" w:cs="Arial"/>
                <w:noProof/>
                <w:webHidden/>
                <w:sz w:val="24"/>
                <w:szCs w:val="24"/>
              </w:rPr>
              <w:tab/>
            </w:r>
            <w:r w:rsidRPr="003C168D">
              <w:rPr>
                <w:rFonts w:ascii="Arial" w:hAnsi="Arial" w:cs="Arial"/>
                <w:noProof/>
                <w:webHidden/>
                <w:sz w:val="24"/>
                <w:szCs w:val="24"/>
              </w:rPr>
              <w:fldChar w:fldCharType="begin"/>
            </w:r>
            <w:r w:rsidRPr="003C168D">
              <w:rPr>
                <w:rFonts w:ascii="Arial" w:hAnsi="Arial" w:cs="Arial"/>
                <w:noProof/>
                <w:webHidden/>
                <w:sz w:val="24"/>
                <w:szCs w:val="24"/>
              </w:rPr>
              <w:instrText xml:space="preserve"> PAGEREF _Toc237375284 \h </w:instrText>
            </w:r>
            <w:r w:rsidRPr="003C168D">
              <w:rPr>
                <w:rFonts w:ascii="Arial" w:hAnsi="Arial" w:cs="Arial"/>
                <w:noProof/>
                <w:webHidden/>
                <w:sz w:val="24"/>
                <w:szCs w:val="24"/>
              </w:rPr>
            </w:r>
            <w:r w:rsidRPr="003C168D">
              <w:rPr>
                <w:rFonts w:ascii="Arial" w:hAnsi="Arial" w:cs="Arial"/>
                <w:noProof/>
                <w:webHidden/>
                <w:sz w:val="24"/>
                <w:szCs w:val="24"/>
              </w:rPr>
              <w:fldChar w:fldCharType="separate"/>
            </w:r>
            <w:r w:rsidR="008C1140">
              <w:rPr>
                <w:rFonts w:ascii="Arial" w:hAnsi="Arial" w:cs="Arial"/>
                <w:noProof/>
                <w:webHidden/>
                <w:sz w:val="24"/>
                <w:szCs w:val="24"/>
              </w:rPr>
              <w:t>5</w:t>
            </w:r>
            <w:r w:rsidRPr="003C168D">
              <w:rPr>
                <w:rFonts w:ascii="Arial" w:hAnsi="Arial" w:cs="Arial"/>
                <w:noProof/>
                <w:webHidden/>
                <w:sz w:val="24"/>
                <w:szCs w:val="24"/>
              </w:rPr>
              <w:fldChar w:fldCharType="end"/>
            </w:r>
          </w:hyperlink>
        </w:p>
        <w:p w14:paraId="545E1177" w14:textId="77777777" w:rsidR="003C168D" w:rsidRPr="003C168D" w:rsidRDefault="003C168D" w:rsidP="003C168D">
          <w:pPr>
            <w:pStyle w:val="TOC2"/>
            <w:tabs>
              <w:tab w:val="right" w:leader="dot" w:pos="9016"/>
            </w:tabs>
            <w:spacing w:line="360" w:lineRule="auto"/>
            <w:rPr>
              <w:rFonts w:ascii="Arial" w:hAnsi="Arial" w:cs="Arial"/>
              <w:noProof/>
              <w:sz w:val="24"/>
              <w:szCs w:val="24"/>
            </w:rPr>
          </w:pPr>
          <w:hyperlink w:anchor="_Toc237375285" w:history="1">
            <w:r w:rsidRPr="003C168D">
              <w:rPr>
                <w:rStyle w:val="Hyperlink"/>
                <w:rFonts w:ascii="Arial" w:eastAsia="Calibri" w:hAnsi="Arial" w:cs="Arial"/>
                <w:bCs/>
                <w:noProof/>
                <w:sz w:val="24"/>
                <w:szCs w:val="24"/>
              </w:rPr>
              <w:t>Implications for Individuals and Communities</w:t>
            </w:r>
            <w:r w:rsidRPr="003C168D">
              <w:rPr>
                <w:rFonts w:ascii="Arial" w:hAnsi="Arial" w:cs="Arial"/>
                <w:noProof/>
                <w:webHidden/>
                <w:sz w:val="24"/>
                <w:szCs w:val="24"/>
              </w:rPr>
              <w:tab/>
            </w:r>
            <w:r w:rsidRPr="003C168D">
              <w:rPr>
                <w:rFonts w:ascii="Arial" w:hAnsi="Arial" w:cs="Arial"/>
                <w:noProof/>
                <w:webHidden/>
                <w:sz w:val="24"/>
                <w:szCs w:val="24"/>
              </w:rPr>
              <w:fldChar w:fldCharType="begin"/>
            </w:r>
            <w:r w:rsidRPr="003C168D">
              <w:rPr>
                <w:rFonts w:ascii="Arial" w:hAnsi="Arial" w:cs="Arial"/>
                <w:noProof/>
                <w:webHidden/>
                <w:sz w:val="24"/>
                <w:szCs w:val="24"/>
              </w:rPr>
              <w:instrText xml:space="preserve"> PAGEREF _Toc237375285 \h </w:instrText>
            </w:r>
            <w:r w:rsidRPr="003C168D">
              <w:rPr>
                <w:rFonts w:ascii="Arial" w:hAnsi="Arial" w:cs="Arial"/>
                <w:noProof/>
                <w:webHidden/>
                <w:sz w:val="24"/>
                <w:szCs w:val="24"/>
              </w:rPr>
            </w:r>
            <w:r w:rsidRPr="003C168D">
              <w:rPr>
                <w:rFonts w:ascii="Arial" w:hAnsi="Arial" w:cs="Arial"/>
                <w:noProof/>
                <w:webHidden/>
                <w:sz w:val="24"/>
                <w:szCs w:val="24"/>
              </w:rPr>
              <w:fldChar w:fldCharType="separate"/>
            </w:r>
            <w:r w:rsidR="008C1140">
              <w:rPr>
                <w:rFonts w:ascii="Arial" w:hAnsi="Arial" w:cs="Arial"/>
                <w:noProof/>
                <w:webHidden/>
                <w:sz w:val="24"/>
                <w:szCs w:val="24"/>
              </w:rPr>
              <w:t>6</w:t>
            </w:r>
            <w:r w:rsidRPr="003C168D">
              <w:rPr>
                <w:rFonts w:ascii="Arial" w:hAnsi="Arial" w:cs="Arial"/>
                <w:noProof/>
                <w:webHidden/>
                <w:sz w:val="24"/>
                <w:szCs w:val="24"/>
              </w:rPr>
              <w:fldChar w:fldCharType="end"/>
            </w:r>
          </w:hyperlink>
        </w:p>
        <w:p w14:paraId="37D0DEFE" w14:textId="77777777" w:rsidR="003C168D" w:rsidRPr="003C168D" w:rsidRDefault="003C168D" w:rsidP="003C168D">
          <w:pPr>
            <w:pStyle w:val="TOC2"/>
            <w:tabs>
              <w:tab w:val="right" w:leader="dot" w:pos="9016"/>
            </w:tabs>
            <w:spacing w:line="360" w:lineRule="auto"/>
            <w:rPr>
              <w:rFonts w:ascii="Arial" w:hAnsi="Arial" w:cs="Arial"/>
              <w:noProof/>
              <w:sz w:val="24"/>
              <w:szCs w:val="24"/>
            </w:rPr>
          </w:pPr>
          <w:hyperlink w:anchor="_Toc237375286" w:history="1">
            <w:r w:rsidRPr="003C168D">
              <w:rPr>
                <w:rStyle w:val="Hyperlink"/>
                <w:rFonts w:ascii="Arial" w:eastAsia="Calibri" w:hAnsi="Arial" w:cs="Arial"/>
                <w:bCs/>
                <w:noProof/>
                <w:sz w:val="24"/>
                <w:szCs w:val="24"/>
              </w:rPr>
              <w:t>Impact on Health and Social Care Provision</w:t>
            </w:r>
            <w:r w:rsidRPr="003C168D">
              <w:rPr>
                <w:rFonts w:ascii="Arial" w:hAnsi="Arial" w:cs="Arial"/>
                <w:noProof/>
                <w:webHidden/>
                <w:sz w:val="24"/>
                <w:szCs w:val="24"/>
              </w:rPr>
              <w:tab/>
            </w:r>
            <w:r w:rsidRPr="003C168D">
              <w:rPr>
                <w:rFonts w:ascii="Arial" w:hAnsi="Arial" w:cs="Arial"/>
                <w:noProof/>
                <w:webHidden/>
                <w:sz w:val="24"/>
                <w:szCs w:val="24"/>
              </w:rPr>
              <w:fldChar w:fldCharType="begin"/>
            </w:r>
            <w:r w:rsidRPr="003C168D">
              <w:rPr>
                <w:rFonts w:ascii="Arial" w:hAnsi="Arial" w:cs="Arial"/>
                <w:noProof/>
                <w:webHidden/>
                <w:sz w:val="24"/>
                <w:szCs w:val="24"/>
              </w:rPr>
              <w:instrText xml:space="preserve"> PAGEREF _Toc237375286 \h </w:instrText>
            </w:r>
            <w:r w:rsidRPr="003C168D">
              <w:rPr>
                <w:rFonts w:ascii="Arial" w:hAnsi="Arial" w:cs="Arial"/>
                <w:noProof/>
                <w:webHidden/>
                <w:sz w:val="24"/>
                <w:szCs w:val="24"/>
              </w:rPr>
            </w:r>
            <w:r w:rsidRPr="003C168D">
              <w:rPr>
                <w:rFonts w:ascii="Arial" w:hAnsi="Arial" w:cs="Arial"/>
                <w:noProof/>
                <w:webHidden/>
                <w:sz w:val="24"/>
                <w:szCs w:val="24"/>
              </w:rPr>
              <w:fldChar w:fldCharType="separate"/>
            </w:r>
            <w:r w:rsidR="008C1140">
              <w:rPr>
                <w:rFonts w:ascii="Arial" w:hAnsi="Arial" w:cs="Arial"/>
                <w:noProof/>
                <w:webHidden/>
                <w:sz w:val="24"/>
                <w:szCs w:val="24"/>
              </w:rPr>
              <w:t>7</w:t>
            </w:r>
            <w:r w:rsidRPr="003C168D">
              <w:rPr>
                <w:rFonts w:ascii="Arial" w:hAnsi="Arial" w:cs="Arial"/>
                <w:noProof/>
                <w:webHidden/>
                <w:sz w:val="24"/>
                <w:szCs w:val="24"/>
              </w:rPr>
              <w:fldChar w:fldCharType="end"/>
            </w:r>
          </w:hyperlink>
        </w:p>
        <w:p w14:paraId="63078B2A" w14:textId="77777777" w:rsidR="003C168D" w:rsidRPr="003C168D" w:rsidRDefault="003C168D" w:rsidP="003C168D">
          <w:pPr>
            <w:pStyle w:val="TOC2"/>
            <w:tabs>
              <w:tab w:val="right" w:leader="dot" w:pos="9016"/>
            </w:tabs>
            <w:spacing w:line="360" w:lineRule="auto"/>
            <w:rPr>
              <w:rFonts w:ascii="Arial" w:hAnsi="Arial" w:cs="Arial"/>
              <w:noProof/>
              <w:sz w:val="24"/>
              <w:szCs w:val="24"/>
            </w:rPr>
          </w:pPr>
          <w:hyperlink w:anchor="_Toc237375287" w:history="1">
            <w:r w:rsidRPr="003C168D">
              <w:rPr>
                <w:rStyle w:val="Hyperlink"/>
                <w:rFonts w:ascii="Arial" w:eastAsia="Calibri" w:hAnsi="Arial" w:cs="Arial"/>
                <w:bCs/>
                <w:noProof/>
                <w:sz w:val="24"/>
                <w:szCs w:val="24"/>
              </w:rPr>
              <w:t>Factors Influencing Health and Wellbeing</w:t>
            </w:r>
            <w:r w:rsidRPr="003C168D">
              <w:rPr>
                <w:rFonts w:ascii="Arial" w:hAnsi="Arial" w:cs="Arial"/>
                <w:noProof/>
                <w:webHidden/>
                <w:sz w:val="24"/>
                <w:szCs w:val="24"/>
              </w:rPr>
              <w:tab/>
            </w:r>
            <w:r w:rsidRPr="003C168D">
              <w:rPr>
                <w:rFonts w:ascii="Arial" w:hAnsi="Arial" w:cs="Arial"/>
                <w:noProof/>
                <w:webHidden/>
                <w:sz w:val="24"/>
                <w:szCs w:val="24"/>
              </w:rPr>
              <w:fldChar w:fldCharType="begin"/>
            </w:r>
            <w:r w:rsidRPr="003C168D">
              <w:rPr>
                <w:rFonts w:ascii="Arial" w:hAnsi="Arial" w:cs="Arial"/>
                <w:noProof/>
                <w:webHidden/>
                <w:sz w:val="24"/>
                <w:szCs w:val="24"/>
              </w:rPr>
              <w:instrText xml:space="preserve"> PAGEREF _Toc237375287 \h </w:instrText>
            </w:r>
            <w:r w:rsidRPr="003C168D">
              <w:rPr>
                <w:rFonts w:ascii="Arial" w:hAnsi="Arial" w:cs="Arial"/>
                <w:noProof/>
                <w:webHidden/>
                <w:sz w:val="24"/>
                <w:szCs w:val="24"/>
              </w:rPr>
            </w:r>
            <w:r w:rsidRPr="003C168D">
              <w:rPr>
                <w:rFonts w:ascii="Arial" w:hAnsi="Arial" w:cs="Arial"/>
                <w:noProof/>
                <w:webHidden/>
                <w:sz w:val="24"/>
                <w:szCs w:val="24"/>
              </w:rPr>
              <w:fldChar w:fldCharType="separate"/>
            </w:r>
            <w:r w:rsidR="008C1140">
              <w:rPr>
                <w:rFonts w:ascii="Arial" w:hAnsi="Arial" w:cs="Arial"/>
                <w:noProof/>
                <w:webHidden/>
                <w:sz w:val="24"/>
                <w:szCs w:val="24"/>
              </w:rPr>
              <w:t>7</w:t>
            </w:r>
            <w:r w:rsidRPr="003C168D">
              <w:rPr>
                <w:rFonts w:ascii="Arial" w:hAnsi="Arial" w:cs="Arial"/>
                <w:noProof/>
                <w:webHidden/>
                <w:sz w:val="24"/>
                <w:szCs w:val="24"/>
              </w:rPr>
              <w:fldChar w:fldCharType="end"/>
            </w:r>
          </w:hyperlink>
        </w:p>
        <w:p w14:paraId="3372C2BE" w14:textId="77777777" w:rsidR="003C168D" w:rsidRPr="003C168D" w:rsidRDefault="003C168D" w:rsidP="003C168D">
          <w:pPr>
            <w:pStyle w:val="TOC1"/>
            <w:tabs>
              <w:tab w:val="right" w:leader="dot" w:pos="9016"/>
            </w:tabs>
            <w:spacing w:line="360" w:lineRule="auto"/>
            <w:rPr>
              <w:rFonts w:ascii="Arial" w:hAnsi="Arial" w:cs="Arial"/>
              <w:noProof/>
              <w:sz w:val="24"/>
              <w:szCs w:val="24"/>
            </w:rPr>
          </w:pPr>
          <w:hyperlink w:anchor="_Toc237375288" w:history="1">
            <w:r w:rsidRPr="003C168D">
              <w:rPr>
                <w:rStyle w:val="Hyperlink"/>
                <w:rFonts w:ascii="Arial" w:eastAsia="Calibri" w:hAnsi="Arial" w:cs="Arial"/>
                <w:bCs/>
                <w:noProof/>
                <w:sz w:val="24"/>
                <w:szCs w:val="24"/>
              </w:rPr>
              <w:t>Conclusion</w:t>
            </w:r>
            <w:r w:rsidRPr="003C168D">
              <w:rPr>
                <w:rFonts w:ascii="Arial" w:hAnsi="Arial" w:cs="Arial"/>
                <w:noProof/>
                <w:webHidden/>
                <w:sz w:val="24"/>
                <w:szCs w:val="24"/>
              </w:rPr>
              <w:tab/>
            </w:r>
            <w:r w:rsidRPr="003C168D">
              <w:rPr>
                <w:rFonts w:ascii="Arial" w:hAnsi="Arial" w:cs="Arial"/>
                <w:noProof/>
                <w:webHidden/>
                <w:sz w:val="24"/>
                <w:szCs w:val="24"/>
              </w:rPr>
              <w:fldChar w:fldCharType="begin"/>
            </w:r>
            <w:r w:rsidRPr="003C168D">
              <w:rPr>
                <w:rFonts w:ascii="Arial" w:hAnsi="Arial" w:cs="Arial"/>
                <w:noProof/>
                <w:webHidden/>
                <w:sz w:val="24"/>
                <w:szCs w:val="24"/>
              </w:rPr>
              <w:instrText xml:space="preserve"> PAGEREF _Toc237375288 \h </w:instrText>
            </w:r>
            <w:r w:rsidRPr="003C168D">
              <w:rPr>
                <w:rFonts w:ascii="Arial" w:hAnsi="Arial" w:cs="Arial"/>
                <w:noProof/>
                <w:webHidden/>
                <w:sz w:val="24"/>
                <w:szCs w:val="24"/>
              </w:rPr>
            </w:r>
            <w:r w:rsidRPr="003C168D">
              <w:rPr>
                <w:rFonts w:ascii="Arial" w:hAnsi="Arial" w:cs="Arial"/>
                <w:noProof/>
                <w:webHidden/>
                <w:sz w:val="24"/>
                <w:szCs w:val="24"/>
              </w:rPr>
              <w:fldChar w:fldCharType="separate"/>
            </w:r>
            <w:r w:rsidR="008C1140">
              <w:rPr>
                <w:rFonts w:ascii="Arial" w:hAnsi="Arial" w:cs="Arial"/>
                <w:noProof/>
                <w:webHidden/>
                <w:sz w:val="24"/>
                <w:szCs w:val="24"/>
              </w:rPr>
              <w:t>8</w:t>
            </w:r>
            <w:r w:rsidRPr="003C168D">
              <w:rPr>
                <w:rFonts w:ascii="Arial" w:hAnsi="Arial" w:cs="Arial"/>
                <w:noProof/>
                <w:webHidden/>
                <w:sz w:val="24"/>
                <w:szCs w:val="24"/>
              </w:rPr>
              <w:fldChar w:fldCharType="end"/>
            </w:r>
          </w:hyperlink>
        </w:p>
        <w:p w14:paraId="54A5CFDC" w14:textId="77777777" w:rsidR="003C168D" w:rsidRPr="003C168D" w:rsidRDefault="003C168D" w:rsidP="003C168D">
          <w:pPr>
            <w:pStyle w:val="TOC1"/>
            <w:tabs>
              <w:tab w:val="right" w:leader="dot" w:pos="9016"/>
            </w:tabs>
            <w:spacing w:line="360" w:lineRule="auto"/>
            <w:rPr>
              <w:rFonts w:ascii="Arial" w:hAnsi="Arial" w:cs="Arial"/>
              <w:noProof/>
              <w:sz w:val="24"/>
              <w:szCs w:val="24"/>
            </w:rPr>
          </w:pPr>
          <w:hyperlink w:anchor="_Toc237375289" w:history="1">
            <w:r w:rsidRPr="003C168D">
              <w:rPr>
                <w:rStyle w:val="Hyperlink"/>
                <w:rFonts w:ascii="Arial" w:eastAsia="Calibri" w:hAnsi="Arial" w:cs="Arial"/>
                <w:bCs/>
                <w:noProof/>
                <w:sz w:val="24"/>
                <w:szCs w:val="24"/>
              </w:rPr>
              <w:t>References</w:t>
            </w:r>
            <w:r w:rsidRPr="003C168D">
              <w:rPr>
                <w:rFonts w:ascii="Arial" w:hAnsi="Arial" w:cs="Arial"/>
                <w:noProof/>
                <w:webHidden/>
                <w:sz w:val="24"/>
                <w:szCs w:val="24"/>
              </w:rPr>
              <w:tab/>
            </w:r>
            <w:r w:rsidRPr="003C168D">
              <w:rPr>
                <w:rFonts w:ascii="Arial" w:hAnsi="Arial" w:cs="Arial"/>
                <w:noProof/>
                <w:webHidden/>
                <w:sz w:val="24"/>
                <w:szCs w:val="24"/>
              </w:rPr>
              <w:fldChar w:fldCharType="begin"/>
            </w:r>
            <w:r w:rsidRPr="003C168D">
              <w:rPr>
                <w:rFonts w:ascii="Arial" w:hAnsi="Arial" w:cs="Arial"/>
                <w:noProof/>
                <w:webHidden/>
                <w:sz w:val="24"/>
                <w:szCs w:val="24"/>
              </w:rPr>
              <w:instrText xml:space="preserve"> PAGEREF _Toc237375289 \h </w:instrText>
            </w:r>
            <w:r w:rsidRPr="003C168D">
              <w:rPr>
                <w:rFonts w:ascii="Arial" w:hAnsi="Arial" w:cs="Arial"/>
                <w:noProof/>
                <w:webHidden/>
                <w:sz w:val="24"/>
                <w:szCs w:val="24"/>
              </w:rPr>
            </w:r>
            <w:r w:rsidRPr="003C168D">
              <w:rPr>
                <w:rFonts w:ascii="Arial" w:hAnsi="Arial" w:cs="Arial"/>
                <w:noProof/>
                <w:webHidden/>
                <w:sz w:val="24"/>
                <w:szCs w:val="24"/>
              </w:rPr>
              <w:fldChar w:fldCharType="separate"/>
            </w:r>
            <w:r w:rsidR="008C1140">
              <w:rPr>
                <w:rFonts w:ascii="Arial" w:hAnsi="Arial" w:cs="Arial"/>
                <w:noProof/>
                <w:webHidden/>
                <w:sz w:val="24"/>
                <w:szCs w:val="24"/>
              </w:rPr>
              <w:t>10</w:t>
            </w:r>
            <w:r w:rsidRPr="003C168D">
              <w:rPr>
                <w:rFonts w:ascii="Arial" w:hAnsi="Arial" w:cs="Arial"/>
                <w:noProof/>
                <w:webHidden/>
                <w:sz w:val="24"/>
                <w:szCs w:val="24"/>
              </w:rPr>
              <w:fldChar w:fldCharType="end"/>
            </w:r>
          </w:hyperlink>
        </w:p>
        <w:p w14:paraId="782406C8" w14:textId="77777777" w:rsidR="003C168D" w:rsidRDefault="003C168D" w:rsidP="003C168D">
          <w:pPr>
            <w:spacing w:line="360" w:lineRule="auto"/>
          </w:pPr>
          <w:r w:rsidRPr="003C168D">
            <w:rPr>
              <w:rFonts w:ascii="Arial" w:hAnsi="Arial" w:cs="Arial"/>
              <w:bCs/>
              <w:noProof/>
              <w:sz w:val="24"/>
              <w:szCs w:val="24"/>
            </w:rPr>
            <w:fldChar w:fldCharType="end"/>
          </w:r>
        </w:p>
      </w:sdtContent>
    </w:sdt>
    <w:p w14:paraId="19251B06" w14:textId="77777777" w:rsidR="003C168D" w:rsidRDefault="003C168D" w:rsidP="003C168D">
      <w:pPr>
        <w:spacing w:after="400" w:line="360" w:lineRule="auto"/>
        <w:jc w:val="center"/>
        <w:rPr>
          <w:rFonts w:ascii="Arial" w:eastAsia="Calibri" w:hAnsi="Arial" w:cs="Arial"/>
          <w:b/>
          <w:bCs/>
          <w:color w:val="000000" w:themeColor="text1"/>
          <w:sz w:val="32"/>
          <w:szCs w:val="32"/>
        </w:rPr>
      </w:pPr>
    </w:p>
    <w:p w14:paraId="3F8A6C1A" w14:textId="77777777" w:rsidR="003C168D" w:rsidRDefault="003C168D" w:rsidP="003C168D">
      <w:pPr>
        <w:spacing w:after="400" w:line="360" w:lineRule="auto"/>
        <w:jc w:val="center"/>
        <w:rPr>
          <w:rFonts w:ascii="Arial" w:eastAsia="Calibri" w:hAnsi="Arial" w:cs="Arial"/>
          <w:b/>
          <w:bCs/>
          <w:color w:val="000000" w:themeColor="text1"/>
          <w:sz w:val="32"/>
          <w:szCs w:val="32"/>
        </w:rPr>
      </w:pPr>
    </w:p>
    <w:p w14:paraId="3C6200C1" w14:textId="77777777" w:rsidR="003C168D" w:rsidRDefault="003C168D" w:rsidP="003C168D">
      <w:pPr>
        <w:spacing w:after="400" w:line="360" w:lineRule="auto"/>
        <w:jc w:val="center"/>
        <w:rPr>
          <w:rFonts w:ascii="Arial" w:eastAsia="Calibri" w:hAnsi="Arial" w:cs="Arial"/>
          <w:b/>
          <w:bCs/>
          <w:color w:val="000000" w:themeColor="text1"/>
          <w:sz w:val="32"/>
          <w:szCs w:val="32"/>
        </w:rPr>
      </w:pPr>
    </w:p>
    <w:p w14:paraId="16C3C7C1" w14:textId="77777777" w:rsidR="003C168D" w:rsidRDefault="003C168D" w:rsidP="003C168D">
      <w:pPr>
        <w:spacing w:after="400" w:line="360" w:lineRule="auto"/>
        <w:jc w:val="center"/>
        <w:rPr>
          <w:rFonts w:ascii="Arial" w:eastAsia="Calibri" w:hAnsi="Arial" w:cs="Arial"/>
          <w:b/>
          <w:bCs/>
          <w:color w:val="000000" w:themeColor="text1"/>
          <w:sz w:val="32"/>
          <w:szCs w:val="32"/>
        </w:rPr>
      </w:pPr>
    </w:p>
    <w:p w14:paraId="6FD2F035" w14:textId="77777777" w:rsidR="003C168D" w:rsidRDefault="003C168D" w:rsidP="003C168D">
      <w:pPr>
        <w:spacing w:after="400" w:line="360" w:lineRule="auto"/>
        <w:jc w:val="center"/>
        <w:rPr>
          <w:rFonts w:ascii="Arial" w:eastAsia="Calibri" w:hAnsi="Arial" w:cs="Arial"/>
          <w:b/>
          <w:bCs/>
          <w:color w:val="000000" w:themeColor="text1"/>
          <w:sz w:val="32"/>
          <w:szCs w:val="32"/>
        </w:rPr>
      </w:pPr>
    </w:p>
    <w:p w14:paraId="0A560AD5" w14:textId="77777777" w:rsidR="003C168D" w:rsidRDefault="003C168D" w:rsidP="003C168D">
      <w:pPr>
        <w:spacing w:after="400" w:line="360" w:lineRule="auto"/>
        <w:jc w:val="center"/>
        <w:rPr>
          <w:rFonts w:ascii="Arial" w:eastAsia="Calibri" w:hAnsi="Arial" w:cs="Arial"/>
          <w:b/>
          <w:bCs/>
          <w:color w:val="000000" w:themeColor="text1"/>
          <w:sz w:val="32"/>
          <w:szCs w:val="32"/>
        </w:rPr>
      </w:pPr>
    </w:p>
    <w:p w14:paraId="21EA3E4F" w14:textId="77777777" w:rsidR="003C168D" w:rsidRDefault="003C168D" w:rsidP="003C168D">
      <w:pPr>
        <w:spacing w:after="400" w:line="360" w:lineRule="auto"/>
        <w:jc w:val="center"/>
        <w:rPr>
          <w:rFonts w:ascii="Arial" w:eastAsia="Calibri" w:hAnsi="Arial" w:cs="Arial"/>
          <w:b/>
          <w:bCs/>
          <w:color w:val="000000" w:themeColor="text1"/>
          <w:sz w:val="32"/>
          <w:szCs w:val="32"/>
        </w:rPr>
      </w:pPr>
    </w:p>
    <w:p w14:paraId="326527A1" w14:textId="77777777" w:rsidR="003C168D" w:rsidRDefault="003C168D" w:rsidP="003C168D">
      <w:pPr>
        <w:spacing w:after="400" w:line="360" w:lineRule="auto"/>
        <w:jc w:val="center"/>
        <w:rPr>
          <w:rFonts w:ascii="Arial" w:eastAsia="Calibri" w:hAnsi="Arial" w:cs="Arial"/>
          <w:b/>
          <w:bCs/>
          <w:color w:val="000000" w:themeColor="text1"/>
          <w:sz w:val="32"/>
          <w:szCs w:val="32"/>
        </w:rPr>
      </w:pPr>
    </w:p>
    <w:p w14:paraId="6DAE178A" w14:textId="77777777" w:rsidR="003C168D" w:rsidRPr="00CC0A61" w:rsidRDefault="003C168D" w:rsidP="003C168D">
      <w:pPr>
        <w:spacing w:after="400" w:line="360" w:lineRule="auto"/>
        <w:jc w:val="center"/>
        <w:rPr>
          <w:rFonts w:ascii="Arial" w:hAnsi="Arial" w:cs="Arial"/>
          <w:color w:val="000000" w:themeColor="text1"/>
        </w:rPr>
      </w:pPr>
    </w:p>
    <w:p w14:paraId="4AC9F0FC" w14:textId="77777777" w:rsidR="00D911F3" w:rsidRPr="00CC0A61" w:rsidRDefault="0013480B" w:rsidP="003C168D">
      <w:pPr>
        <w:pStyle w:val="Heading1"/>
        <w:spacing w:before="300" w:after="160" w:line="360" w:lineRule="auto"/>
        <w:rPr>
          <w:rFonts w:ascii="Arial" w:hAnsi="Arial" w:cs="Arial"/>
          <w:color w:val="000000" w:themeColor="text1"/>
        </w:rPr>
      </w:pPr>
      <w:bookmarkStart w:id="0" w:name="_Toc237375281"/>
      <w:r w:rsidRPr="00CC0A61">
        <w:rPr>
          <w:rFonts w:ascii="Arial" w:eastAsia="Calibri" w:hAnsi="Arial" w:cs="Arial"/>
          <w:b/>
          <w:bCs/>
          <w:color w:val="000000" w:themeColor="text1"/>
          <w:sz w:val="28"/>
          <w:szCs w:val="28"/>
        </w:rPr>
        <w:t>Introduction</w:t>
      </w:r>
      <w:bookmarkEnd w:id="0"/>
    </w:p>
    <w:p w14:paraId="402EC418" w14:textId="77777777" w:rsidR="00D911F3" w:rsidRDefault="00D50D4B" w:rsidP="003C168D">
      <w:pPr>
        <w:spacing w:after="160" w:line="360" w:lineRule="auto"/>
        <w:jc w:val="both"/>
        <w:rPr>
          <w:rFonts w:ascii="Arial" w:eastAsia="Calibri" w:hAnsi="Arial" w:cs="Arial"/>
          <w:color w:val="000000" w:themeColor="text1"/>
          <w:sz w:val="24"/>
          <w:szCs w:val="24"/>
        </w:rPr>
      </w:pPr>
      <w:r w:rsidRPr="00CC0A61">
        <w:rPr>
          <w:rFonts w:ascii="Arial" w:eastAsia="Calibri" w:hAnsi="Arial" w:cs="Arial"/>
          <w:color w:val="000000" w:themeColor="text1"/>
          <w:sz w:val="24"/>
          <w:szCs w:val="24"/>
        </w:rPr>
        <w:t xml:space="preserve">Coronary heart disease (CHD) is a condition where the coronary arteries that carry blood to the muscles of the heart are narrowed due to the accumulation of fatty material (atheroma) which causes blood and oxygen to be cut off from the heart. Narrowing may cause chest pain or discomfort (this is called angina) or a complete blockage can cause myocardial infarction (also known as a heart attack) (British Heart Foundation, 2026a). CHD is the most prevalent type of heart disease and the top killer in the world. In total, 240 million people were living with CHD in 2023 globally and CHD is the leading cause of death in the world, causing about 13% of </w:t>
      </w:r>
      <w:r w:rsidR="003C168D">
        <w:rPr>
          <w:rFonts w:ascii="Arial" w:eastAsia="Calibri" w:hAnsi="Arial" w:cs="Arial"/>
          <w:color w:val="000000" w:themeColor="text1"/>
          <w:sz w:val="24"/>
          <w:szCs w:val="24"/>
        </w:rPr>
        <w:t>all deaths (World Health Organis</w:t>
      </w:r>
      <w:r w:rsidRPr="00CC0A61">
        <w:rPr>
          <w:rFonts w:ascii="Arial" w:eastAsia="Calibri" w:hAnsi="Arial" w:cs="Arial"/>
          <w:color w:val="000000" w:themeColor="text1"/>
          <w:sz w:val="24"/>
          <w:szCs w:val="24"/>
        </w:rPr>
        <w:t>ation, 2024; British Heart Foundation, 2026a). The burden is still high in the UK, despite reductions in age-standardised mortality rates over the last 30 years or more; approximately 2.3 million people in the UK are living with CHD, with an estimated 66,000 deaths annually, equivalent to 180 deaths per day; CHD is one of the biggest causes of premature death in the UK (British Heart Foundation, 2026b). Symptoms of CHD are chest pain or tightness (angina), breathlessness, fatigue, and in a heart attack, extreme chest pain that spreads to the arm or jaw, sweating and nausea. Others, especially those who have diabetes, may not have any symptoms until a major heart event occurs</w:t>
      </w:r>
      <w:r w:rsidR="0015777A" w:rsidRPr="00CC0A61">
        <w:rPr>
          <w:rFonts w:ascii="Arial" w:eastAsia="Calibri" w:hAnsi="Arial" w:cs="Arial"/>
          <w:color w:val="000000" w:themeColor="text1"/>
          <w:sz w:val="24"/>
          <w:szCs w:val="24"/>
        </w:rPr>
        <w:t xml:space="preserve"> (NHS, 2024)</w:t>
      </w:r>
      <w:r w:rsidRPr="00CC0A61">
        <w:rPr>
          <w:rFonts w:ascii="Arial" w:eastAsia="Calibri" w:hAnsi="Arial" w:cs="Arial"/>
          <w:color w:val="000000" w:themeColor="text1"/>
          <w:sz w:val="24"/>
          <w:szCs w:val="24"/>
        </w:rPr>
        <w:t>. This report will critically analyse the burden, risk factors and consequences of CHD at individual, community and health service level in the UK and make recommendations for policy-makers and evidence-based recommendations for the control of CHD.</w:t>
      </w:r>
    </w:p>
    <w:p w14:paraId="5D25B0AC" w14:textId="77777777" w:rsidR="00CC0A61" w:rsidRDefault="00CC0A61" w:rsidP="003C168D">
      <w:pPr>
        <w:spacing w:after="160" w:line="360" w:lineRule="auto"/>
        <w:jc w:val="center"/>
        <w:rPr>
          <w:rFonts w:ascii="Arial" w:eastAsia="Calibri" w:hAnsi="Arial" w:cs="Arial"/>
          <w:color w:val="000000" w:themeColor="text1"/>
          <w:sz w:val="24"/>
          <w:szCs w:val="24"/>
        </w:rPr>
      </w:pPr>
      <w:r>
        <w:rPr>
          <w:rFonts w:ascii="Arial" w:eastAsia="Calibri" w:hAnsi="Arial" w:cs="Arial"/>
          <w:noProof/>
          <w:color w:val="000000" w:themeColor="text1"/>
          <w:sz w:val="24"/>
          <w:szCs w:val="24"/>
        </w:rPr>
        <w:lastRenderedPageBreak/>
        <w:drawing>
          <wp:inline distT="0" distB="0" distL="0" distR="0" wp14:anchorId="62CD0EF2" wp14:editId="0A2417D9">
            <wp:extent cx="3333750" cy="325999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54367" cy="3280154"/>
                    </a:xfrm>
                    <a:prstGeom prst="rect">
                      <a:avLst/>
                    </a:prstGeom>
                    <a:noFill/>
                  </pic:spPr>
                </pic:pic>
              </a:graphicData>
            </a:graphic>
          </wp:inline>
        </w:drawing>
      </w:r>
    </w:p>
    <w:p w14:paraId="09F79C2A" w14:textId="77777777" w:rsidR="00CC0A61" w:rsidRPr="00CC0A61" w:rsidRDefault="00CC0A61" w:rsidP="003C168D">
      <w:pPr>
        <w:spacing w:after="160" w:line="360" w:lineRule="auto"/>
        <w:jc w:val="center"/>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Figure 1: </w:t>
      </w:r>
      <w:r w:rsidRPr="00CC0A61">
        <w:rPr>
          <w:rFonts w:ascii="Arial" w:eastAsia="Calibri" w:hAnsi="Arial" w:cs="Arial"/>
          <w:color w:val="000000" w:themeColor="text1"/>
          <w:sz w:val="24"/>
          <w:szCs w:val="24"/>
        </w:rPr>
        <w:t>Coronary Artery Disease (CAD): Symptoms &amp; Treatment</w:t>
      </w:r>
      <w:r>
        <w:rPr>
          <w:rFonts w:ascii="Arial" w:eastAsia="Calibri" w:hAnsi="Arial" w:cs="Arial"/>
          <w:color w:val="000000" w:themeColor="text1"/>
          <w:sz w:val="24"/>
          <w:szCs w:val="24"/>
        </w:rPr>
        <w:t xml:space="preserve">, </w:t>
      </w:r>
      <w:r w:rsidRPr="00CC0A61">
        <w:rPr>
          <w:rFonts w:ascii="Arial" w:eastAsia="Calibri" w:hAnsi="Arial" w:cs="Arial"/>
          <w:color w:val="000000" w:themeColor="text1"/>
          <w:sz w:val="24"/>
          <w:szCs w:val="24"/>
        </w:rPr>
        <w:t>(Cleveland Clinic, 2023)</w:t>
      </w:r>
    </w:p>
    <w:p w14:paraId="7B2EBD63" w14:textId="77777777" w:rsidR="00D911F3" w:rsidRPr="00CC0A61" w:rsidRDefault="0013480B" w:rsidP="003C168D">
      <w:pPr>
        <w:pStyle w:val="Heading1"/>
        <w:spacing w:before="300" w:after="160" w:line="360" w:lineRule="auto"/>
        <w:rPr>
          <w:rFonts w:ascii="Arial" w:hAnsi="Arial" w:cs="Arial"/>
          <w:color w:val="000000" w:themeColor="text1"/>
        </w:rPr>
      </w:pPr>
      <w:bookmarkStart w:id="1" w:name="_Toc237375282"/>
      <w:r w:rsidRPr="00CC0A61">
        <w:rPr>
          <w:rFonts w:ascii="Arial" w:eastAsia="Calibri" w:hAnsi="Arial" w:cs="Arial"/>
          <w:b/>
          <w:bCs/>
          <w:color w:val="000000" w:themeColor="text1"/>
          <w:sz w:val="28"/>
          <w:szCs w:val="28"/>
        </w:rPr>
        <w:t>Main Body</w:t>
      </w:r>
      <w:bookmarkEnd w:id="1"/>
    </w:p>
    <w:p w14:paraId="4B247FC4" w14:textId="77777777" w:rsidR="00D911F3" w:rsidRPr="00CC0A61" w:rsidRDefault="0013480B" w:rsidP="003C168D">
      <w:pPr>
        <w:pStyle w:val="Heading2"/>
        <w:spacing w:before="220" w:after="120" w:line="360" w:lineRule="auto"/>
        <w:rPr>
          <w:rFonts w:ascii="Arial" w:hAnsi="Arial" w:cs="Arial"/>
          <w:color w:val="000000" w:themeColor="text1"/>
        </w:rPr>
      </w:pPr>
      <w:bookmarkStart w:id="2" w:name="_Toc237375283"/>
      <w:r w:rsidRPr="00CC0A61">
        <w:rPr>
          <w:rFonts w:ascii="Arial" w:eastAsia="Calibri" w:hAnsi="Arial" w:cs="Arial"/>
          <w:b/>
          <w:bCs/>
          <w:color w:val="000000" w:themeColor="text1"/>
        </w:rPr>
        <w:t>Incidence, Prevalence, Morbidity and Mortality</w:t>
      </w:r>
      <w:bookmarkEnd w:id="2"/>
    </w:p>
    <w:p w14:paraId="52466555" w14:textId="77777777" w:rsidR="00D911F3" w:rsidRPr="00CC0A61" w:rsidRDefault="00D50D4B" w:rsidP="003C168D">
      <w:pPr>
        <w:spacing w:after="160" w:line="360" w:lineRule="auto"/>
        <w:jc w:val="both"/>
        <w:rPr>
          <w:rFonts w:ascii="Arial" w:eastAsia="Calibri" w:hAnsi="Arial" w:cs="Arial"/>
          <w:color w:val="000000" w:themeColor="text1"/>
          <w:sz w:val="24"/>
          <w:szCs w:val="24"/>
        </w:rPr>
      </w:pPr>
      <w:r w:rsidRPr="00CC0A61">
        <w:rPr>
          <w:rFonts w:ascii="Arial" w:eastAsia="Calibri" w:hAnsi="Arial" w:cs="Arial"/>
          <w:color w:val="000000" w:themeColor="text1"/>
          <w:sz w:val="24"/>
          <w:szCs w:val="24"/>
        </w:rPr>
        <w:t>Like many cardiovascular disease inequalities, there are significant social and geographical inequalities in CHD prevalence in the UK. More than twice as many women in the UK die from CHD as women die from breast cancer, with around 1.5 million men compared to 830,000 women being affected by CHD, suggesting that CHD is under-recognised as a threat to women's health (British Heart Foundation, 2026b). In the UK, one in eight men and one in 14 women die from CHD and approximately 25,000 of these men and women die before the age of 75, which is a significant proportion of working-age deaths. The morbidity burden of CHD is significant, with an estimated 100,000 hospital admissions annually in the UK for heart attack alone, and about 80% of individuals with heart and circulatory diseases having at least one additional long-term condition, typically diabetes or hypertension, which adds to the burden of care and its associated costs (British Heart Foundation, 2026b). In the UK, more than 40,000 people suffer out of hospital cardiac arrest, caused by CHD, and less than one in ten survive, highlighting the devastating effects of untreated or undiagnosed CHD.</w:t>
      </w:r>
    </w:p>
    <w:p w14:paraId="71AA53A1" w14:textId="77777777" w:rsidR="00D911F3" w:rsidRPr="00CC0A61" w:rsidRDefault="0013480B" w:rsidP="003C168D">
      <w:pPr>
        <w:pStyle w:val="Heading2"/>
        <w:spacing w:before="220" w:after="120" w:line="360" w:lineRule="auto"/>
        <w:rPr>
          <w:rFonts w:ascii="Arial" w:hAnsi="Arial" w:cs="Arial"/>
          <w:color w:val="000000" w:themeColor="text1"/>
        </w:rPr>
      </w:pPr>
      <w:bookmarkStart w:id="3" w:name="_Toc237375284"/>
      <w:r w:rsidRPr="00CC0A61">
        <w:rPr>
          <w:rFonts w:ascii="Arial" w:eastAsia="Calibri" w:hAnsi="Arial" w:cs="Arial"/>
          <w:b/>
          <w:bCs/>
          <w:color w:val="000000" w:themeColor="text1"/>
        </w:rPr>
        <w:lastRenderedPageBreak/>
        <w:t>Determinants of CHD: Applying the 3Ps of Public Health</w:t>
      </w:r>
      <w:bookmarkEnd w:id="3"/>
    </w:p>
    <w:p w14:paraId="2E573AF4" w14:textId="77777777" w:rsidR="00D911F3" w:rsidRDefault="00D50D4B" w:rsidP="003C168D">
      <w:pPr>
        <w:spacing w:after="160" w:line="360" w:lineRule="auto"/>
        <w:jc w:val="both"/>
        <w:rPr>
          <w:rFonts w:ascii="Arial" w:eastAsia="Calibri" w:hAnsi="Arial" w:cs="Arial"/>
          <w:color w:val="000000" w:themeColor="text1"/>
          <w:sz w:val="24"/>
          <w:szCs w:val="24"/>
        </w:rPr>
      </w:pPr>
      <w:r w:rsidRPr="00CC0A61">
        <w:rPr>
          <w:rFonts w:ascii="Arial" w:eastAsia="Calibri" w:hAnsi="Arial" w:cs="Arial"/>
          <w:color w:val="000000" w:themeColor="text1"/>
          <w:sz w:val="24"/>
          <w:szCs w:val="24"/>
        </w:rPr>
        <w:t>Insights into the determinants of CHD can be gained from the three domains of public health practice, prevention, protection and promotion, and these determinants are rarely "one-behaviour or one-exposure" issues</w:t>
      </w:r>
      <w:r w:rsidR="0015777A" w:rsidRPr="00CC0A61">
        <w:rPr>
          <w:rFonts w:ascii="Arial" w:eastAsia="Calibri" w:hAnsi="Arial" w:cs="Arial"/>
          <w:color w:val="000000" w:themeColor="text1"/>
          <w:sz w:val="24"/>
          <w:szCs w:val="24"/>
        </w:rPr>
        <w:t xml:space="preserve"> (Su et al., 2024). </w:t>
      </w:r>
      <w:r w:rsidRPr="00CC0A61">
        <w:rPr>
          <w:rFonts w:ascii="Arial" w:eastAsia="Calibri" w:hAnsi="Arial" w:cs="Arial"/>
          <w:color w:val="000000" w:themeColor="text1"/>
          <w:sz w:val="24"/>
          <w:szCs w:val="24"/>
        </w:rPr>
        <w:t>As a prevention strategy, modifiable risk factors such as smoking, lack of exercise, dietary issues, high blood pressure, high cholesterol and high blood sugar make up the bulk of CHD risk, and NICE (2023) highlights statin therapy and structured risk assessment (NHS Health Check) as essential preventive measures. However</w:t>
      </w:r>
      <w:r w:rsidR="0015777A" w:rsidRPr="00CC0A61">
        <w:rPr>
          <w:rFonts w:ascii="Arial" w:eastAsia="Calibri" w:hAnsi="Arial" w:cs="Arial"/>
          <w:color w:val="000000" w:themeColor="text1"/>
          <w:sz w:val="24"/>
          <w:szCs w:val="24"/>
        </w:rPr>
        <w:t>,</w:t>
      </w:r>
      <w:r w:rsidRPr="00CC0A61">
        <w:rPr>
          <w:rFonts w:ascii="Arial" w:eastAsia="Calibri" w:hAnsi="Arial" w:cs="Arial"/>
          <w:color w:val="000000" w:themeColor="text1"/>
          <w:sz w:val="24"/>
          <w:szCs w:val="24"/>
        </w:rPr>
        <w:t xml:space="preserve"> the uptake of health checks within the NHS continues to be lowest in the most deprived communities, often those with the greatest risk; unless there is a commitment for access, prevention policy alone </w:t>
      </w:r>
      <w:r w:rsidR="0015777A" w:rsidRPr="00CC0A61">
        <w:rPr>
          <w:rFonts w:ascii="Arial" w:eastAsia="Calibri" w:hAnsi="Arial" w:cs="Arial"/>
          <w:color w:val="000000" w:themeColor="text1"/>
          <w:sz w:val="24"/>
          <w:szCs w:val="24"/>
        </w:rPr>
        <w:t xml:space="preserve">will not ensure equal outcomes. </w:t>
      </w:r>
      <w:r w:rsidRPr="00CC0A61">
        <w:rPr>
          <w:rFonts w:ascii="Arial" w:eastAsia="Calibri" w:hAnsi="Arial" w:cs="Arial"/>
          <w:color w:val="000000" w:themeColor="text1"/>
          <w:sz w:val="24"/>
          <w:szCs w:val="24"/>
        </w:rPr>
        <w:t>Determinants linked to protection are those that will decrease exposure to the key risk factors at the population level without requiring any change in behavior, such as tobacco control legislation, smoke-free public spaces and food reformulation policy. These have helped reduce cardiovascular death rates in the UK by half since the 1960s, but critics say the voluntary reformulation initiatives for salt and saturated fat have not achieved as much as the mandatory tobacco regulation, meaning that protection strategies work as well as they are actually enforced</w:t>
      </w:r>
      <w:r w:rsidR="0015777A" w:rsidRPr="00CC0A61">
        <w:rPr>
          <w:rFonts w:ascii="Arial" w:eastAsia="Calibri" w:hAnsi="Arial" w:cs="Arial"/>
          <w:color w:val="000000" w:themeColor="text1"/>
          <w:sz w:val="24"/>
          <w:szCs w:val="24"/>
        </w:rPr>
        <w:t xml:space="preserve"> (Garrett et al., 2014). </w:t>
      </w:r>
      <w:r w:rsidRPr="00CC0A61">
        <w:rPr>
          <w:rFonts w:ascii="Arial" w:eastAsia="Calibri" w:hAnsi="Arial" w:cs="Arial"/>
          <w:color w:val="000000" w:themeColor="text1"/>
          <w:sz w:val="24"/>
          <w:szCs w:val="24"/>
        </w:rPr>
        <w:t>Promotion activities are designed to develop personal capability and awareness, e.g. physical activity campaigns and education about cardiac health. But, as in the case of obesity, promotion alone will not overcome structural inequal</w:t>
      </w:r>
      <w:r w:rsidR="0015777A" w:rsidRPr="00CC0A61">
        <w:rPr>
          <w:rFonts w:ascii="Arial" w:eastAsia="Calibri" w:hAnsi="Arial" w:cs="Arial"/>
          <w:color w:val="000000" w:themeColor="text1"/>
          <w:sz w:val="24"/>
          <w:szCs w:val="24"/>
        </w:rPr>
        <w:t>ity. T</w:t>
      </w:r>
      <w:r w:rsidRPr="00CC0A61">
        <w:rPr>
          <w:rFonts w:ascii="Arial" w:eastAsia="Calibri" w:hAnsi="Arial" w:cs="Arial"/>
          <w:color w:val="000000" w:themeColor="text1"/>
          <w:sz w:val="24"/>
          <w:szCs w:val="24"/>
        </w:rPr>
        <w:t>he Marmot Review (2020) shows that the social gradient in cardiovascular mortality has become wider in the most deprived areas of England, suggesting that the determinants of CHD are acting at the individual, environmental and structural levels.</w:t>
      </w:r>
    </w:p>
    <w:p w14:paraId="637D7908" w14:textId="77777777" w:rsidR="00CC0A61" w:rsidRDefault="00CC0A61" w:rsidP="003C168D">
      <w:pPr>
        <w:spacing w:after="160" w:line="360" w:lineRule="auto"/>
        <w:jc w:val="center"/>
        <w:rPr>
          <w:rFonts w:ascii="Arial" w:eastAsia="Calibri" w:hAnsi="Arial" w:cs="Arial"/>
          <w:color w:val="000000" w:themeColor="text1"/>
          <w:sz w:val="24"/>
          <w:szCs w:val="24"/>
        </w:rPr>
      </w:pPr>
      <w:r>
        <w:rPr>
          <w:rFonts w:ascii="Arial" w:eastAsia="Calibri" w:hAnsi="Arial" w:cs="Arial"/>
          <w:noProof/>
          <w:color w:val="000000" w:themeColor="text1"/>
          <w:sz w:val="24"/>
          <w:szCs w:val="24"/>
        </w:rPr>
        <w:lastRenderedPageBreak/>
        <w:drawing>
          <wp:inline distT="0" distB="0" distL="0" distR="0" wp14:anchorId="2AB8A5D3" wp14:editId="25B39EC6">
            <wp:extent cx="5057775" cy="5080456"/>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63928" cy="5086637"/>
                    </a:xfrm>
                    <a:prstGeom prst="rect">
                      <a:avLst/>
                    </a:prstGeom>
                    <a:noFill/>
                  </pic:spPr>
                </pic:pic>
              </a:graphicData>
            </a:graphic>
          </wp:inline>
        </w:drawing>
      </w:r>
    </w:p>
    <w:p w14:paraId="5F99124E" w14:textId="77777777" w:rsidR="00CC0A61" w:rsidRPr="00CC0A61" w:rsidRDefault="00CC0A61" w:rsidP="003C168D">
      <w:pPr>
        <w:spacing w:after="160" w:line="360" w:lineRule="auto"/>
        <w:jc w:val="center"/>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Figure 2: </w:t>
      </w:r>
      <w:r w:rsidRPr="00CC0A61">
        <w:rPr>
          <w:rFonts w:ascii="Arial" w:eastAsia="Calibri" w:hAnsi="Arial" w:cs="Arial"/>
          <w:color w:val="000000" w:themeColor="text1"/>
          <w:sz w:val="24"/>
          <w:szCs w:val="24"/>
        </w:rPr>
        <w:t>Social determinants of health</w:t>
      </w:r>
      <w:r>
        <w:rPr>
          <w:rFonts w:ascii="Arial" w:eastAsia="Calibri" w:hAnsi="Arial" w:cs="Arial"/>
          <w:color w:val="000000" w:themeColor="text1"/>
          <w:sz w:val="24"/>
          <w:szCs w:val="24"/>
        </w:rPr>
        <w:t xml:space="preserve">, </w:t>
      </w:r>
      <w:r w:rsidRPr="00CC0A61">
        <w:rPr>
          <w:rFonts w:ascii="Arial" w:eastAsia="Calibri" w:hAnsi="Arial" w:cs="Arial"/>
          <w:color w:val="000000" w:themeColor="text1"/>
          <w:sz w:val="24"/>
          <w:szCs w:val="24"/>
        </w:rPr>
        <w:t>(El-Baz and Suri, 2021)</w:t>
      </w:r>
    </w:p>
    <w:p w14:paraId="0E60117B" w14:textId="77777777" w:rsidR="00D911F3" w:rsidRPr="00CC0A61" w:rsidRDefault="0013480B" w:rsidP="003C168D">
      <w:pPr>
        <w:pStyle w:val="Heading2"/>
        <w:spacing w:before="220" w:after="120" w:line="360" w:lineRule="auto"/>
        <w:rPr>
          <w:rFonts w:ascii="Arial" w:hAnsi="Arial" w:cs="Arial"/>
          <w:color w:val="000000" w:themeColor="text1"/>
        </w:rPr>
      </w:pPr>
      <w:bookmarkStart w:id="4" w:name="_Toc237375285"/>
      <w:r w:rsidRPr="00CC0A61">
        <w:rPr>
          <w:rFonts w:ascii="Arial" w:eastAsia="Calibri" w:hAnsi="Arial" w:cs="Arial"/>
          <w:b/>
          <w:bCs/>
          <w:color w:val="000000" w:themeColor="text1"/>
        </w:rPr>
        <w:t>Implications for Individuals and Communities</w:t>
      </w:r>
      <w:bookmarkEnd w:id="4"/>
    </w:p>
    <w:p w14:paraId="168B58AE" w14:textId="77777777" w:rsidR="00D911F3" w:rsidRDefault="00D50D4B" w:rsidP="003C168D">
      <w:pPr>
        <w:spacing w:after="160" w:line="360" w:lineRule="auto"/>
        <w:jc w:val="both"/>
        <w:rPr>
          <w:rFonts w:ascii="Arial" w:eastAsia="Calibri" w:hAnsi="Arial" w:cs="Arial"/>
          <w:color w:val="000000" w:themeColor="text1"/>
          <w:sz w:val="24"/>
          <w:szCs w:val="24"/>
        </w:rPr>
      </w:pPr>
      <w:r w:rsidRPr="00CC0A61">
        <w:rPr>
          <w:rFonts w:ascii="Arial" w:eastAsia="Calibri" w:hAnsi="Arial" w:cs="Arial"/>
          <w:color w:val="000000" w:themeColor="text1"/>
          <w:sz w:val="24"/>
          <w:szCs w:val="24"/>
        </w:rPr>
        <w:t>The consequences of CHD on the individual are immediate, such as chest pain that limits activity, anxiety about the risk</w:t>
      </w:r>
      <w:r w:rsidR="0015777A" w:rsidRPr="00CC0A61">
        <w:rPr>
          <w:rFonts w:ascii="Arial" w:eastAsia="Calibri" w:hAnsi="Arial" w:cs="Arial"/>
          <w:color w:val="000000" w:themeColor="text1"/>
          <w:sz w:val="24"/>
          <w:szCs w:val="24"/>
        </w:rPr>
        <w:t xml:space="preserve"> of another cardiac event, and </w:t>
      </w:r>
      <w:r w:rsidRPr="00CC0A61">
        <w:rPr>
          <w:rFonts w:ascii="Arial" w:eastAsia="Calibri" w:hAnsi="Arial" w:cs="Arial"/>
          <w:color w:val="000000" w:themeColor="text1"/>
          <w:sz w:val="24"/>
          <w:szCs w:val="24"/>
        </w:rPr>
        <w:t>after</w:t>
      </w:r>
      <w:r w:rsidR="0015777A" w:rsidRPr="00CC0A61">
        <w:rPr>
          <w:rFonts w:ascii="Arial" w:eastAsia="Calibri" w:hAnsi="Arial" w:cs="Arial"/>
          <w:color w:val="000000" w:themeColor="text1"/>
          <w:sz w:val="24"/>
          <w:szCs w:val="24"/>
        </w:rPr>
        <w:t xml:space="preserve"> myocardial infarction</w:t>
      </w:r>
      <w:r w:rsidRPr="00CC0A61">
        <w:rPr>
          <w:rFonts w:ascii="Arial" w:eastAsia="Calibri" w:hAnsi="Arial" w:cs="Arial"/>
          <w:color w:val="000000" w:themeColor="text1"/>
          <w:sz w:val="24"/>
          <w:szCs w:val="24"/>
        </w:rPr>
        <w:t xml:space="preserve"> a well-established risk of depression that can last for months after hospital discharge. Long-term effects include decreased life expectancy, higher risk of heart failure and stroke, and poor quality of life, especially in patients with other conditions like diabetes</w:t>
      </w:r>
      <w:r w:rsidR="0015777A" w:rsidRPr="00CC0A61">
        <w:rPr>
          <w:rFonts w:ascii="Arial" w:eastAsia="Calibri" w:hAnsi="Arial" w:cs="Arial"/>
          <w:color w:val="000000" w:themeColor="text1"/>
          <w:sz w:val="24"/>
          <w:szCs w:val="24"/>
        </w:rPr>
        <w:t xml:space="preserve"> (Xu et al., 2024). </w:t>
      </w:r>
      <w:r w:rsidRPr="00CC0A61">
        <w:rPr>
          <w:rFonts w:ascii="Arial" w:eastAsia="Calibri" w:hAnsi="Arial" w:cs="Arial"/>
          <w:color w:val="000000" w:themeColor="text1"/>
          <w:sz w:val="24"/>
          <w:szCs w:val="24"/>
        </w:rPr>
        <w:t xml:space="preserve">CHD is a driver and a result of health inequality at community level. The highest prevalence and mortality rates are in more deprived areas and parts of northern England, consistent with the cumulative effect of smoking prevalence, occupational stress, less access to a good diet and less engagement with healthcare among these populations. This is a vicious cycle where deprivation increases the risk of cardiovascular diseases, and when people fall ill and die, their </w:t>
      </w:r>
      <w:r w:rsidRPr="00CC0A61">
        <w:rPr>
          <w:rFonts w:ascii="Arial" w:eastAsia="Calibri" w:hAnsi="Arial" w:cs="Arial"/>
          <w:color w:val="000000" w:themeColor="text1"/>
          <w:sz w:val="24"/>
          <w:szCs w:val="24"/>
        </w:rPr>
        <w:lastRenderedPageBreak/>
        <w:t>families' incomes are further reduced and their communities are further weakened</w:t>
      </w:r>
      <w:r w:rsidR="0015777A" w:rsidRPr="00CC0A61">
        <w:rPr>
          <w:rFonts w:ascii="Arial" w:eastAsia="Calibri" w:hAnsi="Arial" w:cs="Arial"/>
          <w:color w:val="000000" w:themeColor="text1"/>
          <w:sz w:val="24"/>
          <w:szCs w:val="24"/>
        </w:rPr>
        <w:t xml:space="preserve"> (Ratnasabesar and Kunadian, 2026)</w:t>
      </w:r>
      <w:r w:rsidRPr="00CC0A61">
        <w:rPr>
          <w:rFonts w:ascii="Arial" w:eastAsia="Calibri" w:hAnsi="Arial" w:cs="Arial"/>
          <w:color w:val="000000" w:themeColor="text1"/>
          <w:sz w:val="24"/>
          <w:szCs w:val="24"/>
        </w:rPr>
        <w:t>.</w:t>
      </w:r>
    </w:p>
    <w:p w14:paraId="7AD5B924" w14:textId="77777777" w:rsidR="00CC0A61" w:rsidRDefault="00CC0A61" w:rsidP="003C168D">
      <w:pPr>
        <w:spacing w:after="160" w:line="360" w:lineRule="auto"/>
        <w:jc w:val="center"/>
        <w:rPr>
          <w:rFonts w:ascii="Arial" w:eastAsia="Calibri" w:hAnsi="Arial" w:cs="Arial"/>
          <w:color w:val="000000" w:themeColor="text1"/>
          <w:sz w:val="24"/>
          <w:szCs w:val="24"/>
        </w:rPr>
      </w:pPr>
      <w:r>
        <w:rPr>
          <w:rFonts w:ascii="Arial" w:eastAsia="Calibri" w:hAnsi="Arial" w:cs="Arial"/>
          <w:noProof/>
          <w:color w:val="000000" w:themeColor="text1"/>
          <w:sz w:val="24"/>
          <w:szCs w:val="24"/>
        </w:rPr>
        <w:drawing>
          <wp:inline distT="0" distB="0" distL="0" distR="0" wp14:anchorId="14A27D5C" wp14:editId="76DEDB95">
            <wp:extent cx="3810000" cy="3048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000" cy="3048000"/>
                    </a:xfrm>
                    <a:prstGeom prst="rect">
                      <a:avLst/>
                    </a:prstGeom>
                    <a:noFill/>
                  </pic:spPr>
                </pic:pic>
              </a:graphicData>
            </a:graphic>
          </wp:inline>
        </w:drawing>
      </w:r>
    </w:p>
    <w:p w14:paraId="742C812D" w14:textId="77777777" w:rsidR="00CC0A61" w:rsidRPr="00CC0A61" w:rsidRDefault="00CC0A61" w:rsidP="003C168D">
      <w:pPr>
        <w:spacing w:after="160" w:line="360" w:lineRule="auto"/>
        <w:jc w:val="center"/>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Figure 3: </w:t>
      </w:r>
      <w:r w:rsidRPr="00CC0A61">
        <w:rPr>
          <w:rFonts w:ascii="Arial" w:eastAsia="Calibri" w:hAnsi="Arial" w:cs="Arial"/>
          <w:color w:val="000000" w:themeColor="text1"/>
          <w:sz w:val="24"/>
          <w:szCs w:val="24"/>
        </w:rPr>
        <w:t>Coronary heart disease</w:t>
      </w:r>
      <w:r>
        <w:rPr>
          <w:rFonts w:ascii="Arial" w:eastAsia="Calibri" w:hAnsi="Arial" w:cs="Arial"/>
          <w:color w:val="000000" w:themeColor="text1"/>
          <w:sz w:val="24"/>
          <w:szCs w:val="24"/>
        </w:rPr>
        <w:t xml:space="preserve">, </w:t>
      </w:r>
      <w:r w:rsidRPr="00CC0A61">
        <w:rPr>
          <w:rFonts w:ascii="Arial" w:eastAsia="Calibri" w:hAnsi="Arial" w:cs="Arial"/>
          <w:color w:val="000000" w:themeColor="text1"/>
          <w:sz w:val="24"/>
          <w:szCs w:val="24"/>
        </w:rPr>
        <w:t>(MedicinePlus, 2024)</w:t>
      </w:r>
    </w:p>
    <w:p w14:paraId="6A649926" w14:textId="77777777" w:rsidR="00D911F3" w:rsidRPr="00CC0A61" w:rsidRDefault="0013480B" w:rsidP="003C168D">
      <w:pPr>
        <w:pStyle w:val="Heading2"/>
        <w:spacing w:before="220" w:after="120" w:line="360" w:lineRule="auto"/>
        <w:rPr>
          <w:rFonts w:ascii="Arial" w:hAnsi="Arial" w:cs="Arial"/>
          <w:color w:val="000000" w:themeColor="text1"/>
        </w:rPr>
      </w:pPr>
      <w:bookmarkStart w:id="5" w:name="_Toc237375286"/>
      <w:r w:rsidRPr="00CC0A61">
        <w:rPr>
          <w:rFonts w:ascii="Arial" w:eastAsia="Calibri" w:hAnsi="Arial" w:cs="Arial"/>
          <w:b/>
          <w:bCs/>
          <w:color w:val="000000" w:themeColor="text1"/>
        </w:rPr>
        <w:t>Impact on Health and Social Care Provision</w:t>
      </w:r>
      <w:bookmarkEnd w:id="5"/>
    </w:p>
    <w:p w14:paraId="3054461C" w14:textId="77777777" w:rsidR="00D911F3" w:rsidRPr="00CC0A61" w:rsidRDefault="00D50D4B" w:rsidP="003C168D">
      <w:pPr>
        <w:spacing w:after="160" w:line="360" w:lineRule="auto"/>
        <w:jc w:val="both"/>
        <w:rPr>
          <w:rFonts w:ascii="Arial" w:hAnsi="Arial" w:cs="Arial"/>
          <w:color w:val="000000" w:themeColor="text1"/>
        </w:rPr>
      </w:pPr>
      <w:r w:rsidRPr="00CC0A61">
        <w:rPr>
          <w:rFonts w:ascii="Arial" w:eastAsia="Calibri" w:hAnsi="Arial" w:cs="Arial"/>
          <w:color w:val="000000" w:themeColor="text1"/>
          <w:sz w:val="24"/>
          <w:szCs w:val="24"/>
        </w:rPr>
        <w:t>CHD imposes a significant and ongoing burden on NH services, starting from primary care treatment of hypertension and hyperlipaidaemia, through to cardiac arrest and heart attack response services, and extended cardiac rehabilitation and secondary prevention medications</w:t>
      </w:r>
      <w:r w:rsidR="0015777A" w:rsidRPr="00CC0A61">
        <w:rPr>
          <w:rFonts w:ascii="Arial" w:eastAsia="Calibri" w:hAnsi="Arial" w:cs="Arial"/>
          <w:color w:val="000000" w:themeColor="text1"/>
          <w:sz w:val="24"/>
          <w:szCs w:val="24"/>
        </w:rPr>
        <w:t xml:space="preserve"> (Shakya et al., 2025)</w:t>
      </w:r>
      <w:r w:rsidRPr="00CC0A61">
        <w:rPr>
          <w:rFonts w:ascii="Arial" w:eastAsia="Calibri" w:hAnsi="Arial" w:cs="Arial"/>
          <w:color w:val="000000" w:themeColor="text1"/>
          <w:sz w:val="24"/>
          <w:szCs w:val="24"/>
        </w:rPr>
        <w:t>. There are approximately 100,000 admissions for heart attacks per year and CHD is a significant component of the estimated cost of cardiovascular disease in the UK economy, with this increasing as the population ages (British Heart Foundation, 2026b). Cardiac rehabilitation is one of the interventions that is known to reduce repeat events and there is a significant variation in the availability of cardiac rehabilitation in the region and also by deprivation, which could actually increase inequalities, rather than reduce them, as those at most risk is least likely to access the cardiac rehabilitation services that have the highest evidence of benefit</w:t>
      </w:r>
      <w:r w:rsidR="0015777A" w:rsidRPr="00CC0A61">
        <w:rPr>
          <w:rFonts w:ascii="Arial" w:eastAsia="Calibri" w:hAnsi="Arial" w:cs="Arial"/>
          <w:color w:val="000000" w:themeColor="text1"/>
          <w:sz w:val="24"/>
          <w:szCs w:val="24"/>
        </w:rPr>
        <w:t xml:space="preserve"> (Taylor, Dalal and McDonagh, 2021)</w:t>
      </w:r>
      <w:r w:rsidRPr="00CC0A61">
        <w:rPr>
          <w:rFonts w:ascii="Arial" w:eastAsia="Calibri" w:hAnsi="Arial" w:cs="Arial"/>
          <w:color w:val="000000" w:themeColor="text1"/>
          <w:sz w:val="24"/>
          <w:szCs w:val="24"/>
        </w:rPr>
        <w:t>.</w:t>
      </w:r>
    </w:p>
    <w:p w14:paraId="2C126AF4" w14:textId="77777777" w:rsidR="00D911F3" w:rsidRPr="00CC0A61" w:rsidRDefault="0013480B" w:rsidP="003C168D">
      <w:pPr>
        <w:pStyle w:val="Heading2"/>
        <w:spacing w:before="220" w:after="120" w:line="360" w:lineRule="auto"/>
        <w:rPr>
          <w:rFonts w:ascii="Arial" w:hAnsi="Arial" w:cs="Arial"/>
          <w:color w:val="000000" w:themeColor="text1"/>
        </w:rPr>
      </w:pPr>
      <w:bookmarkStart w:id="6" w:name="_Toc237375287"/>
      <w:r w:rsidRPr="00CC0A61">
        <w:rPr>
          <w:rFonts w:ascii="Arial" w:eastAsia="Calibri" w:hAnsi="Arial" w:cs="Arial"/>
          <w:b/>
          <w:bCs/>
          <w:color w:val="000000" w:themeColor="text1"/>
        </w:rPr>
        <w:t>Factors Influencing Health and Wellbeing</w:t>
      </w:r>
      <w:bookmarkEnd w:id="6"/>
    </w:p>
    <w:p w14:paraId="599DD0C1" w14:textId="77777777" w:rsidR="00D911F3" w:rsidRPr="00844F82" w:rsidRDefault="00844F82" w:rsidP="00844F82">
      <w:pPr>
        <w:spacing w:after="160" w:line="360" w:lineRule="auto"/>
        <w:jc w:val="both"/>
        <w:rPr>
          <w:rFonts w:ascii="Arial" w:eastAsia="Calibri" w:hAnsi="Arial" w:cs="Arial"/>
          <w:color w:val="000000" w:themeColor="text1"/>
          <w:sz w:val="24"/>
          <w:szCs w:val="24"/>
        </w:rPr>
      </w:pPr>
      <w:r w:rsidRPr="00844F82">
        <w:rPr>
          <w:rFonts w:ascii="Arial" w:eastAsia="Calibri" w:hAnsi="Arial" w:cs="Arial"/>
          <w:color w:val="000000" w:themeColor="text1"/>
          <w:sz w:val="24"/>
          <w:szCs w:val="24"/>
        </w:rPr>
        <w:t xml:space="preserve">In addition to clinical factors, there are broader factors influencing the wellbeing of an individual with CHD and care cannot be viewed solely through a biomedical lens. </w:t>
      </w:r>
      <w:r w:rsidRPr="00844F82">
        <w:rPr>
          <w:rFonts w:ascii="Arial" w:eastAsia="Calibri" w:hAnsi="Arial" w:cs="Arial"/>
          <w:color w:val="000000" w:themeColor="text1"/>
          <w:sz w:val="24"/>
          <w:szCs w:val="24"/>
        </w:rPr>
        <w:lastRenderedPageBreak/>
        <w:t>Anxiety and depression is a psychological response to cardiac events and may be associated with non-adherence to secondary prevention medication and rehabilitation programmes, which in turn may compromise recovery and contribute to the risk of recurrence of cardiac events (Jones et al., 2025). This relationship is important as adherence to medication and rehabilitation attendance are among the strongest predictors of long-term survival after a cardiac event, which makes psychological distress a true clinical risk factor</w:t>
      </w:r>
      <w:r>
        <w:rPr>
          <w:rFonts w:ascii="Arial" w:eastAsia="Calibri" w:hAnsi="Arial" w:cs="Arial"/>
          <w:color w:val="000000" w:themeColor="text1"/>
          <w:sz w:val="24"/>
          <w:szCs w:val="24"/>
        </w:rPr>
        <w:t xml:space="preserve"> and not a ‘secondary concern'. </w:t>
      </w:r>
      <w:r w:rsidRPr="00844F82">
        <w:rPr>
          <w:rFonts w:ascii="Arial" w:eastAsia="Calibri" w:hAnsi="Arial" w:cs="Arial"/>
          <w:color w:val="000000" w:themeColor="text1"/>
          <w:sz w:val="24"/>
          <w:szCs w:val="24"/>
        </w:rPr>
        <w:t>One other key determinant, especially for older adults living alone after a heart attack or stroke, is social isolation and low levels of support for daily monitoring, medication management and emotional coping are consistently linked to poorer outcomes. This is made even more difficult when dealing with other medical conditions like diabetes or chronic kidney disease, which make treatments more complex and require more care, especially if there is a lack of hea</w:t>
      </w:r>
      <w:r>
        <w:rPr>
          <w:rFonts w:ascii="Arial" w:eastAsia="Calibri" w:hAnsi="Arial" w:cs="Arial"/>
          <w:color w:val="000000" w:themeColor="text1"/>
          <w:sz w:val="24"/>
          <w:szCs w:val="24"/>
        </w:rPr>
        <w:t xml:space="preserve">lth literacy or social support. </w:t>
      </w:r>
      <w:r w:rsidRPr="00844F82">
        <w:rPr>
          <w:rFonts w:ascii="Arial" w:eastAsia="Calibri" w:hAnsi="Arial" w:cs="Arial"/>
          <w:color w:val="000000" w:themeColor="text1"/>
          <w:sz w:val="24"/>
          <w:szCs w:val="24"/>
        </w:rPr>
        <w:t>All of these factors suggest that the psychological and social dimensions of wellbeing play an integral part of recovery from CHD and should not be, and often are not, considered as an additional 'add-on' component. The implications for cardiac rehabilitation services design are that programmes that allow for greater psychological support and social prescribing will be more likely to have long-term benefits than those that are purely physical, especially for older people, those living alone and those with multiple long-term conditions.</w:t>
      </w:r>
    </w:p>
    <w:p w14:paraId="165E6C35" w14:textId="77777777" w:rsidR="00D911F3" w:rsidRPr="00CC0A61" w:rsidRDefault="0013480B" w:rsidP="003C168D">
      <w:pPr>
        <w:pStyle w:val="Heading1"/>
        <w:spacing w:before="300" w:after="160" w:line="360" w:lineRule="auto"/>
        <w:rPr>
          <w:rFonts w:ascii="Arial" w:hAnsi="Arial" w:cs="Arial"/>
          <w:color w:val="000000" w:themeColor="text1"/>
        </w:rPr>
      </w:pPr>
      <w:bookmarkStart w:id="7" w:name="_Toc237375288"/>
      <w:r w:rsidRPr="00CC0A61">
        <w:rPr>
          <w:rFonts w:ascii="Arial" w:eastAsia="Calibri" w:hAnsi="Arial" w:cs="Arial"/>
          <w:b/>
          <w:bCs/>
          <w:color w:val="000000" w:themeColor="text1"/>
          <w:sz w:val="28"/>
          <w:szCs w:val="28"/>
        </w:rPr>
        <w:t>Conclusion</w:t>
      </w:r>
      <w:bookmarkEnd w:id="7"/>
    </w:p>
    <w:p w14:paraId="3F69FCE7" w14:textId="77777777" w:rsidR="00D911F3" w:rsidRPr="00CC0A61" w:rsidRDefault="00D50D4B" w:rsidP="003C168D">
      <w:pPr>
        <w:spacing w:after="160" w:line="360" w:lineRule="auto"/>
        <w:jc w:val="both"/>
        <w:rPr>
          <w:rFonts w:ascii="Arial" w:eastAsia="Calibri" w:hAnsi="Arial" w:cs="Arial"/>
          <w:color w:val="000000" w:themeColor="text1"/>
          <w:sz w:val="24"/>
          <w:szCs w:val="24"/>
        </w:rPr>
      </w:pPr>
      <w:r w:rsidRPr="00CC0A61">
        <w:rPr>
          <w:rFonts w:ascii="Arial" w:eastAsia="Calibri" w:hAnsi="Arial" w:cs="Arial"/>
          <w:color w:val="000000" w:themeColor="text1"/>
          <w:sz w:val="24"/>
          <w:szCs w:val="24"/>
        </w:rPr>
        <w:t xml:space="preserve">CHD is the primary cause of mortality and one of the biggest non-communicable disease burdens in the world, particularly in deprived areas and creating a constant challenge for health and social care services. Effective intervention at this level will require an intervention strategy that works on more than just individual behaviour change or clinical treatment. Policy makers should be advised to: Make food reformulation targets mandatory not voluntary; Make the continuation of tobacco control measures a priority; Ensure there is greater investment in prevention, including increasing uptake of NHS Health Check in deprived areas, not where it is easiest to access; To ensure cardiac rehab and secondary prevention services are resourced equitably across regions, not where they are easiest to access. Unless structural and </w:t>
      </w:r>
      <w:r w:rsidRPr="00CC0A61">
        <w:rPr>
          <w:rFonts w:ascii="Arial" w:eastAsia="Calibri" w:hAnsi="Arial" w:cs="Arial"/>
          <w:color w:val="000000" w:themeColor="text1"/>
          <w:sz w:val="24"/>
          <w:szCs w:val="24"/>
        </w:rPr>
        <w:lastRenderedPageBreak/>
        <w:t>environmental factors that contribute to CHD are dealt with, alongside clinical management, prevalence and inequalities will be likely to continue to be high.</w:t>
      </w:r>
    </w:p>
    <w:p w14:paraId="601806FA" w14:textId="77777777" w:rsidR="00D50D4B" w:rsidRPr="00CC0A61" w:rsidRDefault="00D50D4B" w:rsidP="003C168D">
      <w:pPr>
        <w:pStyle w:val="Heading1"/>
        <w:spacing w:before="300" w:after="160" w:line="360" w:lineRule="auto"/>
        <w:rPr>
          <w:rFonts w:ascii="Arial" w:eastAsia="Calibri" w:hAnsi="Arial" w:cs="Arial"/>
          <w:b/>
          <w:bCs/>
          <w:color w:val="000000" w:themeColor="text1"/>
          <w:sz w:val="28"/>
          <w:szCs w:val="28"/>
        </w:rPr>
      </w:pPr>
    </w:p>
    <w:p w14:paraId="14D09597" w14:textId="77777777" w:rsidR="00D50D4B" w:rsidRPr="00CC0A61" w:rsidRDefault="00D50D4B" w:rsidP="003C168D">
      <w:pPr>
        <w:pStyle w:val="Heading1"/>
        <w:spacing w:before="300" w:after="160" w:line="360" w:lineRule="auto"/>
        <w:rPr>
          <w:rFonts w:ascii="Arial" w:eastAsia="Calibri" w:hAnsi="Arial" w:cs="Arial"/>
          <w:b/>
          <w:bCs/>
          <w:color w:val="000000" w:themeColor="text1"/>
          <w:sz w:val="28"/>
          <w:szCs w:val="28"/>
        </w:rPr>
      </w:pPr>
    </w:p>
    <w:p w14:paraId="2107837F" w14:textId="77777777" w:rsidR="00D50D4B" w:rsidRPr="00CC0A61" w:rsidRDefault="00D50D4B" w:rsidP="003C168D">
      <w:pPr>
        <w:pStyle w:val="Heading1"/>
        <w:spacing w:before="300" w:after="160" w:line="360" w:lineRule="auto"/>
        <w:rPr>
          <w:rFonts w:ascii="Arial" w:eastAsia="Calibri" w:hAnsi="Arial" w:cs="Arial"/>
          <w:b/>
          <w:bCs/>
          <w:color w:val="000000" w:themeColor="text1"/>
          <w:sz w:val="28"/>
          <w:szCs w:val="28"/>
        </w:rPr>
      </w:pPr>
    </w:p>
    <w:p w14:paraId="384C571C" w14:textId="77777777" w:rsidR="00D50D4B" w:rsidRPr="00CC0A61" w:rsidRDefault="00D50D4B" w:rsidP="003C168D">
      <w:pPr>
        <w:pStyle w:val="Heading1"/>
        <w:spacing w:before="300" w:after="160" w:line="360" w:lineRule="auto"/>
        <w:rPr>
          <w:rFonts w:ascii="Arial" w:eastAsia="Calibri" w:hAnsi="Arial" w:cs="Arial"/>
          <w:b/>
          <w:bCs/>
          <w:color w:val="000000" w:themeColor="text1"/>
          <w:sz w:val="28"/>
          <w:szCs w:val="28"/>
        </w:rPr>
      </w:pPr>
    </w:p>
    <w:p w14:paraId="63B69AF2" w14:textId="77777777" w:rsidR="00CC0A61" w:rsidRDefault="00CC0A61" w:rsidP="003C168D">
      <w:pPr>
        <w:pStyle w:val="Heading1"/>
        <w:spacing w:before="300" w:after="160" w:line="360" w:lineRule="auto"/>
        <w:rPr>
          <w:rFonts w:ascii="Arial" w:eastAsia="Calibri" w:hAnsi="Arial" w:cs="Arial"/>
          <w:b/>
          <w:bCs/>
          <w:color w:val="000000" w:themeColor="text1"/>
          <w:sz w:val="28"/>
          <w:szCs w:val="28"/>
        </w:rPr>
      </w:pPr>
    </w:p>
    <w:p w14:paraId="6F632495" w14:textId="77777777" w:rsidR="003C168D" w:rsidRDefault="003C168D" w:rsidP="003C168D">
      <w:pPr>
        <w:pStyle w:val="Heading1"/>
        <w:spacing w:before="300" w:after="160" w:line="360" w:lineRule="auto"/>
        <w:rPr>
          <w:rFonts w:ascii="Arial" w:eastAsia="Calibri" w:hAnsi="Arial" w:cs="Arial"/>
          <w:b/>
          <w:bCs/>
          <w:color w:val="000000" w:themeColor="text1"/>
          <w:sz w:val="28"/>
          <w:szCs w:val="28"/>
        </w:rPr>
      </w:pPr>
    </w:p>
    <w:p w14:paraId="497F4CD5" w14:textId="77777777" w:rsidR="009B4413" w:rsidRDefault="009B4413" w:rsidP="003C168D">
      <w:pPr>
        <w:pStyle w:val="Heading1"/>
        <w:spacing w:before="300" w:after="160" w:line="360" w:lineRule="auto"/>
        <w:rPr>
          <w:rFonts w:ascii="Arial" w:eastAsia="Calibri" w:hAnsi="Arial" w:cs="Arial"/>
          <w:b/>
          <w:bCs/>
          <w:color w:val="000000" w:themeColor="text1"/>
          <w:sz w:val="28"/>
          <w:szCs w:val="28"/>
        </w:rPr>
      </w:pPr>
    </w:p>
    <w:p w14:paraId="33B36604" w14:textId="77777777" w:rsidR="009B4413" w:rsidRDefault="009B4413" w:rsidP="003C168D">
      <w:pPr>
        <w:pStyle w:val="Heading1"/>
        <w:spacing w:before="300" w:after="160" w:line="360" w:lineRule="auto"/>
        <w:rPr>
          <w:rFonts w:ascii="Arial" w:eastAsia="Calibri" w:hAnsi="Arial" w:cs="Arial"/>
          <w:b/>
          <w:bCs/>
          <w:color w:val="000000" w:themeColor="text1"/>
          <w:sz w:val="28"/>
          <w:szCs w:val="28"/>
        </w:rPr>
      </w:pPr>
    </w:p>
    <w:p w14:paraId="045D6ABE" w14:textId="77777777" w:rsidR="009B4413" w:rsidRDefault="009B4413" w:rsidP="003C168D">
      <w:pPr>
        <w:pStyle w:val="Heading1"/>
        <w:spacing w:before="300" w:after="160" w:line="360" w:lineRule="auto"/>
        <w:rPr>
          <w:rFonts w:ascii="Arial" w:eastAsia="Calibri" w:hAnsi="Arial" w:cs="Arial"/>
          <w:b/>
          <w:bCs/>
          <w:color w:val="000000" w:themeColor="text1"/>
          <w:sz w:val="28"/>
          <w:szCs w:val="28"/>
        </w:rPr>
      </w:pPr>
    </w:p>
    <w:p w14:paraId="0ED4B2D9" w14:textId="77777777" w:rsidR="009B4413" w:rsidRDefault="009B4413" w:rsidP="003C168D">
      <w:pPr>
        <w:pStyle w:val="Heading1"/>
        <w:spacing w:before="300" w:after="160" w:line="360" w:lineRule="auto"/>
        <w:rPr>
          <w:rFonts w:ascii="Arial" w:eastAsia="Calibri" w:hAnsi="Arial" w:cs="Arial"/>
          <w:b/>
          <w:bCs/>
          <w:color w:val="000000" w:themeColor="text1"/>
          <w:sz w:val="28"/>
          <w:szCs w:val="28"/>
        </w:rPr>
      </w:pPr>
    </w:p>
    <w:p w14:paraId="10DDEEAD" w14:textId="77777777" w:rsidR="009B4413" w:rsidRDefault="009B4413" w:rsidP="003C168D">
      <w:pPr>
        <w:pStyle w:val="Heading1"/>
        <w:spacing w:before="300" w:after="160" w:line="360" w:lineRule="auto"/>
        <w:rPr>
          <w:rFonts w:ascii="Arial" w:eastAsia="Calibri" w:hAnsi="Arial" w:cs="Arial"/>
          <w:b/>
          <w:bCs/>
          <w:color w:val="000000" w:themeColor="text1"/>
          <w:sz w:val="28"/>
          <w:szCs w:val="28"/>
        </w:rPr>
      </w:pPr>
    </w:p>
    <w:p w14:paraId="2D1A0D09" w14:textId="77777777" w:rsidR="009B4413" w:rsidRDefault="009B4413" w:rsidP="003C168D">
      <w:pPr>
        <w:pStyle w:val="Heading1"/>
        <w:spacing w:before="300" w:after="160" w:line="360" w:lineRule="auto"/>
        <w:rPr>
          <w:rFonts w:ascii="Arial" w:eastAsia="Calibri" w:hAnsi="Arial" w:cs="Arial"/>
          <w:b/>
          <w:bCs/>
          <w:color w:val="000000" w:themeColor="text1"/>
          <w:sz w:val="28"/>
          <w:szCs w:val="28"/>
        </w:rPr>
      </w:pPr>
    </w:p>
    <w:p w14:paraId="5B72CFDC" w14:textId="77777777" w:rsidR="009B4413" w:rsidRDefault="009B4413" w:rsidP="003C168D">
      <w:pPr>
        <w:pStyle w:val="Heading1"/>
        <w:spacing w:before="300" w:after="160" w:line="360" w:lineRule="auto"/>
        <w:rPr>
          <w:rFonts w:ascii="Arial" w:eastAsia="Calibri" w:hAnsi="Arial" w:cs="Arial"/>
          <w:b/>
          <w:bCs/>
          <w:color w:val="000000" w:themeColor="text1"/>
          <w:sz w:val="28"/>
          <w:szCs w:val="28"/>
        </w:rPr>
      </w:pPr>
    </w:p>
    <w:p w14:paraId="5E9D1099" w14:textId="77777777" w:rsidR="009B4413" w:rsidRDefault="009B4413" w:rsidP="003C168D">
      <w:pPr>
        <w:pStyle w:val="Heading1"/>
        <w:spacing w:before="300" w:after="160" w:line="360" w:lineRule="auto"/>
        <w:rPr>
          <w:rFonts w:ascii="Arial" w:eastAsia="Calibri" w:hAnsi="Arial" w:cs="Arial"/>
          <w:b/>
          <w:bCs/>
          <w:color w:val="000000" w:themeColor="text1"/>
          <w:sz w:val="28"/>
          <w:szCs w:val="28"/>
        </w:rPr>
      </w:pPr>
    </w:p>
    <w:p w14:paraId="4A92AA14" w14:textId="77777777" w:rsidR="009B4413" w:rsidRDefault="009B4413" w:rsidP="003C168D">
      <w:pPr>
        <w:pStyle w:val="Heading1"/>
        <w:spacing w:before="300" w:after="160" w:line="360" w:lineRule="auto"/>
        <w:rPr>
          <w:rFonts w:ascii="Arial" w:eastAsia="Calibri" w:hAnsi="Arial" w:cs="Arial"/>
          <w:b/>
          <w:bCs/>
          <w:color w:val="000000" w:themeColor="text1"/>
          <w:sz w:val="28"/>
          <w:szCs w:val="28"/>
        </w:rPr>
      </w:pPr>
    </w:p>
    <w:p w14:paraId="77939BB3" w14:textId="77777777" w:rsidR="009B4413" w:rsidRPr="00CC0A61" w:rsidRDefault="009B4413" w:rsidP="003C168D">
      <w:pPr>
        <w:pStyle w:val="Heading1"/>
        <w:spacing w:before="300" w:after="160" w:line="360" w:lineRule="auto"/>
        <w:rPr>
          <w:rFonts w:ascii="Arial" w:eastAsia="Calibri" w:hAnsi="Arial" w:cs="Arial"/>
          <w:b/>
          <w:bCs/>
          <w:color w:val="000000" w:themeColor="text1"/>
          <w:sz w:val="28"/>
          <w:szCs w:val="28"/>
        </w:rPr>
      </w:pPr>
    </w:p>
    <w:p w14:paraId="74C92B71" w14:textId="77777777" w:rsidR="003C168D" w:rsidRPr="003C168D" w:rsidRDefault="0013480B" w:rsidP="003C168D">
      <w:pPr>
        <w:pStyle w:val="Heading1"/>
        <w:spacing w:before="300" w:after="160" w:line="360" w:lineRule="auto"/>
        <w:rPr>
          <w:rFonts w:ascii="Arial" w:hAnsi="Arial" w:cs="Arial"/>
          <w:color w:val="000000" w:themeColor="text1"/>
        </w:rPr>
      </w:pPr>
      <w:bookmarkStart w:id="8" w:name="_Toc237375289"/>
      <w:r w:rsidRPr="00CC0A61">
        <w:rPr>
          <w:rFonts w:ascii="Arial" w:eastAsia="Calibri" w:hAnsi="Arial" w:cs="Arial"/>
          <w:b/>
          <w:bCs/>
          <w:color w:val="000000" w:themeColor="text1"/>
          <w:sz w:val="28"/>
          <w:szCs w:val="28"/>
        </w:rPr>
        <w:lastRenderedPageBreak/>
        <w:t>References</w:t>
      </w:r>
      <w:bookmarkEnd w:id="8"/>
    </w:p>
    <w:p w14:paraId="64949359" w14:textId="77777777" w:rsidR="003C168D" w:rsidRPr="00CC0A61" w:rsidRDefault="003C168D" w:rsidP="003C168D">
      <w:pPr>
        <w:spacing w:after="160" w:line="360" w:lineRule="auto"/>
        <w:ind w:left="720" w:hanging="720"/>
        <w:rPr>
          <w:rFonts w:ascii="Arial" w:hAnsi="Arial" w:cs="Arial"/>
          <w:color w:val="000000" w:themeColor="text1"/>
        </w:rPr>
      </w:pPr>
      <w:r w:rsidRPr="00CC0A61">
        <w:rPr>
          <w:rFonts w:ascii="Arial" w:eastAsia="Calibri" w:hAnsi="Arial" w:cs="Arial"/>
          <w:color w:val="000000" w:themeColor="text1"/>
          <w:sz w:val="22"/>
          <w:szCs w:val="22"/>
        </w:rPr>
        <w:t>British Heart Foundation (BHF) (2026a) Global Cardiovascular Disease Factsheet. London: BHF. Available at: https://www.bhf.org.uk/-/media/files/for-professionals/research/heart-statistics/bhf-cvd-statistics-global-factsheet-jan26.pdf (Accessed: 11 August 2026).</w:t>
      </w:r>
    </w:p>
    <w:p w14:paraId="32E59C91" w14:textId="77777777" w:rsidR="003C168D" w:rsidRPr="00CC0A61" w:rsidRDefault="003C168D" w:rsidP="003C168D">
      <w:pPr>
        <w:spacing w:after="160" w:line="360" w:lineRule="auto"/>
        <w:ind w:left="720" w:hanging="720"/>
        <w:rPr>
          <w:rFonts w:ascii="Arial" w:hAnsi="Arial" w:cs="Arial"/>
          <w:color w:val="000000" w:themeColor="text1"/>
        </w:rPr>
      </w:pPr>
      <w:r w:rsidRPr="00CC0A61">
        <w:rPr>
          <w:rFonts w:ascii="Arial" w:eastAsia="Calibri" w:hAnsi="Arial" w:cs="Arial"/>
          <w:color w:val="000000" w:themeColor="text1"/>
          <w:sz w:val="22"/>
          <w:szCs w:val="22"/>
        </w:rPr>
        <w:t>British Heart Foundation (BHF) (2026b) England Cardiovascular Disease Factsheet. London: BHF. Available at: https://www.bhf.org.uk/-/media/files/for-professionals/research/heart-statistics/bhf-cvd-statistics-england-factsheet-jan26.pdf (Accessed: 11 August 2026).</w:t>
      </w:r>
    </w:p>
    <w:p w14:paraId="2DB43B59" w14:textId="77777777" w:rsidR="003C168D" w:rsidRPr="00402A31" w:rsidRDefault="003C168D" w:rsidP="003C168D">
      <w:pPr>
        <w:pStyle w:val="NormalWeb"/>
        <w:spacing w:before="0" w:beforeAutospacing="0" w:after="240" w:afterAutospacing="0" w:line="360" w:lineRule="auto"/>
        <w:ind w:left="720" w:hanging="720"/>
        <w:rPr>
          <w:rFonts w:ascii="Arial" w:hAnsi="Arial" w:cs="Arial"/>
          <w:sz w:val="22"/>
        </w:rPr>
      </w:pPr>
      <w:r w:rsidRPr="00402A31">
        <w:rPr>
          <w:rFonts w:ascii="Arial" w:hAnsi="Arial" w:cs="Arial"/>
          <w:sz w:val="22"/>
        </w:rPr>
        <w:t xml:space="preserve">Cleveland Clinic (2023). </w:t>
      </w:r>
      <w:r w:rsidRPr="00402A31">
        <w:rPr>
          <w:rFonts w:ascii="Arial" w:hAnsi="Arial" w:cs="Arial"/>
          <w:i/>
          <w:iCs/>
          <w:sz w:val="22"/>
        </w:rPr>
        <w:t>Coronary artery disease</w:t>
      </w:r>
      <w:r w:rsidRPr="00402A31">
        <w:rPr>
          <w:rFonts w:ascii="Arial" w:hAnsi="Arial" w:cs="Arial"/>
          <w:sz w:val="22"/>
        </w:rPr>
        <w:t xml:space="preserve">. [online] </w:t>
      </w:r>
      <w:r w:rsidRPr="00402A31">
        <w:rPr>
          <w:rFonts w:ascii="Arial" w:hAnsi="Arial" w:cs="Arial"/>
          <w:i/>
          <w:iCs/>
          <w:sz w:val="22"/>
        </w:rPr>
        <w:t>Cleveland Clinic</w:t>
      </w:r>
      <w:r w:rsidRPr="00402A31">
        <w:rPr>
          <w:rFonts w:ascii="Arial" w:hAnsi="Arial" w:cs="Arial"/>
          <w:sz w:val="22"/>
        </w:rPr>
        <w:t>. Cleveland Clinic. Available at: https://my.clevelandclinic.org/health/diseases/16898-coronary-artery-disease [Accessed 11 Aug. 2026].</w:t>
      </w:r>
    </w:p>
    <w:p w14:paraId="7655828C" w14:textId="77777777" w:rsidR="003C168D" w:rsidRPr="00402A31" w:rsidRDefault="003C168D" w:rsidP="003C168D">
      <w:pPr>
        <w:pStyle w:val="NormalWeb"/>
        <w:spacing w:before="0" w:beforeAutospacing="0" w:after="240" w:afterAutospacing="0" w:line="360" w:lineRule="auto"/>
        <w:ind w:left="720" w:hanging="720"/>
        <w:rPr>
          <w:rFonts w:ascii="Arial" w:hAnsi="Arial" w:cs="Arial"/>
          <w:sz w:val="22"/>
        </w:rPr>
      </w:pPr>
      <w:r w:rsidRPr="00402A31">
        <w:rPr>
          <w:rFonts w:ascii="Arial" w:hAnsi="Arial" w:cs="Arial"/>
          <w:sz w:val="22"/>
        </w:rPr>
        <w:t xml:space="preserve">El-Baz, A.S. and Suri, J. (2021). </w:t>
      </w:r>
      <w:r w:rsidRPr="00402A31">
        <w:rPr>
          <w:rFonts w:ascii="Arial" w:hAnsi="Arial" w:cs="Arial"/>
          <w:i/>
          <w:iCs/>
          <w:sz w:val="22"/>
        </w:rPr>
        <w:t>Cardiovascular and coronary artery imaging</w:t>
      </w:r>
      <w:r w:rsidRPr="00402A31">
        <w:rPr>
          <w:rFonts w:ascii="Arial" w:hAnsi="Arial" w:cs="Arial"/>
          <w:sz w:val="22"/>
        </w:rPr>
        <w:t>. Elsevier.</w:t>
      </w:r>
    </w:p>
    <w:p w14:paraId="497E1E0F" w14:textId="77777777" w:rsidR="003C168D" w:rsidRPr="00402A31" w:rsidRDefault="003C168D" w:rsidP="003C168D">
      <w:pPr>
        <w:pStyle w:val="NormalWeb"/>
        <w:spacing w:before="0" w:beforeAutospacing="0" w:after="240" w:afterAutospacing="0" w:line="360" w:lineRule="auto"/>
        <w:ind w:left="720" w:hanging="720"/>
        <w:rPr>
          <w:rFonts w:ascii="Arial" w:hAnsi="Arial" w:cs="Arial"/>
          <w:sz w:val="22"/>
        </w:rPr>
      </w:pPr>
      <w:r w:rsidRPr="00402A31">
        <w:rPr>
          <w:rFonts w:ascii="Arial" w:hAnsi="Arial" w:cs="Arial"/>
          <w:sz w:val="22"/>
        </w:rPr>
        <w:t xml:space="preserve">Garrett, B.E., Dube, S.R., Babb, S. and McAfee, T. (2014). Addressing the social determinants of health to reduce tobacco-related disparities. </w:t>
      </w:r>
      <w:r w:rsidRPr="00402A31">
        <w:rPr>
          <w:rFonts w:ascii="Arial" w:hAnsi="Arial" w:cs="Arial"/>
          <w:i/>
          <w:iCs/>
          <w:sz w:val="22"/>
        </w:rPr>
        <w:t>Nicotine &amp; Tobacco Research</w:t>
      </w:r>
      <w:r w:rsidRPr="00402A31">
        <w:rPr>
          <w:rFonts w:ascii="Arial" w:hAnsi="Arial" w:cs="Arial"/>
          <w:sz w:val="22"/>
        </w:rPr>
        <w:t>, [online] 17(8), pp.892–897. doi:10.1093/ntr/ntu266.</w:t>
      </w:r>
    </w:p>
    <w:p w14:paraId="06540031" w14:textId="77777777" w:rsidR="003C168D" w:rsidRPr="00402A31" w:rsidRDefault="003C168D" w:rsidP="003C168D">
      <w:pPr>
        <w:pStyle w:val="NormalWeb"/>
        <w:spacing w:before="0" w:beforeAutospacing="0" w:after="240" w:afterAutospacing="0" w:line="360" w:lineRule="auto"/>
        <w:ind w:left="720" w:hanging="720"/>
        <w:rPr>
          <w:rFonts w:ascii="Arial" w:hAnsi="Arial" w:cs="Arial"/>
          <w:sz w:val="22"/>
        </w:rPr>
      </w:pPr>
      <w:r w:rsidRPr="00402A31">
        <w:rPr>
          <w:rFonts w:ascii="Arial" w:hAnsi="Arial" w:cs="Arial"/>
          <w:sz w:val="22"/>
        </w:rPr>
        <w:t xml:space="preserve">Jones, D.L., Yue, J., Nguyen, T.N., Ahmad, F. and Chow, C.K. (2025). Impact of depression on medication non-adherence in coronary artery disease: A systematic review and meta-analysis. </w:t>
      </w:r>
      <w:r w:rsidRPr="00402A31">
        <w:rPr>
          <w:rFonts w:ascii="Arial" w:hAnsi="Arial" w:cs="Arial"/>
          <w:i/>
          <w:iCs/>
          <w:sz w:val="22"/>
        </w:rPr>
        <w:t>Open Heart</w:t>
      </w:r>
      <w:r w:rsidRPr="00402A31">
        <w:rPr>
          <w:rFonts w:ascii="Arial" w:hAnsi="Arial" w:cs="Arial"/>
          <w:sz w:val="22"/>
        </w:rPr>
        <w:t>, [online] 12(2), p.e003680. doi:10.1136/openhrt-2025-003680.</w:t>
      </w:r>
    </w:p>
    <w:p w14:paraId="5F980A00" w14:textId="77777777" w:rsidR="003C168D" w:rsidRPr="00402A31" w:rsidRDefault="003C168D" w:rsidP="003C168D">
      <w:pPr>
        <w:pStyle w:val="NormalWeb"/>
        <w:spacing w:before="0" w:beforeAutospacing="0" w:after="240" w:afterAutospacing="0" w:line="360" w:lineRule="auto"/>
        <w:ind w:left="720" w:hanging="720"/>
        <w:rPr>
          <w:rFonts w:ascii="Arial" w:hAnsi="Arial" w:cs="Arial"/>
          <w:sz w:val="22"/>
        </w:rPr>
      </w:pPr>
      <w:r w:rsidRPr="00402A31">
        <w:rPr>
          <w:rFonts w:ascii="Arial" w:hAnsi="Arial" w:cs="Arial"/>
          <w:sz w:val="22"/>
        </w:rPr>
        <w:t xml:space="preserve">Liang, Y.Y., Chen, Y., Feng, H., Xue, H., Nie, Y., Ai, Q.-Y.H., Ma, J., Yang, L., Zhang, J. and Ai, S. (2023). Social isolation, loneliness and subsequent risk of major adverse cardiovascular events among individuals with type 2 diabetes mellitus. </w:t>
      </w:r>
      <w:r w:rsidRPr="00402A31">
        <w:rPr>
          <w:rFonts w:ascii="Arial" w:hAnsi="Arial" w:cs="Arial"/>
          <w:i/>
          <w:iCs/>
          <w:sz w:val="22"/>
        </w:rPr>
        <w:t>General Psychiatry</w:t>
      </w:r>
      <w:r w:rsidRPr="00402A31">
        <w:rPr>
          <w:rFonts w:ascii="Arial" w:hAnsi="Arial" w:cs="Arial"/>
          <w:sz w:val="22"/>
        </w:rPr>
        <w:t>, [online] 36(6), p.e101153. doi:10.1136/gpsych-2023-101153.</w:t>
      </w:r>
    </w:p>
    <w:p w14:paraId="66C496A9" w14:textId="77777777" w:rsidR="003C168D" w:rsidRPr="00CC0A61" w:rsidRDefault="003C168D" w:rsidP="003C168D">
      <w:pPr>
        <w:spacing w:after="160" w:line="360" w:lineRule="auto"/>
        <w:ind w:left="720" w:hanging="720"/>
        <w:rPr>
          <w:rFonts w:ascii="Arial" w:hAnsi="Arial" w:cs="Arial"/>
          <w:color w:val="000000" w:themeColor="text1"/>
        </w:rPr>
      </w:pPr>
      <w:r w:rsidRPr="00CC0A61">
        <w:rPr>
          <w:rFonts w:ascii="Arial" w:eastAsia="Calibri" w:hAnsi="Arial" w:cs="Arial"/>
          <w:color w:val="000000" w:themeColor="text1"/>
          <w:sz w:val="22"/>
          <w:szCs w:val="22"/>
        </w:rPr>
        <w:t>Marmot, M., Allen, J., Boyce, T., Goldblatt, P. and Morrison, J. (2020) Health Equity in England: The Marmot Review 10 Years On. London: Institute of Health Equity.</w:t>
      </w:r>
    </w:p>
    <w:p w14:paraId="1ED4CA7B" w14:textId="77777777" w:rsidR="003C168D" w:rsidRPr="00402A31" w:rsidRDefault="003C168D" w:rsidP="003C168D">
      <w:pPr>
        <w:pStyle w:val="NormalWeb"/>
        <w:spacing w:before="0" w:beforeAutospacing="0" w:after="240" w:afterAutospacing="0" w:line="360" w:lineRule="auto"/>
        <w:ind w:left="720" w:hanging="720"/>
        <w:rPr>
          <w:rFonts w:ascii="Arial" w:hAnsi="Arial" w:cs="Arial"/>
          <w:sz w:val="22"/>
        </w:rPr>
      </w:pPr>
      <w:r w:rsidRPr="00402A31">
        <w:rPr>
          <w:rFonts w:ascii="Arial" w:hAnsi="Arial" w:cs="Arial"/>
          <w:sz w:val="22"/>
        </w:rPr>
        <w:t xml:space="preserve">MedicinePlus (2024). </w:t>
      </w:r>
      <w:r w:rsidRPr="00402A31">
        <w:rPr>
          <w:rFonts w:ascii="Arial" w:hAnsi="Arial" w:cs="Arial"/>
          <w:i/>
          <w:iCs/>
          <w:sz w:val="22"/>
        </w:rPr>
        <w:t>Coronary heart disease: MedlinePlus medical encyclopedia</w:t>
      </w:r>
      <w:r w:rsidRPr="00402A31">
        <w:rPr>
          <w:rFonts w:ascii="Arial" w:hAnsi="Arial" w:cs="Arial"/>
          <w:sz w:val="22"/>
        </w:rPr>
        <w:t xml:space="preserve">. [online] </w:t>
      </w:r>
      <w:r w:rsidRPr="00402A31">
        <w:rPr>
          <w:rFonts w:ascii="Arial" w:hAnsi="Arial" w:cs="Arial"/>
          <w:i/>
          <w:iCs/>
          <w:sz w:val="22"/>
        </w:rPr>
        <w:t>medlineplus.gov</w:t>
      </w:r>
      <w:r w:rsidRPr="00402A31">
        <w:rPr>
          <w:rFonts w:ascii="Arial" w:hAnsi="Arial" w:cs="Arial"/>
          <w:sz w:val="22"/>
        </w:rPr>
        <w:t>. Available at: https://medlineplus.gov/ency/article/007115.htm [Accessed 11 Aug. 2026].</w:t>
      </w:r>
    </w:p>
    <w:p w14:paraId="6468988A" w14:textId="77777777" w:rsidR="003C168D" w:rsidRPr="00CC0A61" w:rsidRDefault="003C168D" w:rsidP="003C168D">
      <w:pPr>
        <w:spacing w:after="160" w:line="360" w:lineRule="auto"/>
        <w:ind w:left="720" w:hanging="720"/>
        <w:rPr>
          <w:rFonts w:ascii="Arial" w:hAnsi="Arial" w:cs="Arial"/>
          <w:color w:val="000000" w:themeColor="text1"/>
        </w:rPr>
      </w:pPr>
      <w:r w:rsidRPr="00CC0A61">
        <w:rPr>
          <w:rFonts w:ascii="Arial" w:eastAsia="Calibri" w:hAnsi="Arial" w:cs="Arial"/>
          <w:color w:val="000000" w:themeColor="text1"/>
          <w:sz w:val="22"/>
          <w:szCs w:val="22"/>
        </w:rPr>
        <w:t>National Institute for Health and Care Excellence (NICE) (2023) Cardiovascular disease: risk assessment and reduction, including lipid modification (NG238). London: NICE.</w:t>
      </w:r>
    </w:p>
    <w:p w14:paraId="1BB0C764" w14:textId="77777777" w:rsidR="003C168D" w:rsidRPr="00402A31" w:rsidRDefault="003C168D" w:rsidP="003C168D">
      <w:pPr>
        <w:pStyle w:val="NormalWeb"/>
        <w:spacing w:before="0" w:beforeAutospacing="0" w:after="240" w:afterAutospacing="0" w:line="360" w:lineRule="auto"/>
        <w:ind w:left="720" w:hanging="720"/>
        <w:rPr>
          <w:rFonts w:ascii="Arial" w:hAnsi="Arial" w:cs="Arial"/>
          <w:sz w:val="22"/>
        </w:rPr>
      </w:pPr>
      <w:r w:rsidRPr="00402A31">
        <w:rPr>
          <w:rFonts w:ascii="Arial" w:hAnsi="Arial" w:cs="Arial"/>
          <w:sz w:val="22"/>
        </w:rPr>
        <w:lastRenderedPageBreak/>
        <w:t xml:space="preserve">NHS (2024). </w:t>
      </w:r>
      <w:r w:rsidRPr="00402A31">
        <w:rPr>
          <w:rFonts w:ascii="Arial" w:hAnsi="Arial" w:cs="Arial"/>
          <w:i/>
          <w:iCs/>
          <w:sz w:val="22"/>
        </w:rPr>
        <w:t>Symptoms - coronary heart disease</w:t>
      </w:r>
      <w:r w:rsidRPr="00402A31">
        <w:rPr>
          <w:rFonts w:ascii="Arial" w:hAnsi="Arial" w:cs="Arial"/>
          <w:sz w:val="22"/>
        </w:rPr>
        <w:t xml:space="preserve">. [online] </w:t>
      </w:r>
      <w:r w:rsidRPr="00402A31">
        <w:rPr>
          <w:rFonts w:ascii="Arial" w:hAnsi="Arial" w:cs="Arial"/>
          <w:i/>
          <w:iCs/>
          <w:sz w:val="22"/>
        </w:rPr>
        <w:t>NHS</w:t>
      </w:r>
      <w:r w:rsidRPr="00402A31">
        <w:rPr>
          <w:rFonts w:ascii="Arial" w:hAnsi="Arial" w:cs="Arial"/>
          <w:sz w:val="22"/>
        </w:rPr>
        <w:t>. Available at: https://www.nhs.uk/conditions/coronary-heart-disease/symptoms/ [Accessed 11 Aug. 2026].</w:t>
      </w:r>
    </w:p>
    <w:p w14:paraId="67DE1853" w14:textId="77777777" w:rsidR="003C168D" w:rsidRPr="00CC0A61" w:rsidRDefault="003C168D" w:rsidP="003C168D">
      <w:pPr>
        <w:spacing w:after="160" w:line="360" w:lineRule="auto"/>
        <w:ind w:left="720" w:hanging="720"/>
        <w:rPr>
          <w:rFonts w:ascii="Arial" w:hAnsi="Arial" w:cs="Arial"/>
          <w:color w:val="000000" w:themeColor="text1"/>
        </w:rPr>
      </w:pPr>
      <w:r w:rsidRPr="00CC0A61">
        <w:rPr>
          <w:rFonts w:ascii="Arial" w:eastAsia="Calibri" w:hAnsi="Arial" w:cs="Arial"/>
          <w:color w:val="000000" w:themeColor="text1"/>
          <w:sz w:val="22"/>
          <w:szCs w:val="22"/>
        </w:rPr>
        <w:t>NHS England (2025) NHS Health Check. Available at: https://www.nhs.uk/conditions/nhs-health-check/ (Accessed: 11 August 2026).</w:t>
      </w:r>
    </w:p>
    <w:p w14:paraId="4E580F8E" w14:textId="77777777" w:rsidR="003C168D" w:rsidRPr="00402A31" w:rsidRDefault="003C168D" w:rsidP="003C168D">
      <w:pPr>
        <w:pStyle w:val="NormalWeb"/>
        <w:spacing w:before="0" w:beforeAutospacing="0" w:after="240" w:afterAutospacing="0" w:line="360" w:lineRule="auto"/>
        <w:ind w:left="720" w:hanging="720"/>
        <w:rPr>
          <w:rFonts w:ascii="Arial" w:hAnsi="Arial" w:cs="Arial"/>
          <w:sz w:val="22"/>
        </w:rPr>
      </w:pPr>
      <w:r w:rsidRPr="00402A31">
        <w:rPr>
          <w:rFonts w:ascii="Arial" w:hAnsi="Arial" w:cs="Arial"/>
          <w:sz w:val="22"/>
        </w:rPr>
        <w:t xml:space="preserve">Ratnasabesar, V. and Kunadian, V. (2026). Health inequalities across England and their impact on cardiovascular diseases. </w:t>
      </w:r>
      <w:r w:rsidRPr="00402A31">
        <w:rPr>
          <w:rFonts w:ascii="Arial" w:hAnsi="Arial" w:cs="Arial"/>
          <w:i/>
          <w:iCs/>
          <w:sz w:val="22"/>
        </w:rPr>
        <w:t>Heart</w:t>
      </w:r>
      <w:r w:rsidRPr="00402A31">
        <w:rPr>
          <w:rFonts w:ascii="Arial" w:hAnsi="Arial" w:cs="Arial"/>
          <w:sz w:val="22"/>
        </w:rPr>
        <w:t>, [online] pp.heartjnl-2025–327508. doi:10.1136/heartjnl-2025-327508.</w:t>
      </w:r>
    </w:p>
    <w:p w14:paraId="2359878A" w14:textId="77777777" w:rsidR="003C168D" w:rsidRPr="00402A31" w:rsidRDefault="003C168D" w:rsidP="003C168D">
      <w:pPr>
        <w:pStyle w:val="NormalWeb"/>
        <w:spacing w:before="0" w:beforeAutospacing="0" w:after="240" w:afterAutospacing="0" w:line="360" w:lineRule="auto"/>
        <w:ind w:left="720" w:hanging="720"/>
        <w:rPr>
          <w:rFonts w:ascii="Arial" w:hAnsi="Arial" w:cs="Arial"/>
          <w:sz w:val="22"/>
        </w:rPr>
      </w:pPr>
      <w:r w:rsidRPr="00402A31">
        <w:rPr>
          <w:rFonts w:ascii="Arial" w:hAnsi="Arial" w:cs="Arial"/>
          <w:sz w:val="22"/>
        </w:rPr>
        <w:t xml:space="preserve">Shakya, S., Shrestha, A., Robinson, S., Randall, S., Mnatzaganian, G., Brown, H., Boyd, J., Xu, D., Man, C., Brumby, S., Peeters, A., Lucas, J., Gauci, S., Huxley, R., O’Neil, A. and Gao, L. (2025). Global comparison of the economic costs of coronary heart disease: A systematic review and meta-analysis. </w:t>
      </w:r>
      <w:r w:rsidRPr="00402A31">
        <w:rPr>
          <w:rFonts w:ascii="Arial" w:hAnsi="Arial" w:cs="Arial"/>
          <w:i/>
          <w:iCs/>
          <w:sz w:val="22"/>
        </w:rPr>
        <w:t>BMJ Open</w:t>
      </w:r>
      <w:r w:rsidRPr="00402A31">
        <w:rPr>
          <w:rFonts w:ascii="Arial" w:hAnsi="Arial" w:cs="Arial"/>
          <w:sz w:val="22"/>
        </w:rPr>
        <w:t>, [online] 15(1), pp.e084917-e084917. doi:10.1136/bmjopen-2024-084917.</w:t>
      </w:r>
    </w:p>
    <w:p w14:paraId="3CB18184" w14:textId="77777777" w:rsidR="003C168D" w:rsidRPr="00402A31" w:rsidRDefault="003C168D" w:rsidP="003C168D">
      <w:pPr>
        <w:pStyle w:val="NormalWeb"/>
        <w:spacing w:before="0" w:beforeAutospacing="0" w:after="240" w:afterAutospacing="0" w:line="360" w:lineRule="auto"/>
        <w:ind w:left="720" w:hanging="720"/>
        <w:rPr>
          <w:rFonts w:ascii="Arial" w:hAnsi="Arial" w:cs="Arial"/>
          <w:sz w:val="22"/>
        </w:rPr>
      </w:pPr>
      <w:r w:rsidRPr="00402A31">
        <w:rPr>
          <w:rFonts w:ascii="Arial" w:hAnsi="Arial" w:cs="Arial"/>
          <w:sz w:val="22"/>
        </w:rPr>
        <w:t xml:space="preserve">Su, X., Zhang, Y., Zhou, H., Ma, F., Jin, X., Bai, Y., Wei, W., Zhang, X. and Zhou, M. (2024). Perceived determinants of health-related behaviors among patients with coronary heart disease after percutaneous coronary intervention: A longitudinal qualitative study. </w:t>
      </w:r>
      <w:r w:rsidRPr="00402A31">
        <w:rPr>
          <w:rFonts w:ascii="Arial" w:hAnsi="Arial" w:cs="Arial"/>
          <w:i/>
          <w:iCs/>
          <w:sz w:val="22"/>
        </w:rPr>
        <w:t>Patient preference and adherence</w:t>
      </w:r>
      <w:r w:rsidRPr="00402A31">
        <w:rPr>
          <w:rFonts w:ascii="Arial" w:hAnsi="Arial" w:cs="Arial"/>
          <w:sz w:val="22"/>
        </w:rPr>
        <w:t>, Volume 18, pp.591–606. doi:10.2147/ppa.s452943.</w:t>
      </w:r>
    </w:p>
    <w:p w14:paraId="00C26A44" w14:textId="77777777" w:rsidR="003C168D" w:rsidRPr="00402A31" w:rsidRDefault="003C168D" w:rsidP="003C168D">
      <w:pPr>
        <w:pStyle w:val="NormalWeb"/>
        <w:spacing w:before="0" w:beforeAutospacing="0" w:after="240" w:afterAutospacing="0" w:line="360" w:lineRule="auto"/>
        <w:ind w:left="720" w:hanging="720"/>
        <w:rPr>
          <w:rFonts w:ascii="Arial" w:hAnsi="Arial" w:cs="Arial"/>
          <w:sz w:val="22"/>
        </w:rPr>
      </w:pPr>
      <w:r w:rsidRPr="00402A31">
        <w:rPr>
          <w:rFonts w:ascii="Arial" w:hAnsi="Arial" w:cs="Arial"/>
          <w:sz w:val="22"/>
        </w:rPr>
        <w:t xml:space="preserve">Taylor, R.S., Dalal, H.M. and McDonagh, S.T.J. (2021). The role of cardiac rehabilitation in improving cardiovascular outcomes. </w:t>
      </w:r>
      <w:r w:rsidRPr="00402A31">
        <w:rPr>
          <w:rFonts w:ascii="Arial" w:hAnsi="Arial" w:cs="Arial"/>
          <w:i/>
          <w:iCs/>
          <w:sz w:val="22"/>
        </w:rPr>
        <w:t>Nature Reviews Cardiology</w:t>
      </w:r>
      <w:r w:rsidRPr="00402A31">
        <w:rPr>
          <w:rFonts w:ascii="Arial" w:hAnsi="Arial" w:cs="Arial"/>
          <w:sz w:val="22"/>
        </w:rPr>
        <w:t>, 19(3), pp.1–15.</w:t>
      </w:r>
    </w:p>
    <w:p w14:paraId="3D7366DB" w14:textId="77777777" w:rsidR="003C168D" w:rsidRDefault="003C168D" w:rsidP="003C168D">
      <w:pPr>
        <w:spacing w:after="160" w:line="360" w:lineRule="auto"/>
        <w:ind w:left="720" w:hanging="720"/>
        <w:rPr>
          <w:rFonts w:ascii="Arial" w:eastAsia="Calibri" w:hAnsi="Arial" w:cs="Arial"/>
          <w:color w:val="000000" w:themeColor="text1"/>
          <w:sz w:val="22"/>
          <w:szCs w:val="22"/>
        </w:rPr>
      </w:pPr>
      <w:r>
        <w:rPr>
          <w:rFonts w:ascii="Arial" w:eastAsia="Calibri" w:hAnsi="Arial" w:cs="Arial"/>
          <w:color w:val="000000" w:themeColor="text1"/>
          <w:sz w:val="22"/>
          <w:szCs w:val="22"/>
        </w:rPr>
        <w:t>World Health Organis</w:t>
      </w:r>
      <w:r w:rsidRPr="00CC0A61">
        <w:rPr>
          <w:rFonts w:ascii="Arial" w:eastAsia="Calibri" w:hAnsi="Arial" w:cs="Arial"/>
          <w:color w:val="000000" w:themeColor="text1"/>
          <w:sz w:val="22"/>
          <w:szCs w:val="22"/>
        </w:rPr>
        <w:t>ation (WHO) (2024) The top 10 causes of death. Geneva: WHO. Available at: https://www.who.int/news-room/fact-sheets/detail/the-top-10-causes-of-death (Accessed: 11 August 2026).</w:t>
      </w:r>
    </w:p>
    <w:p w14:paraId="0F3DA339" w14:textId="77777777" w:rsidR="003C168D" w:rsidRPr="00402A31" w:rsidRDefault="003C168D" w:rsidP="003C168D">
      <w:pPr>
        <w:pStyle w:val="NormalWeb"/>
        <w:spacing w:before="0" w:beforeAutospacing="0" w:after="240" w:afterAutospacing="0" w:line="360" w:lineRule="auto"/>
        <w:ind w:left="720" w:hanging="720"/>
        <w:rPr>
          <w:rFonts w:ascii="Arial" w:hAnsi="Arial" w:cs="Arial"/>
          <w:sz w:val="22"/>
        </w:rPr>
      </w:pPr>
      <w:r w:rsidRPr="00402A31">
        <w:rPr>
          <w:rFonts w:ascii="Arial" w:hAnsi="Arial" w:cs="Arial"/>
          <w:sz w:val="22"/>
        </w:rPr>
        <w:t xml:space="preserve">Xu, L., Zhai, X., Shi, D. and Zhang, Y. (2024). Depression and coronary heart disease: Mechanisms, interventions, and treatments. </w:t>
      </w:r>
      <w:r w:rsidRPr="00402A31">
        <w:rPr>
          <w:rFonts w:ascii="Arial" w:hAnsi="Arial" w:cs="Arial"/>
          <w:i/>
          <w:iCs/>
          <w:sz w:val="22"/>
        </w:rPr>
        <w:t>Frontiers in psychiatry</w:t>
      </w:r>
      <w:r w:rsidRPr="00402A31">
        <w:rPr>
          <w:rFonts w:ascii="Arial" w:hAnsi="Arial" w:cs="Arial"/>
          <w:sz w:val="22"/>
        </w:rPr>
        <w:t>, 15. doi:10.3389/fpsyt.2024.1328048.</w:t>
      </w:r>
    </w:p>
    <w:p w14:paraId="4AAB8178" w14:textId="77777777" w:rsidR="003C168D" w:rsidRDefault="003C168D" w:rsidP="003C168D">
      <w:pPr>
        <w:spacing w:after="160" w:line="360" w:lineRule="auto"/>
        <w:ind w:left="720" w:hanging="720"/>
        <w:rPr>
          <w:rFonts w:ascii="Arial" w:eastAsia="Calibri" w:hAnsi="Arial" w:cs="Arial"/>
          <w:color w:val="000000" w:themeColor="text1"/>
          <w:sz w:val="22"/>
          <w:szCs w:val="22"/>
        </w:rPr>
      </w:pPr>
    </w:p>
    <w:p w14:paraId="3092C88A" w14:textId="77777777" w:rsidR="00CC0A61" w:rsidRPr="00CC0A61" w:rsidRDefault="00CC0A61" w:rsidP="003C168D">
      <w:pPr>
        <w:spacing w:after="160" w:line="360" w:lineRule="auto"/>
        <w:ind w:left="720" w:hanging="720"/>
        <w:rPr>
          <w:rFonts w:ascii="Arial" w:hAnsi="Arial" w:cs="Arial"/>
          <w:color w:val="000000" w:themeColor="text1"/>
        </w:rPr>
      </w:pPr>
    </w:p>
    <w:sectPr w:rsidR="00CC0A61" w:rsidRPr="00CC0A61">
      <w:footerReference w:type="default" r:id="rId13"/>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C896F" w14:textId="77777777" w:rsidR="006844F0" w:rsidRDefault="006844F0" w:rsidP="003C168D">
      <w:r>
        <w:separator/>
      </w:r>
    </w:p>
  </w:endnote>
  <w:endnote w:type="continuationSeparator" w:id="0">
    <w:p w14:paraId="69197139" w14:textId="77777777" w:rsidR="006844F0" w:rsidRDefault="006844F0" w:rsidP="003C16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9972299"/>
      <w:docPartObj>
        <w:docPartGallery w:val="Page Numbers (Bottom of Page)"/>
        <w:docPartUnique/>
      </w:docPartObj>
    </w:sdtPr>
    <w:sdtEndPr>
      <w:rPr>
        <w:color w:val="7F7F7F" w:themeColor="background1" w:themeShade="7F"/>
        <w:spacing w:val="60"/>
      </w:rPr>
    </w:sdtEndPr>
    <w:sdtContent>
      <w:p w14:paraId="0534B2E3" w14:textId="77777777" w:rsidR="003C168D" w:rsidRDefault="003C168D">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C1140" w:rsidRPr="008C1140">
          <w:rPr>
            <w:b/>
            <w:bCs/>
            <w:noProof/>
          </w:rPr>
          <w:t>11</w:t>
        </w:r>
        <w:r>
          <w:rPr>
            <w:b/>
            <w:bCs/>
            <w:noProof/>
          </w:rPr>
          <w:fldChar w:fldCharType="end"/>
        </w:r>
        <w:r>
          <w:rPr>
            <w:b/>
            <w:bCs/>
          </w:rPr>
          <w:t xml:space="preserve"> | </w:t>
        </w:r>
        <w:r>
          <w:rPr>
            <w:color w:val="7F7F7F" w:themeColor="background1" w:themeShade="7F"/>
            <w:spacing w:val="60"/>
          </w:rPr>
          <w:t>Page</w:t>
        </w:r>
      </w:p>
    </w:sdtContent>
  </w:sdt>
  <w:p w14:paraId="51BF720D" w14:textId="77777777" w:rsidR="003C168D" w:rsidRDefault="003C16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48D47" w14:textId="77777777" w:rsidR="006844F0" w:rsidRDefault="006844F0" w:rsidP="003C168D">
      <w:r>
        <w:separator/>
      </w:r>
    </w:p>
  </w:footnote>
  <w:footnote w:type="continuationSeparator" w:id="0">
    <w:p w14:paraId="3818DB6C" w14:textId="77777777" w:rsidR="006844F0" w:rsidRDefault="006844F0" w:rsidP="003C16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0F185D"/>
    <w:multiLevelType w:val="hybridMultilevel"/>
    <w:tmpl w:val="A6664ADC"/>
    <w:lvl w:ilvl="0" w:tplc="5084494E">
      <w:start w:val="1"/>
      <w:numFmt w:val="bullet"/>
      <w:lvlText w:val="●"/>
      <w:lvlJc w:val="left"/>
      <w:pPr>
        <w:ind w:left="720" w:hanging="360"/>
      </w:pPr>
    </w:lvl>
    <w:lvl w:ilvl="1" w:tplc="C69E307C">
      <w:start w:val="1"/>
      <w:numFmt w:val="bullet"/>
      <w:lvlText w:val="○"/>
      <w:lvlJc w:val="left"/>
      <w:pPr>
        <w:ind w:left="1440" w:hanging="360"/>
      </w:pPr>
    </w:lvl>
    <w:lvl w:ilvl="2" w:tplc="92322806">
      <w:start w:val="1"/>
      <w:numFmt w:val="bullet"/>
      <w:lvlText w:val="■"/>
      <w:lvlJc w:val="left"/>
      <w:pPr>
        <w:ind w:left="2160" w:hanging="360"/>
      </w:pPr>
    </w:lvl>
    <w:lvl w:ilvl="3" w:tplc="D9820BF4">
      <w:start w:val="1"/>
      <w:numFmt w:val="bullet"/>
      <w:lvlText w:val="●"/>
      <w:lvlJc w:val="left"/>
      <w:pPr>
        <w:ind w:left="2880" w:hanging="360"/>
      </w:pPr>
    </w:lvl>
    <w:lvl w:ilvl="4" w:tplc="F7A8B30A">
      <w:start w:val="1"/>
      <w:numFmt w:val="bullet"/>
      <w:lvlText w:val="○"/>
      <w:lvlJc w:val="left"/>
      <w:pPr>
        <w:ind w:left="3600" w:hanging="360"/>
      </w:pPr>
    </w:lvl>
    <w:lvl w:ilvl="5" w:tplc="002CE150">
      <w:start w:val="1"/>
      <w:numFmt w:val="bullet"/>
      <w:lvlText w:val="■"/>
      <w:lvlJc w:val="left"/>
      <w:pPr>
        <w:ind w:left="4320" w:hanging="360"/>
      </w:pPr>
    </w:lvl>
    <w:lvl w:ilvl="6" w:tplc="345872B2">
      <w:start w:val="1"/>
      <w:numFmt w:val="bullet"/>
      <w:lvlText w:val="●"/>
      <w:lvlJc w:val="left"/>
      <w:pPr>
        <w:ind w:left="5040" w:hanging="360"/>
      </w:pPr>
    </w:lvl>
    <w:lvl w:ilvl="7" w:tplc="ABFEC8B8">
      <w:start w:val="1"/>
      <w:numFmt w:val="bullet"/>
      <w:lvlText w:val="●"/>
      <w:lvlJc w:val="left"/>
      <w:pPr>
        <w:ind w:left="5760" w:hanging="360"/>
      </w:pPr>
    </w:lvl>
    <w:lvl w:ilvl="8" w:tplc="B1DA863A">
      <w:start w:val="1"/>
      <w:numFmt w:val="bullet"/>
      <w:lvlText w:val="●"/>
      <w:lvlJc w:val="left"/>
      <w:pPr>
        <w:ind w:left="6480" w:hanging="360"/>
      </w:pPr>
    </w:lvl>
  </w:abstractNum>
  <w:num w:numId="1" w16cid:durableId="212481034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1F3"/>
    <w:rsid w:val="000F1508"/>
    <w:rsid w:val="0013480B"/>
    <w:rsid w:val="0015777A"/>
    <w:rsid w:val="001B5495"/>
    <w:rsid w:val="003C168D"/>
    <w:rsid w:val="003E12AB"/>
    <w:rsid w:val="00432F44"/>
    <w:rsid w:val="006844F0"/>
    <w:rsid w:val="00844F82"/>
    <w:rsid w:val="008C1140"/>
    <w:rsid w:val="009B4413"/>
    <w:rsid w:val="00C168D6"/>
    <w:rsid w:val="00CC0A61"/>
    <w:rsid w:val="00D410A3"/>
    <w:rsid w:val="00D50D4B"/>
    <w:rsid w:val="00D91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01BC9"/>
  <w15:docId w15:val="{161D9C53-0301-4F7D-A74D-38E65DDC0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NormalWeb">
    <w:name w:val="Normal (Web)"/>
    <w:basedOn w:val="Normal"/>
    <w:uiPriority w:val="99"/>
    <w:semiHidden/>
    <w:unhideWhenUsed/>
    <w:rsid w:val="003C168D"/>
    <w:pPr>
      <w:spacing w:before="100" w:beforeAutospacing="1" w:after="100" w:afterAutospacing="1"/>
    </w:pPr>
    <w:rPr>
      <w:sz w:val="24"/>
      <w:szCs w:val="24"/>
    </w:rPr>
  </w:style>
  <w:style w:type="paragraph" w:styleId="Header">
    <w:name w:val="header"/>
    <w:basedOn w:val="Normal"/>
    <w:link w:val="HeaderChar"/>
    <w:uiPriority w:val="99"/>
    <w:unhideWhenUsed/>
    <w:rsid w:val="003C168D"/>
    <w:pPr>
      <w:tabs>
        <w:tab w:val="center" w:pos="4680"/>
        <w:tab w:val="right" w:pos="9360"/>
      </w:tabs>
    </w:pPr>
  </w:style>
  <w:style w:type="character" w:customStyle="1" w:styleId="HeaderChar">
    <w:name w:val="Header Char"/>
    <w:basedOn w:val="DefaultParagraphFont"/>
    <w:link w:val="Header"/>
    <w:uiPriority w:val="99"/>
    <w:rsid w:val="003C168D"/>
  </w:style>
  <w:style w:type="paragraph" w:styleId="Footer">
    <w:name w:val="footer"/>
    <w:basedOn w:val="Normal"/>
    <w:link w:val="FooterChar"/>
    <w:uiPriority w:val="99"/>
    <w:unhideWhenUsed/>
    <w:rsid w:val="003C168D"/>
    <w:pPr>
      <w:tabs>
        <w:tab w:val="center" w:pos="4680"/>
        <w:tab w:val="right" w:pos="9360"/>
      </w:tabs>
    </w:pPr>
  </w:style>
  <w:style w:type="character" w:customStyle="1" w:styleId="FooterChar">
    <w:name w:val="Footer Char"/>
    <w:basedOn w:val="DefaultParagraphFont"/>
    <w:link w:val="Footer"/>
    <w:uiPriority w:val="99"/>
    <w:rsid w:val="003C168D"/>
  </w:style>
  <w:style w:type="paragraph" w:styleId="TOCHeading">
    <w:name w:val="TOC Heading"/>
    <w:basedOn w:val="Heading1"/>
    <w:next w:val="Normal"/>
    <w:uiPriority w:val="39"/>
    <w:unhideWhenUsed/>
    <w:qFormat/>
    <w:rsid w:val="003C168D"/>
    <w:pPr>
      <w:keepNext/>
      <w:keepLines/>
      <w:spacing w:before="240" w:line="259" w:lineRule="auto"/>
      <w:outlineLvl w:val="9"/>
    </w:pPr>
    <w:rPr>
      <w:rFonts w:asciiTheme="majorHAnsi" w:eastAsiaTheme="majorEastAsia" w:hAnsiTheme="majorHAnsi" w:cstheme="majorBidi"/>
      <w:color w:val="2E74B5" w:themeColor="accent1" w:themeShade="BF"/>
      <w:lang w:val="en-US" w:eastAsia="en-US"/>
    </w:rPr>
  </w:style>
  <w:style w:type="paragraph" w:styleId="TOC1">
    <w:name w:val="toc 1"/>
    <w:basedOn w:val="Normal"/>
    <w:next w:val="Normal"/>
    <w:autoRedefine/>
    <w:uiPriority w:val="39"/>
    <w:unhideWhenUsed/>
    <w:rsid w:val="003C168D"/>
    <w:pPr>
      <w:spacing w:after="100"/>
    </w:pPr>
  </w:style>
  <w:style w:type="paragraph" w:styleId="TOC2">
    <w:name w:val="toc 2"/>
    <w:basedOn w:val="Normal"/>
    <w:next w:val="Normal"/>
    <w:autoRedefine/>
    <w:uiPriority w:val="39"/>
    <w:unhideWhenUsed/>
    <w:rsid w:val="003C168D"/>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7351D1B-B6F5-466F-B267-FAB4997F6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2243</Words>
  <Characters>12788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rachel amon</cp:lastModifiedBy>
  <cp:revision>4</cp:revision>
  <dcterms:created xsi:type="dcterms:W3CDTF">2026-08-13T18:41:00Z</dcterms:created>
  <dcterms:modified xsi:type="dcterms:W3CDTF">2026-08-13T18:46:00Z</dcterms:modified>
</cp:coreProperties>
</file>