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F69939A" w14:paraId="5E5787A5" wp14:textId="0D709221">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t>Task 1 - Academic Report</w:t>
      </w:r>
    </w:p>
    <w:p w:rsidR="5F69939A" w:rsidP="5F69939A" w:rsidRDefault="5F69939A" w14:paraId="7B95A6AB" w14:textId="009D91D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p>
    <w:p w:rsidR="5F69939A" w:rsidP="5F69939A" w:rsidRDefault="5F69939A" w14:paraId="27166EC9" w14:textId="3F39C14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p>
    <w:p w:rsidR="5F69939A" w:rsidP="5F69939A" w:rsidRDefault="5F69939A" w14:paraId="70B7DC9B" w14:textId="7890E2B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p>
    <w:p w:rsidR="5F69939A" w:rsidP="5F69939A" w:rsidRDefault="5F69939A" w14:paraId="16D6CE3C" w14:textId="3AB19E29">
      <w:pPr>
        <w:spacing w:line="240" w:lineRule="exact"/>
        <w:jc w:val="center"/>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r w:rsidRPr="5F69939A" w:rsidR="5F69939A">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t>Course title: What is the most effective way to motive staff?</w:t>
      </w:r>
    </w:p>
    <w:p w:rsidR="5F69939A" w:rsidP="5F69939A" w:rsidRDefault="5F69939A" w14:paraId="1F28FC63" w14:textId="64AF9AE0">
      <w:pPr>
        <w:spacing w:line="240" w:lineRule="exact"/>
        <w:jc w:val="center"/>
        <w:rPr>
          <w:rFonts w:ascii="Bierstadt" w:hAnsi="Bierstadt" w:eastAsia="Bierstadt" w:cs="Bierstadt"/>
          <w:b w:val="0"/>
          <w:bCs w:val="0"/>
          <w:i w:val="0"/>
          <w:iCs w:val="0"/>
          <w:caps w:val="0"/>
          <w:smallCaps w:val="0"/>
          <w:noProof w:val="0"/>
          <w:color w:val="000000" w:themeColor="text1" w:themeTint="FF" w:themeShade="FF"/>
          <w:sz w:val="28"/>
          <w:szCs w:val="28"/>
          <w:lang w:val="en-US"/>
        </w:rPr>
      </w:pPr>
      <w:r w:rsidRPr="5F69939A" w:rsidR="5F69939A">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t>Module: Academic and Employability skills.</w:t>
      </w:r>
    </w:p>
    <w:p w:rsidR="5F69939A" w:rsidP="5F69939A" w:rsidRDefault="5F69939A" w14:paraId="028CCAA3" w14:textId="63DBD052">
      <w:pPr>
        <w:spacing w:line="240" w:lineRule="exact"/>
        <w:jc w:val="center"/>
        <w:rPr>
          <w:rFonts w:ascii="Bierstadt" w:hAnsi="Bierstadt" w:eastAsia="Bierstadt" w:cs="Bierstadt"/>
          <w:b w:val="0"/>
          <w:bCs w:val="0"/>
          <w:i w:val="0"/>
          <w:iCs w:val="0"/>
          <w:caps w:val="0"/>
          <w:smallCaps w:val="0"/>
          <w:noProof w:val="0"/>
          <w:color w:val="000000" w:themeColor="text1" w:themeTint="FF" w:themeShade="FF"/>
          <w:sz w:val="28"/>
          <w:szCs w:val="28"/>
          <w:lang w:val="en-US"/>
        </w:rPr>
      </w:pPr>
      <w:r w:rsidRPr="5F69939A" w:rsidR="5F69939A">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t>Module code: (BMSW4001-BIRM)</w:t>
      </w:r>
    </w:p>
    <w:p w:rsidR="5F69939A" w:rsidP="5F69939A" w:rsidRDefault="5F69939A" w14:paraId="6D3EF8C2" w14:textId="5A21BACA">
      <w:pPr>
        <w:spacing w:line="240" w:lineRule="exact"/>
        <w:jc w:val="center"/>
        <w:rPr>
          <w:rFonts w:ascii="Bierstadt" w:hAnsi="Bierstadt" w:eastAsia="Bierstadt" w:cs="Bierstadt"/>
          <w:b w:val="0"/>
          <w:bCs w:val="0"/>
          <w:i w:val="0"/>
          <w:iCs w:val="0"/>
          <w:caps w:val="0"/>
          <w:smallCaps w:val="0"/>
          <w:noProof w:val="0"/>
          <w:color w:val="000000" w:themeColor="text1" w:themeTint="FF" w:themeShade="FF"/>
          <w:sz w:val="28"/>
          <w:szCs w:val="28"/>
          <w:lang w:val="en-US"/>
        </w:rPr>
      </w:pPr>
      <w:r w:rsidRPr="5F69939A" w:rsidR="5F69939A">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t>Lectures name: Efua Adams</w:t>
      </w:r>
    </w:p>
    <w:p w:rsidR="5F69939A" w:rsidP="5F69939A" w:rsidRDefault="5F69939A" w14:paraId="0CE93402" w14:textId="512A29E8">
      <w:pPr>
        <w:spacing w:line="240" w:lineRule="exact"/>
        <w:jc w:val="center"/>
        <w:rPr>
          <w:rFonts w:ascii="Bierstadt" w:hAnsi="Bierstadt" w:eastAsia="Bierstadt" w:cs="Bierstadt"/>
          <w:b w:val="0"/>
          <w:bCs w:val="0"/>
          <w:i w:val="0"/>
          <w:iCs w:val="0"/>
          <w:caps w:val="0"/>
          <w:smallCaps w:val="0"/>
          <w:noProof w:val="0"/>
          <w:color w:val="000000" w:themeColor="text1" w:themeTint="FF" w:themeShade="FF"/>
          <w:sz w:val="28"/>
          <w:szCs w:val="28"/>
          <w:lang w:val="en-US"/>
        </w:rPr>
      </w:pPr>
      <w:r w:rsidRPr="5F69939A" w:rsidR="5F69939A">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t xml:space="preserve">Student name: Oluwatobi </w:t>
      </w:r>
      <w:proofErr w:type="spellStart"/>
      <w:r w:rsidRPr="5F69939A" w:rsidR="5F69939A">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t>Fatimeyin</w:t>
      </w:r>
      <w:proofErr w:type="spellEnd"/>
      <w:r w:rsidRPr="5F69939A" w:rsidR="5F69939A">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t xml:space="preserve"> (2121165)</w:t>
      </w:r>
    </w:p>
    <w:p w:rsidR="5F69939A" w:rsidP="5F69939A" w:rsidRDefault="5F69939A" w14:paraId="046AA225" w14:textId="03F4F16B">
      <w:pPr>
        <w:pStyle w:val="Normal"/>
        <w:spacing w:line="240" w:lineRule="exact"/>
        <w:jc w:val="center"/>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6F013C16" w14:textId="65BCCEA2">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AB44C9B" w14:textId="272C6A06">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65577AF9" w14:textId="0AC8C6E8">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3EE7567D" w14:textId="240AFDC6">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531A29CA" w14:textId="2367161A">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577B1389" w14:textId="30BC23B7">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5B5E208" w14:textId="7FF1B535">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29320282" w14:textId="73D20CE7">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15F02A72" w14:textId="3E7C4585">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72CCD65D" w14:textId="7AE15044">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73B08428" w14:textId="2CD0860D">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4581DFD8" w14:textId="6CD11CA7">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25CF7DAD" w14:textId="60094BBD">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307791E0" w14:textId="24BE3949">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589C879" w14:textId="12665C9D">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592BF20E" w14:textId="411080DE">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EFEE41F" w14:textId="6FC38D10">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48A0539" w14:textId="7998B412">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2938CB6E" w14:textId="6F205DCD">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5AAF7F5B" w14:textId="64BBB68D">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1E10A1CC" w14:textId="111A67B4">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7A338B55" w14:textId="2F5E3D99">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69ED56EE" w14:textId="713EBDBE">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11A2508A" w14:textId="4307BE1A">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61E1E70B" w14:textId="6F2198F3">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6AE3B206" w14:textId="25677931">
      <w:pPr>
        <w:pStyle w:val="Normal"/>
        <w:spacing w:line="240" w:lineRule="exact"/>
        <w:jc w:val="left"/>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D8AE66D" w14:textId="20D0D83A">
      <w:pPr>
        <w:pStyle w:val="Normal"/>
        <w:spacing w:line="240" w:lineRule="exact"/>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r w:rsidRPr="5F69939A" w:rsidR="5F69939A">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GB"/>
        </w:rPr>
        <w:t>I</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ntroduction -</w:t>
      </w:r>
    </w:p>
    <w:p w:rsidR="5F69939A" w:rsidP="5F69939A" w:rsidRDefault="5F69939A" w14:paraId="04D81077" w14:textId="2D945834">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In this assignment I will be discussing on the most effective way to motive staff. I will start up with saying the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diverse ways</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 staff can be motivated. Then talk about pay, recognition and awards,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additional</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holiday, working in a good condition and a clear conclusion with a recommendation of which type of reward motivates staff most effectively. I will then finish by adding Harvard referencing to support the point that I will be making. The research information will be found on Moodle or google scholar. To find the information I need I will research pay motivation, award staff motivation, recognition staff motivation and how to motivate staff. A diverse collection of social, professional, and economic factors affects motivation. There are a variety of reasons why health care personnel stay motivated and choose to continue in their jobs. In general, if a health professional believes they are successful and working well, they will be motivated and exhibit job satisfaction. Strong career development, acceptable salary, and adequate working and living environment are all factors that contribute to motivation and job satisfaction. Strong human resources systems in a health system can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assist</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ensure that the correct motivational variables are in place at adequate levels to keep health employees satisfied.</w:t>
      </w:r>
    </w:p>
    <w:p w:rsidR="5F69939A" w:rsidP="5F69939A" w:rsidRDefault="5F69939A" w14:paraId="76C1429C" w14:textId="7BB27D15">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5F69939A" w:rsidP="5F69939A" w:rsidRDefault="5F69939A" w14:paraId="3957403D" w14:textId="6FB2E2F7">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94A35F0" w14:textId="73E73E92">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3FEC3486" w14:textId="6B97DE6E">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5415E8C" w14:textId="6817DF0A">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672FC49" w14:textId="60A4AEC6">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073E02C" w14:textId="0F747D36">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1E132072" w14:textId="5199F308">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54CEC0DC" w14:textId="08B68846">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06D88104" w14:textId="0A88C55B">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4B276E5A" w14:textId="6C670B97">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795B7912" w14:textId="2148EFF7">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316CD334" w14:textId="1887214F">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F69939A" w:rsidP="5F69939A" w:rsidRDefault="5F69939A" w14:paraId="639C45AA" w14:textId="4A6388A6">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The different ways that staff can be motivated -</w:t>
      </w:r>
    </w:p>
    <w:p w:rsidR="5F69939A" w:rsidP="5F69939A" w:rsidRDefault="5F69939A" w14:paraId="518A14D3" w14:textId="0EB1EEE4">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Meeting the constant and changing demand for healthcare services necessitates a well-motivated healthcare workforce. Employees in the healthcare industry, on the other hand, who are demotivated perform poorly at work. As a result, the quality of healthcare offered suffers - it is frequently less effective and efficient. Meeting the constant and changing demand for healthcare services necessitates a well-motivated healthcare workforce.</w:t>
      </w:r>
    </w:p>
    <w:p w:rsidR="5F69939A" w:rsidP="5F69939A" w:rsidRDefault="5F69939A" w14:paraId="7345E182" w14:textId="16C37A9E">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Active listening is the most effective technique to learn about your team's viewpoint and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demonstrate</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that their comments and inquiries are valued. Organizing team huddles, one-on-one meetings, and having an open-door policy are all examples of strategies to connect with your caregivers. Showing that you are willing to listen to and discuss your carers' concerns will inspire them to become more involved in their care home's development, as well as urge them to take pride and responsibility in their work. Getting to know your staff on a personal level is another approach to actively listen and engage with them. Simple gestures such as a daily hello, a question about their weekend, or how their family is doing can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demonstrate</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how much you cherish and recognise your team members. You may personalise any support to successfully motivate your team by getting to know them on an individual level, the way they work, and their goals. It is also critical to express your own thoughts and any pertinent information to your team on a frequent basis to keep them motivated. This might be as simple as a daily catch-up of 5-10 minutes, frequent team meetings, or scheduled feedback sessions. Setting clear goals for the care home or keeping everyone up to date on health and social care legislation is a fantastic approach for managers and their staff to form solid working relationships. Each of your employees has a distinct level of motivation. Every employee is driven by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a separate set</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of reasons for working. But we all work because it provides us with something we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require</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Our morale and motivation are affected by the things we need that we get from work. Learning what employees want will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assist</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you in formulating the next step in increasing workplace motivation.</w:t>
      </w:r>
    </w:p>
    <w:p w:rsidR="5F69939A" w:rsidP="5F69939A" w:rsidRDefault="5F69939A" w14:paraId="61DEA5C1" w14:textId="2C7F33CA">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vertAlign w:val="superscript"/>
          <w:lang w:val="en-GB"/>
        </w:rPr>
        <w:t xml:space="preserve">Pay- </w:t>
      </w:r>
    </w:p>
    <w:p w:rsidR="5F69939A" w:rsidP="5F69939A" w:rsidRDefault="5F69939A" w14:paraId="55FD4A55" w14:textId="2E1BFDA3">
      <w:pPr>
        <w:pStyle w:val="Normal"/>
        <w:spacing w:line="360" w:lineRule="auto"/>
        <w:jc w:val="left"/>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t>Money is an important motivator for employees. It serves as a medium of trade and a tool for employees to acquire items that meet their wants and desires.</w:t>
      </w:r>
    </w:p>
    <w:p w:rsidR="5F69939A" w:rsidP="5F69939A" w:rsidRDefault="5F69939A" w14:paraId="7DAE4B0D" w14:textId="6A534EFF">
      <w:pPr>
        <w:pStyle w:val="Normal"/>
        <w:spacing w:line="360" w:lineRule="auto"/>
        <w:jc w:val="left"/>
        <w:rPr>
          <w:rFonts w:ascii="Arial Nova" w:hAnsi="Arial Nova" w:eastAsia="Arial Nova" w:cs="Arial Nova"/>
          <w:b w:val="0"/>
          <w:bCs w:val="0"/>
          <w:noProof w:val="0"/>
          <w:color w:val="auto"/>
          <w:sz w:val="22"/>
          <w:szCs w:val="22"/>
          <w:lang w:val="en-GB"/>
        </w:rPr>
      </w:pPr>
      <w:r w:rsidRPr="5F69939A" w:rsidR="5F69939A">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t xml:space="preserve">Money is a powerful, effective, and straightforward incentive. Money, obviously, pushes individuals to work harder, and extra money motivates people to work even harder. </w:t>
      </w:r>
      <w:r w:rsidRPr="5F69939A" w:rsidR="5F69939A">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t>It is</w:t>
      </w:r>
      <w:r w:rsidRPr="5F69939A" w:rsidR="5F69939A">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t xml:space="preserve"> natural for people to compete, and when </w:t>
      </w:r>
      <w:r w:rsidRPr="5F69939A" w:rsidR="5F69939A">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t>they are</w:t>
      </w:r>
      <w:r w:rsidRPr="5F69939A" w:rsidR="5F69939A">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t xml:space="preserve"> rewarded with money for doing better job, everyone's productivity and standards rise. Furthermore, while it is not always wise or practical to promote individuals, money can be used to reward all employees in </w:t>
      </w:r>
      <w:r w:rsidRPr="5F69939A" w:rsidR="5F69939A">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t>an equitable</w:t>
      </w:r>
      <w:r w:rsidRPr="5F69939A" w:rsidR="5F69939A">
        <w:rPr>
          <w:rFonts w:ascii="Arial Nova" w:hAnsi="Arial Nova" w:eastAsia="Arial Nova" w:cs="Arial Nova"/>
          <w:b w:val="0"/>
          <w:bCs w:val="0"/>
          <w:i w:val="0"/>
          <w:iCs w:val="0"/>
          <w:caps w:val="0"/>
          <w:smallCaps w:val="0"/>
          <w:strike w:val="0"/>
          <w:dstrike w:val="0"/>
          <w:noProof w:val="0"/>
          <w:color w:val="auto"/>
          <w:sz w:val="22"/>
          <w:szCs w:val="22"/>
          <w:u w:val="none"/>
          <w:vertAlign w:val="superscript"/>
          <w:lang w:val="en-GB"/>
        </w:rPr>
        <w:t xml:space="preserve"> and acceptable manner. Furthermore, because money is a "generalised reinforcer," it is always acceptable to everyone, everywhere, and always. Money has a lot to say, and it has a lot to say loudly and clearly. A welcome pay raise often contributes to a happy employee’s overall sense of security and purpose within the company. Employees will feel more motivated if they feel they are getting paid a good amount of money</w:t>
      </w:r>
    </w:p>
    <w:p w:rsidR="5F69939A" w:rsidP="5F69939A" w:rsidRDefault="5F69939A" w14:paraId="0158D55F" w14:textId="67124601">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p>
    <w:p w:rsidR="5F69939A" w:rsidP="5F69939A" w:rsidRDefault="5F69939A" w14:paraId="41293CEF" w14:textId="2912F64D">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vertAlign w:val="superscript"/>
          <w:lang w:val="en-GB"/>
        </w:rPr>
        <w:t>Recognition and awards</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t xml:space="preserve"> -</w:t>
      </w:r>
    </w:p>
    <w:p w:rsidR="5F69939A" w:rsidP="5F69939A" w:rsidRDefault="5F69939A" w14:paraId="5102C003" w14:textId="5897DE53">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There will be times when a pat on the back will not suffice. When it comes to rewarding active employees, consider using basic incentives. It does not have to be monetary prizes all the time; simple things like getting a personal parking spot at work for a week might suffice. Employee incentives could also be included in the corporate benefits. Praise for decent work, positive feedback, and challenging work reminds team members that you value and respect what they are doing and encourages them to keep doing it. Simply expressing "thank you" or delivering other forms of verbal praise or feedback might help to enhance team morale and motivation.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In your care home, you may also implement a good-work incentive to encourage your staff to engage and achieve specific workplace goals. You do not have to be extravagant with your incentives; you may be inventive! A certificate, gift vouchers, extra vacation days or hours, team dinners, or a team outing are all rewards.</w:t>
      </w:r>
    </w:p>
    <w:p w:rsidR="5F69939A" w:rsidP="5F69939A" w:rsidRDefault="5F69939A" w14:paraId="5EDAB7A7" w14:textId="2E5EFB8A">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One of the most crucial factors that contribute to employee motivation is how often their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challenging work</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gets recognised. 70% of employees believe that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additional</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recognition from supervisors would enhance their motivation and morale. Why would an individual continue to be a high-performing employee if their efforts are not recognised? Bonus points: studies show that satisfied employees are more productive and stay longer.</w:t>
      </w:r>
    </w:p>
    <w:p w:rsidR="5F69939A" w:rsidP="5F69939A" w:rsidRDefault="5F69939A" w14:paraId="3C540E22" w14:textId="5435A80A">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Aside from thanking people for their contributions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daily</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formal incentives programmes can ensure that people are recognised on a regular basis. These could be informal processes with open nominations and a selection committee, or formal processes with open nominations and a selection committee. Employee of the Month, Nurse Excellence, and Zero Harm awards have all been instituted by some healthcare organisations.</w:t>
      </w:r>
    </w:p>
    <w:p w:rsidR="5F69939A" w:rsidP="5F69939A" w:rsidRDefault="5F69939A" w14:paraId="56CF3B89" w14:textId="6B0F2ED4">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p>
    <w:p w:rsidR="5F69939A" w:rsidP="5F69939A" w:rsidRDefault="5F69939A" w14:paraId="5BF0EF03" w14:textId="6F39097C">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vertAlign w:val="superscript"/>
          <w:lang w:val="en-GB"/>
        </w:rPr>
        <w:t>Additional holiday -</w:t>
      </w:r>
    </w:p>
    <w:p w:rsidR="5F69939A" w:rsidP="5F69939A" w:rsidRDefault="5F69939A" w14:paraId="09C9BF5F" w14:textId="0BB7B9C7">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Every day, your body is programmed to deal with a particular amount of stress. When an employee goes beyond their limit, they become fatigued and emotionally depleted. This is where the vacation comes in handy. The body gets the time it needs to heal from chronic stress and bounce back from daily work strain. Employees will feel revitalised and re-energized, allowing them to be more productive at work. Organizational traditions are just as significant as family traditions. Nothing is more vital for employee motivation than the annual holiday traditions that companies establish. By developing a positive mindset, holiday celebrations improve motivation.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Teamwork and production are aided by high morale and motivation. To increase positive morale and motivation in your office, try some holiday and traditional events. Employers must do more to encourage employees to use all their vacation time during the year. Failure to do so can lead to increased stress and burnout, which can lead to health problems for employees as well as financial losses for organisations. Employees who can take regular vacations feel more respected and are more enthusiastic about their jobs, which helps them perform better. Because employees are given regular opportunities to rest, they are less likely to be involved in accidents and are less likely to suffer from stress. Having an annual leave policy and include paid vacation time in employee contracts ensures that everyone understands the rules and procedures. This will enable you to apply a standard strategy to annual leave across the organisation, ensuring that employees are treated equitably. Having a policy and processes in place also reduces the likelihood of a disagreement. If the proper procedure has been followed and you have been given enough notice of the leave to prepare for it, you are more likely to be granted an annual leave request. Because employees feel more appreciated, they are less likely to use sick leave when they need to take time off work, you should see a decrease in sick leave and staff turnover. A person is more likely to get 8-9 hours of unbroken sleep while on vacation. This relieves them of stress in their daily lives and increases their overall sleep quality by more than 30-40%. The most potent combinations for good sleep quality include less coffee, more leisure activities, fresh air, great ambiance, and the companionship of your loved ones. Vacations are our sole chance to re-energize our bodies and improve our work-life balance. Employees tend to feel rejuvenated and calm after taking some personal time away from work. As a result, they are more receptive to work and more focused. A calm and relaxed mind is better at making decisions and can complete more tasks in less time. According to studies, more than 70% of employees who took regular holidays felt better equipped and prepared to deal with the routine pressures of their jobs.</w:t>
      </w:r>
    </w:p>
    <w:p w:rsidR="5F69939A" w:rsidP="5F69939A" w:rsidRDefault="5F69939A" w14:paraId="5A39F119" w14:textId="32C800F3">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p>
    <w:p w:rsidR="5F69939A" w:rsidP="5F69939A" w:rsidRDefault="5F69939A" w14:paraId="150DA7AA" w14:textId="194334ED">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p>
    <w:p w:rsidR="5F69939A" w:rsidP="5F69939A" w:rsidRDefault="5F69939A" w14:paraId="3C35B36E" w14:textId="69C4F9FE">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p>
    <w:p w:rsidR="5F69939A" w:rsidP="5F69939A" w:rsidRDefault="5F69939A" w14:paraId="37C1E982" w14:textId="55CB7A40">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t>Good working conditions -</w:t>
      </w:r>
    </w:p>
    <w:p w:rsidR="5F69939A" w:rsidP="5F69939A" w:rsidRDefault="5F69939A" w14:paraId="48614E5E" w14:textId="0961EA40">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A positive working environment is one that encourages employees to be safe, grow, and achieve their goals. These workplaces are ideal for a productive workforce because they motivate employees to perform to their full potential. Companies that focus on their overall culture, encourage employee growth, and make employees feel safe and comfortable can create a great working environment. To keep employees motivated, a good working environment is crucial. Employee motivation can be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maintained</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in a variety of ways. “Good work” can be enough to express gratitude. It will only take a way minute of your time to show your staff that you appreciate the efforts. Simple work of praise and thanks will encourage the person to keep and improve their skills. If you can provide the ideal environment for your staff, they will be more productive, and a company's success begins with the setting in which its employees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operate</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One of the most effective methods to improve your team's working circumstances is to provide them with the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appropriate materials</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But it is not only that; it is also things like good temperature control (air conditioning, heating), natural light, a few plants, and a kitchen area. It is no surprise that good working conditions result in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decent work</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If working conditions are favourable, people are naturally inspired by their surroundings, performance is stable or even improves, loyalty develops, and employees have no incentive to leave the company; hence, tacit knowledge </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remains</w:t>
      </w: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 in the company and serves as a foundation for future growth.</w:t>
      </w:r>
    </w:p>
    <w:p w:rsidR="5F69939A" w:rsidP="5F69939A" w:rsidRDefault="5F69939A" w14:paraId="4B975EDE" w14:textId="1846AE75">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5E96195C" w14:textId="5204F1E8">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510C6AD0" w14:textId="6C360A75">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759B8E63" w14:textId="58828747">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6CBB5252" w14:textId="3284EC50">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4CBA2C08" w14:textId="1587EFDF">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6754BD55" w14:textId="7E1A984D">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1816E0FF" w14:textId="17AEB3DE">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r w:rsidRPr="5F69939A" w:rsidR="5F69939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t xml:space="preserve">Reference list </w:t>
      </w:r>
    </w:p>
    <w:p w:rsidR="5F69939A" w:rsidP="5F69939A" w:rsidRDefault="5F69939A" w14:paraId="17C1635D" w14:textId="7755F357">
      <w:pPr>
        <w:pStyle w:val="ListParagraph"/>
        <w:numPr>
          <w:ilvl w:val="0"/>
          <w:numId w:val="1"/>
        </w:numPr>
        <w:jc w:val="left"/>
        <w:rPr>
          <w:rFonts w:ascii="Open Sans" w:hAnsi="Open Sans" w:eastAsia="Open Sans" w:cs="Open Sans" w:asciiTheme="minorAscii" w:hAnsiTheme="minorAscii" w:eastAsiaTheme="minorAscii" w:cstheme="minorAscii"/>
          <w:b w:val="0"/>
          <w:bCs w:val="0"/>
          <w:i w:val="0"/>
          <w:iCs w:val="0"/>
          <w:color w:val="1C1D1E"/>
          <w:sz w:val="21"/>
          <w:szCs w:val="21"/>
        </w:rPr>
      </w:pPr>
      <w:r w:rsidRPr="5F69939A" w:rsidR="5F69939A">
        <w:rPr>
          <w:rFonts w:ascii="Open Sans" w:hAnsi="Open Sans" w:eastAsia="Open Sans" w:cs="Open Sans"/>
          <w:b w:val="0"/>
          <w:bCs w:val="0"/>
          <w:i w:val="0"/>
          <w:iCs w:val="0"/>
          <w:caps w:val="0"/>
          <w:smallCaps w:val="0"/>
          <w:noProof w:val="0"/>
          <w:color w:val="1C1D1E"/>
          <w:sz w:val="21"/>
          <w:szCs w:val="21"/>
          <w:lang w:val="en-GB"/>
        </w:rPr>
        <w:t xml:space="preserve">Silvia Avram, Do workers like employer driven flexibility? Experimental evidence on work and pay uncertainty and willingness to work, European Journal of Work and Organizational Psychology, 10.1080/1359432X.2021.2021885, (1-13), (2022). </w:t>
      </w:r>
      <w:hyperlink r:id="R27590d062f82415d">
        <w:r w:rsidRPr="5F69939A" w:rsidR="5F69939A">
          <w:rPr>
            <w:rStyle w:val="Hyperlink"/>
            <w:rFonts w:ascii="Open Sans" w:hAnsi="Open Sans" w:eastAsia="Open Sans" w:cs="Open Sans"/>
            <w:b w:val="0"/>
            <w:bCs w:val="0"/>
            <w:i w:val="0"/>
            <w:iCs w:val="0"/>
            <w:caps w:val="0"/>
            <w:smallCaps w:val="0"/>
            <w:strike w:val="0"/>
            <w:dstrike w:val="0"/>
            <w:noProof w:val="0"/>
            <w:sz w:val="21"/>
            <w:szCs w:val="21"/>
            <w:lang w:val="en-GB"/>
          </w:rPr>
          <w:t>Crossref</w:t>
        </w:r>
      </w:hyperlink>
    </w:p>
    <w:p w:rsidR="5F69939A" w:rsidP="5F69939A" w:rsidRDefault="5F69939A" w14:paraId="6D5DA4F3" w14:textId="149D9922">
      <w:pPr>
        <w:pStyle w:val="ListParagraph"/>
        <w:numPr>
          <w:ilvl w:val="0"/>
          <w:numId w:val="1"/>
        </w:numPr>
        <w:jc w:val="left"/>
        <w:rPr>
          <w:rFonts w:ascii="Open Sans" w:hAnsi="Open Sans" w:eastAsia="Open Sans" w:cs="Open Sans" w:asciiTheme="minorAscii" w:hAnsiTheme="minorAscii" w:eastAsiaTheme="minorAscii" w:cstheme="minorAscii"/>
          <w:b w:val="0"/>
          <w:bCs w:val="0"/>
          <w:i w:val="0"/>
          <w:iCs w:val="0"/>
          <w:color w:val="1C1D1E"/>
          <w:sz w:val="21"/>
          <w:szCs w:val="21"/>
        </w:rPr>
      </w:pPr>
      <w:r w:rsidRPr="5F69939A" w:rsidR="5F69939A">
        <w:rPr>
          <w:rFonts w:ascii="Open Sans" w:hAnsi="Open Sans" w:eastAsia="Open Sans" w:cs="Open Sans"/>
          <w:b w:val="0"/>
          <w:bCs w:val="0"/>
          <w:i w:val="0"/>
          <w:iCs w:val="0"/>
          <w:caps w:val="0"/>
          <w:smallCaps w:val="0"/>
          <w:noProof w:val="0"/>
          <w:color w:val="1C1D1E"/>
          <w:sz w:val="21"/>
          <w:szCs w:val="21"/>
          <w:lang w:val="en-GB"/>
        </w:rPr>
        <w:t xml:space="preserve">Fatemeh Azadi </w:t>
      </w:r>
      <w:proofErr w:type="spellStart"/>
      <w:r w:rsidRPr="5F69939A" w:rsidR="5F69939A">
        <w:rPr>
          <w:rFonts w:ascii="Open Sans" w:hAnsi="Open Sans" w:eastAsia="Open Sans" w:cs="Open Sans"/>
          <w:b w:val="0"/>
          <w:bCs w:val="0"/>
          <w:i w:val="0"/>
          <w:iCs w:val="0"/>
          <w:caps w:val="0"/>
          <w:smallCaps w:val="0"/>
          <w:noProof w:val="0"/>
          <w:color w:val="1C1D1E"/>
          <w:sz w:val="21"/>
          <w:szCs w:val="21"/>
          <w:lang w:val="en-GB"/>
        </w:rPr>
        <w:t>Naghsh</w:t>
      </w:r>
      <w:proofErr w:type="spellEnd"/>
      <w:r w:rsidRPr="5F69939A" w:rsidR="5F69939A">
        <w:rPr>
          <w:rFonts w:ascii="Open Sans" w:hAnsi="Open Sans" w:eastAsia="Open Sans" w:cs="Open Sans"/>
          <w:b w:val="0"/>
          <w:bCs w:val="0"/>
          <w:i w:val="0"/>
          <w:iCs w:val="0"/>
          <w:caps w:val="0"/>
          <w:smallCaps w:val="0"/>
          <w:noProof w:val="0"/>
          <w:color w:val="1C1D1E"/>
          <w:sz w:val="21"/>
          <w:szCs w:val="21"/>
          <w:lang w:val="en-GB"/>
        </w:rPr>
        <w:t xml:space="preserve">, Atsushi Toshimori, undefined, 2018 13th Iberian Conference on Information Systems and Technologies (CISTI), 10.23919/CISTI.2018.8399254, (1-6), (2018). </w:t>
      </w:r>
      <w:hyperlink r:id="R7c8efd0d5d12421d">
        <w:r w:rsidRPr="5F69939A" w:rsidR="5F69939A">
          <w:rPr>
            <w:rStyle w:val="Hyperlink"/>
            <w:rFonts w:ascii="Open Sans" w:hAnsi="Open Sans" w:eastAsia="Open Sans" w:cs="Open Sans"/>
            <w:b w:val="0"/>
            <w:bCs w:val="0"/>
            <w:i w:val="0"/>
            <w:iCs w:val="0"/>
            <w:caps w:val="0"/>
            <w:smallCaps w:val="0"/>
            <w:strike w:val="0"/>
            <w:dstrike w:val="0"/>
            <w:noProof w:val="0"/>
            <w:sz w:val="21"/>
            <w:szCs w:val="21"/>
            <w:lang w:val="en-GB"/>
          </w:rPr>
          <w:t>Crossref</w:t>
        </w:r>
      </w:hyperlink>
    </w:p>
    <w:p w:rsidR="5F69939A" w:rsidP="5F69939A" w:rsidRDefault="5F69939A" w14:paraId="4BE22EE1" w14:textId="26D6F61F">
      <w:pPr>
        <w:pStyle w:val="Normal"/>
        <w:numPr>
          <w:ilvl w:val="0"/>
          <w:numId w:val="1"/>
        </w:numPr>
        <w:jc w:val="left"/>
        <w:rPr>
          <w:rFonts w:ascii="Open Sans" w:hAnsi="Open Sans" w:eastAsia="Open Sans" w:cs="Open Sans" w:asciiTheme="minorAscii" w:hAnsiTheme="minorAscii" w:eastAsiaTheme="minorAscii" w:cstheme="minorAscii"/>
          <w:b w:val="0"/>
          <w:bCs w:val="0"/>
          <w:i w:val="0"/>
          <w:iCs w:val="0"/>
          <w:noProof w:val="0"/>
          <w:color w:val="005274"/>
          <w:sz w:val="21"/>
          <w:szCs w:val="21"/>
          <w:lang w:val="en-GB"/>
        </w:rPr>
      </w:pPr>
      <w:r w:rsidRPr="5F69939A" w:rsidR="5F69939A">
        <w:rPr>
          <w:rFonts w:ascii="Open Sans" w:hAnsi="Open Sans" w:eastAsia="Open Sans" w:cs="Open Sans"/>
          <w:noProof w:val="0"/>
          <w:sz w:val="21"/>
          <w:szCs w:val="21"/>
          <w:lang w:val="en-GB"/>
        </w:rPr>
        <w:t>Tettey, W.J. (2006). Staff Retention in African University: Elements of Sustainable Strategy. Accessed 17/07/11 from Staff_Retention_Final_2_06.pdf.</w:t>
      </w:r>
    </w:p>
    <w:p w:rsidR="5F69939A" w:rsidP="5F69939A" w:rsidRDefault="5F69939A" w14:paraId="0DFB5DCF" w14:textId="66D11ECD">
      <w:pPr>
        <w:pStyle w:val="Normal"/>
        <w:numPr>
          <w:ilvl w:val="0"/>
          <w:numId w:val="1"/>
        </w:numPr>
        <w:jc w:val="left"/>
        <w:rPr>
          <w:rFonts w:ascii="Open Sans" w:hAnsi="Open Sans" w:eastAsia="Open Sans" w:cs="Open Sans" w:asciiTheme="minorAscii" w:hAnsiTheme="minorAscii" w:eastAsiaTheme="minorAscii" w:cstheme="minorAscii"/>
          <w:b w:val="0"/>
          <w:bCs w:val="0"/>
          <w:i w:val="0"/>
          <w:iCs w:val="0"/>
          <w:noProof w:val="0"/>
          <w:color w:val="005274"/>
          <w:sz w:val="21"/>
          <w:szCs w:val="21"/>
          <w:lang w:val="en-GB"/>
        </w:rPr>
      </w:pPr>
      <w:r w:rsidRPr="5F69939A" w:rsidR="5F69939A">
        <w:rPr>
          <w:rFonts w:ascii="Open Sans" w:hAnsi="Open Sans" w:eastAsia="Open Sans" w:cs="Open Sans"/>
          <w:noProof w:val="0"/>
          <w:sz w:val="21"/>
          <w:szCs w:val="21"/>
          <w:lang w:val="en-GB"/>
        </w:rPr>
        <w:t>Varghese, N. V. (2004). Patterns in ownership and operation of private higher education. Higher Education Management and Policy, 16(1), 27- 40.</w:t>
      </w:r>
    </w:p>
    <w:p w:rsidR="5F69939A" w:rsidP="5F69939A" w:rsidRDefault="5F69939A" w14:paraId="699C8B17" w14:textId="11C3768E">
      <w:pPr>
        <w:pStyle w:val="Normal"/>
        <w:numPr>
          <w:ilvl w:val="0"/>
          <w:numId w:val="1"/>
        </w:numPr>
        <w:jc w:val="left"/>
        <w:rPr>
          <w:rFonts w:ascii="Open Sans" w:hAnsi="Open Sans" w:eastAsia="Open Sans" w:cs="Open Sans" w:asciiTheme="minorAscii" w:hAnsiTheme="minorAscii" w:eastAsiaTheme="minorAscii" w:cstheme="minorAscii"/>
          <w:b w:val="0"/>
          <w:bCs w:val="0"/>
          <w:i w:val="0"/>
          <w:iCs w:val="0"/>
          <w:caps w:val="0"/>
          <w:smallCaps w:val="0"/>
          <w:noProof w:val="0"/>
          <w:color w:val="10147E"/>
          <w:sz w:val="24"/>
          <w:szCs w:val="24"/>
          <w:u w:val="none"/>
          <w:lang w:val="en-GB"/>
        </w:rPr>
      </w:pPr>
      <w:r w:rsidRPr="5F69939A" w:rsidR="5F69939A">
        <w:rPr>
          <w:rFonts w:ascii="Open Sans" w:hAnsi="Open Sans" w:eastAsia="Open Sans" w:cs="Open Sans"/>
          <w:b w:val="0"/>
          <w:bCs w:val="0"/>
          <w:i w:val="0"/>
          <w:iCs w:val="0"/>
          <w:caps w:val="0"/>
          <w:smallCaps w:val="0"/>
          <w:noProof w:val="0"/>
          <w:color w:val="333333"/>
          <w:sz w:val="24"/>
          <w:szCs w:val="24"/>
          <w:lang w:val="en-GB"/>
        </w:rPr>
        <w:t xml:space="preserve">Ball, K. S., and S. T. Margulis. 2011. “Electronic Monitoring and Surveillance in Call Centres: A Framework for Investigation.” </w:t>
      </w:r>
      <w:r w:rsidRPr="5F69939A" w:rsidR="5F69939A">
        <w:rPr>
          <w:rFonts w:ascii="Open Sans" w:hAnsi="Open Sans" w:eastAsia="Open Sans" w:cs="Open Sans"/>
          <w:b w:val="0"/>
          <w:bCs w:val="0"/>
          <w:i w:val="1"/>
          <w:iCs w:val="1"/>
          <w:caps w:val="0"/>
          <w:smallCaps w:val="0"/>
          <w:noProof w:val="0"/>
          <w:color w:val="333333"/>
          <w:sz w:val="24"/>
          <w:szCs w:val="24"/>
          <w:lang w:val="en-GB"/>
        </w:rPr>
        <w:t>New Technology, Work and Employment</w:t>
      </w:r>
      <w:r w:rsidRPr="5F69939A" w:rsidR="5F69939A">
        <w:rPr>
          <w:rFonts w:ascii="Open Sans" w:hAnsi="Open Sans" w:eastAsia="Open Sans" w:cs="Open Sans"/>
          <w:b w:val="0"/>
          <w:bCs w:val="0"/>
          <w:i w:val="0"/>
          <w:iCs w:val="0"/>
          <w:caps w:val="0"/>
          <w:smallCaps w:val="0"/>
          <w:noProof w:val="0"/>
          <w:color w:val="333333"/>
          <w:sz w:val="24"/>
          <w:szCs w:val="24"/>
          <w:lang w:val="en-GB"/>
        </w:rPr>
        <w:t xml:space="preserve"> 26 (2): 113–126. </w:t>
      </w:r>
      <w:proofErr w:type="spellStart"/>
      <w:r w:rsidRPr="5F69939A" w:rsidR="5F69939A">
        <w:rPr>
          <w:rFonts w:ascii="Open Sans" w:hAnsi="Open Sans" w:eastAsia="Open Sans" w:cs="Open Sans"/>
          <w:b w:val="0"/>
          <w:bCs w:val="0"/>
          <w:i w:val="0"/>
          <w:iCs w:val="0"/>
          <w:caps w:val="0"/>
          <w:smallCaps w:val="0"/>
          <w:noProof w:val="0"/>
          <w:color w:val="333333"/>
          <w:sz w:val="24"/>
          <w:szCs w:val="24"/>
          <w:lang w:val="en-GB"/>
        </w:rPr>
        <w:t>doi</w:t>
      </w:r>
      <w:proofErr w:type="spellEnd"/>
      <w:r w:rsidRPr="5F69939A" w:rsidR="5F69939A">
        <w:rPr>
          <w:rFonts w:ascii="Open Sans" w:hAnsi="Open Sans" w:eastAsia="Open Sans" w:cs="Open Sans"/>
          <w:b w:val="0"/>
          <w:bCs w:val="0"/>
          <w:i w:val="0"/>
          <w:iCs w:val="0"/>
          <w:caps w:val="0"/>
          <w:smallCaps w:val="0"/>
          <w:noProof w:val="0"/>
          <w:color w:val="333333"/>
          <w:sz w:val="24"/>
          <w:szCs w:val="24"/>
          <w:lang w:val="en-GB"/>
        </w:rPr>
        <w:t>: 10.1111/j.1468-005X.</w:t>
      </w:r>
      <w:bookmarkStart w:name="_Int_ISYAJpqv" w:id="1080569339"/>
      <w:r w:rsidRPr="5F69939A" w:rsidR="5F69939A">
        <w:rPr>
          <w:rFonts w:ascii="Open Sans" w:hAnsi="Open Sans" w:eastAsia="Open Sans" w:cs="Open Sans"/>
          <w:b w:val="0"/>
          <w:bCs w:val="0"/>
          <w:i w:val="0"/>
          <w:iCs w:val="0"/>
          <w:caps w:val="0"/>
          <w:smallCaps w:val="0"/>
          <w:noProof w:val="0"/>
          <w:color w:val="333333"/>
          <w:sz w:val="24"/>
          <w:szCs w:val="24"/>
          <w:lang w:val="en-GB"/>
        </w:rPr>
        <w:t>2011.00263.x</w:t>
      </w:r>
      <w:bookmarkEnd w:id="1080569339"/>
      <w:r w:rsidRPr="5F69939A" w:rsidR="5F69939A">
        <w:rPr>
          <w:rFonts w:ascii="Open Sans" w:hAnsi="Open Sans" w:eastAsia="Open Sans" w:cs="Open Sans"/>
          <w:b w:val="0"/>
          <w:bCs w:val="0"/>
          <w:i w:val="0"/>
          <w:iCs w:val="0"/>
          <w:caps w:val="0"/>
          <w:smallCaps w:val="0"/>
          <w:noProof w:val="0"/>
          <w:color w:val="333333"/>
          <w:sz w:val="24"/>
          <w:szCs w:val="24"/>
          <w:lang w:val="en-GB"/>
        </w:rPr>
        <w:t xml:space="preserve"> </w:t>
      </w:r>
      <w:hyperlink r:id="R9cc2edd99d174f88">
        <w:r w:rsidRPr="5F69939A" w:rsidR="5F69939A">
          <w:rPr>
            <w:rStyle w:val="Hyperlink"/>
            <w:rFonts w:ascii="Open Sans" w:hAnsi="Open Sans" w:eastAsia="Open Sans" w:cs="Open Sans"/>
            <w:b w:val="0"/>
            <w:bCs w:val="0"/>
            <w:i w:val="0"/>
            <w:iCs w:val="0"/>
            <w:caps w:val="0"/>
            <w:smallCaps w:val="0"/>
            <w:strike w:val="0"/>
            <w:dstrike w:val="0"/>
            <w:noProof w:val="0"/>
            <w:sz w:val="24"/>
            <w:szCs w:val="24"/>
            <w:lang w:val="en-GB"/>
          </w:rPr>
          <w:t>[Crossref]</w:t>
        </w:r>
      </w:hyperlink>
      <w:r w:rsidRPr="5F69939A" w:rsidR="5F69939A">
        <w:rPr>
          <w:rFonts w:ascii="Open Sans" w:hAnsi="Open Sans" w:eastAsia="Open Sans" w:cs="Open Sans"/>
          <w:b w:val="0"/>
          <w:bCs w:val="0"/>
          <w:i w:val="0"/>
          <w:iCs w:val="0"/>
          <w:caps w:val="0"/>
          <w:smallCaps w:val="0"/>
          <w:noProof w:val="0"/>
          <w:color w:val="333333"/>
          <w:sz w:val="24"/>
          <w:szCs w:val="24"/>
          <w:lang w:val="en-GB"/>
        </w:rPr>
        <w:t xml:space="preserve">, </w:t>
      </w:r>
      <w:hyperlink r:id="R97354eefed0c400a">
        <w:r w:rsidRPr="5F69939A" w:rsidR="5F69939A">
          <w:rPr>
            <w:rStyle w:val="Hyperlink"/>
            <w:rFonts w:ascii="Open Sans" w:hAnsi="Open Sans" w:eastAsia="Open Sans" w:cs="Open Sans"/>
            <w:b w:val="0"/>
            <w:bCs w:val="0"/>
            <w:i w:val="0"/>
            <w:iCs w:val="0"/>
            <w:caps w:val="0"/>
            <w:smallCaps w:val="0"/>
            <w:strike w:val="0"/>
            <w:dstrike w:val="0"/>
            <w:noProof w:val="0"/>
            <w:sz w:val="24"/>
            <w:szCs w:val="24"/>
            <w:lang w:val="en-GB"/>
          </w:rPr>
          <w:t>[Web of Science ®]</w:t>
        </w:r>
      </w:hyperlink>
      <w:r w:rsidRPr="5F69939A" w:rsidR="5F69939A">
        <w:rPr>
          <w:rFonts w:ascii="Open Sans" w:hAnsi="Open Sans" w:eastAsia="Open Sans" w:cs="Open Sans"/>
          <w:b w:val="0"/>
          <w:bCs w:val="0"/>
          <w:i w:val="0"/>
          <w:iCs w:val="0"/>
          <w:caps w:val="0"/>
          <w:smallCaps w:val="0"/>
          <w:noProof w:val="0"/>
          <w:color w:val="333333"/>
          <w:sz w:val="24"/>
          <w:szCs w:val="24"/>
          <w:lang w:val="en-GB"/>
        </w:rPr>
        <w:t xml:space="preserve">, </w:t>
      </w:r>
      <w:hyperlink r:id="R7c9091b55fda4117">
        <w:r w:rsidRPr="5F69939A" w:rsidR="5F69939A">
          <w:rPr>
            <w:rStyle w:val="Hyperlink"/>
            <w:rFonts w:ascii="Open Sans" w:hAnsi="Open Sans" w:eastAsia="Open Sans" w:cs="Open Sans"/>
            <w:b w:val="0"/>
            <w:bCs w:val="0"/>
            <w:i w:val="0"/>
            <w:iCs w:val="0"/>
            <w:caps w:val="0"/>
            <w:smallCaps w:val="0"/>
            <w:strike w:val="0"/>
            <w:dstrike w:val="0"/>
            <w:noProof w:val="0"/>
            <w:sz w:val="24"/>
            <w:szCs w:val="24"/>
            <w:lang w:val="en-GB"/>
          </w:rPr>
          <w:t>[Google Scholar]</w:t>
        </w:r>
      </w:hyperlink>
    </w:p>
    <w:p w:rsidR="5F69939A" w:rsidP="5F69939A" w:rsidRDefault="5F69939A" w14:paraId="3A589AB9" w14:textId="5CC400CC">
      <w:pPr>
        <w:pStyle w:val="ListParagraph"/>
        <w:numPr>
          <w:ilvl w:val="0"/>
          <w:numId w:val="1"/>
        </w:numPr>
        <w:jc w:val="left"/>
        <w:rPr>
          <w:rFonts w:ascii="Open Sans" w:hAnsi="Open Sans" w:eastAsia="Open Sans" w:cs="Open Sans" w:asciiTheme="minorAscii" w:hAnsiTheme="minorAscii" w:eastAsiaTheme="minorAscii" w:cstheme="minorAscii"/>
          <w:b w:val="0"/>
          <w:bCs w:val="0"/>
          <w:i w:val="0"/>
          <w:iCs w:val="0"/>
          <w:caps w:val="0"/>
          <w:smallCaps w:val="0"/>
          <w:noProof w:val="0"/>
          <w:color w:val="10147E"/>
          <w:sz w:val="24"/>
          <w:szCs w:val="24"/>
          <w:u w:val="none"/>
          <w:lang w:val="en-GB"/>
        </w:rPr>
      </w:pPr>
      <w:r w:rsidRPr="5F69939A" w:rsidR="5F69939A">
        <w:rPr>
          <w:rFonts w:ascii="Open Sans" w:hAnsi="Open Sans" w:eastAsia="Open Sans" w:cs="Open Sans"/>
          <w:b w:val="0"/>
          <w:bCs w:val="0"/>
          <w:i w:val="0"/>
          <w:iCs w:val="0"/>
          <w:caps w:val="0"/>
          <w:smallCaps w:val="0"/>
          <w:noProof w:val="0"/>
          <w:color w:val="333333"/>
          <w:sz w:val="24"/>
          <w:szCs w:val="24"/>
          <w:lang w:val="en-GB"/>
        </w:rPr>
        <w:t xml:space="preserve">Bandura, A., and D. Cervone. 1983. “Self-evaluative and Self-efficacy Mechanisms Governing the Motivational Effects of Goal Systems.” </w:t>
      </w:r>
      <w:r w:rsidRPr="5F69939A" w:rsidR="5F69939A">
        <w:rPr>
          <w:rFonts w:ascii="Open Sans" w:hAnsi="Open Sans" w:eastAsia="Open Sans" w:cs="Open Sans"/>
          <w:b w:val="0"/>
          <w:bCs w:val="0"/>
          <w:i w:val="1"/>
          <w:iCs w:val="1"/>
          <w:caps w:val="0"/>
          <w:smallCaps w:val="0"/>
          <w:noProof w:val="0"/>
          <w:color w:val="333333"/>
          <w:sz w:val="24"/>
          <w:szCs w:val="24"/>
          <w:lang w:val="en-GB"/>
        </w:rPr>
        <w:t>Journal of Personality and Social Psychology</w:t>
      </w:r>
      <w:r w:rsidRPr="5F69939A" w:rsidR="5F69939A">
        <w:rPr>
          <w:rFonts w:ascii="Open Sans" w:hAnsi="Open Sans" w:eastAsia="Open Sans" w:cs="Open Sans"/>
          <w:b w:val="0"/>
          <w:bCs w:val="0"/>
          <w:i w:val="0"/>
          <w:iCs w:val="0"/>
          <w:caps w:val="0"/>
          <w:smallCaps w:val="0"/>
          <w:noProof w:val="0"/>
          <w:color w:val="333333"/>
          <w:sz w:val="24"/>
          <w:szCs w:val="24"/>
          <w:lang w:val="en-GB"/>
        </w:rPr>
        <w:t xml:space="preserve"> 45 (5): 1017–1028. doi: 10.1037/0022-3514.45.5.1017 </w:t>
      </w:r>
      <w:hyperlink r:id="R1790cba723d44171">
        <w:r w:rsidRPr="5F69939A" w:rsidR="5F69939A">
          <w:rPr>
            <w:rStyle w:val="Hyperlink"/>
            <w:rFonts w:ascii="Open Sans" w:hAnsi="Open Sans" w:eastAsia="Open Sans" w:cs="Open Sans"/>
            <w:b w:val="0"/>
            <w:bCs w:val="0"/>
            <w:i w:val="0"/>
            <w:iCs w:val="0"/>
            <w:caps w:val="0"/>
            <w:smallCaps w:val="0"/>
            <w:strike w:val="0"/>
            <w:dstrike w:val="0"/>
            <w:noProof w:val="0"/>
            <w:sz w:val="24"/>
            <w:szCs w:val="24"/>
            <w:lang w:val="en-GB"/>
          </w:rPr>
          <w:t>[Crossref]</w:t>
        </w:r>
      </w:hyperlink>
      <w:r w:rsidRPr="5F69939A" w:rsidR="5F69939A">
        <w:rPr>
          <w:rFonts w:ascii="Open Sans" w:hAnsi="Open Sans" w:eastAsia="Open Sans" w:cs="Open Sans"/>
          <w:b w:val="0"/>
          <w:bCs w:val="0"/>
          <w:i w:val="0"/>
          <w:iCs w:val="0"/>
          <w:caps w:val="0"/>
          <w:smallCaps w:val="0"/>
          <w:noProof w:val="0"/>
          <w:color w:val="333333"/>
          <w:sz w:val="24"/>
          <w:szCs w:val="24"/>
          <w:lang w:val="en-GB"/>
        </w:rPr>
        <w:t xml:space="preserve">, </w:t>
      </w:r>
      <w:hyperlink r:id="R492e8bbe144b4e16">
        <w:r w:rsidRPr="5F69939A" w:rsidR="5F69939A">
          <w:rPr>
            <w:rStyle w:val="Hyperlink"/>
            <w:rFonts w:ascii="Open Sans" w:hAnsi="Open Sans" w:eastAsia="Open Sans" w:cs="Open Sans"/>
            <w:b w:val="0"/>
            <w:bCs w:val="0"/>
            <w:i w:val="0"/>
            <w:iCs w:val="0"/>
            <w:caps w:val="0"/>
            <w:smallCaps w:val="0"/>
            <w:strike w:val="0"/>
            <w:dstrike w:val="0"/>
            <w:noProof w:val="0"/>
            <w:sz w:val="24"/>
            <w:szCs w:val="24"/>
            <w:lang w:val="en-GB"/>
          </w:rPr>
          <w:t>[Web of Science ®]</w:t>
        </w:r>
      </w:hyperlink>
      <w:r w:rsidRPr="5F69939A" w:rsidR="5F69939A">
        <w:rPr>
          <w:rFonts w:ascii="Open Sans" w:hAnsi="Open Sans" w:eastAsia="Open Sans" w:cs="Open Sans"/>
          <w:b w:val="0"/>
          <w:bCs w:val="0"/>
          <w:i w:val="0"/>
          <w:iCs w:val="0"/>
          <w:caps w:val="0"/>
          <w:smallCaps w:val="0"/>
          <w:noProof w:val="0"/>
          <w:color w:val="333333"/>
          <w:sz w:val="24"/>
          <w:szCs w:val="24"/>
          <w:lang w:val="en-GB"/>
        </w:rPr>
        <w:t xml:space="preserve">, </w:t>
      </w:r>
      <w:hyperlink r:id="R3baea738688f4770">
        <w:r w:rsidRPr="5F69939A" w:rsidR="5F69939A">
          <w:rPr>
            <w:rStyle w:val="Hyperlink"/>
            <w:rFonts w:ascii="Open Sans" w:hAnsi="Open Sans" w:eastAsia="Open Sans" w:cs="Open Sans"/>
            <w:b w:val="0"/>
            <w:bCs w:val="0"/>
            <w:i w:val="0"/>
            <w:iCs w:val="0"/>
            <w:caps w:val="0"/>
            <w:smallCaps w:val="0"/>
            <w:strike w:val="0"/>
            <w:dstrike w:val="0"/>
            <w:noProof w:val="0"/>
            <w:sz w:val="24"/>
            <w:szCs w:val="24"/>
            <w:lang w:val="en-GB"/>
          </w:rPr>
          <w:t>[Google Scholar]</w:t>
        </w:r>
      </w:hyperlink>
    </w:p>
    <w:p w:rsidR="5F69939A" w:rsidP="5F69939A" w:rsidRDefault="5F69939A" w14:paraId="52495C05" w14:textId="21331EBC">
      <w:pPr>
        <w:pStyle w:val="ListParagraph"/>
        <w:numPr>
          <w:ilvl w:val="0"/>
          <w:numId w:val="1"/>
        </w:numPr>
        <w:rPr>
          <w:rFonts w:ascii="Open Sans" w:hAnsi="Open Sans" w:eastAsia="Open Sans" w:cs="Open Sans" w:asciiTheme="minorAscii" w:hAnsiTheme="minorAscii" w:eastAsiaTheme="minorAscii" w:cstheme="minorAscii"/>
          <w:b w:val="0"/>
          <w:bCs w:val="0"/>
          <w:i w:val="0"/>
          <w:iCs w:val="0"/>
          <w:caps w:val="0"/>
          <w:smallCaps w:val="0"/>
          <w:noProof w:val="0"/>
          <w:color w:val="1C1D1E"/>
          <w:sz w:val="21"/>
          <w:szCs w:val="21"/>
          <w:lang w:val="en-GB"/>
        </w:rPr>
      </w:pPr>
      <w:r w:rsidRPr="5F69939A" w:rsidR="5F69939A">
        <w:rPr>
          <w:rFonts w:ascii="Open Sans" w:hAnsi="Open Sans" w:eastAsia="Open Sans" w:cs="Open Sans"/>
          <w:b w:val="0"/>
          <w:bCs w:val="0"/>
          <w:i w:val="0"/>
          <w:iCs w:val="0"/>
          <w:caps w:val="0"/>
          <w:smallCaps w:val="0"/>
          <w:noProof w:val="0"/>
          <w:color w:val="1C1D1E"/>
          <w:sz w:val="21"/>
          <w:szCs w:val="21"/>
          <w:lang w:val="en-GB"/>
        </w:rPr>
        <w:t xml:space="preserve">Botshabelo Kealesitse, Barry O'Mahony, Beverley Lloyd-Walker, Michael Jay Polonsky, Developing customer-focused public sector reward schemes, International Journal of Public Sector Management, 10.1108/09513551311293426, </w:t>
      </w:r>
      <w:r w:rsidRPr="5F69939A" w:rsidR="5F69939A">
        <w:rPr>
          <w:rFonts w:ascii="Open Sans" w:hAnsi="Open Sans" w:eastAsia="Open Sans" w:cs="Open Sans"/>
          <w:b w:val="1"/>
          <w:bCs w:val="1"/>
          <w:i w:val="0"/>
          <w:iCs w:val="0"/>
          <w:caps w:val="0"/>
          <w:smallCaps w:val="0"/>
          <w:noProof w:val="0"/>
          <w:color w:val="1C1D1E"/>
          <w:sz w:val="21"/>
          <w:szCs w:val="21"/>
          <w:lang w:val="en-GB"/>
        </w:rPr>
        <w:t>26</w:t>
      </w:r>
      <w:r w:rsidRPr="5F69939A" w:rsidR="5F69939A">
        <w:rPr>
          <w:rFonts w:ascii="Open Sans" w:hAnsi="Open Sans" w:eastAsia="Open Sans" w:cs="Open Sans"/>
          <w:b w:val="0"/>
          <w:bCs w:val="0"/>
          <w:i w:val="0"/>
          <w:iCs w:val="0"/>
          <w:caps w:val="0"/>
          <w:smallCaps w:val="0"/>
          <w:noProof w:val="0"/>
          <w:color w:val="1C1D1E"/>
          <w:sz w:val="21"/>
          <w:szCs w:val="21"/>
          <w:lang w:val="en-GB"/>
        </w:rPr>
        <w:t>, 1, (33-55), (2013).</w:t>
      </w:r>
    </w:p>
    <w:p w:rsidR="5F69939A" w:rsidP="5F69939A" w:rsidRDefault="5F69939A" w14:paraId="42710E9F" w14:textId="50D86414">
      <w:pPr>
        <w:pStyle w:val="ListParagraph"/>
        <w:numPr>
          <w:ilvl w:val="0"/>
          <w:numId w:val="1"/>
        </w:numPr>
        <w:rPr>
          <w:rFonts w:ascii="Open Sans" w:hAnsi="Open Sans" w:eastAsia="Open Sans" w:cs="Open Sans" w:asciiTheme="minorAscii" w:hAnsiTheme="minorAscii" w:eastAsiaTheme="minorAscii" w:cstheme="minorAscii"/>
          <w:b w:val="0"/>
          <w:bCs w:val="0"/>
          <w:i w:val="0"/>
          <w:iCs w:val="0"/>
          <w:caps w:val="0"/>
          <w:smallCaps w:val="0"/>
          <w:noProof w:val="0"/>
          <w:color w:val="005274"/>
          <w:sz w:val="21"/>
          <w:szCs w:val="21"/>
          <w:u w:val="none"/>
          <w:lang w:val="en-GB"/>
        </w:rPr>
      </w:pPr>
      <w:hyperlink r:id="R60a349d655274277">
        <w:r w:rsidRPr="5F69939A" w:rsidR="5F69939A">
          <w:rPr>
            <w:rStyle w:val="Hyperlink"/>
            <w:rFonts w:ascii="Open Sans" w:hAnsi="Open Sans" w:eastAsia="Open Sans" w:cs="Open Sans"/>
            <w:b w:val="0"/>
            <w:bCs w:val="0"/>
            <w:i w:val="0"/>
            <w:iCs w:val="0"/>
            <w:caps w:val="0"/>
            <w:smallCaps w:val="0"/>
            <w:strike w:val="0"/>
            <w:dstrike w:val="0"/>
            <w:noProof w:val="0"/>
            <w:sz w:val="21"/>
            <w:szCs w:val="21"/>
            <w:lang w:val="en-GB"/>
          </w:rPr>
          <w:t>Crossref</w:t>
        </w:r>
      </w:hyperlink>
    </w:p>
    <w:p w:rsidR="5F69939A" w:rsidP="5F69939A" w:rsidRDefault="5F69939A" w14:paraId="59E34E35" w14:textId="268EAC2C">
      <w:pPr>
        <w:pStyle w:val="ListParagraph"/>
        <w:numPr>
          <w:ilvl w:val="0"/>
          <w:numId w:val="1"/>
        </w:numPr>
        <w:rPr>
          <w:rFonts w:ascii="Open Sans" w:hAnsi="Open Sans" w:eastAsia="Open Sans" w:cs="Open Sans" w:asciiTheme="minorAscii" w:hAnsiTheme="minorAscii" w:eastAsiaTheme="minorAscii" w:cstheme="minorAscii"/>
          <w:b w:val="0"/>
          <w:bCs w:val="0"/>
          <w:i w:val="0"/>
          <w:iCs w:val="0"/>
          <w:caps w:val="0"/>
          <w:smallCaps w:val="0"/>
          <w:noProof w:val="0"/>
          <w:color w:val="1C1D1E"/>
          <w:sz w:val="21"/>
          <w:szCs w:val="21"/>
          <w:lang w:val="en-GB"/>
        </w:rPr>
      </w:pPr>
      <w:r w:rsidRPr="5F69939A" w:rsidR="5F69939A">
        <w:rPr>
          <w:rFonts w:ascii="Open Sans" w:hAnsi="Open Sans" w:eastAsia="Open Sans" w:cs="Open Sans"/>
          <w:b w:val="0"/>
          <w:bCs w:val="0"/>
          <w:i w:val="0"/>
          <w:iCs w:val="0"/>
          <w:caps w:val="0"/>
          <w:smallCaps w:val="0"/>
          <w:noProof w:val="0"/>
          <w:color w:val="1C1D1E"/>
          <w:sz w:val="21"/>
          <w:szCs w:val="21"/>
          <w:lang w:val="en-GB"/>
        </w:rPr>
        <w:t xml:space="preserve">Michael Armstrong, Duncan Brown, Peter Reilly, Increasing the effectiveness of reward management: an evidence‐based approach, Employee Relations, 10.1108/01425451111096668, </w:t>
      </w:r>
      <w:r w:rsidRPr="5F69939A" w:rsidR="5F69939A">
        <w:rPr>
          <w:rFonts w:ascii="Open Sans" w:hAnsi="Open Sans" w:eastAsia="Open Sans" w:cs="Open Sans"/>
          <w:b w:val="1"/>
          <w:bCs w:val="1"/>
          <w:i w:val="0"/>
          <w:iCs w:val="0"/>
          <w:caps w:val="0"/>
          <w:smallCaps w:val="0"/>
          <w:noProof w:val="0"/>
          <w:color w:val="1C1D1E"/>
          <w:sz w:val="21"/>
          <w:szCs w:val="21"/>
          <w:lang w:val="en-GB"/>
        </w:rPr>
        <w:t>33</w:t>
      </w:r>
      <w:r w:rsidRPr="5F69939A" w:rsidR="5F69939A">
        <w:rPr>
          <w:rFonts w:ascii="Open Sans" w:hAnsi="Open Sans" w:eastAsia="Open Sans" w:cs="Open Sans"/>
          <w:b w:val="0"/>
          <w:bCs w:val="0"/>
          <w:i w:val="0"/>
          <w:iCs w:val="0"/>
          <w:caps w:val="0"/>
          <w:smallCaps w:val="0"/>
          <w:noProof w:val="0"/>
          <w:color w:val="1C1D1E"/>
          <w:sz w:val="21"/>
          <w:szCs w:val="21"/>
          <w:lang w:val="en-GB"/>
        </w:rPr>
        <w:t>, 2, (106-120), (2011).</w:t>
      </w:r>
    </w:p>
    <w:p w:rsidR="5F69939A" w:rsidP="5F69939A" w:rsidRDefault="5F69939A" w14:paraId="3A01808C" w14:textId="04462D02">
      <w:pPr>
        <w:pStyle w:val="ListParagraph"/>
        <w:numPr>
          <w:ilvl w:val="0"/>
          <w:numId w:val="1"/>
        </w:numPr>
        <w:rPr>
          <w:rFonts w:ascii="Open Sans" w:hAnsi="Open Sans" w:eastAsia="Open Sans" w:cs="Open Sans" w:asciiTheme="minorAscii" w:hAnsiTheme="minorAscii" w:eastAsiaTheme="minorAscii" w:cstheme="minorAscii"/>
          <w:b w:val="0"/>
          <w:bCs w:val="0"/>
          <w:i w:val="0"/>
          <w:iCs w:val="0"/>
          <w:caps w:val="0"/>
          <w:smallCaps w:val="0"/>
          <w:noProof w:val="0"/>
          <w:color w:val="005274"/>
          <w:sz w:val="21"/>
          <w:szCs w:val="21"/>
          <w:u w:val="none"/>
          <w:lang w:val="en-GB"/>
        </w:rPr>
      </w:pPr>
      <w:hyperlink r:id="Rebddd43d882748bc">
        <w:r w:rsidRPr="5F69939A" w:rsidR="5F69939A">
          <w:rPr>
            <w:rStyle w:val="Hyperlink"/>
            <w:rFonts w:ascii="Open Sans" w:hAnsi="Open Sans" w:eastAsia="Open Sans" w:cs="Open Sans"/>
            <w:b w:val="0"/>
            <w:bCs w:val="0"/>
            <w:i w:val="0"/>
            <w:iCs w:val="0"/>
            <w:caps w:val="0"/>
            <w:smallCaps w:val="0"/>
            <w:strike w:val="0"/>
            <w:dstrike w:val="0"/>
            <w:noProof w:val="0"/>
            <w:sz w:val="21"/>
            <w:szCs w:val="21"/>
            <w:lang w:val="en-GB"/>
          </w:rPr>
          <w:t>Crossref</w:t>
        </w:r>
      </w:hyperlink>
    </w:p>
    <w:p w:rsidR="5F69939A" w:rsidP="5F69939A" w:rsidRDefault="5F69939A" w14:paraId="0B0AC3FA" w14:textId="04CABA5E">
      <w:pPr>
        <w:pStyle w:val="ListParagraph"/>
        <w:numPr>
          <w:ilvl w:val="0"/>
          <w:numId w:val="1"/>
        </w:numPr>
        <w:rPr>
          <w:sz w:val="22"/>
          <w:szCs w:val="22"/>
        </w:rPr>
      </w:pPr>
      <w:r>
        <w:br/>
      </w:r>
      <w:r>
        <w:br/>
      </w:r>
    </w:p>
    <w:p w:rsidR="5F69939A" w:rsidP="5F69939A" w:rsidRDefault="5F69939A" w14:paraId="651E35FD" w14:textId="54AEE72F">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7DF6B3D6" w14:textId="0D458D9D">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p w:rsidR="5F69939A" w:rsidP="5F69939A" w:rsidRDefault="5F69939A" w14:paraId="041F0614" w14:textId="315BB1A4">
      <w:pPr>
        <w:pStyle w:val="Normal"/>
        <w:spacing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vertAlign w:val="superscript"/>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yDlj8g609TV2I" int2:id="0m2nNkpo">
      <int2:state int2:type="AugLoop_Text_Critique" int2:value="Rejected"/>
    </int2:textHash>
    <int2:textHash int2:hashCode="ZOBY0l48i+/j8+" int2:id="oNuaG2Bs">
      <int2:state int2:type="LegacyProofing" int2:value="Rejected"/>
    </int2:textHash>
    <int2:textHash int2:hashCode="2S4g0hLrGf6tzx" int2:id="WRs2UBAH">
      <int2:state int2:type="LegacyProofing" int2:value="Rejected"/>
    </int2:textHash>
    <int2:textHash int2:hashCode="wIe7RXuBOdrT1O" int2:id="sMo6MhmS">
      <int2:state int2:type="LegacyProofing" int2:value="Rejected"/>
    </int2:textHash>
    <int2:textHash int2:hashCode="SOVj8UjcBNizHJ" int2:id="nUz0Y9FM">
      <int2:state int2:type="LegacyProofing" int2:value="Rejected"/>
    </int2:textHash>
    <int2:textHash int2:hashCode="QSB8/jLdCKILJy" int2:id="17p5awmn">
      <int2:state int2:type="LegacyProofing" int2:value="Rejected"/>
    </int2:textHash>
    <int2:bookmark int2:bookmarkName="_Int_ISYAJpqv" int2:invalidationBookmarkName="" int2:hashCode="FuA2mr5fVaA0FB" int2:id="EKm1mt2Y">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D4CED3"/>
    <w:rsid w:val="14D4CED3"/>
    <w:rsid w:val="5F699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4CED3"/>
  <w15:chartTrackingRefBased/>
  <w15:docId w15:val="{FE7389ED-727A-4CB4-815A-7B84A682D7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359432X.2021.2021885" TargetMode="External" Id="R27590d062f82415d" /><Relationship Type="http://schemas.openxmlformats.org/officeDocument/2006/relationships/hyperlink" Target="https://doi.org/10.23919/CISTI.2018.8399254" TargetMode="External" Id="R7c8efd0d5d12421d" /><Relationship Type="http://schemas.openxmlformats.org/officeDocument/2006/relationships/hyperlink" Target="https://www.tandfonline.com/servlet/linkout?suffix=CIT0006&amp;dbid=16&amp;doi=10.1080%2F09537325.2014.978276&amp;key=10.1111%2Fj.1468-005X.2011.00263.x" TargetMode="External" Id="R9cc2edd99d174f88" /><Relationship Type="http://schemas.openxmlformats.org/officeDocument/2006/relationships/hyperlink" Target="https://www.tandfonline.com/servlet/linkout?suffix=CIT0006&amp;dbid=128&amp;doi=10.1080%2F09537325.2014.978276&amp;key=000292107800003" TargetMode="External" Id="R97354eefed0c400a" /><Relationship Type="http://schemas.openxmlformats.org/officeDocument/2006/relationships/hyperlink" Target="http://scholar.google.com/scholar_lookup?hl=en&amp;volume=26&amp;publication_year=2011&amp;pages=113-126&amp;issue=2&amp;author=K.+S.+Ball&amp;author=S.+T.+Margulis&amp;title=Electronic+Monitoring+and+Surveillance+in+Call+Centres%3A+A+Framework+for+Investigation&amp;doi=10.1111%2Fj.1468-005X.2011.00263.x" TargetMode="External" Id="R7c9091b55fda4117" /><Relationship Type="http://schemas.openxmlformats.org/officeDocument/2006/relationships/hyperlink" Target="https://www.tandfonline.com/servlet/linkout?suffix=CIT0007&amp;dbid=16&amp;doi=10.1080%2F09537325.2014.978276&amp;key=10.1037%2F0022-3514.45.5.1017" TargetMode="External" Id="R1790cba723d44171" /><Relationship Type="http://schemas.openxmlformats.org/officeDocument/2006/relationships/hyperlink" Target="https://www.tandfonline.com/servlet/linkout?suffix=CIT0007&amp;dbid=128&amp;doi=10.1080%2F09537325.2014.978276&amp;key=A1983RQ39400006" TargetMode="External" Id="R492e8bbe144b4e16" /><Relationship Type="http://schemas.openxmlformats.org/officeDocument/2006/relationships/hyperlink" Target="http://scholar.google.com/scholar_lookup?hl=en&amp;volume=45&amp;publication_year=1983&amp;pages=1017-1028&amp;issue=5&amp;author=A.+Bandura&amp;author=D.+Cervone&amp;title=Self-evaluative+and+Self-efficacy+Mechanisms+Governing+the+Motivational+Effects+of+Goal+Systems&amp;doi=10.1037%2F0022-3514.45.5.1017" TargetMode="External" Id="R3baea738688f4770" /><Relationship Type="http://schemas.openxmlformats.org/officeDocument/2006/relationships/hyperlink" Target="https://doi.org/10.1108/09513551311293426" TargetMode="External" Id="R60a349d655274277" /><Relationship Type="http://schemas.openxmlformats.org/officeDocument/2006/relationships/hyperlink" Target="https://doi.org/10.1108/01425451111096668" TargetMode="External" Id="Rebddd43d882748bc" /><Relationship Type="http://schemas.microsoft.com/office/2020/10/relationships/intelligence" Target="/word/intelligence2.xml" Id="Rd9628a47e17c4658" /><Relationship Type="http://schemas.openxmlformats.org/officeDocument/2006/relationships/numbering" Target="/word/numbering.xml" Id="R0d62d1684f8645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Tobi Nick</dc:creator>
  <keywords/>
  <dc:description/>
  <lastModifiedBy>Tobi Nick</lastModifiedBy>
  <revision>2</revision>
  <dcterms:created xsi:type="dcterms:W3CDTF">2022-04-06T21:34:21.0995650Z</dcterms:created>
  <dcterms:modified xsi:type="dcterms:W3CDTF">2022-04-07T01:14:07.0542032Z</dcterms:modified>
</coreProperties>
</file>