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46AEF" w14:textId="77777777" w:rsid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p>
    <w:p w14:paraId="36F869A1" w14:textId="123EE0B8" w:rsid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Beniamin-Emanuel Jachianu</w:t>
      </w:r>
    </w:p>
    <w:p w14:paraId="5312DB7E" w14:textId="031D6009" w:rsid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2429568</w:t>
      </w:r>
    </w:p>
    <w:p w14:paraId="46443556" w14:textId="00E68283" w:rsidR="00FD0E63" w:rsidRDefault="00155338" w:rsidP="00FD0E63">
      <w:pPr>
        <w:spacing w:before="100" w:beforeAutospacing="1" w:after="100" w:afterAutospacing="1" w:line="240" w:lineRule="auto"/>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LCHS4003</w:t>
      </w:r>
    </w:p>
    <w:p w14:paraId="243FA6E5" w14:textId="3AAB2FA5" w:rsidR="00155338" w:rsidRDefault="001410C3" w:rsidP="00FD0E63">
      <w:pPr>
        <w:spacing w:before="100" w:beforeAutospacing="1" w:after="100" w:afterAutospacing="1" w:line="240" w:lineRule="auto"/>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Tsiwani Kumalo</w:t>
      </w:r>
    </w:p>
    <w:p w14:paraId="59229779" w14:textId="77777777" w:rsid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p>
    <w:p w14:paraId="3E7194D9" w14:textId="77777777" w:rsid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p>
    <w:p w14:paraId="51324719" w14:textId="1F19DE4B"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High-quality health and social care relies on effective communication, accurate administration, and strong collaborative working among professionals. These elements are particularly important when supporting vulnerable individuals with complex needs, such as older adults recovering from surgery. This report focuses on the case of Mrs Mann, a 72-year-old woman recently discharged from hospital following hip-replacement surgery. She receives domiciliary care, support from her GP, and community physiotherapy services. However, concerns have arisen regarding inconsistent documentation and a communication failure that led to a delayed medication adjustment. Using this case as a basis, the report examines three critical aspects of professional practice: the importance of effective communication, the role of administrative and record-keeping skills, and the need for collaborative multi-agency working. Relevant legislation—including the Equality Act 2010 and the Data Protection Act 2018—and theoretical models of communication are integrated throughout, drawing upon academic literature and core teaching materials.</w:t>
      </w:r>
    </w:p>
    <w:p w14:paraId="10DE705D" w14:textId="77777777" w:rsidR="00FD0E63" w:rsidRPr="00FD0E63" w:rsidRDefault="00FD0E63" w:rsidP="00FD0E63">
      <w:pPr>
        <w:spacing w:after="0" w:line="240" w:lineRule="auto"/>
        <w:rPr>
          <w:rFonts w:ascii="Times New Roman" w:eastAsia="Times New Roman" w:hAnsi="Times New Roman" w:cs="Times New Roman"/>
          <w:kern w:val="0"/>
          <w14:ligatures w14:val="none"/>
        </w:rPr>
      </w:pPr>
      <w:r w:rsidRPr="00FD0E63">
        <w:rPr>
          <w:rFonts w:ascii="Times New Roman" w:eastAsia="Times New Roman" w:hAnsi="Times New Roman" w:cs="Times New Roman"/>
          <w:noProof/>
          <w:kern w:val="0"/>
          <w14:ligatures w14:val="none"/>
        </w:rPr>
        <mc:AlternateContent>
          <mc:Choice Requires="wps">
            <w:drawing>
              <wp:inline distT="0" distB="0" distL="0" distR="0" wp14:anchorId="25E92237" wp14:editId="7BD26920">
                <wp:extent cx="5731510" cy="1270"/>
                <wp:effectExtent l="0" t="31750" r="0" b="36830"/>
                <wp:docPr id="12097810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08F9A15"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08950F0" w14:textId="77777777" w:rsidR="00FD0E63" w:rsidRPr="00FD0E63" w:rsidRDefault="00FD0E63" w:rsidP="00FD0E6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FD0E63">
        <w:rPr>
          <w:rFonts w:ascii="Times New Roman" w:eastAsia="Times New Roman" w:hAnsi="Times New Roman" w:cs="Times New Roman"/>
          <w:b/>
          <w:bCs/>
          <w:color w:val="000000"/>
          <w:kern w:val="0"/>
          <w:sz w:val="36"/>
          <w:szCs w:val="36"/>
          <w14:ligatures w14:val="none"/>
        </w:rPr>
        <w:t>1. Importance of Effective Communication (450 words)</w:t>
      </w:r>
    </w:p>
    <w:p w14:paraId="6EF2E705"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Effective communication is central to safe, person-centred care, especially for individuals who have additional needs or communication barriers. In Mrs Mann’s case, her limited English proficiency and reliance on Urdu highlight the need for culturally sensitive and accessible communication. Misunderstandings can compromise her safety, particularly when discussing medication changes, physiotherapy exercises, or mobility risks. The recent incident involving missed communication and delayed medication adjustment demonstrates how communication failures can have direct consequences for health outcomes. Good communication fosters trust, promotes autonomy, and ensures that service users are fully involved in decisions about their care.</w:t>
      </w:r>
    </w:p>
    <w:p w14:paraId="779590DE"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 xml:space="preserve">The Equality Act 2010 provides a framework that protects individuals from discrimination and mandates reasonable adjustments for people with language, sensory, cognitive, or physical barriers. Although language is not a protected characteristic, race is; therefore, ensuring that Mrs Mann receives information in a language she understands is part of providing equitable and non-discriminatory care. Reasonable adjustments may include using professional interpreters, translated materials, or culturally appropriate communication </w:t>
      </w:r>
      <w:r w:rsidRPr="00FD0E63">
        <w:rPr>
          <w:rFonts w:ascii="Times New Roman" w:hAnsi="Times New Roman" w:cs="Times New Roman"/>
          <w:color w:val="000000"/>
          <w:kern w:val="0"/>
          <w14:ligatures w14:val="none"/>
        </w:rPr>
        <w:lastRenderedPageBreak/>
        <w:t>techniques. Her daughter often interprets, but this should complement—not replace—professional communication support, particularly for medical, legal, or sensitive information.</w:t>
      </w:r>
    </w:p>
    <w:p w14:paraId="3FE37DA0"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A useful communication model to apply is the </w:t>
      </w:r>
      <w:r w:rsidRPr="00FD0E63">
        <w:rPr>
          <w:rFonts w:ascii="Times New Roman" w:hAnsi="Times New Roman" w:cs="Times New Roman"/>
          <w:b/>
          <w:bCs/>
          <w:color w:val="000000"/>
          <w:kern w:val="0"/>
          <w14:ligatures w14:val="none"/>
        </w:rPr>
        <w:t>SOLER model</w:t>
      </w:r>
      <w:r w:rsidRPr="00FD0E63">
        <w:rPr>
          <w:rFonts w:ascii="Times New Roman" w:hAnsi="Times New Roman" w:cs="Times New Roman"/>
          <w:color w:val="000000"/>
          <w:kern w:val="0"/>
          <w14:ligatures w14:val="none"/>
        </w:rPr>
        <w:t> (Egan, 2007), frequently used in health and social care settings to promote active listening and meaningful engagement. SOLER encourages professionals to:</w:t>
      </w:r>
    </w:p>
    <w:p w14:paraId="15572909" w14:textId="77777777" w:rsidR="00FD0E63" w:rsidRPr="00FD0E63" w:rsidRDefault="00FD0E63" w:rsidP="00FD0E63">
      <w:pPr>
        <w:numPr>
          <w:ilvl w:val="0"/>
          <w:numId w:val="1"/>
        </w:num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b/>
          <w:bCs/>
          <w:color w:val="000000"/>
          <w:kern w:val="0"/>
          <w14:ligatures w14:val="none"/>
        </w:rPr>
        <w:t>S</w:t>
      </w:r>
      <w:r w:rsidRPr="00FD0E63">
        <w:rPr>
          <w:rFonts w:ascii="Times New Roman" w:hAnsi="Times New Roman" w:cs="Times New Roman"/>
          <w:color w:val="000000"/>
          <w:kern w:val="0"/>
          <w14:ligatures w14:val="none"/>
        </w:rPr>
        <w:t>it squarely and face the service user to show attentiveness;</w:t>
      </w:r>
    </w:p>
    <w:p w14:paraId="4BCE03CD" w14:textId="77777777" w:rsidR="00FD0E63" w:rsidRPr="00FD0E63" w:rsidRDefault="00FD0E63" w:rsidP="00FD0E63">
      <w:pPr>
        <w:numPr>
          <w:ilvl w:val="0"/>
          <w:numId w:val="1"/>
        </w:num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b/>
          <w:bCs/>
          <w:color w:val="000000"/>
          <w:kern w:val="0"/>
          <w14:ligatures w14:val="none"/>
        </w:rPr>
        <w:t>O</w:t>
      </w:r>
      <w:r w:rsidRPr="00FD0E63">
        <w:rPr>
          <w:rFonts w:ascii="Times New Roman" w:hAnsi="Times New Roman" w:cs="Times New Roman"/>
          <w:color w:val="000000"/>
          <w:kern w:val="0"/>
          <w14:ligatures w14:val="none"/>
        </w:rPr>
        <w:t>pen posture to convey acceptance;</w:t>
      </w:r>
    </w:p>
    <w:p w14:paraId="3974BEE4" w14:textId="77777777" w:rsidR="00FD0E63" w:rsidRPr="00FD0E63" w:rsidRDefault="00FD0E63" w:rsidP="00FD0E63">
      <w:pPr>
        <w:numPr>
          <w:ilvl w:val="0"/>
          <w:numId w:val="1"/>
        </w:num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b/>
          <w:bCs/>
          <w:color w:val="000000"/>
          <w:kern w:val="0"/>
          <w14:ligatures w14:val="none"/>
        </w:rPr>
        <w:t>L</w:t>
      </w:r>
      <w:r w:rsidRPr="00FD0E63">
        <w:rPr>
          <w:rFonts w:ascii="Times New Roman" w:hAnsi="Times New Roman" w:cs="Times New Roman"/>
          <w:color w:val="000000"/>
          <w:kern w:val="0"/>
          <w14:ligatures w14:val="none"/>
        </w:rPr>
        <w:t>ean slightly forward to show interest;</w:t>
      </w:r>
    </w:p>
    <w:p w14:paraId="4ECC0E7D" w14:textId="77777777" w:rsidR="00FD0E63" w:rsidRPr="00FD0E63" w:rsidRDefault="00FD0E63" w:rsidP="00FD0E63">
      <w:pPr>
        <w:numPr>
          <w:ilvl w:val="0"/>
          <w:numId w:val="1"/>
        </w:num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b/>
          <w:bCs/>
          <w:color w:val="000000"/>
          <w:kern w:val="0"/>
          <w14:ligatures w14:val="none"/>
        </w:rPr>
        <w:t>E</w:t>
      </w:r>
      <w:r w:rsidRPr="00FD0E63">
        <w:rPr>
          <w:rFonts w:ascii="Times New Roman" w:hAnsi="Times New Roman" w:cs="Times New Roman"/>
          <w:color w:val="000000"/>
          <w:kern w:val="0"/>
          <w14:ligatures w14:val="none"/>
        </w:rPr>
        <w:t>ye contact appropriate to cultural norms;</w:t>
      </w:r>
    </w:p>
    <w:p w14:paraId="0554AD34" w14:textId="77777777" w:rsidR="00FD0E63" w:rsidRPr="00FD0E63" w:rsidRDefault="00FD0E63" w:rsidP="00FD0E63">
      <w:pPr>
        <w:numPr>
          <w:ilvl w:val="0"/>
          <w:numId w:val="1"/>
        </w:num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b/>
          <w:bCs/>
          <w:color w:val="000000"/>
          <w:kern w:val="0"/>
          <w14:ligatures w14:val="none"/>
        </w:rPr>
        <w:t>R</w:t>
      </w:r>
      <w:r w:rsidRPr="00FD0E63">
        <w:rPr>
          <w:rFonts w:ascii="Times New Roman" w:hAnsi="Times New Roman" w:cs="Times New Roman"/>
          <w:color w:val="000000"/>
          <w:kern w:val="0"/>
          <w14:ligatures w14:val="none"/>
        </w:rPr>
        <w:t>elax and avoid appearing rushed or distracted.</w:t>
      </w:r>
    </w:p>
    <w:p w14:paraId="1C854490"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In Mrs Mann’s case, carers must adapt these principles to respect cultural expectations around eye contact and personal space. Active listening is essential when English is not the service user’s first language, as is checking understanding through techniques such as teach-back, where the service user repeats information in their own words. Visual aids, simple language, gestures, and translation applications approved by the organisation can increase clarity.</w:t>
      </w:r>
    </w:p>
    <w:p w14:paraId="3FA40348"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Furthermore, communication extends beyond verbal exchanges. Written care plans must be clear, accurate, and easily understood by both Mrs Mann and the multidisciplinary team. When professionals communicate effectively, information flows consistently across services, enabling timely interventions and preventing errors. This is particularly important for older adults with mobility limitations, who may be at higher risk of falls or complications from medication mismanagement. In summary, effective communication promotes safety, equality, empowerment, and continuity of care.</w:t>
      </w:r>
    </w:p>
    <w:p w14:paraId="121EB920" w14:textId="77777777" w:rsidR="00FD0E63" w:rsidRPr="00FD0E63" w:rsidRDefault="00FD0E63" w:rsidP="00FD0E63">
      <w:pPr>
        <w:spacing w:after="0" w:line="240" w:lineRule="auto"/>
        <w:rPr>
          <w:rFonts w:ascii="Times New Roman" w:eastAsia="Times New Roman" w:hAnsi="Times New Roman" w:cs="Times New Roman"/>
          <w:kern w:val="0"/>
          <w14:ligatures w14:val="none"/>
        </w:rPr>
      </w:pPr>
      <w:r w:rsidRPr="00FD0E63">
        <w:rPr>
          <w:rFonts w:ascii="Times New Roman" w:eastAsia="Times New Roman" w:hAnsi="Times New Roman" w:cs="Times New Roman"/>
          <w:noProof/>
          <w:kern w:val="0"/>
          <w14:ligatures w14:val="none"/>
        </w:rPr>
        <mc:AlternateContent>
          <mc:Choice Requires="wps">
            <w:drawing>
              <wp:inline distT="0" distB="0" distL="0" distR="0" wp14:anchorId="5217E5F6" wp14:editId="79DDF970">
                <wp:extent cx="5731510" cy="1270"/>
                <wp:effectExtent l="0" t="31750" r="0" b="36830"/>
                <wp:docPr id="211884780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C8EF0B7"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FB0BD8B" w14:textId="77777777" w:rsidR="00FD0E63" w:rsidRPr="00FD0E63" w:rsidRDefault="00FD0E63" w:rsidP="00FD0E6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FD0E63">
        <w:rPr>
          <w:rFonts w:ascii="Times New Roman" w:eastAsia="Times New Roman" w:hAnsi="Times New Roman" w:cs="Times New Roman"/>
          <w:b/>
          <w:bCs/>
          <w:color w:val="000000"/>
          <w:kern w:val="0"/>
          <w:sz w:val="36"/>
          <w:szCs w:val="36"/>
          <w14:ligatures w14:val="none"/>
        </w:rPr>
        <w:t>2. Importance of Administrative Skills and Record Keeping (450 words)</w:t>
      </w:r>
    </w:p>
    <w:p w14:paraId="7A644AD2"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Good administrative skills, particularly in relation to record keeping, are essential elements of safe professional practice in health and social care. In Mrs Mann’s case, inconsistent documentation and a missed communication that resulted in delayed medication changes highlight how administrative errors can undermine the quality and safety of care. Records act as legal documents, sources of information for decision-making, and tools for coordination across multidisciplinary teams. Poor record keeping can lead to duplicated tasks, omissions, delays, and safeguarding risks.</w:t>
      </w:r>
    </w:p>
    <w:p w14:paraId="74974582"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The principles of the </w:t>
      </w:r>
      <w:r w:rsidRPr="00FD0E63">
        <w:rPr>
          <w:rFonts w:ascii="Times New Roman" w:hAnsi="Times New Roman" w:cs="Times New Roman"/>
          <w:b/>
          <w:bCs/>
          <w:color w:val="000000"/>
          <w:kern w:val="0"/>
          <w14:ligatures w14:val="none"/>
        </w:rPr>
        <w:t>Data Protection Act 2018</w:t>
      </w:r>
      <w:r w:rsidRPr="00FD0E63">
        <w:rPr>
          <w:rFonts w:ascii="Times New Roman" w:hAnsi="Times New Roman" w:cs="Times New Roman"/>
          <w:color w:val="000000"/>
          <w:kern w:val="0"/>
          <w14:ligatures w14:val="none"/>
        </w:rPr>
        <w:t> and the </w:t>
      </w:r>
      <w:r w:rsidRPr="00FD0E63">
        <w:rPr>
          <w:rFonts w:ascii="Times New Roman" w:hAnsi="Times New Roman" w:cs="Times New Roman"/>
          <w:b/>
          <w:bCs/>
          <w:color w:val="000000"/>
          <w:kern w:val="0"/>
          <w14:ligatures w14:val="none"/>
        </w:rPr>
        <w:t>UK General Data Protection Regulation (UK GDPR)</w:t>
      </w:r>
      <w:r w:rsidRPr="00FD0E63">
        <w:rPr>
          <w:rFonts w:ascii="Times New Roman" w:hAnsi="Times New Roman" w:cs="Times New Roman"/>
          <w:color w:val="000000"/>
          <w:kern w:val="0"/>
          <w14:ligatures w14:val="none"/>
        </w:rPr>
        <w:t xml:space="preserve"> provide the legal framework governing how personal data should be recorded, stored, and shared. Health and social care providers must comply with the six key principles: data must be processed lawfully, fairly, and transparently; collected for legitimate purposes; limited to what is necessary; accurate and kept up to date; stored for no longer than necessary; and handled securely. These principles are directly relevant to Mrs Mann’s care records, which should be updated promptly after each visit, reflect an accurate </w:t>
      </w:r>
      <w:r w:rsidRPr="00FD0E63">
        <w:rPr>
          <w:rFonts w:ascii="Times New Roman" w:hAnsi="Times New Roman" w:cs="Times New Roman"/>
          <w:color w:val="000000"/>
          <w:kern w:val="0"/>
          <w14:ligatures w14:val="none"/>
        </w:rPr>
        <w:lastRenderedPageBreak/>
        <w:t>account of interventions, and be shared only with authorised professionals involved in her care.</w:t>
      </w:r>
    </w:p>
    <w:p w14:paraId="6A5289BB"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Accurate record keeping is also a key component of the </w:t>
      </w:r>
      <w:r w:rsidRPr="00FD0E63">
        <w:rPr>
          <w:rFonts w:ascii="Times New Roman" w:hAnsi="Times New Roman" w:cs="Times New Roman"/>
          <w:b/>
          <w:bCs/>
          <w:color w:val="000000"/>
          <w:kern w:val="0"/>
          <w14:ligatures w14:val="none"/>
        </w:rPr>
        <w:t>Care Quality Commission (CQC)</w:t>
      </w:r>
      <w:r w:rsidRPr="00FD0E63">
        <w:rPr>
          <w:rFonts w:ascii="Times New Roman" w:hAnsi="Times New Roman" w:cs="Times New Roman"/>
          <w:color w:val="000000"/>
          <w:kern w:val="0"/>
          <w14:ligatures w14:val="none"/>
        </w:rPr>
        <w:t> standards and the </w:t>
      </w:r>
      <w:r w:rsidRPr="00FD0E63">
        <w:rPr>
          <w:rFonts w:ascii="Times New Roman" w:hAnsi="Times New Roman" w:cs="Times New Roman"/>
          <w:b/>
          <w:bCs/>
          <w:color w:val="000000"/>
          <w:kern w:val="0"/>
          <w14:ligatures w14:val="none"/>
        </w:rPr>
        <w:t>Health and Social Care Act 2008 (Regulated Activities) Regulations 2014</w:t>
      </w:r>
      <w:r w:rsidRPr="00FD0E63">
        <w:rPr>
          <w:rFonts w:ascii="Times New Roman" w:hAnsi="Times New Roman" w:cs="Times New Roman"/>
          <w:color w:val="000000"/>
          <w:kern w:val="0"/>
          <w14:ligatures w14:val="none"/>
        </w:rPr>
        <w:t>, which require providers to maintain secure, complete records to ensure service users receive safe and effective care. Inconsistent records, as highlighted in Mrs Mann’s case, may breach these regulatory expectations and expose both the care agency and professionals to accountability issues.</w:t>
      </w:r>
    </w:p>
    <w:p w14:paraId="7B7AAE5C"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Administrative skills extend beyond simply writing notes. Carers must manage time effectively, prioritise tasks, follow organisational policies, and communicate important information during handovers. The NHS Code of Practice for Records Management emphasises clarity, legibility, objectivity, and chronological recording. In domiciliary care contexts, electronic care management systems are increasingly used to support real-time documentation. When properly utilised, these systems improve communication between care workers, enhance monitoring of medication, and facilitate timely updates to professionals such as GPs and physiotherapists.</w:t>
      </w:r>
    </w:p>
    <w:p w14:paraId="2C80010D"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Applying these principles to Mrs Mann’s case ensures that her rehabilitation plan, medication changes, mobility progress, and risk assessments are accurately documented and immediately accessible to the multidisciplinary team. Good administration fosters continuity, reduces the risk of error, and supports evaluation of care outcomes. Ultimately, robust record keeping is essential for safeguarding service users, protecting staff from liability, and maintaining organisational accountability.</w:t>
      </w:r>
    </w:p>
    <w:p w14:paraId="45B50C57" w14:textId="77777777" w:rsidR="00FD0E63" w:rsidRPr="00FD0E63" w:rsidRDefault="00FD0E63" w:rsidP="00FD0E63">
      <w:pPr>
        <w:spacing w:after="0" w:line="240" w:lineRule="auto"/>
        <w:rPr>
          <w:rFonts w:ascii="Times New Roman" w:eastAsia="Times New Roman" w:hAnsi="Times New Roman" w:cs="Times New Roman"/>
          <w:kern w:val="0"/>
          <w14:ligatures w14:val="none"/>
        </w:rPr>
      </w:pPr>
      <w:r w:rsidRPr="00FD0E63">
        <w:rPr>
          <w:rFonts w:ascii="Times New Roman" w:eastAsia="Times New Roman" w:hAnsi="Times New Roman" w:cs="Times New Roman"/>
          <w:noProof/>
          <w:kern w:val="0"/>
          <w14:ligatures w14:val="none"/>
        </w:rPr>
        <mc:AlternateContent>
          <mc:Choice Requires="wps">
            <w:drawing>
              <wp:inline distT="0" distB="0" distL="0" distR="0" wp14:anchorId="53B72D2E" wp14:editId="354D2257">
                <wp:extent cx="5731510" cy="1270"/>
                <wp:effectExtent l="0" t="31750" r="0" b="36830"/>
                <wp:docPr id="14536835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F7AFF42"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DA73D6C" w14:textId="77777777" w:rsidR="00FD0E63" w:rsidRPr="00FD0E63" w:rsidRDefault="00FD0E63" w:rsidP="00FD0E6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FD0E63">
        <w:rPr>
          <w:rFonts w:ascii="Times New Roman" w:eastAsia="Times New Roman" w:hAnsi="Times New Roman" w:cs="Times New Roman"/>
          <w:b/>
          <w:bCs/>
          <w:color w:val="000000"/>
          <w:kern w:val="0"/>
          <w:sz w:val="36"/>
          <w:szCs w:val="36"/>
          <w14:ligatures w14:val="none"/>
        </w:rPr>
        <w:t>3. Importance of Collaborative Working (300 words)</w:t>
      </w:r>
    </w:p>
    <w:p w14:paraId="23EC2D94"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Collaborative working between professionals is critical in ensuring that individuals like Mrs Mann receive coordinated, holistic care. Her recovery from hip surgery requires input from the GP, physiotherapist, and domiciliary care workers. Each professional contributes different expertise: the physiotherapist guides mobility and rehabilitation, the GP manages medication and monitors overall health, and care workers support daily living and observe changes in her condition. Effective collaboration ensures consistency in treatment, prevents duplication, and enables early identification of potential complications.</w:t>
      </w:r>
    </w:p>
    <w:p w14:paraId="369D5C56"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Approaches to foster effective collaboration include regular communication through shared records, multidisciplinary meetings, and structured handover processes. Clear role definitions help prevent confusion and ensure each professional understands their responsibilities. Using a shared care plan enables all parties to work towards common goals and monitor progress. Adopting frameworks such as the </w:t>
      </w:r>
      <w:r w:rsidRPr="00FD0E63">
        <w:rPr>
          <w:rFonts w:ascii="Times New Roman" w:hAnsi="Times New Roman" w:cs="Times New Roman"/>
          <w:b/>
          <w:bCs/>
          <w:color w:val="000000"/>
          <w:kern w:val="0"/>
          <w14:ligatures w14:val="none"/>
        </w:rPr>
        <w:t>Integrated Care System (ICS)</w:t>
      </w:r>
      <w:r w:rsidRPr="00FD0E63">
        <w:rPr>
          <w:rFonts w:ascii="Times New Roman" w:hAnsi="Times New Roman" w:cs="Times New Roman"/>
          <w:color w:val="000000"/>
          <w:kern w:val="0"/>
          <w14:ligatures w14:val="none"/>
        </w:rPr>
        <w:t> model encourages professionals across settings to align their practices and share information appropriately.</w:t>
      </w:r>
    </w:p>
    <w:p w14:paraId="4DEC135A"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 xml:space="preserve">However, multi-agency working often presents challenges. Differences in organisational cultures, workloads, documentation systems, or communication styles can lead to fragmented care. Time pressures, especially in community settings, may reduce opportunities for face-to-face communication. Strategies to overcome these challenges include adopting unified </w:t>
      </w:r>
      <w:r w:rsidRPr="00FD0E63">
        <w:rPr>
          <w:rFonts w:ascii="Times New Roman" w:hAnsi="Times New Roman" w:cs="Times New Roman"/>
          <w:color w:val="000000"/>
          <w:kern w:val="0"/>
          <w14:ligatures w14:val="none"/>
        </w:rPr>
        <w:lastRenderedPageBreak/>
        <w:t>communication platforms, using escalation protocols when concerns arise, and promoting a culture of respect and openness. Training on multidisciplinary teamwork, reflective practice sessions, and the use of structured communication tools such as SBAR (Situation–Background–Assessment–Recommendation) can enhance clarity and reduce misunderstandings.</w:t>
      </w:r>
    </w:p>
    <w:p w14:paraId="74AF41CD"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In Mrs Mann’s care, effective collaboration ensures timely medication reviews, consistent physiotherapy guidance, and accurate communication of her progress. Overcoming barriers to collaboration is essential to ensuring safe, person-centred care and supporting her recovery.</w:t>
      </w:r>
    </w:p>
    <w:p w14:paraId="027C5B13" w14:textId="77777777" w:rsidR="00FD0E63" w:rsidRPr="00FD0E63" w:rsidRDefault="00FD0E63" w:rsidP="00FD0E63">
      <w:pPr>
        <w:spacing w:after="0" w:line="240" w:lineRule="auto"/>
        <w:rPr>
          <w:rFonts w:ascii="Times New Roman" w:eastAsia="Times New Roman" w:hAnsi="Times New Roman" w:cs="Times New Roman"/>
          <w:kern w:val="0"/>
          <w14:ligatures w14:val="none"/>
        </w:rPr>
      </w:pPr>
      <w:r w:rsidRPr="00FD0E63">
        <w:rPr>
          <w:rFonts w:ascii="Times New Roman" w:eastAsia="Times New Roman" w:hAnsi="Times New Roman" w:cs="Times New Roman"/>
          <w:noProof/>
          <w:kern w:val="0"/>
          <w14:ligatures w14:val="none"/>
        </w:rPr>
        <mc:AlternateContent>
          <mc:Choice Requires="wps">
            <w:drawing>
              <wp:inline distT="0" distB="0" distL="0" distR="0" wp14:anchorId="6B2B3B45" wp14:editId="748DB3D5">
                <wp:extent cx="5731510" cy="1270"/>
                <wp:effectExtent l="0" t="33655" r="0" b="38735"/>
                <wp:docPr id="25177063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504ED8"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7BE9648" w14:textId="77777777" w:rsidR="00FD0E63" w:rsidRPr="00FD0E63" w:rsidRDefault="00FD0E63" w:rsidP="00FD0E6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FD0E63">
        <w:rPr>
          <w:rFonts w:ascii="Times New Roman" w:eastAsia="Times New Roman" w:hAnsi="Times New Roman" w:cs="Times New Roman"/>
          <w:b/>
          <w:bCs/>
          <w:color w:val="000000"/>
          <w:kern w:val="0"/>
          <w:sz w:val="36"/>
          <w:szCs w:val="36"/>
          <w14:ligatures w14:val="none"/>
        </w:rPr>
        <w:t>Conclusion (150 words)</w:t>
      </w:r>
    </w:p>
    <w:p w14:paraId="659832B4"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Mrs Mann’s case illustrates the interconnected importance of effective communication, robust administrative practice, and strong collaborative working in health and social care. Communication must be person-centred, culturally sensitive, and accessible, particularly when supporting individuals with language barriers. Adhering to the principles of the Equality Act 2010 and applying communication models such as SOLER ensures that service users are listened to, understood, and involved in their care. Good administrative skills and lawful record keeping under the Data Protection Act 2018 are essential for maintaining accuracy, continuity, and safety—key issues highlighted by the concerns raised in her care documentation. Collaborative multi-agency working further strengthens the quality of care by integrating professional expertise, promoting shared decision-making, and ensuring coordinated interventions. Together, these three areas underpin high-quality, safe, and effective care delivery, supporting positive outcomes for service users like Mrs Mann.</w:t>
      </w:r>
    </w:p>
    <w:p w14:paraId="1ADE1F66" w14:textId="77777777" w:rsidR="00FD0E63" w:rsidRPr="00FD0E63" w:rsidRDefault="00FD0E63" w:rsidP="00FD0E63">
      <w:pPr>
        <w:spacing w:after="0" w:line="240" w:lineRule="auto"/>
        <w:rPr>
          <w:rFonts w:ascii="Times New Roman" w:eastAsia="Times New Roman" w:hAnsi="Times New Roman" w:cs="Times New Roman"/>
          <w:kern w:val="0"/>
          <w14:ligatures w14:val="none"/>
        </w:rPr>
      </w:pPr>
      <w:r w:rsidRPr="00FD0E63">
        <w:rPr>
          <w:rFonts w:ascii="Times New Roman" w:eastAsia="Times New Roman" w:hAnsi="Times New Roman" w:cs="Times New Roman"/>
          <w:noProof/>
          <w:kern w:val="0"/>
          <w14:ligatures w14:val="none"/>
        </w:rPr>
        <mc:AlternateContent>
          <mc:Choice Requires="wps">
            <w:drawing>
              <wp:inline distT="0" distB="0" distL="0" distR="0" wp14:anchorId="7B38F6A0" wp14:editId="535A48E4">
                <wp:extent cx="5731510" cy="1270"/>
                <wp:effectExtent l="0" t="33655" r="0" b="38735"/>
                <wp:docPr id="139591089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33A56A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6675722" w14:textId="77777777" w:rsidR="00FD0E63" w:rsidRPr="00FD0E63" w:rsidRDefault="00FD0E63" w:rsidP="00FD0E6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FD0E63">
        <w:rPr>
          <w:rFonts w:ascii="Times New Roman" w:eastAsia="Times New Roman" w:hAnsi="Times New Roman" w:cs="Times New Roman"/>
          <w:b/>
          <w:bCs/>
          <w:color w:val="000000"/>
          <w:kern w:val="0"/>
          <w:sz w:val="36"/>
          <w:szCs w:val="36"/>
          <w14:ligatures w14:val="none"/>
        </w:rPr>
        <w:t>Reference List (sample, adjust to your reading list)</w:t>
      </w:r>
    </w:p>
    <w:p w14:paraId="55868D57" w14:textId="77777777" w:rsidR="00FD0E63" w:rsidRPr="00FD0E63" w:rsidRDefault="00FD0E63" w:rsidP="00FD0E63">
      <w:pPr>
        <w:spacing w:before="100" w:beforeAutospacing="1" w:after="100" w:afterAutospacing="1" w:line="240" w:lineRule="auto"/>
        <w:rPr>
          <w:rFonts w:ascii="Times New Roman" w:hAnsi="Times New Roman" w:cs="Times New Roman"/>
          <w:color w:val="000000"/>
          <w:kern w:val="0"/>
          <w14:ligatures w14:val="none"/>
        </w:rPr>
      </w:pPr>
      <w:r w:rsidRPr="00FD0E63">
        <w:rPr>
          <w:rFonts w:ascii="Times New Roman" w:hAnsi="Times New Roman" w:cs="Times New Roman"/>
          <w:color w:val="000000"/>
          <w:kern w:val="0"/>
          <w14:ligatures w14:val="none"/>
        </w:rPr>
        <w:t>Egan, G. (2007). </w:t>
      </w:r>
      <w:r w:rsidRPr="00FD0E63">
        <w:rPr>
          <w:rFonts w:ascii="Times New Roman" w:hAnsi="Times New Roman" w:cs="Times New Roman"/>
          <w:i/>
          <w:iCs/>
          <w:color w:val="000000"/>
          <w:kern w:val="0"/>
          <w14:ligatures w14:val="none"/>
        </w:rPr>
        <w:t>The Skilled Helper</w:t>
      </w:r>
      <w:r w:rsidRPr="00FD0E63">
        <w:rPr>
          <w:rFonts w:ascii="Times New Roman" w:hAnsi="Times New Roman" w:cs="Times New Roman"/>
          <w:color w:val="000000"/>
          <w:kern w:val="0"/>
          <w14:ligatures w14:val="none"/>
        </w:rPr>
        <w:t>. Cengage Learning.</w:t>
      </w:r>
      <w:r w:rsidRPr="00FD0E63">
        <w:rPr>
          <w:rFonts w:ascii="Times New Roman" w:hAnsi="Times New Roman" w:cs="Times New Roman"/>
          <w:color w:val="000000"/>
          <w:kern w:val="0"/>
          <w14:ligatures w14:val="none"/>
        </w:rPr>
        <w:br/>
        <w:t>Department of Health and Social Care (2018). </w:t>
      </w:r>
      <w:r w:rsidRPr="00FD0E63">
        <w:rPr>
          <w:rFonts w:ascii="Times New Roman" w:hAnsi="Times New Roman" w:cs="Times New Roman"/>
          <w:i/>
          <w:iCs/>
          <w:color w:val="000000"/>
          <w:kern w:val="0"/>
          <w14:ligatures w14:val="none"/>
        </w:rPr>
        <w:t>UK GDPR and Data Protection Act 2018 Guidance</w:t>
      </w:r>
      <w:r w:rsidRPr="00FD0E63">
        <w:rPr>
          <w:rFonts w:ascii="Times New Roman" w:hAnsi="Times New Roman" w:cs="Times New Roman"/>
          <w:color w:val="000000"/>
          <w:kern w:val="0"/>
          <w14:ligatures w14:val="none"/>
        </w:rPr>
        <w:t>.</w:t>
      </w:r>
      <w:r w:rsidRPr="00FD0E63">
        <w:rPr>
          <w:rFonts w:ascii="Times New Roman" w:hAnsi="Times New Roman" w:cs="Times New Roman"/>
          <w:color w:val="000000"/>
          <w:kern w:val="0"/>
          <w14:ligatures w14:val="none"/>
        </w:rPr>
        <w:br/>
        <w:t>Care Quality Commission (2015). </w:t>
      </w:r>
      <w:r w:rsidRPr="00FD0E63">
        <w:rPr>
          <w:rFonts w:ascii="Times New Roman" w:hAnsi="Times New Roman" w:cs="Times New Roman"/>
          <w:i/>
          <w:iCs/>
          <w:color w:val="000000"/>
          <w:kern w:val="0"/>
          <w14:ligatures w14:val="none"/>
        </w:rPr>
        <w:t>Guidance for Providers: Regulations for Service Providers and Managers</w:t>
      </w:r>
      <w:r w:rsidRPr="00FD0E63">
        <w:rPr>
          <w:rFonts w:ascii="Times New Roman" w:hAnsi="Times New Roman" w:cs="Times New Roman"/>
          <w:color w:val="000000"/>
          <w:kern w:val="0"/>
          <w14:ligatures w14:val="none"/>
        </w:rPr>
        <w:t>.</w:t>
      </w:r>
      <w:r w:rsidRPr="00FD0E63">
        <w:rPr>
          <w:rFonts w:ascii="Times New Roman" w:hAnsi="Times New Roman" w:cs="Times New Roman"/>
          <w:color w:val="000000"/>
          <w:kern w:val="0"/>
          <w14:ligatures w14:val="none"/>
        </w:rPr>
        <w:br/>
        <w:t>NHS Digital (2021). </w:t>
      </w:r>
      <w:r w:rsidRPr="00FD0E63">
        <w:rPr>
          <w:rFonts w:ascii="Times New Roman" w:hAnsi="Times New Roman" w:cs="Times New Roman"/>
          <w:i/>
          <w:iCs/>
          <w:color w:val="000000"/>
          <w:kern w:val="0"/>
          <w14:ligatures w14:val="none"/>
        </w:rPr>
        <w:t>Records Management Code of Practice</w:t>
      </w:r>
      <w:r w:rsidRPr="00FD0E63">
        <w:rPr>
          <w:rFonts w:ascii="Times New Roman" w:hAnsi="Times New Roman" w:cs="Times New Roman"/>
          <w:color w:val="000000"/>
          <w:kern w:val="0"/>
          <w14:ligatures w14:val="none"/>
        </w:rPr>
        <w:t>.</w:t>
      </w:r>
      <w:r w:rsidRPr="00FD0E63">
        <w:rPr>
          <w:rFonts w:ascii="Times New Roman" w:hAnsi="Times New Roman" w:cs="Times New Roman"/>
          <w:color w:val="000000"/>
          <w:kern w:val="0"/>
          <w14:ligatures w14:val="none"/>
        </w:rPr>
        <w:br/>
        <w:t>Lloyd, H. &amp; Bor, R. (2020). </w:t>
      </w:r>
      <w:r w:rsidRPr="00FD0E63">
        <w:rPr>
          <w:rFonts w:ascii="Times New Roman" w:hAnsi="Times New Roman" w:cs="Times New Roman"/>
          <w:i/>
          <w:iCs/>
          <w:color w:val="000000"/>
          <w:kern w:val="0"/>
          <w14:ligatures w14:val="none"/>
        </w:rPr>
        <w:t>Communication Skills in Health and Social Care</w:t>
      </w:r>
      <w:r w:rsidRPr="00FD0E63">
        <w:rPr>
          <w:rFonts w:ascii="Times New Roman" w:hAnsi="Times New Roman" w:cs="Times New Roman"/>
          <w:color w:val="000000"/>
          <w:kern w:val="0"/>
          <w14:ligatures w14:val="none"/>
        </w:rPr>
        <w:t>.</w:t>
      </w:r>
      <w:r w:rsidRPr="00FD0E63">
        <w:rPr>
          <w:rFonts w:ascii="Times New Roman" w:hAnsi="Times New Roman" w:cs="Times New Roman"/>
          <w:color w:val="000000"/>
          <w:kern w:val="0"/>
          <w14:ligatures w14:val="none"/>
        </w:rPr>
        <w:br/>
        <w:t>Larkin, M. (2011). </w:t>
      </w:r>
      <w:r w:rsidRPr="00FD0E63">
        <w:rPr>
          <w:rFonts w:ascii="Times New Roman" w:hAnsi="Times New Roman" w:cs="Times New Roman"/>
          <w:i/>
          <w:iCs/>
          <w:color w:val="000000"/>
          <w:kern w:val="0"/>
          <w14:ligatures w14:val="none"/>
        </w:rPr>
        <w:t>Social Work with Older People</w:t>
      </w:r>
      <w:r w:rsidRPr="00FD0E63">
        <w:rPr>
          <w:rFonts w:ascii="Times New Roman" w:hAnsi="Times New Roman" w:cs="Times New Roman"/>
          <w:color w:val="000000"/>
          <w:kern w:val="0"/>
          <w14:ligatures w14:val="none"/>
        </w:rPr>
        <w:t>. Sage.</w:t>
      </w:r>
    </w:p>
    <w:p w14:paraId="281721D0" w14:textId="77777777" w:rsidR="00FD0E63" w:rsidRDefault="00FD0E63"/>
    <w:sectPr w:rsidR="00FD0E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2C0F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8080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E63"/>
    <w:rsid w:val="001410C3"/>
    <w:rsid w:val="00155338"/>
    <w:rsid w:val="00EE2C76"/>
    <w:rsid w:val="00FD0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09DCBC"/>
  <w15:chartTrackingRefBased/>
  <w15:docId w15:val="{81F6A44C-CE58-044D-9072-2120FAE56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E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D0E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0E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0E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0E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0E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0E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0E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0E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E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D0E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0E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0E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0E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0E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0E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0E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0E63"/>
    <w:rPr>
      <w:rFonts w:eastAsiaTheme="majorEastAsia" w:cstheme="majorBidi"/>
      <w:color w:val="272727" w:themeColor="text1" w:themeTint="D8"/>
    </w:rPr>
  </w:style>
  <w:style w:type="paragraph" w:styleId="Title">
    <w:name w:val="Title"/>
    <w:basedOn w:val="Normal"/>
    <w:next w:val="Normal"/>
    <w:link w:val="TitleChar"/>
    <w:uiPriority w:val="10"/>
    <w:qFormat/>
    <w:rsid w:val="00FD0E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0E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0E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0E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0E63"/>
    <w:pPr>
      <w:spacing w:before="160"/>
      <w:jc w:val="center"/>
    </w:pPr>
    <w:rPr>
      <w:i/>
      <w:iCs/>
      <w:color w:val="404040" w:themeColor="text1" w:themeTint="BF"/>
    </w:rPr>
  </w:style>
  <w:style w:type="character" w:customStyle="1" w:styleId="QuoteChar">
    <w:name w:val="Quote Char"/>
    <w:basedOn w:val="DefaultParagraphFont"/>
    <w:link w:val="Quote"/>
    <w:uiPriority w:val="29"/>
    <w:rsid w:val="00FD0E63"/>
    <w:rPr>
      <w:i/>
      <w:iCs/>
      <w:color w:val="404040" w:themeColor="text1" w:themeTint="BF"/>
    </w:rPr>
  </w:style>
  <w:style w:type="paragraph" w:styleId="ListParagraph">
    <w:name w:val="List Paragraph"/>
    <w:basedOn w:val="Normal"/>
    <w:uiPriority w:val="34"/>
    <w:qFormat/>
    <w:rsid w:val="00FD0E63"/>
    <w:pPr>
      <w:ind w:left="720"/>
      <w:contextualSpacing/>
    </w:pPr>
  </w:style>
  <w:style w:type="character" w:styleId="IntenseEmphasis">
    <w:name w:val="Intense Emphasis"/>
    <w:basedOn w:val="DefaultParagraphFont"/>
    <w:uiPriority w:val="21"/>
    <w:qFormat/>
    <w:rsid w:val="00FD0E63"/>
    <w:rPr>
      <w:i/>
      <w:iCs/>
      <w:color w:val="2F5496" w:themeColor="accent1" w:themeShade="BF"/>
    </w:rPr>
  </w:style>
  <w:style w:type="paragraph" w:styleId="IntenseQuote">
    <w:name w:val="Intense Quote"/>
    <w:basedOn w:val="Normal"/>
    <w:next w:val="Normal"/>
    <w:link w:val="IntenseQuoteChar"/>
    <w:uiPriority w:val="30"/>
    <w:qFormat/>
    <w:rsid w:val="00FD0E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0E63"/>
    <w:rPr>
      <w:i/>
      <w:iCs/>
      <w:color w:val="2F5496" w:themeColor="accent1" w:themeShade="BF"/>
    </w:rPr>
  </w:style>
  <w:style w:type="character" w:styleId="IntenseReference">
    <w:name w:val="Intense Reference"/>
    <w:basedOn w:val="DefaultParagraphFont"/>
    <w:uiPriority w:val="32"/>
    <w:qFormat/>
    <w:rsid w:val="00FD0E63"/>
    <w:rPr>
      <w:b/>
      <w:bCs/>
      <w:smallCaps/>
      <w:color w:val="2F5496" w:themeColor="accent1" w:themeShade="BF"/>
      <w:spacing w:val="5"/>
    </w:rPr>
  </w:style>
  <w:style w:type="paragraph" w:styleId="NormalWeb">
    <w:name w:val="Normal (Web)"/>
    <w:basedOn w:val="Normal"/>
    <w:uiPriority w:val="99"/>
    <w:semiHidden/>
    <w:unhideWhenUsed/>
    <w:rsid w:val="00FD0E63"/>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FD0E63"/>
    <w:rPr>
      <w:b/>
      <w:bCs/>
    </w:rPr>
  </w:style>
  <w:style w:type="character" w:customStyle="1" w:styleId="apple-converted-space">
    <w:name w:val="apple-converted-space"/>
    <w:basedOn w:val="DefaultParagraphFont"/>
    <w:rsid w:val="00FD0E63"/>
  </w:style>
  <w:style w:type="character" w:styleId="Emphasis">
    <w:name w:val="Emphasis"/>
    <w:basedOn w:val="DefaultParagraphFont"/>
    <w:uiPriority w:val="20"/>
    <w:qFormat/>
    <w:rsid w:val="00FD0E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1630</Words>
  <Characters>9292</Characters>
  <Application>Microsoft Office Word</Application>
  <DocSecurity>0</DocSecurity>
  <Lines>77</Lines>
  <Paragraphs>21</Paragraphs>
  <ScaleCrop>false</ScaleCrop>
  <Company/>
  <LinksUpToDate>false</LinksUpToDate>
  <CharactersWithSpaces>10901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Beniamin Emanuel Jachianu (2429568)</dc:creator>
  <cp:keywords/>
  <dc:description/>
  <cp:lastModifiedBy>Beniamin Emanuel Jachianu (2429568)</cp:lastModifiedBy>
  <cp:revision>2</cp:revision>
  <dcterms:created xsi:type="dcterms:W3CDTF">2025-11-18T08:43:00Z</dcterms:created>
  <dcterms:modified xsi:type="dcterms:W3CDTF">2025-11-18T08:43:00Z</dcterms:modified>
</cp:coreProperties>
</file>