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0033B2" w14:textId="77777777" w:rsidR="00EF654A" w:rsidRDefault="00EF654A" w:rsidP="00EF654A">
      <w:r>
        <w:t>MARRIOTT INTERNATIONAL – CASH CONVERSION CYCLE (CCC) ANALYSIS</w:t>
      </w:r>
    </w:p>
    <w:p w14:paraId="00CC34B2" w14:textId="77777777" w:rsidR="00EF654A" w:rsidRDefault="00EF654A" w:rsidP="00EF654A"/>
    <w:p w14:paraId="350E3BE6" w14:textId="77777777" w:rsidR="00EF654A" w:rsidRDefault="00EF654A" w:rsidP="00EF654A">
      <w:r>
        <w:t>(Fiscal Years 2020 – 2025)</w:t>
      </w:r>
    </w:p>
    <w:p w14:paraId="6AFEEFC7" w14:textId="162CD78F" w:rsidR="00EF654A" w:rsidRDefault="00EF654A" w:rsidP="00EF654A">
      <w:r>
        <w:t>1. INTRODUCTION</w:t>
      </w:r>
    </w:p>
    <w:p w14:paraId="5D2959E2" w14:textId="77777777" w:rsidR="00EF654A" w:rsidRDefault="00EF654A" w:rsidP="00EF654A">
      <w:r>
        <w:t>The Cash Conversion Cycle (CCC) is a financial metric that measures the time (in days) a company takes to convert its investments in operations into cash flows from sales. The formula is:</w:t>
      </w:r>
    </w:p>
    <w:p w14:paraId="166A2525" w14:textId="77777777" w:rsidR="00EF654A" w:rsidRDefault="00EF654A" w:rsidP="00EF654A"/>
    <w:p w14:paraId="011FC174" w14:textId="77777777" w:rsidR="00EF654A" w:rsidRDefault="00EF654A" w:rsidP="00EF654A">
      <w:r>
        <w:t>CCC = Inventory Days + Receivable Days – Payable Days</w:t>
      </w:r>
    </w:p>
    <w:p w14:paraId="3A4D3DC8" w14:textId="77777777" w:rsidR="00EF654A" w:rsidRDefault="00EF654A" w:rsidP="00EF654A"/>
    <w:p w14:paraId="4047F5CD" w14:textId="77777777" w:rsidR="00EF654A" w:rsidRDefault="00EF654A" w:rsidP="00EF654A">
      <w:r>
        <w:t>A lower CCC indicates better working capital management and stronger liquidity.</w:t>
      </w:r>
    </w:p>
    <w:p w14:paraId="23AD9E1A" w14:textId="77777777" w:rsidR="00EF654A" w:rsidRDefault="00EF654A" w:rsidP="00EF654A">
      <w:r>
        <w:t>Marriott International operates on an asset-light model, owning less than 1% of its properties and primarily earning revenue through management, franchising, and licensing fees. Consequently, the company holds negligible inventory. Therefore, Inventory Days have been taken as zero (0) for all calculations in this analysis.</w:t>
      </w:r>
    </w:p>
    <w:p w14:paraId="63C7E825" w14:textId="172E6324" w:rsidR="00EF654A" w:rsidRDefault="00EF654A" w:rsidP="00EF654A">
      <w:r>
        <w:t>2. CALCULATION METHODOLOGY</w:t>
      </w:r>
    </w:p>
    <w:p w14:paraId="33B3814D" w14:textId="77777777" w:rsidR="00EF654A" w:rsidRDefault="00EF654A" w:rsidP="00EF654A">
      <w:r>
        <w:t>The following standard formulas were used, with data extracted directly from Marriott's audited Consolidated Financial Statements (Form 10-K):</w:t>
      </w:r>
    </w:p>
    <w:p w14:paraId="087437E6" w14:textId="77777777" w:rsidR="00EF654A" w:rsidRDefault="00EF654A" w:rsidP="00EF654A"/>
    <w:p w14:paraId="6D912C9F" w14:textId="77777777" w:rsidR="00EF654A" w:rsidRDefault="00EF654A" w:rsidP="00EF654A">
      <w:r>
        <w:t>· Receivable Days = (Average Accounts Receivable / Revenue) × 365</w:t>
      </w:r>
    </w:p>
    <w:p w14:paraId="7569C732" w14:textId="77777777" w:rsidR="00EF654A" w:rsidRDefault="00EF654A" w:rsidP="00EF654A">
      <w:r>
        <w:t xml:space="preserve">  Measures how quickly the company collects cash from franchisees and hotel owners.</w:t>
      </w:r>
    </w:p>
    <w:p w14:paraId="760BB788" w14:textId="77777777" w:rsidR="00EF654A" w:rsidRDefault="00EF654A" w:rsidP="00EF654A">
      <w:r>
        <w:t>· Payable Days = (Average Accounts Payable / Operating Costs) × 365</w:t>
      </w:r>
    </w:p>
    <w:p w14:paraId="3A8CCBAD" w14:textId="77777777" w:rsidR="00EF654A" w:rsidRDefault="00EF654A" w:rsidP="00EF654A">
      <w:r>
        <w:t xml:space="preserve">  Measures how quickly the company pays its suppliers and vendors.</w:t>
      </w:r>
    </w:p>
    <w:p w14:paraId="1CCB5AAB" w14:textId="77777777" w:rsidR="00681C50" w:rsidRDefault="00EF654A" w:rsidP="00EF654A">
      <w:r>
        <w:t>· Operating Costs include Owned/Leased expenses, General &amp; Administrative expenses, and Reimbursed expenses (excluding non-cash items like depreciation).</w:t>
      </w:r>
    </w:p>
    <w:p w14:paraId="6A220EAA" w14:textId="78096DEF" w:rsidR="00EF654A" w:rsidRDefault="001C519C" w:rsidP="00EF654A">
      <w:r>
        <w:t>3.</w:t>
      </w:r>
      <w:r w:rsidR="00EF654A">
        <w:t xml:space="preserve"> YEAR-ON-YEAR ANALYSIS</w:t>
      </w:r>
    </w:p>
    <w:p w14:paraId="15776D1C" w14:textId="77777777" w:rsidR="00EF654A" w:rsidRDefault="00EF654A" w:rsidP="00EF654A">
      <w:r>
        <w:t>· 2020 → 2021 (41.57 to 29.90 – Improvement of 11.67 days):</w:t>
      </w:r>
    </w:p>
    <w:p w14:paraId="21A1756F" w14:textId="77777777" w:rsidR="00EF654A" w:rsidRDefault="00EF654A" w:rsidP="00EF654A">
      <w:r>
        <w:t xml:space="preserve">  The most significant improvement occurred post-pandemic. As travel demand rebounded, revenue nearly doubled. Accounts Receivable did not grow at the same pace, reducing Receivable Days significantly from 61 to 52 days. Payable Days also increased slightly (from 19.5 to 22.3 days), further improving the cash cycle.</w:t>
      </w:r>
    </w:p>
    <w:p w14:paraId="4A22E7E2" w14:textId="77777777" w:rsidR="00EF654A" w:rsidRDefault="00EF654A" w:rsidP="00EF654A">
      <w:r>
        <w:t>· 2021 → 2022 (29.90 to 29.26 – Marginal improvement of 0.64 days):</w:t>
      </w:r>
    </w:p>
    <w:p w14:paraId="3826AAA9" w14:textId="77777777" w:rsidR="00EF654A" w:rsidRDefault="00EF654A" w:rsidP="00EF654A">
      <w:r>
        <w:t xml:space="preserve">  Revenue continued to grow, lowering Receivable Days to 45.2 days. However, Payable Days decreased to 15.9 days as the company optimized its vendor payment timelines. The net effect was a small improvement.</w:t>
      </w:r>
    </w:p>
    <w:p w14:paraId="3E6DDBE7" w14:textId="77777777" w:rsidR="00EF654A" w:rsidRDefault="00EF654A" w:rsidP="00EF654A">
      <w:r>
        <w:t>· 2022 → 2023 (29.26 to 28.00 – Improvement of 1.26 days):</w:t>
      </w:r>
    </w:p>
    <w:p w14:paraId="179A03D6" w14:textId="77777777" w:rsidR="00EF654A" w:rsidRDefault="00EF654A" w:rsidP="00EF654A">
      <w:r>
        <w:t xml:space="preserve">  Collection efficiency improved further, with Receivable Days dropping to 41.7 days. Payable Days remained stable (13.7 days). Higher incentive management fees contributed to stronger cash inflows.</w:t>
      </w:r>
    </w:p>
    <w:p w14:paraId="0A91F732" w14:textId="77777777" w:rsidR="00EF654A" w:rsidRDefault="00EF654A" w:rsidP="00EF654A">
      <w:r>
        <w:t>· 2023 → 2024 (28.00 to 27.43 – Improvement of 0.57 days):</w:t>
      </w:r>
    </w:p>
    <w:p w14:paraId="1CC4F376" w14:textId="77777777" w:rsidR="00EF654A" w:rsidRDefault="00EF654A" w:rsidP="00EF654A">
      <w:r>
        <w:t xml:space="preserve">  Both ratios saw marginal declines, indicating steady working capital discipline.</w:t>
      </w:r>
    </w:p>
    <w:p w14:paraId="4ABCB57B" w14:textId="77777777" w:rsidR="00EF654A" w:rsidRDefault="00EF654A" w:rsidP="00EF654A">
      <w:r>
        <w:t>· 2024 → 2025 (27.43 to 26.94 – Improvement of 0.49 days):</w:t>
      </w:r>
    </w:p>
    <w:p w14:paraId="448B11B1" w14:textId="77777777" w:rsidR="00EF654A" w:rsidRDefault="00EF654A" w:rsidP="00EF654A">
      <w:r>
        <w:t xml:space="preserve">  The cycle reached its lowest point in the period. Receivable Days held steady, while Payable Days increased slightly (13.6 days), showing the company leveraged its scale to negotiate better supplier terms.</w:t>
      </w:r>
    </w:p>
    <w:p w14:paraId="5CE7B264" w14:textId="3D874F24" w:rsidR="00EF654A" w:rsidRDefault="001C519C" w:rsidP="00EF654A">
      <w:r>
        <w:t>4</w:t>
      </w:r>
      <w:r w:rsidR="00EF654A">
        <w:t>. OVERALL CONCLUSION</w:t>
      </w:r>
    </w:p>
    <w:p w14:paraId="65DE110E" w14:textId="77777777" w:rsidR="00EF654A" w:rsidRDefault="00EF654A" w:rsidP="00EF654A">
      <w:r>
        <w:t>Over the six-year period, Marriott has reduced its Cash Conversion Cycle from 41.57 days in 2020 to just 26.94 days in 2025 – an improvement of nearly 15 days.</w:t>
      </w:r>
    </w:p>
    <w:p w14:paraId="11471187" w14:textId="77777777" w:rsidR="00AD7FAA" w:rsidRDefault="00AD7FAA" w:rsidP="00EF654A"/>
    <w:p w14:paraId="49498108" w14:textId="19920142" w:rsidR="00EF654A" w:rsidRDefault="00EF654A" w:rsidP="00EF654A">
      <w:r>
        <w:t>This indicates:</w:t>
      </w:r>
    </w:p>
    <w:p w14:paraId="11360AA0" w14:textId="77777777" w:rsidR="00EF654A" w:rsidRDefault="00EF654A" w:rsidP="00EF654A">
      <w:r>
        <w:t>· Stronger Liquidity: The company recovers cash from operations almost half a month faster.</w:t>
      </w:r>
    </w:p>
    <w:p w14:paraId="61425239" w14:textId="77777777" w:rsidR="00EF654A" w:rsidRDefault="00EF654A" w:rsidP="00EF654A">
      <w:r>
        <w:t>· Reduced Financing Needs: Less reliance on external borrowing for working capital.</w:t>
      </w:r>
    </w:p>
    <w:p w14:paraId="48593417" w14:textId="77777777" w:rsidR="00EF654A" w:rsidRDefault="00EF654A" w:rsidP="00EF654A">
      <w:r>
        <w:t>· Efficient Management: Better credit control with franchisees and improved payment terms with suppliers.</w:t>
      </w:r>
    </w:p>
    <w:p w14:paraId="520610B4" w14:textId="77777777" w:rsidR="00EF654A" w:rsidRDefault="00EF654A" w:rsidP="00EF654A">
      <w:r>
        <w:t>This trend reflects Marriott's successful execution of its asset-light strategy and its focus on generating consistent, high-quality cash flows to support dividends, share repurchases, and global expansion.</w:t>
      </w:r>
    </w:p>
    <w:p w14:paraId="093F294C" w14:textId="48221DBF" w:rsidR="00AD7FAA" w:rsidRDefault="001C519C">
      <w:r>
        <w:t>5</w:t>
      </w:r>
      <w:r w:rsidR="00EF654A">
        <w:t>. DATA SOURCE VERIFICATION</w:t>
      </w:r>
    </w:p>
    <w:p w14:paraId="4BC93983" w14:textId="4A4D0ED7" w:rsidR="00EF654A" w:rsidRDefault="00EF654A">
      <w:r>
        <w:t>All</w:t>
      </w:r>
      <w:r w:rsidR="00AD7FAA">
        <w:t xml:space="preserve">  </w:t>
      </w:r>
      <w:r>
        <w:t>financial figures used in this report have been sourced from Marriott International, Inc.'s official audited annual reports (Form 10-K) for the fiscal years 2020 through 2025.</w:t>
      </w:r>
    </w:p>
    <w:sectPr w:rsidR="00EF6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54A"/>
    <w:rsid w:val="001C519C"/>
    <w:rsid w:val="00496815"/>
    <w:rsid w:val="00681C50"/>
    <w:rsid w:val="00AD7FAA"/>
    <w:rsid w:val="00EF6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21835F"/>
  <w15:chartTrackingRefBased/>
  <w15:docId w15:val="{7BEF6355-E982-0348-9FBE-9147EA94D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5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65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65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65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65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65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5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5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5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5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65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65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65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65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65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5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5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54A"/>
    <w:rPr>
      <w:rFonts w:eastAsiaTheme="majorEastAsia" w:cstheme="majorBidi"/>
      <w:color w:val="272727" w:themeColor="text1" w:themeTint="D8"/>
    </w:rPr>
  </w:style>
  <w:style w:type="paragraph" w:styleId="Title">
    <w:name w:val="Title"/>
    <w:basedOn w:val="Normal"/>
    <w:next w:val="Normal"/>
    <w:link w:val="TitleChar"/>
    <w:uiPriority w:val="10"/>
    <w:qFormat/>
    <w:rsid w:val="00EF65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5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5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5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54A"/>
    <w:pPr>
      <w:spacing w:before="160"/>
      <w:jc w:val="center"/>
    </w:pPr>
    <w:rPr>
      <w:i/>
      <w:iCs/>
      <w:color w:val="404040" w:themeColor="text1" w:themeTint="BF"/>
    </w:rPr>
  </w:style>
  <w:style w:type="character" w:customStyle="1" w:styleId="QuoteChar">
    <w:name w:val="Quote Char"/>
    <w:basedOn w:val="DefaultParagraphFont"/>
    <w:link w:val="Quote"/>
    <w:uiPriority w:val="29"/>
    <w:rsid w:val="00EF654A"/>
    <w:rPr>
      <w:i/>
      <w:iCs/>
      <w:color w:val="404040" w:themeColor="text1" w:themeTint="BF"/>
    </w:rPr>
  </w:style>
  <w:style w:type="paragraph" w:styleId="ListParagraph">
    <w:name w:val="List Paragraph"/>
    <w:basedOn w:val="Normal"/>
    <w:uiPriority w:val="34"/>
    <w:qFormat/>
    <w:rsid w:val="00EF654A"/>
    <w:pPr>
      <w:ind w:left="720"/>
      <w:contextualSpacing/>
    </w:pPr>
  </w:style>
  <w:style w:type="character" w:styleId="IntenseEmphasis">
    <w:name w:val="Intense Emphasis"/>
    <w:basedOn w:val="DefaultParagraphFont"/>
    <w:uiPriority w:val="21"/>
    <w:qFormat/>
    <w:rsid w:val="00EF654A"/>
    <w:rPr>
      <w:i/>
      <w:iCs/>
      <w:color w:val="2F5496" w:themeColor="accent1" w:themeShade="BF"/>
    </w:rPr>
  </w:style>
  <w:style w:type="paragraph" w:styleId="IntenseQuote">
    <w:name w:val="Intense Quote"/>
    <w:basedOn w:val="Normal"/>
    <w:next w:val="Normal"/>
    <w:link w:val="IntenseQuoteChar"/>
    <w:uiPriority w:val="30"/>
    <w:qFormat/>
    <w:rsid w:val="00EF65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654A"/>
    <w:rPr>
      <w:i/>
      <w:iCs/>
      <w:color w:val="2F5496" w:themeColor="accent1" w:themeShade="BF"/>
    </w:rPr>
  </w:style>
  <w:style w:type="character" w:styleId="IntenseReference">
    <w:name w:val="Intense Reference"/>
    <w:basedOn w:val="DefaultParagraphFont"/>
    <w:uiPriority w:val="32"/>
    <w:qFormat/>
    <w:rsid w:val="00EF654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538</Words>
  <Characters>3070</Characters>
  <Application>Microsoft Office Word</Application>
  <DocSecurity>0</DocSecurity>
  <Lines>25</Lines>
  <Paragraphs>7</Paragraphs>
  <ScaleCrop>false</ScaleCrop>
  <Company/>
  <LinksUpToDate>false</LinksUpToDate>
  <CharactersWithSpaces>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ZAID</dc:creator>
  <cp:keywords/>
  <dc:description/>
  <cp:lastModifiedBy>MUHAMMED ZAID</cp:lastModifiedBy>
  <cp:revision>2</cp:revision>
  <dcterms:created xsi:type="dcterms:W3CDTF">2026-07-24T14:16:00Z</dcterms:created>
  <dcterms:modified xsi:type="dcterms:W3CDTF">2026-07-24T14:16:00Z</dcterms:modified>
</cp:coreProperties>
</file>