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rial" w:hAnsi="Arial"/>
          <w:b w:val="1"/>
          <w:bCs w:val="1"/>
        </w:rPr>
      </w:pPr>
    </w:p>
    <w:p>
      <w:pPr>
        <w:pStyle w:val="Body A"/>
        <w:jc w:val="center"/>
        <w:rPr>
          <w:rFonts w:ascii="Arial" w:hAnsi="Arial"/>
          <w:b w:val="1"/>
          <w:bCs w:val="1"/>
        </w:rPr>
      </w:pPr>
    </w:p>
    <w:p>
      <w:pPr>
        <w:pStyle w:val="Body A"/>
        <w:jc w:val="center"/>
        <w:rPr>
          <w:rFonts w:ascii="Arial" w:hAnsi="Arial"/>
          <w:b w:val="1"/>
          <w:bCs w:val="1"/>
        </w:rPr>
      </w:pPr>
    </w:p>
    <w:p>
      <w:pPr>
        <w:pStyle w:val="Body A"/>
        <w:jc w:val="center"/>
        <w:rPr>
          <w:rFonts w:ascii="Arial" w:hAnsi="Arial"/>
          <w:b w:val="1"/>
          <w:bCs w:val="1"/>
        </w:rPr>
      </w:pPr>
      <w:r>
        <w:rPr>
          <w:rStyle w:val="None A"/>
        </w:rPr>
        <w:drawing xmlns:a="http://schemas.openxmlformats.org/drawingml/2006/main">
          <wp:inline distT="0" distB="0" distL="0" distR="0">
            <wp:extent cx="1809750" cy="838200"/>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1809750" cy="838200"/>
                    </a:xfrm>
                    <a:prstGeom prst="rect">
                      <a:avLst/>
                    </a:prstGeom>
                    <a:ln w="12700" cap="flat">
                      <a:noFill/>
                      <a:miter lim="400000"/>
                    </a:ln>
                    <a:effectLst/>
                  </pic:spPr>
                </pic:pic>
              </a:graphicData>
            </a:graphic>
          </wp:inline>
        </w:drawing>
      </w:r>
    </w:p>
    <w:p>
      <w:pPr>
        <w:pStyle w:val="Body A"/>
        <w:rPr>
          <w:rFonts w:ascii="Arial" w:hAnsi="Arial"/>
          <w:b w:val="1"/>
          <w:bCs w:val="1"/>
        </w:rPr>
      </w:pPr>
    </w:p>
    <w:p>
      <w:pPr>
        <w:pStyle w:val="Body A"/>
        <w:jc w:val="center"/>
        <w:rPr>
          <w:rFonts w:ascii="Arial" w:cs="Arial" w:hAnsi="Arial" w:eastAsia="Arial"/>
          <w:b w:val="1"/>
          <w:bCs w:val="1"/>
        </w:rPr>
      </w:pPr>
      <w:r>
        <w:rPr>
          <w:rFonts w:ascii="Arial" w:hAnsi="Arial"/>
          <w:b w:val="1"/>
          <w:bCs w:val="1"/>
          <w:rtl w:val="0"/>
          <w:lang w:val="en-US"/>
        </w:rPr>
        <w:t>Programme: MSc Public Health and Social Care in Practice</w:t>
      </w:r>
    </w:p>
    <w:p>
      <w:pPr>
        <w:pStyle w:val="Body A"/>
        <w:jc w:val="center"/>
        <w:rPr>
          <w:rFonts w:ascii="Arial" w:cs="Arial" w:hAnsi="Arial" w:eastAsia="Arial"/>
          <w:b w:val="1"/>
          <w:bCs w:val="1"/>
        </w:rPr>
      </w:pPr>
      <w:r>
        <w:rPr>
          <w:rFonts w:ascii="Arial" w:hAnsi="Arial"/>
          <w:b w:val="1"/>
          <w:bCs w:val="1"/>
          <w:rtl w:val="0"/>
          <w:lang w:val="en-US"/>
        </w:rPr>
        <w:t>Module: Practice-Based Research</w:t>
      </w:r>
    </w:p>
    <w:p>
      <w:pPr>
        <w:pStyle w:val="Body A"/>
        <w:jc w:val="center"/>
        <w:rPr>
          <w:rFonts w:ascii="Arial" w:cs="Arial" w:hAnsi="Arial" w:eastAsia="Arial"/>
          <w:b w:val="1"/>
          <w:bCs w:val="1"/>
          <w:lang w:val="en-US"/>
        </w:rPr>
      </w:pPr>
      <w:r>
        <w:rPr>
          <w:rFonts w:ascii="Arial" w:hAnsi="Arial"/>
          <w:b w:val="1"/>
          <w:bCs w:val="1"/>
          <w:rtl w:val="0"/>
          <w:lang w:val="en-US"/>
        </w:rPr>
        <w:t>Module code: LCHS7008</w:t>
      </w:r>
    </w:p>
    <w:p>
      <w:pPr>
        <w:pStyle w:val="Body A"/>
        <w:jc w:val="center"/>
        <w:rPr>
          <w:rFonts w:ascii="Arial" w:cs="Arial" w:hAnsi="Arial" w:eastAsia="Arial"/>
          <w:b w:val="1"/>
          <w:bCs w:val="1"/>
        </w:rPr>
      </w:pPr>
      <w:r>
        <w:rPr>
          <w:rFonts w:ascii="Arial" w:hAnsi="Arial"/>
          <w:b w:val="1"/>
          <w:bCs w:val="1"/>
          <w:rtl w:val="0"/>
          <w:lang w:val="en-US"/>
        </w:rPr>
        <w:t>Lecturer Name : Oluwadamilola Tayo</w:t>
      </w:r>
    </w:p>
    <w:p>
      <w:pPr>
        <w:pStyle w:val="Body A"/>
        <w:jc w:val="center"/>
        <w:rPr>
          <w:rFonts w:ascii="Arial" w:cs="Arial" w:hAnsi="Arial" w:eastAsia="Arial"/>
          <w:b w:val="1"/>
          <w:bCs w:val="1"/>
        </w:rPr>
      </w:pPr>
      <w:r>
        <w:rPr>
          <w:rFonts w:ascii="Arial" w:hAnsi="Arial"/>
          <w:b w:val="1"/>
          <w:bCs w:val="1"/>
          <w:rtl w:val="0"/>
          <w:lang w:val="en-US"/>
        </w:rPr>
        <w:t>Comparing the Effectiveness of Nicotine Replacement Therapy to Other Adults Smoking Cessation Methods the UK</w:t>
      </w:r>
    </w:p>
    <w:p>
      <w:pPr>
        <w:pStyle w:val="Body A"/>
        <w:jc w:val="center"/>
        <w:rPr>
          <w:rFonts w:ascii="Arial" w:cs="Arial" w:hAnsi="Arial" w:eastAsia="Arial"/>
          <w:b w:val="1"/>
          <w:bCs w:val="1"/>
        </w:rPr>
      </w:pPr>
      <w:r>
        <w:rPr>
          <w:rFonts w:ascii="Arial" w:hAnsi="Arial"/>
          <w:b w:val="1"/>
          <w:bCs w:val="1"/>
          <w:rtl w:val="0"/>
          <w:lang w:val="de-DE"/>
        </w:rPr>
        <w:t>Student Name:</w:t>
      </w:r>
      <w:r>
        <w:rPr>
          <w:rFonts w:ascii="Arial" w:hAnsi="Arial"/>
          <w:b w:val="1"/>
          <w:bCs w:val="1"/>
          <w:rtl w:val="0"/>
          <w:lang w:val="en-US"/>
        </w:rPr>
        <w:t xml:space="preserve"> Adnankhan Firojkhan Sindhi</w:t>
      </w:r>
    </w:p>
    <w:p>
      <w:pPr>
        <w:pStyle w:val="Body A"/>
        <w:jc w:val="center"/>
      </w:pPr>
      <w:r>
        <w:rPr>
          <w:rFonts w:ascii="Arial" w:hAnsi="Arial"/>
          <w:b w:val="1"/>
          <w:bCs w:val="1"/>
          <w:rtl w:val="0"/>
          <w:lang w:val="en-US"/>
        </w:rPr>
        <w:t>Student ID: 2528923</w:t>
      </w:r>
      <w:r>
        <w:rPr>
          <w:rFonts w:ascii="Arial Unicode MS" w:cs="Arial Unicode MS" w:hAnsi="Arial Unicode MS" w:eastAsia="Arial Unicode MS"/>
          <w:b w:val="0"/>
          <w:bCs w:val="0"/>
          <w:i w:val="0"/>
          <w:iCs w:val="0"/>
          <w:sz w:val="22"/>
          <w:szCs w:val="22"/>
        </w:rPr>
        <w:br w:type="page"/>
      </w:r>
    </w:p>
    <w:p>
      <w:pPr>
        <w:pStyle w:val="TOC Heading1"/>
        <w:jc w:val="center"/>
        <w:rPr>
          <w:rFonts w:ascii="Arial" w:cs="Arial" w:hAnsi="Arial" w:eastAsia="Arial"/>
          <w:b w:val="1"/>
          <w:bCs w:val="1"/>
          <w:outline w:val="0"/>
          <w:color w:val="000000"/>
          <w:sz w:val="22"/>
          <w:szCs w:val="22"/>
          <w:u w:color="00000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Table of Contents</w:t>
      </w:r>
    </w:p>
    <w:p>
      <w:pPr>
        <w:pStyle w:val="Body A"/>
      </w:pPr>
      <w:r>
        <w:rPr>
          <w:rFonts w:ascii="Arial" w:cs="Arial" w:hAnsi="Arial" w:eastAsia="Arial"/>
          <w:b w:val="1"/>
          <w:bCs w:val="1"/>
          <w:outline w:val="0"/>
          <w:color w:val="000000"/>
          <w:sz w:val="22"/>
          <w:szCs w:val="22"/>
          <w:u w:color="000000"/>
          <w14:textFill>
            <w14:solidFill>
              <w14:srgbClr w14:val="000000"/>
            </w14:solidFill>
          </w14:textFill>
        </w:rPr>
        <w:fldChar w:fldCharType="begin" w:fldLock="0"/>
      </w:r>
      <w:r>
        <w:rPr>
          <w:rFonts w:ascii="Arial" w:cs="Arial" w:hAnsi="Arial" w:eastAsia="Arial"/>
          <w:b w:val="1"/>
          <w:bCs w:val="1"/>
          <w:outline w:val="0"/>
          <w:color w:val="000000"/>
          <w:sz w:val="22"/>
          <w:szCs w:val="22"/>
          <w:u w:color="000000"/>
          <w14:textFill>
            <w14:solidFill>
              <w14:srgbClr w14:val="000000"/>
            </w14:solidFill>
          </w14:textFill>
        </w:rPr>
        <w:instrText xml:space="preserve"> TOC \o 1-2 </w:instrText>
      </w:r>
      <w:r>
        <w:rPr>
          <w:rFonts w:ascii="Arial" w:cs="Arial" w:hAnsi="Arial" w:eastAsia="Arial"/>
          <w:b w:val="1"/>
          <w:bCs w:val="1"/>
          <w:outline w:val="0"/>
          <w:color w:val="000000"/>
          <w:sz w:val="22"/>
          <w:szCs w:val="22"/>
          <w:u w:color="000000"/>
          <w14:textFill>
            <w14:solidFill>
              <w14:srgbClr w14:val="000000"/>
            </w14:solidFill>
          </w14:textFill>
        </w:rPr>
        <w:fldChar w:fldCharType="separate" w:fldLock="0"/>
      </w:r>
    </w:p>
    <w:p>
      <w:pPr>
        <w:pStyle w:val="TOC 1"/>
      </w:pPr>
      <w:r>
        <w:rPr>
          <w:rFonts w:cs="Arial Unicode MS" w:eastAsia="Arial Unicode MS"/>
          <w:rtl w:val="0"/>
        </w:rPr>
        <w:t>1. Introduction</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1.1 Background</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2. Research Problem, Rationale and Evidence Gap</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2.1 Existing Knowledge</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2.2 Research Problem</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2.3 Evidence Gap and Rationale</w:t>
        <w:tab/>
      </w:r>
      <w:r>
        <w:rPr/>
        <w:fldChar w:fldCharType="begin" w:fldLock="0"/>
      </w:r>
      <w:r>
        <w:instrText xml:space="preserve"> PAGEREF _Toc5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3. Literature Review</w:t>
        <w:tab/>
      </w:r>
      <w:r>
        <w:rPr/>
        <w:fldChar w:fldCharType="begin" w:fldLock="0"/>
      </w:r>
      <w:r>
        <w:instrText xml:space="preserve"> PAGEREF _Toc6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4. Research Aim, Objectives and Question</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5. Methodology</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5.1 Research Design and Methodological Approach</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5.2 PICO Framework</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2"/>
      </w:pPr>
      <w:r>
        <w:rPr>
          <w:rFonts w:cs="Arial Unicode MS" w:eastAsia="Arial Unicode MS"/>
          <w:rtl w:val="0"/>
        </w:rPr>
        <w:t>5.3 Information Sources and Databases</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5.4 Search Strategy and Search Terms</w:t>
        <w:tab/>
      </w:r>
      <w:r>
        <w:rPr/>
        <w:fldChar w:fldCharType="begin" w:fldLock="0"/>
      </w:r>
      <w:r>
        <w:instrText xml:space="preserve"> PAGEREF _Toc12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5.5 Inclusion and Exclusion Criteria</w:t>
        <w:tab/>
      </w:r>
      <w:r>
        <w:rPr/>
        <w:fldChar w:fldCharType="begin" w:fldLock="0"/>
      </w:r>
      <w:r>
        <w:instrText xml:space="preserve"> PAGEREF _Toc13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5.6 Study Screening and Selection (PRISMA Flow Diagram)</w:t>
        <w:tab/>
      </w:r>
      <w:r>
        <w:rPr/>
        <w:fldChar w:fldCharType="begin" w:fldLock="0"/>
      </w:r>
      <w:r>
        <w:instrText xml:space="preserve"> PAGEREF _Toc14 \h </w:instrText>
      </w:r>
      <w:r>
        <w:rPr/>
        <w:fldChar w:fldCharType="separate" w:fldLock="0"/>
      </w:r>
      <w:r>
        <w:rPr>
          <w:rFonts w:cs="Arial Unicode MS" w:eastAsia="Arial Unicode MS"/>
          <w:rtl w:val="0"/>
        </w:rPr>
        <w:t>10</w:t>
      </w:r>
      <w:r>
        <w:rPr/>
        <w:fldChar w:fldCharType="end" w:fldLock="0"/>
      </w:r>
    </w:p>
    <w:p>
      <w:pPr>
        <w:pStyle w:val="TOC 2"/>
      </w:pPr>
      <w:r>
        <w:rPr>
          <w:rFonts w:cs="Arial Unicode MS" w:eastAsia="Arial Unicode MS"/>
          <w:rtl w:val="0"/>
        </w:rPr>
        <w:t>5.7 Quality Appraisal and Risk of Bias</w:t>
        <w:tab/>
      </w:r>
      <w:r>
        <w:rPr/>
        <w:fldChar w:fldCharType="begin" w:fldLock="0"/>
      </w:r>
      <w:r>
        <w:instrText xml:space="preserve"> PAGEREF _Toc15 \h </w:instrText>
      </w:r>
      <w:r>
        <w:rPr/>
        <w:fldChar w:fldCharType="separate" w:fldLock="0"/>
      </w:r>
      <w:r>
        <w:rPr>
          <w:rFonts w:cs="Arial Unicode MS" w:eastAsia="Arial Unicode MS"/>
          <w:rtl w:val="0"/>
        </w:rPr>
        <w:t>11</w:t>
      </w:r>
      <w:r>
        <w:rPr/>
        <w:fldChar w:fldCharType="end" w:fldLock="0"/>
      </w:r>
    </w:p>
    <w:p>
      <w:pPr>
        <w:pStyle w:val="TOC 2"/>
      </w:pPr>
      <w:r>
        <w:rPr>
          <w:rFonts w:cs="Arial Unicode MS" w:eastAsia="Arial Unicode MS"/>
          <w:rtl w:val="0"/>
        </w:rPr>
        <w:t>5.8 Data Extraction</w:t>
        <w:tab/>
      </w:r>
      <w:r>
        <w:rPr/>
        <w:fldChar w:fldCharType="begin" w:fldLock="0"/>
      </w:r>
      <w:r>
        <w:instrText xml:space="preserve"> PAGEREF _Toc16 \h </w:instrText>
      </w:r>
      <w:r>
        <w:rPr/>
        <w:fldChar w:fldCharType="separate" w:fldLock="0"/>
      </w:r>
      <w:r>
        <w:rPr>
          <w:rFonts w:cs="Arial Unicode MS" w:eastAsia="Arial Unicode MS"/>
          <w:rtl w:val="0"/>
        </w:rPr>
        <w:t>12</w:t>
      </w:r>
      <w:r>
        <w:rPr/>
        <w:fldChar w:fldCharType="end" w:fldLock="0"/>
      </w:r>
    </w:p>
    <w:p>
      <w:pPr>
        <w:pStyle w:val="TOC 2"/>
      </w:pPr>
      <w:r>
        <w:rPr>
          <w:rFonts w:cs="Arial Unicode MS" w:eastAsia="Arial Unicode MS"/>
          <w:rtl w:val="0"/>
        </w:rPr>
        <w:t>5.9 Data Synthesis and Analysis</w:t>
        <w:tab/>
      </w:r>
      <w:r>
        <w:rPr/>
        <w:fldChar w:fldCharType="begin" w:fldLock="0"/>
      </w:r>
      <w:r>
        <w:instrText xml:space="preserve"> PAGEREF _Toc17 \h </w:instrText>
      </w:r>
      <w:r>
        <w:rPr/>
        <w:fldChar w:fldCharType="separate" w:fldLock="0"/>
      </w:r>
      <w:r>
        <w:rPr>
          <w:rFonts w:cs="Arial Unicode MS" w:eastAsia="Arial Unicode MS"/>
          <w:rtl w:val="0"/>
        </w:rPr>
        <w:t>12</w:t>
      </w:r>
      <w:r>
        <w:rPr/>
        <w:fldChar w:fldCharType="end" w:fldLock="0"/>
      </w:r>
    </w:p>
    <w:p>
      <w:pPr>
        <w:pStyle w:val="TOC 1"/>
      </w:pPr>
      <w:r>
        <w:rPr>
          <w:rFonts w:cs="Arial Unicode MS" w:eastAsia="Arial Unicode MS"/>
          <w:rtl w:val="0"/>
        </w:rPr>
        <w:t>6. Ethical Considerations</w:t>
        <w:tab/>
      </w:r>
      <w:r>
        <w:rPr/>
        <w:fldChar w:fldCharType="begin" w:fldLock="0"/>
      </w:r>
      <w:r>
        <w:instrText xml:space="preserve"> PAGEREF _Toc18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7. Limitations</w:t>
        <w:tab/>
      </w:r>
      <w:r>
        <w:rPr/>
        <w:fldChar w:fldCharType="begin" w:fldLock="0"/>
      </w:r>
      <w:r>
        <w:instrText xml:space="preserve"> PAGEREF _Toc19 \h </w:instrText>
      </w:r>
      <w:r>
        <w:rPr/>
        <w:fldChar w:fldCharType="separate" w:fldLock="0"/>
      </w:r>
      <w:r>
        <w:rPr>
          <w:rFonts w:cs="Arial Unicode MS" w:eastAsia="Arial Unicode MS"/>
          <w:rtl w:val="0"/>
        </w:rPr>
        <w:t>13</w:t>
      </w:r>
      <w:r>
        <w:rPr/>
        <w:fldChar w:fldCharType="end" w:fldLock="0"/>
      </w:r>
    </w:p>
    <w:p>
      <w:pPr>
        <w:pStyle w:val="TOC 1"/>
      </w:pPr>
      <w:r>
        <w:rPr>
          <w:rFonts w:cs="Arial Unicode MS" w:eastAsia="Arial Unicode MS"/>
          <w:rtl w:val="0"/>
        </w:rPr>
        <w:t>8. Timeline and Expected Contribution</w:t>
        <w:tab/>
      </w:r>
      <w:r>
        <w:rPr/>
        <w:fldChar w:fldCharType="begin" w:fldLock="0"/>
      </w:r>
      <w:r>
        <w:instrText xml:space="preserve"> PAGEREF _Toc20 \h </w:instrText>
      </w:r>
      <w:r>
        <w:rPr/>
        <w:fldChar w:fldCharType="separate" w:fldLock="0"/>
      </w:r>
      <w:r>
        <w:rPr>
          <w:rFonts w:cs="Arial Unicode MS" w:eastAsia="Arial Unicode MS"/>
          <w:rtl w:val="0"/>
        </w:rPr>
        <w:t>14</w:t>
      </w:r>
      <w:r>
        <w:rPr/>
        <w:fldChar w:fldCharType="end" w:fldLock="0"/>
      </w:r>
    </w:p>
    <w:p>
      <w:pPr>
        <w:pStyle w:val="TOC 1"/>
      </w:pPr>
      <w:r>
        <w:rPr>
          <w:rFonts w:cs="Arial Unicode MS" w:eastAsia="Arial Unicode MS"/>
          <w:rtl w:val="0"/>
        </w:rPr>
        <w:t>References</w:t>
        <w:tab/>
      </w:r>
      <w:r>
        <w:rPr/>
        <w:fldChar w:fldCharType="begin" w:fldLock="0"/>
      </w:r>
      <w:r>
        <w:instrText xml:space="preserve"> PAGEREF _Toc21 \h </w:instrText>
      </w:r>
      <w:r>
        <w:rPr/>
        <w:fldChar w:fldCharType="separate" w:fldLock="0"/>
      </w:r>
      <w:r>
        <w:rPr>
          <w:rFonts w:cs="Arial Unicode MS" w:eastAsia="Arial Unicode MS"/>
          <w:rtl w:val="0"/>
        </w:rPr>
        <w:t>15</w:t>
      </w:r>
      <w:r>
        <w:rPr/>
        <w:fldChar w:fldCharType="end" w:fldLock="0"/>
      </w:r>
    </w:p>
    <w:p>
      <w:pPr>
        <w:pStyle w:val="Body A"/>
        <w:rPr>
          <w:rStyle w:val="Hyperlink.0"/>
        </w:rPr>
      </w:pPr>
      <w:r>
        <w:rPr>
          <w:rFonts w:ascii="Arial" w:cs="Arial" w:hAnsi="Arial" w:eastAsia="Arial"/>
          <w:b w:val="1"/>
          <w:bCs w:val="1"/>
          <w:outline w:val="0"/>
          <w:color w:val="000000"/>
          <w:sz w:val="22"/>
          <w:szCs w:val="22"/>
          <w:u w:color="000000"/>
          <w14:textFill>
            <w14:solidFill>
              <w14:srgbClr w14:val="000000"/>
            </w14:solidFill>
          </w14:textFill>
        </w:rPr>
        <w:fldChar w:fldCharType="end" w:fldLock="0"/>
      </w:r>
    </w:p>
    <w:p>
      <w:pPr>
        <w:pStyle w:val="Body A"/>
        <w:jc w:val="center"/>
      </w:pPr>
      <w:r>
        <w:rPr>
          <w:rFonts w:ascii="Arial Unicode MS" w:cs="Arial Unicode MS" w:hAnsi="Arial Unicode MS" w:eastAsia="Arial Unicode MS"/>
          <w:b w:val="0"/>
          <w:bCs w:val="0"/>
          <w:i w:val="0"/>
          <w:iCs w:val="0"/>
          <w:sz w:val="22"/>
          <w:szCs w:val="22"/>
        </w:rPr>
        <w:br w:type="page"/>
      </w:r>
    </w:p>
    <w:p>
      <w:pPr>
        <w:pStyle w:val="Heading"/>
        <w:rPr>
          <w:rFonts w:ascii="Arial" w:cs="Arial" w:hAnsi="Arial" w:eastAsia="Arial"/>
          <w:b w:val="1"/>
          <w:bCs w:val="1"/>
          <w:sz w:val="22"/>
          <w:szCs w:val="22"/>
        </w:rPr>
      </w:pPr>
      <w:bookmarkStart w:name="_Toc" w:id="0"/>
      <w:bookmarkStart w:name="_ep7zetillc" w:id="1"/>
      <w:bookmarkEnd w:id="1"/>
      <w:r>
        <w:rPr>
          <w:rFonts w:ascii="Arial" w:hAnsi="Arial"/>
          <w:b w:val="1"/>
          <w:bCs w:val="1"/>
          <w:sz w:val="22"/>
          <w:szCs w:val="22"/>
          <w:rtl w:val="0"/>
        </w:rPr>
        <w:t>1</w:t>
      </w:r>
      <w:r>
        <w:rPr>
          <w:rFonts w:ascii="Arial" w:hAnsi="Arial"/>
          <w:b w:val="1"/>
          <w:bCs w:val="1"/>
          <w:sz w:val="22"/>
          <w:szCs w:val="22"/>
          <w:rtl w:val="0"/>
          <w:lang w:val="fr-FR"/>
        </w:rPr>
        <w:t>. Introduction</w:t>
      </w:r>
      <w:bookmarkEnd w:id="0"/>
    </w:p>
    <w:p>
      <w:pPr>
        <w:pStyle w:val="Body A"/>
        <w:spacing w:after="0"/>
        <w:rPr>
          <w:rStyle w:val="Hyperlink.0"/>
        </w:rPr>
      </w:pPr>
      <w:r>
        <w:rPr>
          <w:rFonts w:ascii="Arial" w:hAnsi="Arial"/>
          <w:sz w:val="22"/>
          <w:szCs w:val="22"/>
          <w:rtl w:val="0"/>
          <w:lang w:val="en-US"/>
        </w:rPr>
        <w:t>Tobacco smoking is a leading public health concern, as cardiovascular and respiratory diseases, cancer and premature death rates are strongly linked to smoking. There were an estimated 5.3 million (10.6%) adults aged 18 years and over who were current smokers in the UK in 2024, but this was the lowest since records started in 2011 (A</w:t>
      </w:r>
      <w:r>
        <w:rPr>
          <w:rStyle w:val="Hyperlink.0"/>
        </w:rPr>
        <w:fldChar w:fldCharType="begin" w:fldLock="0"/>
      </w:r>
      <w:r>
        <w:rPr>
          <w:rStyle w:val="Hyperlink.0"/>
        </w:rPr>
        <w:instrText xml:space="preserve"> HYPERLINK "http://ash.org"</w:instrText>
      </w:r>
      <w:r>
        <w:rPr>
          <w:rStyle w:val="Hyperlink.0"/>
        </w:rPr>
        <w:fldChar w:fldCharType="separate" w:fldLock="0"/>
      </w:r>
      <w:r>
        <w:rPr>
          <w:rStyle w:val="Hyperlink.0"/>
          <w:rtl w:val="0"/>
        </w:rPr>
        <w:t>sh.org</w:t>
      </w:r>
      <w:r>
        <w:rPr/>
        <w:fldChar w:fldCharType="end" w:fldLock="0"/>
      </w:r>
      <w:r>
        <w:rPr>
          <w:rFonts w:ascii="Arial" w:hAnsi="Arial"/>
          <w:sz w:val="22"/>
          <w:szCs w:val="22"/>
          <w:rtl w:val="0"/>
          <w:lang w:val="en-US"/>
        </w:rPr>
        <w:t>, 2024). This study is going to evaluate the clinical efficacy and safety of Nicotine Replacement Therapy (NRT) compared to other combined smoking cessation interventions for adult smokers.</w:t>
      </w:r>
    </w:p>
    <w:p>
      <w:pPr>
        <w:pStyle w:val="Heading 2"/>
        <w:rPr>
          <w:rFonts w:ascii="Arial" w:cs="Arial" w:hAnsi="Arial" w:eastAsia="Arial"/>
          <w:sz w:val="24"/>
          <w:szCs w:val="24"/>
        </w:rPr>
      </w:pPr>
      <w:bookmarkStart w:name="_Toc1" w:id="2"/>
      <w:r>
        <w:rPr>
          <w:rFonts w:ascii="Arial" w:hAnsi="Arial"/>
          <w:sz w:val="24"/>
          <w:szCs w:val="24"/>
          <w:rtl w:val="0"/>
          <w:lang w:val="en-US"/>
        </w:rPr>
        <w:t>1.1 Background</w:t>
      </w:r>
      <w:bookmarkEnd w:id="2"/>
    </w:p>
    <w:p>
      <w:pPr>
        <w:pStyle w:val="Body A"/>
        <w:spacing w:after="0"/>
        <w:rPr>
          <w:rStyle w:val="Hyperlink.0"/>
        </w:rPr>
      </w:pPr>
      <w:r>
        <w:rPr>
          <w:rFonts w:ascii="Arial" w:hAnsi="Arial"/>
          <w:sz w:val="22"/>
          <w:szCs w:val="22"/>
          <w:rtl w:val="0"/>
          <w:lang w:val="en-US"/>
        </w:rPr>
        <w:t>A higher prevalence of smoking was seen among adults aged 25-34 years (12.6%) compared to any other age band, and there was a higher prevalence of smoking among men than women (12.3% versus 9.0%). This has a significant effect on health and social care services. NHS England (2023) estimated that in England, smoking caused 408,700 hospital admissions in 2022</w:t>
      </w:r>
      <w:r>
        <w:rPr>
          <w:rFonts w:ascii="Arial" w:hAnsi="Arial" w:hint="default"/>
          <w:sz w:val="22"/>
          <w:szCs w:val="22"/>
          <w:rtl w:val="0"/>
          <w:lang w:val="en-US"/>
        </w:rPr>
        <w:t>–</w:t>
      </w:r>
      <w:r>
        <w:rPr>
          <w:rFonts w:ascii="Arial" w:hAnsi="Arial"/>
          <w:sz w:val="22"/>
          <w:szCs w:val="22"/>
          <w:rtl w:val="0"/>
          <w:lang w:val="en-US"/>
        </w:rPr>
        <w:t xml:space="preserve">23, of which 16% were for respiratory diseases, 8% were for cancer, and 7% were for cardiovascular diseases (NHS England, 2023). Smoking also helps to widen health inequalities and to produce a wider socioeconomic disadvantage for England, estimated at </w:t>
      </w:r>
      <w:r>
        <w:rPr>
          <w:rFonts w:ascii="Arial" w:hAnsi="Arial" w:hint="default"/>
          <w:sz w:val="22"/>
          <w:szCs w:val="22"/>
          <w:rtl w:val="0"/>
          <w:lang w:val="en-US"/>
        </w:rPr>
        <w:t>£</w:t>
      </w:r>
      <w:r>
        <w:rPr>
          <w:rFonts w:ascii="Arial" w:hAnsi="Arial"/>
          <w:sz w:val="22"/>
          <w:szCs w:val="22"/>
          <w:rtl w:val="0"/>
          <w:lang w:val="en-US"/>
        </w:rPr>
        <w:t>44.8 billion per year due to lost productivity, health, social care and smoking-related fires (World Health Organisation, 2026)</w:t>
      </w:r>
    </w:p>
    <w:p>
      <w:pPr>
        <w:pStyle w:val="Body A"/>
        <w:spacing w:after="0"/>
        <w:rPr>
          <w:rStyle w:val="Hyperlink.0"/>
        </w:rPr>
      </w:pPr>
      <w:r>
        <w:rPr>
          <w:rFonts w:ascii="Arial" w:hAnsi="Arial"/>
          <w:sz w:val="22"/>
          <w:szCs w:val="22"/>
          <w:rtl w:val="0"/>
          <w:lang w:val="en-US"/>
        </w:rPr>
        <w:t>Quitting smoking is thus a critical health care and public health issue. There are a range of cessation methods available, including nicotine replacement therapy (NRT), behavioural support, varenicline, cytisinicline and nicotine-containing e-cigarettes; NICE suggests that combination NRT and behavioural support is more effective at helping people to quit smoking. This will be an overview of the effectiveness of NRT compared to other smoking cessation treatments in adult smokers in the UK, with a particular emphasis on the long-term quit rate.</w:t>
      </w:r>
    </w:p>
    <w:p>
      <w:pPr>
        <w:pStyle w:val="Body A"/>
        <w:spacing w:after="0"/>
        <w:rPr>
          <w:rStyle w:val="Hyperlink.0"/>
        </w:rPr>
      </w:pPr>
      <w:r>
        <w:rPr>
          <w:rStyle w:val="Hyperlink.0"/>
        </w:rPr>
        <w:drawing xmlns:a="http://schemas.openxmlformats.org/drawingml/2006/main">
          <wp:inline distT="0" distB="0" distL="0" distR="0">
            <wp:extent cx="5702173" cy="2034346"/>
            <wp:effectExtent l="0" t="0" r="0" b="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5">
                      <a:extLst/>
                    </a:blip>
                    <a:stretch>
                      <a:fillRect/>
                    </a:stretch>
                  </pic:blipFill>
                  <pic:spPr>
                    <a:xfrm>
                      <a:off x="0" y="0"/>
                      <a:ext cx="5702173" cy="2034346"/>
                    </a:xfrm>
                    <a:prstGeom prst="rect">
                      <a:avLst/>
                    </a:prstGeom>
                    <a:ln w="25400" cap="flat">
                      <a:solidFill>
                        <a:srgbClr val="000000"/>
                      </a:solidFill>
                      <a:prstDash val="solid"/>
                      <a:round/>
                    </a:ln>
                    <a:effectLst/>
                  </pic:spPr>
                </pic:pic>
              </a:graphicData>
            </a:graphic>
          </wp:inline>
        </w:drawing>
      </w:r>
    </w:p>
    <w:p>
      <w:pPr>
        <w:pStyle w:val="Body A"/>
        <w:jc w:val="center"/>
        <w:rPr>
          <w:rFonts w:ascii="Arial" w:cs="Arial" w:hAnsi="Arial" w:eastAsia="Arial"/>
          <w:b w:val="1"/>
          <w:bCs w:val="1"/>
          <w:sz w:val="22"/>
          <w:szCs w:val="22"/>
        </w:rPr>
      </w:pPr>
      <w:r>
        <w:rPr>
          <w:rFonts w:ascii="Arial" w:hAnsi="Arial"/>
          <w:b w:val="1"/>
          <w:bCs w:val="1"/>
          <w:sz w:val="22"/>
          <w:szCs w:val="22"/>
          <w:rtl w:val="0"/>
          <w:lang w:val="en-US"/>
        </w:rPr>
        <w:t xml:space="preserve">Figure 1: Global Nicotine Replacement Therapy Market Size </w:t>
      </w:r>
    </w:p>
    <w:p>
      <w:pPr>
        <w:pStyle w:val="Body A"/>
        <w:spacing w:after="0"/>
        <w:jc w:val="center"/>
        <w:rPr>
          <w:rStyle w:val="Hyperlink.0"/>
        </w:rPr>
      </w:pPr>
      <w:r>
        <w:rPr>
          <w:rFonts w:ascii="Arial" w:hAnsi="Arial"/>
          <w:sz w:val="22"/>
          <w:szCs w:val="22"/>
          <w:rtl w:val="0"/>
          <w:lang w:val="en-US"/>
        </w:rPr>
        <w:t xml:space="preserve">Source: (Spherical Insights, </w:t>
      </w:r>
      <w:r>
        <w:rPr>
          <w:rStyle w:val="Hyperlink.0"/>
          <w:rtl w:val="0"/>
        </w:rPr>
        <w:t>2026)</w:t>
      </w:r>
    </w:p>
    <w:p>
      <w:pPr>
        <w:pStyle w:val="Heading"/>
        <w:rPr>
          <w:rFonts w:ascii="Arial" w:cs="Arial" w:hAnsi="Arial" w:eastAsia="Arial"/>
          <w:b w:val="1"/>
          <w:bCs w:val="1"/>
          <w:sz w:val="22"/>
          <w:szCs w:val="22"/>
        </w:rPr>
      </w:pPr>
      <w:bookmarkStart w:name="_Toc2" w:id="3"/>
      <w:bookmarkStart w:name="_okphojyf05oo" w:id="4"/>
      <w:bookmarkEnd w:id="4"/>
      <w:r>
        <w:rPr>
          <w:rFonts w:ascii="Arial" w:hAnsi="Arial"/>
          <w:b w:val="1"/>
          <w:bCs w:val="1"/>
          <w:sz w:val="22"/>
          <w:szCs w:val="22"/>
          <w:rtl w:val="0"/>
        </w:rPr>
        <w:t>2</w:t>
      </w:r>
      <w:r>
        <w:rPr>
          <w:rFonts w:ascii="Arial" w:hAnsi="Arial"/>
          <w:b w:val="1"/>
          <w:bCs w:val="1"/>
          <w:sz w:val="22"/>
          <w:szCs w:val="22"/>
          <w:rtl w:val="0"/>
          <w:lang w:val="en-US"/>
        </w:rPr>
        <w:t>. Research Problem, Rationale and Evidence Gap</w:t>
      </w:r>
      <w:bookmarkEnd w:id="3"/>
    </w:p>
    <w:p>
      <w:pPr>
        <w:pStyle w:val="Heading 2"/>
        <w:rPr>
          <w:rFonts w:ascii="Arial" w:cs="Arial" w:hAnsi="Arial" w:eastAsia="Arial"/>
          <w:sz w:val="22"/>
          <w:szCs w:val="22"/>
        </w:rPr>
      </w:pPr>
      <w:bookmarkStart w:name="_Toc3" w:id="5"/>
      <w:bookmarkStart w:name="_vg0boqx2c2wc" w:id="6"/>
      <w:bookmarkEnd w:id="6"/>
      <w:r>
        <w:rPr>
          <w:rFonts w:ascii="Arial" w:hAnsi="Arial"/>
          <w:sz w:val="22"/>
          <w:szCs w:val="22"/>
          <w:rtl w:val="0"/>
        </w:rPr>
        <w:t>2</w:t>
      </w:r>
      <w:r>
        <w:rPr>
          <w:rFonts w:ascii="Arial" w:hAnsi="Arial"/>
          <w:sz w:val="22"/>
          <w:szCs w:val="22"/>
          <w:rtl w:val="0"/>
          <w:lang w:val="en-US"/>
        </w:rPr>
        <w:t xml:space="preserve">.1 Existing Knowledge </w:t>
      </w:r>
      <w:bookmarkEnd w:id="5"/>
    </w:p>
    <w:p>
      <w:pPr>
        <w:pStyle w:val="Body A"/>
        <w:rPr>
          <w:rStyle w:val="Hyperlink.0"/>
        </w:rPr>
      </w:pPr>
      <w:r>
        <w:rPr>
          <w:rFonts w:ascii="Arial" w:hAnsi="Arial"/>
          <w:sz w:val="22"/>
          <w:szCs w:val="22"/>
          <w:rtl w:val="0"/>
          <w:lang w:val="en-US"/>
        </w:rPr>
        <w:t>There are several evidence-based interventions that assist in smoking cessation, which are Nicotine Replacement Therapy (NRT), behavioural support, varenicline, bupropion, cytisinicline and nicotine-containing e-cigarettes. NICE currently recommends NRT in both short- and long-acting forms alongside behavioural support, as there is now considerable evidence that pharmacological and behavioural interventions can enhance the cessation outcome.</w:t>
      </w:r>
    </w:p>
    <w:p>
      <w:pPr>
        <w:pStyle w:val="Heading 2"/>
        <w:rPr>
          <w:rFonts w:ascii="Arial" w:cs="Arial" w:hAnsi="Arial" w:eastAsia="Arial"/>
          <w:sz w:val="22"/>
          <w:szCs w:val="22"/>
        </w:rPr>
      </w:pPr>
      <w:bookmarkStart w:name="_Toc4" w:id="7"/>
      <w:bookmarkStart w:name="_gl6pfkgxf1l" w:id="8"/>
      <w:bookmarkEnd w:id="8"/>
      <w:r>
        <w:rPr>
          <w:rFonts w:ascii="Arial" w:hAnsi="Arial"/>
          <w:sz w:val="22"/>
          <w:szCs w:val="22"/>
          <w:rtl w:val="0"/>
        </w:rPr>
        <w:t>2</w:t>
      </w:r>
      <w:r>
        <w:rPr>
          <w:rFonts w:ascii="Arial" w:hAnsi="Arial"/>
          <w:sz w:val="22"/>
          <w:szCs w:val="22"/>
          <w:rtl w:val="0"/>
          <w:lang w:val="en-US"/>
        </w:rPr>
        <w:t xml:space="preserve">.2 Research Problem </w:t>
      </w:r>
      <w:bookmarkEnd w:id="7"/>
    </w:p>
    <w:p>
      <w:pPr>
        <w:pStyle w:val="Body A"/>
        <w:rPr>
          <w:rStyle w:val="Hyperlink.0"/>
        </w:rPr>
      </w:pPr>
      <w:r>
        <w:rPr>
          <w:rFonts w:ascii="Arial" w:hAnsi="Arial"/>
          <w:sz w:val="22"/>
          <w:szCs w:val="22"/>
          <w:rtl w:val="0"/>
          <w:lang w:val="en-US"/>
        </w:rPr>
        <w:t xml:space="preserve">Despite the established use of NRT, uncertainty remains whether it is effective compared to other methods of attaining long-term abstinence from smoking. According to NICE evidence review, certain interventions and combinations can be more effective than others, especially when integrated with behavioural support (Al Mahmud </w:t>
      </w:r>
      <w:r>
        <w:rPr>
          <w:rFonts w:ascii="Arial" w:hAnsi="Arial"/>
          <w:i w:val="1"/>
          <w:iCs w:val="1"/>
          <w:sz w:val="22"/>
          <w:szCs w:val="22"/>
          <w:rtl w:val="0"/>
        </w:rPr>
        <w:t>et al.,</w:t>
      </w:r>
      <w:r>
        <w:rPr>
          <w:rFonts w:ascii="Arial" w:hAnsi="Arial"/>
          <w:sz w:val="22"/>
          <w:szCs w:val="22"/>
          <w:rtl w:val="0"/>
          <w:lang w:val="en-US"/>
        </w:rPr>
        <w:t xml:space="preserve"> 2026). Moreover, variation in NRT formulation, comparator treatment, behavioural-support intensity and follow-up period would lead to inconsistent estimates of effectiveness. Therefore, it is not true that evidence of NRT being effective will necessarily prove its comparative effectiveness with newer or alternative cessation methods.</w:t>
      </w:r>
    </w:p>
    <w:p>
      <w:pPr>
        <w:pStyle w:val="Heading 2"/>
        <w:rPr>
          <w:rFonts w:ascii="Arial" w:cs="Arial" w:hAnsi="Arial" w:eastAsia="Arial"/>
          <w:sz w:val="22"/>
          <w:szCs w:val="22"/>
        </w:rPr>
      </w:pPr>
      <w:bookmarkStart w:name="_Toc5" w:id="9"/>
      <w:bookmarkStart w:name="_jg2vls22tzl" w:id="10"/>
      <w:bookmarkEnd w:id="10"/>
      <w:r>
        <w:rPr>
          <w:rFonts w:ascii="Arial" w:hAnsi="Arial"/>
          <w:sz w:val="22"/>
          <w:szCs w:val="22"/>
          <w:rtl w:val="0"/>
        </w:rPr>
        <w:t>2</w:t>
      </w:r>
      <w:r>
        <w:rPr>
          <w:rFonts w:ascii="Arial" w:hAnsi="Arial"/>
          <w:sz w:val="22"/>
          <w:szCs w:val="22"/>
          <w:rtl w:val="0"/>
          <w:lang w:val="en-US"/>
        </w:rPr>
        <w:t xml:space="preserve">.3 Evidence Gap and Rationale </w:t>
      </w:r>
      <w:bookmarkEnd w:id="9"/>
    </w:p>
    <w:p>
      <w:pPr>
        <w:pStyle w:val="Body A"/>
        <w:rPr>
          <w:rStyle w:val="Hyperlink.0"/>
        </w:rPr>
      </w:pPr>
      <w:r>
        <w:rPr>
          <w:rFonts w:ascii="Arial" w:hAnsi="Arial"/>
          <w:sz w:val="22"/>
          <w:szCs w:val="22"/>
          <w:rtl w:val="0"/>
          <w:lang w:val="en-US"/>
        </w:rPr>
        <w:t>The most important evidence gap is related to the comparative efficacy of NRT in UK adults and its capacity to achieve sustained abstinence. There is often a lack of direct applicability to UK practice as existing evidence often brings together international populations and varied intervention contexts. A systematic review of UK RCT evidence, with a specific focus, can thus bring together similar results, critically evaluate quality of methods and differentiate between short-term and long-term cessation results (NHS, 2026). This applies especially since NICE has identified a range of options available in cessation and does not necessarily single out NRT as being universally the best.</w:t>
      </w:r>
    </w:p>
    <w:p>
      <w:pPr>
        <w:pStyle w:val="Heading"/>
        <w:rPr>
          <w:rFonts w:ascii="Arial" w:cs="Arial" w:hAnsi="Arial" w:eastAsia="Arial"/>
          <w:b w:val="1"/>
          <w:bCs w:val="1"/>
          <w:sz w:val="22"/>
          <w:szCs w:val="22"/>
        </w:rPr>
      </w:pPr>
      <w:bookmarkStart w:name="_Toc6" w:id="11"/>
      <w:bookmarkStart w:name="_vkpo3unxiqdt" w:id="12"/>
      <w:bookmarkEnd w:id="12"/>
      <w:r>
        <w:rPr>
          <w:rFonts w:ascii="Arial" w:hAnsi="Arial"/>
          <w:b w:val="1"/>
          <w:bCs w:val="1"/>
          <w:sz w:val="22"/>
          <w:szCs w:val="22"/>
          <w:rtl w:val="0"/>
        </w:rPr>
        <w:t>3</w:t>
      </w:r>
      <w:r>
        <w:rPr>
          <w:rFonts w:ascii="Arial" w:hAnsi="Arial"/>
          <w:b w:val="1"/>
          <w:bCs w:val="1"/>
          <w:sz w:val="22"/>
          <w:szCs w:val="22"/>
          <w:rtl w:val="0"/>
          <w:lang w:val="en-US"/>
        </w:rPr>
        <w:t xml:space="preserve">. Literature Review </w:t>
      </w:r>
      <w:bookmarkEnd w:id="11"/>
    </w:p>
    <w:p>
      <w:pPr>
        <w:pStyle w:val="Body A"/>
        <w:spacing w:after="0"/>
        <w:rPr>
          <w:rStyle w:val="Hyperlink.0"/>
        </w:rPr>
      </w:pPr>
      <w:r>
        <w:rPr>
          <w:rFonts w:ascii="Arial" w:hAnsi="Arial"/>
          <w:sz w:val="22"/>
          <w:szCs w:val="22"/>
          <w:rtl w:val="0"/>
          <w:lang w:val="en-US"/>
        </w:rPr>
        <w:t xml:space="preserve">The evidence is clear that nicotine replacement therapy (NRT) is an effective smoking cessation intervention, but it is not necessarily more effective than any other intervention.  According to Kenyon </w:t>
      </w:r>
      <w:r>
        <w:rPr>
          <w:rFonts w:ascii="Arial" w:hAnsi="Arial"/>
          <w:i w:val="1"/>
          <w:iCs w:val="1"/>
          <w:sz w:val="22"/>
          <w:szCs w:val="22"/>
          <w:rtl w:val="0"/>
          <w:lang w:val="nl-NL"/>
        </w:rPr>
        <w:t>et al</w:t>
      </w:r>
      <w:r>
        <w:rPr>
          <w:rFonts w:ascii="Arial" w:hAnsi="Arial"/>
          <w:sz w:val="22"/>
          <w:szCs w:val="22"/>
          <w:rtl w:val="0"/>
          <w:lang w:val="en-US"/>
        </w:rPr>
        <w:t>. (2025), a review of 136 trials including 64,640 people concluded that licensed NRT was about 50-60% more effective than placebo and NRT alone at increasing long-term quitting rates. There is evidence that NRT and bupropion are broadly comparable in their effectiveness, whilst varenicline may show greater quit rates than single-form NRT. However, combined NRT can have outcomes similar to varenicline, suggesting that formulation and intensity of treatment is key for the effectiveness of NRT.</w:t>
      </w:r>
    </w:p>
    <w:p>
      <w:pPr>
        <w:pStyle w:val="Body A"/>
        <w:spacing w:after="0"/>
        <w:rPr>
          <w:rStyle w:val="Hyperlink.0"/>
        </w:rPr>
      </w:pPr>
      <w:r>
        <w:rPr>
          <w:rFonts w:ascii="Arial" w:hAnsi="Arial"/>
          <w:sz w:val="22"/>
          <w:szCs w:val="22"/>
          <w:rtl w:val="0"/>
          <w:lang w:val="en-US"/>
        </w:rPr>
        <w:t xml:space="preserve">As per the opinion of Pajai </w:t>
      </w:r>
      <w:r>
        <w:rPr>
          <w:rFonts w:ascii="Arial" w:hAnsi="Arial"/>
          <w:i w:val="1"/>
          <w:iCs w:val="1"/>
          <w:sz w:val="22"/>
          <w:szCs w:val="22"/>
          <w:rtl w:val="0"/>
        </w:rPr>
        <w:t>et al.</w:t>
      </w:r>
      <w:r>
        <w:rPr>
          <w:rFonts w:ascii="Arial" w:hAnsi="Arial"/>
          <w:sz w:val="22"/>
          <w:szCs w:val="22"/>
          <w:rtl w:val="0"/>
          <w:lang w:val="en-US"/>
        </w:rPr>
        <w:t xml:space="preserve"> (2023), optimisation of NRT is therefore most strongly indicated, rather than NRT alone. Combination NRT (e.g., a nicotine patch and a short-acting product) is more effective at quitting than single-form NRT. This is relevant clinically because long-acting NRT can be used to treat background withdrawal while short-acting NRT can be used to treat acute cravings (Onwuzo</w:t>
      </w:r>
      <w:r>
        <w:rPr>
          <w:rFonts w:ascii="Arial" w:hAnsi="Arial"/>
          <w:i w:val="1"/>
          <w:iCs w:val="1"/>
          <w:sz w:val="22"/>
          <w:szCs w:val="22"/>
          <w:rtl w:val="0"/>
        </w:rPr>
        <w:t xml:space="preserve"> et al.,</w:t>
      </w:r>
      <w:r>
        <w:rPr>
          <w:rFonts w:ascii="Arial" w:hAnsi="Arial"/>
          <w:sz w:val="22"/>
          <w:szCs w:val="22"/>
          <w:rtl w:val="0"/>
          <w:lang w:val="en-US"/>
        </w:rPr>
        <w:t xml:space="preserve"> 2024). A combination of behavioural and pharmacological interventions, such as NRT, can enhance cessation rates. Therefore, it is important to make sure there is a distinction between monotherapy and combination NRT when making comparisons.</w:t>
      </w:r>
    </w:p>
    <w:p>
      <w:pPr>
        <w:pStyle w:val="Body A"/>
        <w:spacing w:after="0"/>
        <w:rPr>
          <w:rStyle w:val="Hyperlink.0"/>
        </w:rPr>
      </w:pPr>
      <w:r>
        <w:rPr>
          <w:rFonts w:ascii="Arial" w:hAnsi="Arial"/>
          <w:sz w:val="22"/>
          <w:szCs w:val="22"/>
          <w:rtl w:val="0"/>
          <w:lang w:val="en-US"/>
        </w:rPr>
        <w:t>Comparative pharmacological evidence also discredits the notion that NRT is the most effective treatment. However, the results must be interpreted with caution since network meta-analysis involves some indirect comparisons, and treatment intensity and behavioural support are factors that can affect the estimated effect of the treatments due to differences in participant characteristics (Onwuzo</w:t>
      </w:r>
      <w:r>
        <w:rPr>
          <w:rFonts w:ascii="Arial" w:hAnsi="Arial"/>
          <w:i w:val="1"/>
          <w:iCs w:val="1"/>
          <w:sz w:val="22"/>
          <w:szCs w:val="22"/>
          <w:rtl w:val="0"/>
        </w:rPr>
        <w:t xml:space="preserve"> et al.,</w:t>
      </w:r>
      <w:r>
        <w:rPr>
          <w:rFonts w:ascii="Arial" w:hAnsi="Arial"/>
          <w:sz w:val="22"/>
          <w:szCs w:val="22"/>
          <w:rtl w:val="0"/>
          <w:lang w:val="en-US"/>
        </w:rPr>
        <w:t xml:space="preserve"> 2024). However, previous studies indicate that the gap between NRT and varenicline may be reduced with combination NRT.</w:t>
      </w:r>
    </w:p>
    <w:p>
      <w:pPr>
        <w:pStyle w:val="Body A"/>
        <w:spacing w:after="0"/>
        <w:rPr>
          <w:rStyle w:val="Hyperlink.0"/>
        </w:rPr>
      </w:pPr>
      <w:r>
        <w:rPr>
          <w:rFonts w:ascii="Arial" w:hAnsi="Arial"/>
          <w:sz w:val="22"/>
          <w:szCs w:val="22"/>
          <w:rtl w:val="0"/>
          <w:lang w:val="en-US"/>
        </w:rPr>
        <w:t xml:space="preserve">Another important comparison is with behaviour support. Chandankhede </w:t>
      </w:r>
      <w:r>
        <w:rPr>
          <w:rFonts w:ascii="Arial" w:hAnsi="Arial"/>
          <w:i w:val="1"/>
          <w:iCs w:val="1"/>
          <w:sz w:val="22"/>
          <w:szCs w:val="22"/>
          <w:rtl w:val="0"/>
          <w:lang w:val="nl-NL"/>
        </w:rPr>
        <w:t>et al</w:t>
      </w:r>
      <w:r>
        <w:rPr>
          <w:rFonts w:ascii="Arial" w:hAnsi="Arial"/>
          <w:sz w:val="22"/>
          <w:szCs w:val="22"/>
          <w:rtl w:val="0"/>
          <w:lang w:val="en-US"/>
        </w:rPr>
        <w:t xml:space="preserve">. (2025) stated that behavioural support can help to boost long-term abstinence and, when combined with pharmacotherapy, counselling can offer further benefit. Alternatively, behavioural support is not necessarily an alternative to NRT </w:t>
      </w:r>
      <w:r>
        <w:rPr>
          <w:rFonts w:ascii="Arial" w:hAnsi="Arial" w:hint="default"/>
          <w:sz w:val="22"/>
          <w:szCs w:val="22"/>
          <w:rtl w:val="0"/>
          <w:lang w:val="en-US"/>
        </w:rPr>
        <w:t xml:space="preserve">– </w:t>
      </w:r>
      <w:r>
        <w:rPr>
          <w:rFonts w:ascii="Arial" w:hAnsi="Arial"/>
          <w:sz w:val="22"/>
          <w:szCs w:val="22"/>
          <w:rtl w:val="0"/>
          <w:lang w:val="en-US"/>
        </w:rPr>
        <w:t>it may be used for complementing the pharmacological treatment by addressing psychological/behavioural aspects of dependence. Therefore, a comparison of NRT alone vs NRT and behavioural support is important to establish whether integration can yield better results.</w:t>
      </w:r>
    </w:p>
    <w:p>
      <w:pPr>
        <w:pStyle w:val="Body A"/>
        <w:spacing w:after="0"/>
        <w:rPr>
          <w:rStyle w:val="Hyperlink.0"/>
        </w:rPr>
      </w:pPr>
      <w:r>
        <w:rPr>
          <w:rFonts w:ascii="Arial" w:hAnsi="Arial"/>
          <w:sz w:val="22"/>
          <w:szCs w:val="22"/>
          <w:rtl w:val="0"/>
          <w:lang w:val="en-US"/>
        </w:rPr>
        <w:t xml:space="preserve">This is also relevant to the situation of e-cigarettes containing nicotine in the UK. Berridge (2023) illustrated that nicotine e-cigarettes, varenicline, cytisine and combination NRT are effective quitting interventions. In a study in the UK, 886 smokers using behavioural support were found to have a difference between the use of refillable e-cigarettes and NRT. The outcome issue is unique with e-cigarettes, though, as smokers could quit combustible cigarettes and continue using nicotine. </w:t>
      </w:r>
    </w:p>
    <w:p>
      <w:pPr>
        <w:pStyle w:val="Body A"/>
        <w:spacing w:after="0"/>
        <w:rPr>
          <w:rStyle w:val="Hyperlink.0"/>
        </w:rPr>
      </w:pPr>
      <w:r>
        <w:rPr>
          <w:rStyle w:val="Hyperlink.0"/>
          <w:rtl w:val="0"/>
        </w:rPr>
        <w:t xml:space="preserve">Pajai </w:t>
      </w:r>
      <w:r>
        <w:rPr>
          <w:rFonts w:ascii="Arial" w:hAnsi="Arial"/>
          <w:i w:val="1"/>
          <w:iCs w:val="1"/>
          <w:sz w:val="22"/>
          <w:szCs w:val="22"/>
          <w:rtl w:val="0"/>
        </w:rPr>
        <w:t>et al.</w:t>
      </w:r>
      <w:r>
        <w:rPr>
          <w:rFonts w:ascii="Arial" w:hAnsi="Arial"/>
          <w:sz w:val="22"/>
          <w:szCs w:val="22"/>
          <w:rtl w:val="0"/>
          <w:lang w:val="en-US"/>
        </w:rPr>
        <w:t xml:space="preserve"> (2023) also stated that there are two theories that help explain the differences. The COM-B model of behaviour suggests that capability, opportunity and motivation (COM-B) determine behaviour. NRT can diminish withdrawal-associated challenges, and behavioural support can boost motivation and coping opportunities (Kenyon </w:t>
      </w:r>
      <w:r>
        <w:rPr>
          <w:rFonts w:ascii="Arial" w:hAnsi="Arial"/>
          <w:i w:val="1"/>
          <w:iCs w:val="1"/>
          <w:sz w:val="22"/>
          <w:szCs w:val="22"/>
          <w:rtl w:val="0"/>
          <w:lang w:val="nl-NL"/>
        </w:rPr>
        <w:t>et al</w:t>
      </w:r>
      <w:r>
        <w:rPr>
          <w:rFonts w:ascii="Arial" w:hAnsi="Arial"/>
          <w:sz w:val="22"/>
          <w:szCs w:val="22"/>
          <w:rtl w:val="0"/>
          <w:lang w:val="en-US"/>
        </w:rPr>
        <w:t>., 2025). If these three components of nicotine addiction are considered to be the sole drivers of the addiction, however, and simplifying the phenomenon of biological addiction, then COM-B is limited in its scope of nicotine dependence. Also relevant is Social Cognitive Theory (SCT), which focuses on the self-efficacy, outcome expectations and environmental factors of behaviour. NRT focuses on reducing physiological dependence, while behavioural support helps boost confidence in managing cravings. Rather, using both strategies can have an impact on multiple mechanisms at once.</w:t>
      </w:r>
    </w:p>
    <w:p>
      <w:pPr>
        <w:pStyle w:val="Body A"/>
        <w:spacing w:after="0"/>
        <w:rPr>
          <w:rStyle w:val="Hyperlink.0"/>
        </w:rPr>
      </w:pPr>
      <w:r>
        <w:rPr>
          <w:rStyle w:val="Hyperlink.0"/>
          <w:rtl w:val="0"/>
        </w:rPr>
        <w:t>Czernin</w:t>
      </w:r>
      <w:r>
        <w:rPr>
          <w:rFonts w:ascii="Arial" w:hAnsi="Arial"/>
          <w:i w:val="1"/>
          <w:iCs w:val="1"/>
          <w:sz w:val="22"/>
          <w:szCs w:val="22"/>
          <w:rtl w:val="0"/>
          <w:lang w:val="fr-FR"/>
        </w:rPr>
        <w:t xml:space="preserve"> et al</w:t>
      </w:r>
      <w:r>
        <w:rPr>
          <w:rFonts w:ascii="Arial" w:hAnsi="Arial"/>
          <w:sz w:val="22"/>
          <w:szCs w:val="22"/>
          <w:rtl w:val="0"/>
          <w:lang w:val="en-US"/>
        </w:rPr>
        <w:t>. (2025) have demonstrated the overall effectiveness of NRT, especially in the case of combined formulations, with comparative effectiveness varying by intervention, regimen, adherence, and population. So a review of adults in the UK comparing NRT to pharmacological and behavioural and combination interventions is warranted, especially identifying which interventions are most effective for long-term abstinence (Berridge, 2023). While there is considerable evidence in favour of NRTs, questions have been raised about its comparative long-term effectiveness for adults in the UK. The current body of evidence has used different combinations of interventions, follow-up periods and measures of adherence and outcomes. There is a lack of any study that compares NRT with other strategies.</w:t>
      </w:r>
    </w:p>
    <w:p>
      <w:pPr>
        <w:pStyle w:val="Heading"/>
        <w:rPr>
          <w:rFonts w:ascii="Arial" w:cs="Arial" w:hAnsi="Arial" w:eastAsia="Arial"/>
          <w:b w:val="1"/>
          <w:bCs w:val="1"/>
          <w:sz w:val="22"/>
          <w:szCs w:val="22"/>
        </w:rPr>
      </w:pPr>
      <w:bookmarkStart w:name="_Toc7" w:id="13"/>
      <w:bookmarkStart w:name="_y5kxpb4fv6to" w:id="14"/>
      <w:bookmarkEnd w:id="14"/>
      <w:r>
        <w:rPr>
          <w:rFonts w:ascii="Arial" w:hAnsi="Arial"/>
          <w:b w:val="1"/>
          <w:bCs w:val="1"/>
          <w:sz w:val="22"/>
          <w:szCs w:val="22"/>
          <w:rtl w:val="0"/>
        </w:rPr>
        <w:t>4</w:t>
      </w:r>
      <w:r>
        <w:rPr>
          <w:rFonts w:ascii="Arial" w:hAnsi="Arial"/>
          <w:b w:val="1"/>
          <w:bCs w:val="1"/>
          <w:sz w:val="22"/>
          <w:szCs w:val="22"/>
          <w:rtl w:val="0"/>
          <w:lang w:val="en-US"/>
        </w:rPr>
        <w:t xml:space="preserve">. Research Aim, Objectives and Question </w:t>
      </w:r>
      <w:bookmarkEnd w:id="13"/>
    </w:p>
    <w:p>
      <w:pPr>
        <w:pStyle w:val="Body A"/>
        <w:rPr>
          <w:rFonts w:ascii="Arial" w:cs="Arial" w:hAnsi="Arial" w:eastAsia="Arial"/>
          <w:b w:val="1"/>
          <w:bCs w:val="1"/>
          <w:sz w:val="22"/>
          <w:szCs w:val="22"/>
        </w:rPr>
      </w:pPr>
      <w:r>
        <w:rPr>
          <w:rFonts w:ascii="Arial" w:hAnsi="Arial"/>
          <w:b w:val="1"/>
          <w:bCs w:val="1"/>
          <w:sz w:val="22"/>
          <w:szCs w:val="22"/>
          <w:rtl w:val="0"/>
        </w:rPr>
        <w:t>Aim</w:t>
      </w:r>
    </w:p>
    <w:p>
      <w:pPr>
        <w:pStyle w:val="Body A"/>
        <w:rPr>
          <w:rStyle w:val="Hyperlink.0"/>
        </w:rPr>
      </w:pPr>
      <w:r>
        <w:rPr>
          <w:rFonts w:ascii="Arial" w:hAnsi="Arial"/>
          <w:sz w:val="22"/>
          <w:szCs w:val="22"/>
          <w:rtl w:val="0"/>
          <w:lang w:val="en-US"/>
        </w:rPr>
        <w:t>To evaluate the clinical efficacy and safety of Nicotine Replacement Therapy (NRT) compared to other combined smoking cessation interventions for adult smokers by critically analysing and synthesising existing international trial evidence.</w:t>
      </w:r>
    </w:p>
    <w:p>
      <w:pPr>
        <w:pStyle w:val="Body A"/>
        <w:rPr>
          <w:rFonts w:ascii="Arial" w:cs="Arial" w:hAnsi="Arial" w:eastAsia="Arial"/>
          <w:b w:val="1"/>
          <w:bCs w:val="1"/>
          <w:sz w:val="22"/>
          <w:szCs w:val="22"/>
        </w:rPr>
      </w:pPr>
      <w:r>
        <w:rPr>
          <w:rFonts w:ascii="Arial" w:hAnsi="Arial"/>
          <w:b w:val="1"/>
          <w:bCs w:val="1"/>
          <w:sz w:val="22"/>
          <w:szCs w:val="22"/>
          <w:rtl w:val="0"/>
          <w:lang w:val="fr-FR"/>
        </w:rPr>
        <w:t>Objectives</w:t>
      </w:r>
    </w:p>
    <w:p>
      <w:pPr>
        <w:pStyle w:val="Body A"/>
        <w:numPr>
          <w:ilvl w:val="0"/>
          <w:numId w:val="2"/>
        </w:numPr>
        <w:bidi w:val="0"/>
        <w:spacing w:after="0"/>
        <w:ind w:right="0"/>
        <w:jc w:val="both"/>
        <w:rPr>
          <w:rFonts w:ascii="Arial" w:hAnsi="Arial"/>
          <w:sz w:val="22"/>
          <w:szCs w:val="22"/>
          <w:rtl w:val="0"/>
          <w:lang w:val="en-US"/>
        </w:rPr>
      </w:pPr>
      <w:r>
        <w:rPr>
          <w:rFonts w:ascii="Arial" w:hAnsi="Arial"/>
          <w:sz w:val="22"/>
          <w:szCs w:val="22"/>
          <w:rtl w:val="0"/>
          <w:lang w:val="en-US"/>
        </w:rPr>
        <w:t>To explore and choose randomised controlled trials (RCTs) evaluating NRT against other cessation interventions (such as behavioural therapy, bupropion, varenicline) in adults.</w:t>
      </w:r>
    </w:p>
    <w:p>
      <w:pPr>
        <w:pStyle w:val="Body A"/>
        <w:numPr>
          <w:ilvl w:val="0"/>
          <w:numId w:val="2"/>
        </w:numPr>
        <w:bidi w:val="0"/>
        <w:spacing w:before="0" w:after="0"/>
        <w:ind w:right="0"/>
        <w:jc w:val="both"/>
        <w:rPr>
          <w:rFonts w:ascii="Arial" w:hAnsi="Arial"/>
          <w:sz w:val="22"/>
          <w:szCs w:val="22"/>
          <w:rtl w:val="0"/>
          <w:lang w:val="en-US"/>
        </w:rPr>
      </w:pPr>
      <w:r>
        <w:rPr>
          <w:rFonts w:ascii="Arial" w:hAnsi="Arial"/>
          <w:sz w:val="22"/>
          <w:szCs w:val="22"/>
          <w:rtl w:val="0"/>
          <w:lang w:val="en-US"/>
        </w:rPr>
        <w:t>To identify factors that impact the effectiveness of NRT in comparison to other interventions.</w:t>
      </w:r>
    </w:p>
    <w:p>
      <w:pPr>
        <w:pStyle w:val="Body A"/>
        <w:numPr>
          <w:ilvl w:val="0"/>
          <w:numId w:val="2"/>
        </w:numPr>
        <w:bidi w:val="0"/>
        <w:spacing w:before="0" w:after="0"/>
        <w:ind w:right="0"/>
        <w:jc w:val="both"/>
        <w:rPr>
          <w:rFonts w:ascii="Arial" w:hAnsi="Arial"/>
          <w:sz w:val="22"/>
          <w:szCs w:val="22"/>
          <w:rtl w:val="0"/>
          <w:lang w:val="en-US"/>
        </w:rPr>
      </w:pPr>
      <w:r>
        <w:rPr>
          <w:rFonts w:ascii="Arial" w:hAnsi="Arial"/>
          <w:sz w:val="22"/>
          <w:szCs w:val="22"/>
          <w:rtl w:val="0"/>
          <w:lang w:val="en-US"/>
        </w:rPr>
        <w:t xml:space="preserve">To compare the long-term abstinence outcomes between adults using NRT and those undergoing other alternative cessation interventions. </w:t>
      </w:r>
    </w:p>
    <w:p>
      <w:pPr>
        <w:pStyle w:val="Body A"/>
        <w:numPr>
          <w:ilvl w:val="0"/>
          <w:numId w:val="2"/>
        </w:numPr>
        <w:bidi w:val="0"/>
        <w:spacing w:before="0" w:after="0"/>
        <w:ind w:right="0"/>
        <w:jc w:val="both"/>
        <w:rPr>
          <w:rFonts w:ascii="Arial" w:hAnsi="Arial"/>
          <w:sz w:val="22"/>
          <w:szCs w:val="22"/>
          <w:rtl w:val="0"/>
          <w:lang w:val="en-US"/>
        </w:rPr>
      </w:pPr>
      <w:r>
        <w:rPr>
          <w:rFonts w:ascii="Arial" w:hAnsi="Arial"/>
          <w:sz w:val="22"/>
          <w:szCs w:val="22"/>
          <w:rtl w:val="0"/>
          <w:lang w:val="en-US"/>
        </w:rPr>
        <w:t xml:space="preserve">To analyse whether combination therapies including multiple forms of NRT and NRT combined with behavioural support achieve greater success rates compared with alternative single-agent interventions. </w:t>
      </w:r>
    </w:p>
    <w:p>
      <w:pPr>
        <w:pStyle w:val="Body A"/>
        <w:numPr>
          <w:ilvl w:val="0"/>
          <w:numId w:val="2"/>
        </w:numPr>
        <w:bidi w:val="0"/>
        <w:spacing w:before="0"/>
        <w:ind w:right="0"/>
        <w:jc w:val="both"/>
        <w:rPr>
          <w:rFonts w:ascii="Arial" w:hAnsi="Arial"/>
          <w:sz w:val="22"/>
          <w:szCs w:val="22"/>
          <w:rtl w:val="0"/>
          <w:lang w:val="en-US"/>
        </w:rPr>
      </w:pPr>
      <w:r>
        <w:rPr>
          <w:rFonts w:ascii="Arial" w:hAnsi="Arial"/>
          <w:sz w:val="22"/>
          <w:szCs w:val="22"/>
          <w:rtl w:val="0"/>
          <w:lang w:val="en-US"/>
        </w:rPr>
        <w:t>To provide recommendations for enhancing NRT treatment outcomes.</w:t>
      </w:r>
    </w:p>
    <w:p>
      <w:pPr>
        <w:pStyle w:val="Body A"/>
        <w:rPr>
          <w:rFonts w:ascii="Arial" w:cs="Arial" w:hAnsi="Arial" w:eastAsia="Arial"/>
          <w:b w:val="1"/>
          <w:bCs w:val="1"/>
          <w:sz w:val="22"/>
          <w:szCs w:val="22"/>
        </w:rPr>
      </w:pPr>
      <w:r>
        <w:rPr>
          <w:rFonts w:ascii="Arial" w:hAnsi="Arial"/>
          <w:b w:val="1"/>
          <w:bCs w:val="1"/>
          <w:sz w:val="22"/>
          <w:szCs w:val="22"/>
          <w:rtl w:val="0"/>
          <w:lang w:val="en-US"/>
        </w:rPr>
        <w:t>Research Question</w:t>
      </w:r>
    </w:p>
    <w:p>
      <w:pPr>
        <w:pStyle w:val="Body A"/>
        <w:rPr>
          <w:rFonts w:ascii="Arial" w:cs="Arial" w:hAnsi="Arial" w:eastAsia="Arial"/>
          <w:b w:val="1"/>
          <w:bCs w:val="1"/>
          <w:sz w:val="22"/>
          <w:szCs w:val="22"/>
        </w:rPr>
      </w:pPr>
      <w:r>
        <w:rPr>
          <w:rFonts w:ascii="Arial" w:hAnsi="Arial"/>
          <w:b w:val="1"/>
          <w:bCs w:val="1"/>
          <w:sz w:val="22"/>
          <w:szCs w:val="22"/>
          <w:rtl w:val="0"/>
          <w:lang w:val="it-IT"/>
        </w:rPr>
        <w:t xml:space="preserve">Question </w:t>
      </w:r>
    </w:p>
    <w:p>
      <w:pPr>
        <w:pStyle w:val="Body A"/>
        <w:rPr>
          <w:rStyle w:val="Hyperlink.0"/>
        </w:rPr>
      </w:pPr>
      <w:r>
        <w:rPr>
          <w:rFonts w:ascii="Arial" w:hAnsi="Arial"/>
          <w:sz w:val="22"/>
          <w:szCs w:val="22"/>
          <w:rtl w:val="0"/>
          <w:lang w:val="en-US"/>
        </w:rPr>
        <w:t>How effective is Nicotine Replacement Therapy (NRT) for long-term smoking cessation in relation to other interventions like pharmacological treatments, behavioural support, or combinations of methods?</w:t>
      </w:r>
    </w:p>
    <w:p>
      <w:pPr>
        <w:pStyle w:val="Heading"/>
        <w:rPr>
          <w:rFonts w:ascii="Arial" w:cs="Arial" w:hAnsi="Arial" w:eastAsia="Arial"/>
          <w:b w:val="1"/>
          <w:bCs w:val="1"/>
          <w:sz w:val="22"/>
          <w:szCs w:val="22"/>
        </w:rPr>
      </w:pPr>
      <w:bookmarkStart w:name="_Toc8" w:id="15"/>
      <w:bookmarkStart w:name="_bxpvldte3frt" w:id="16"/>
      <w:bookmarkEnd w:id="16"/>
      <w:r>
        <w:rPr>
          <w:rFonts w:ascii="Arial" w:hAnsi="Arial"/>
          <w:b w:val="1"/>
          <w:bCs w:val="1"/>
          <w:sz w:val="22"/>
          <w:szCs w:val="22"/>
          <w:rtl w:val="0"/>
        </w:rPr>
        <w:t>5</w:t>
      </w:r>
      <w:r>
        <w:rPr>
          <w:rFonts w:ascii="Arial" w:hAnsi="Arial"/>
          <w:b w:val="1"/>
          <w:bCs w:val="1"/>
          <w:sz w:val="22"/>
          <w:szCs w:val="22"/>
          <w:rtl w:val="0"/>
          <w:lang w:val="en-US"/>
        </w:rPr>
        <w:t>. Methodology</w:t>
      </w:r>
      <w:bookmarkEnd w:id="15"/>
    </w:p>
    <w:p>
      <w:pPr>
        <w:pStyle w:val="Heading 2"/>
        <w:rPr>
          <w:rFonts w:ascii="Arial" w:cs="Arial" w:hAnsi="Arial" w:eastAsia="Arial"/>
          <w:sz w:val="22"/>
          <w:szCs w:val="22"/>
        </w:rPr>
      </w:pPr>
      <w:bookmarkStart w:name="_Toc9" w:id="17"/>
      <w:bookmarkStart w:name="_kg7xccdnthe" w:id="18"/>
      <w:bookmarkEnd w:id="18"/>
      <w:r>
        <w:rPr>
          <w:rFonts w:ascii="Arial" w:hAnsi="Arial"/>
          <w:sz w:val="22"/>
          <w:szCs w:val="22"/>
          <w:rtl w:val="0"/>
        </w:rPr>
        <w:t>5</w:t>
      </w:r>
      <w:r>
        <w:rPr>
          <w:rFonts w:ascii="Arial" w:hAnsi="Arial"/>
          <w:sz w:val="22"/>
          <w:szCs w:val="22"/>
          <w:rtl w:val="0"/>
          <w:lang w:val="en-US"/>
        </w:rPr>
        <w:t xml:space="preserve">.1 Research Design and Methodological Approach </w:t>
      </w:r>
      <w:bookmarkEnd w:id="17"/>
    </w:p>
    <w:p>
      <w:pPr>
        <w:pStyle w:val="Body A"/>
        <w:rPr>
          <w:rStyle w:val="Hyperlink.0"/>
        </w:rPr>
      </w:pPr>
      <w:r>
        <w:rPr>
          <w:rFonts w:ascii="Arial" w:hAnsi="Arial"/>
          <w:sz w:val="22"/>
          <w:szCs w:val="22"/>
          <w:rtl w:val="0"/>
          <w:lang w:val="en-US"/>
        </w:rPr>
        <w:t>The proposed study will follow a systematic literature review design to determine, assess and synthesise randomised controlled trial (RCT) evidence on Nicotine Replacement Therapy (NRT) as compared to alternative smoking cessation interventions in adults in the UK. A systematic literature review will be suitable as it will offer a structured, transparent and replicable method of answering the research question and minimise the chances of biased selection of evidence (Sauer and Seuring, 2023). A predetermined procedure will involve the review process that will include the search, screening, eligibility evaluation, quality evaluation, data retrieval, and synthesis.</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Therefore, this design will provide evidence that is collected in a systematic and not a selective manner so that the comparative effectiveness of NRT may be measured compared to other cessation interventions through a well-defined and reproducible process (Xames and Topcu, 2024).</w:t>
      </w:r>
    </w:p>
    <w:p>
      <w:pPr>
        <w:pStyle w:val="Heading 2"/>
        <w:rPr>
          <w:rFonts w:ascii="Arial" w:cs="Arial" w:hAnsi="Arial" w:eastAsia="Arial"/>
          <w:sz w:val="22"/>
          <w:szCs w:val="22"/>
        </w:rPr>
      </w:pPr>
      <w:bookmarkStart w:name="_Toc10" w:id="19"/>
      <w:bookmarkStart w:name="_eym8twedes3j" w:id="20"/>
      <w:bookmarkEnd w:id="20"/>
      <w:r>
        <w:rPr>
          <w:rFonts w:ascii="Arial" w:hAnsi="Arial"/>
          <w:sz w:val="22"/>
          <w:szCs w:val="22"/>
          <w:rtl w:val="0"/>
        </w:rPr>
        <w:t>5</w:t>
      </w:r>
      <w:r>
        <w:rPr>
          <w:rFonts w:ascii="Arial" w:hAnsi="Arial"/>
          <w:sz w:val="22"/>
          <w:szCs w:val="22"/>
          <w:rtl w:val="0"/>
          <w:lang w:val="en-US"/>
        </w:rPr>
        <w:t xml:space="preserve">.2 PICO Framework </w:t>
      </w:r>
      <w:bookmarkEnd w:id="19"/>
    </w:p>
    <w:p>
      <w:pPr>
        <w:pStyle w:val="Body A"/>
        <w:rPr>
          <w:rStyle w:val="Hyperlink.0"/>
        </w:rPr>
      </w:pPr>
      <w:r>
        <w:rPr>
          <w:rFonts w:ascii="Arial" w:hAnsi="Arial"/>
          <w:sz w:val="22"/>
          <w:szCs w:val="22"/>
          <w:rtl w:val="0"/>
          <w:lang w:val="en-US"/>
        </w:rPr>
        <w:t>The research question will be derived with the PICO framework, which will result in consistency between the research question, search strategy, and eligibility criteria and outcomes.</w:t>
      </w:r>
    </w:p>
    <w:tbl>
      <w:tblPr>
        <w:tblW w:w="900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297"/>
        <w:gridCol w:w="6703"/>
      </w:tblGrid>
      <w:tr>
        <w:tblPrEx>
          <w:shd w:val="clear" w:color="auto" w:fill="ced7e7"/>
        </w:tblPrEx>
        <w:trPr>
          <w:trHeight w:val="273" w:hRule="atLeast"/>
        </w:trPr>
        <w:tc>
          <w:tcPr>
            <w:tcW w:type="dxa" w:w="22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PICO Element </w:t>
            </w:r>
          </w:p>
        </w:tc>
        <w:tc>
          <w:tcPr>
            <w:tcW w:type="dxa" w:w="670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9cb9c"/>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Proposed Defination </w:t>
            </w:r>
          </w:p>
        </w:tc>
      </w:tr>
      <w:tr>
        <w:tblPrEx>
          <w:shd w:val="clear" w:color="auto" w:fill="ced7e7"/>
        </w:tblPrEx>
        <w:trPr>
          <w:trHeight w:val="1380" w:hRule="atLeast"/>
        </w:trPr>
        <w:tc>
          <w:tcPr>
            <w:tcW w:type="dxa" w:w="22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Population (P)</w:t>
            </w:r>
          </w:p>
        </w:tc>
        <w:tc>
          <w:tcPr>
            <w:tcW w:type="dxa" w:w="670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Adults aged 18 years and older who smoke and are located in the UK.</w:t>
            </w:r>
          </w:p>
        </w:tc>
      </w:tr>
      <w:tr>
        <w:tblPrEx>
          <w:shd w:val="clear" w:color="auto" w:fill="ced7e7"/>
        </w:tblPrEx>
        <w:trPr>
          <w:trHeight w:val="629" w:hRule="atLeast"/>
        </w:trPr>
        <w:tc>
          <w:tcPr>
            <w:tcW w:type="dxa" w:w="22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 xml:space="preserve">Intervention (I) </w:t>
            </w:r>
          </w:p>
        </w:tc>
        <w:tc>
          <w:tcPr>
            <w:tcW w:type="dxa" w:w="670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Nicotine Replacement Therapy, such as patches, gum, lozenges, sprays and inhalers.</w:t>
            </w:r>
          </w:p>
        </w:tc>
      </w:tr>
      <w:tr>
        <w:tblPrEx>
          <w:shd w:val="clear" w:color="auto" w:fill="ced7e7"/>
        </w:tblPrEx>
        <w:trPr>
          <w:trHeight w:val="629" w:hRule="atLeast"/>
        </w:trPr>
        <w:tc>
          <w:tcPr>
            <w:tcW w:type="dxa" w:w="22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Comparison (C)</w:t>
            </w:r>
          </w:p>
        </w:tc>
        <w:tc>
          <w:tcPr>
            <w:tcW w:type="dxa" w:w="670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Behavioural support, pharmacological interventions, e-cigarettes, combination interventions or other appropriate cessation methods</w:t>
            </w:r>
          </w:p>
        </w:tc>
      </w:tr>
      <w:tr>
        <w:tblPrEx>
          <w:shd w:val="clear" w:color="auto" w:fill="ced7e7"/>
        </w:tblPrEx>
        <w:trPr>
          <w:trHeight w:val="273" w:hRule="atLeast"/>
        </w:trPr>
        <w:tc>
          <w:tcPr>
            <w:tcW w:type="dxa" w:w="2297"/>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Outcome (O)</w:t>
            </w:r>
          </w:p>
        </w:tc>
        <w:tc>
          <w:tcPr>
            <w:tcW w:type="dxa" w:w="670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ce5cd"/>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Smoking abstinence, especially long-term or sustained abstinence.</w:t>
            </w:r>
          </w:p>
        </w:tc>
      </w:tr>
    </w:tbl>
    <w:p>
      <w:pPr>
        <w:pStyle w:val="Body A"/>
        <w:widowControl w:val="0"/>
        <w:spacing w:line="240" w:lineRule="auto"/>
        <w:ind w:left="108" w:hanging="108"/>
        <w:jc w:val="left"/>
        <w:rPr>
          <w:rStyle w:val="Hyperlink.0"/>
        </w:rPr>
      </w:pPr>
    </w:p>
    <w:p>
      <w:pPr>
        <w:pStyle w:val="Body A"/>
        <w:widowControl w:val="0"/>
        <w:spacing w:line="240" w:lineRule="auto"/>
        <w:rPr>
          <w:rStyle w:val="Hyperlink.0"/>
        </w:rPr>
      </w:pPr>
    </w:p>
    <w:p>
      <w:pPr>
        <w:pStyle w:val="Body A"/>
        <w:jc w:val="center"/>
        <w:rPr>
          <w:rFonts w:ascii="Arial" w:cs="Arial" w:hAnsi="Arial" w:eastAsia="Arial"/>
          <w:b w:val="1"/>
          <w:bCs w:val="1"/>
          <w:sz w:val="22"/>
          <w:szCs w:val="22"/>
        </w:rPr>
      </w:pPr>
      <w:r>
        <w:rPr>
          <w:rFonts w:ascii="Arial" w:hAnsi="Arial"/>
          <w:b w:val="1"/>
          <w:bCs w:val="1"/>
          <w:sz w:val="22"/>
          <w:szCs w:val="22"/>
          <w:rtl w:val="0"/>
          <w:lang w:val="fr-FR"/>
        </w:rPr>
        <w:t xml:space="preserve">Table 1: PICO elements </w:t>
      </w:r>
    </w:p>
    <w:p>
      <w:pPr>
        <w:pStyle w:val="Body A"/>
        <w:jc w:val="center"/>
        <w:rPr>
          <w:rStyle w:val="Hyperlink.0"/>
        </w:rPr>
      </w:pPr>
      <w:r>
        <w:rPr>
          <w:rFonts w:ascii="Arial" w:hAnsi="Arial"/>
          <w:sz w:val="22"/>
          <w:szCs w:val="22"/>
          <w:rtl w:val="0"/>
          <w:lang w:val="en-US"/>
        </w:rPr>
        <w:t xml:space="preserve">(Self-created) </w:t>
      </w:r>
    </w:p>
    <w:p>
      <w:pPr>
        <w:pStyle w:val="Body A"/>
        <w:rPr>
          <w:rStyle w:val="Hyperlink.0"/>
        </w:rPr>
      </w:pPr>
      <w:r>
        <w:rPr>
          <w:rFonts w:ascii="Arial" w:hAnsi="Arial"/>
          <w:sz w:val="22"/>
          <w:szCs w:val="22"/>
          <w:rtl w:val="0"/>
          <w:lang w:val="en-US"/>
        </w:rPr>
        <w:t>Thus, the PICO framework will offer a logical structure for maintaining methodological consistency and make sure the evidence is related to the research question directly (Nishikawa-Pacher, 2022).</w:t>
      </w:r>
    </w:p>
    <w:p>
      <w:pPr>
        <w:pStyle w:val="Heading 2"/>
        <w:rPr>
          <w:rFonts w:ascii="Arial" w:cs="Arial" w:hAnsi="Arial" w:eastAsia="Arial"/>
          <w:sz w:val="22"/>
          <w:szCs w:val="22"/>
        </w:rPr>
      </w:pPr>
      <w:bookmarkStart w:name="_Toc11" w:id="21"/>
      <w:bookmarkStart w:name="_nrq854ekm9n4" w:id="22"/>
      <w:bookmarkEnd w:id="22"/>
      <w:r>
        <w:rPr>
          <w:rFonts w:ascii="Arial" w:hAnsi="Arial"/>
          <w:sz w:val="22"/>
          <w:szCs w:val="22"/>
          <w:rtl w:val="0"/>
        </w:rPr>
        <w:t>5</w:t>
      </w:r>
      <w:r>
        <w:rPr>
          <w:rFonts w:ascii="Arial" w:hAnsi="Arial"/>
          <w:sz w:val="22"/>
          <w:szCs w:val="22"/>
          <w:rtl w:val="0"/>
          <w:lang w:val="en-US"/>
        </w:rPr>
        <w:t xml:space="preserve">.3 Information Sources and Databases </w:t>
      </w:r>
      <w:bookmarkEnd w:id="21"/>
    </w:p>
    <w:p>
      <w:pPr>
        <w:pStyle w:val="Body A"/>
        <w:rPr>
          <w:rStyle w:val="Hyperlink.0"/>
        </w:rPr>
      </w:pPr>
      <w:r>
        <w:rPr>
          <w:rFonts w:ascii="Arial" w:hAnsi="Arial"/>
          <w:sz w:val="22"/>
          <w:szCs w:val="22"/>
          <w:rtl w:val="0"/>
          <w:lang w:val="en-US"/>
        </w:rPr>
        <w:t>The study will utilise the search of major health, medical and multidisciplinary databases to retrieve pertinent peer-reviewed RCT evidence. The proposed information sources will include MEDLINE/PubMed, Embase, CINAHL, Cochrane CENTRAL and Scopus, subject to institutional access and supervisor approval. The search of databases will be mostly limited to studies from the last six years, i.e. since 2021. Citation tracking will be done where necessary to find the relevant studies that cannot be found in the search by a keyword.</w:t>
      </w:r>
    </w:p>
    <w:p>
      <w:pPr>
        <w:pStyle w:val="Body A"/>
        <w:rPr>
          <w:rStyle w:val="Hyperlink.0"/>
        </w:rPr>
      </w:pPr>
      <w:r>
        <w:rPr>
          <w:rFonts w:ascii="Arial" w:hAnsi="Arial"/>
          <w:b w:val="1"/>
          <w:bCs w:val="1"/>
          <w:sz w:val="22"/>
          <w:szCs w:val="22"/>
          <w:rtl w:val="0"/>
          <w:lang w:val="en-US"/>
        </w:rPr>
        <w:t xml:space="preserve">Justification: </w:t>
      </w:r>
      <w:r>
        <w:rPr>
          <w:rFonts w:ascii="Arial" w:hAnsi="Arial"/>
          <w:sz w:val="22"/>
          <w:szCs w:val="22"/>
          <w:rtl w:val="0"/>
          <w:lang w:val="en-US"/>
        </w:rPr>
        <w:t xml:space="preserve">Hence, complementary databases will be used to expand coverage of evidence in medicine, nursing, public health and multidisciplinary research and decrease the risk of database-specific selection bias (Frandsen </w:t>
      </w:r>
      <w:r>
        <w:rPr>
          <w:rFonts w:ascii="Arial" w:hAnsi="Arial"/>
          <w:i w:val="1"/>
          <w:iCs w:val="1"/>
          <w:sz w:val="22"/>
          <w:szCs w:val="22"/>
          <w:rtl w:val="0"/>
        </w:rPr>
        <w:t>et al.,</w:t>
      </w:r>
      <w:r>
        <w:rPr>
          <w:rStyle w:val="Hyperlink.0"/>
          <w:rtl w:val="0"/>
        </w:rPr>
        <w:t xml:space="preserve"> 2025).</w:t>
      </w:r>
    </w:p>
    <w:p>
      <w:pPr>
        <w:pStyle w:val="Heading 2"/>
        <w:rPr>
          <w:rFonts w:ascii="Arial" w:cs="Arial" w:hAnsi="Arial" w:eastAsia="Arial"/>
          <w:sz w:val="22"/>
          <w:szCs w:val="22"/>
        </w:rPr>
      </w:pPr>
      <w:bookmarkStart w:name="_Toc12" w:id="23"/>
      <w:bookmarkStart w:name="_ukesjl8jl7xe" w:id="24"/>
      <w:bookmarkEnd w:id="24"/>
      <w:r>
        <w:rPr>
          <w:rFonts w:ascii="Arial" w:hAnsi="Arial"/>
          <w:sz w:val="22"/>
          <w:szCs w:val="22"/>
          <w:rtl w:val="0"/>
        </w:rPr>
        <w:t>5</w:t>
      </w:r>
      <w:r>
        <w:rPr>
          <w:rFonts w:ascii="Arial" w:hAnsi="Arial"/>
          <w:sz w:val="22"/>
          <w:szCs w:val="22"/>
          <w:rtl w:val="0"/>
          <w:lang w:val="en-US"/>
        </w:rPr>
        <w:t xml:space="preserve">.4 Search Strategy and Search Terms </w:t>
      </w:r>
      <w:bookmarkEnd w:id="23"/>
    </w:p>
    <w:p>
      <w:pPr>
        <w:pStyle w:val="Body A"/>
        <w:rPr>
          <w:rStyle w:val="Hyperlink.0"/>
        </w:rPr>
      </w:pPr>
      <w:r>
        <w:rPr>
          <w:rFonts w:ascii="Arial" w:hAnsi="Arial"/>
          <w:sz w:val="22"/>
          <w:szCs w:val="22"/>
          <w:rtl w:val="0"/>
          <w:lang w:val="en-US"/>
        </w:rPr>
        <w:t xml:space="preserve">The PICO components will be used to create a structured search strategy tailored to the indexing needs of the respective databases. Free-text keywords will be used with controlled vocabulary (MeSH terms) to ensure that variations in terminology are retrieved. Combination and refinement of concepts will be carried out using Boolean operators AND and OR (Ghamrawi </w:t>
      </w:r>
      <w:r>
        <w:rPr>
          <w:rFonts w:ascii="Arial" w:hAnsi="Arial"/>
          <w:i w:val="1"/>
          <w:iCs w:val="1"/>
          <w:sz w:val="22"/>
          <w:szCs w:val="22"/>
          <w:rtl w:val="0"/>
        </w:rPr>
        <w:t>et al.,</w:t>
      </w:r>
      <w:r>
        <w:rPr>
          <w:rFonts w:ascii="Arial" w:hAnsi="Arial"/>
          <w:sz w:val="22"/>
          <w:szCs w:val="22"/>
          <w:rtl w:val="0"/>
          <w:lang w:val="en-US"/>
        </w:rPr>
        <w:t xml:space="preserve"> 2025). Truncation and phrase searching will be used where necessary. The search terms will be a combination of the following terms: </w:t>
      </w:r>
      <w:r>
        <w:rPr>
          <w:rFonts w:ascii="Arial" w:hAnsi="Arial" w:hint="default"/>
          <w:sz w:val="22"/>
          <w:szCs w:val="22"/>
          <w:rtl w:val="0"/>
          <w:lang w:val="en-US"/>
        </w:rPr>
        <w:t>“</w:t>
      </w:r>
      <w:r>
        <w:rPr>
          <w:rFonts w:ascii="Arial" w:hAnsi="Arial"/>
          <w:i w:val="1"/>
          <w:iCs w:val="1"/>
          <w:sz w:val="22"/>
          <w:szCs w:val="22"/>
          <w:rtl w:val="0"/>
          <w:lang w:val="en-US"/>
        </w:rPr>
        <w:t>nicotine replacement therapy</w:t>
      </w:r>
      <w:r>
        <w:rPr>
          <w:rFonts w:ascii="Arial" w:hAnsi="Arial" w:hint="default"/>
          <w:sz w:val="22"/>
          <w:szCs w:val="22"/>
          <w:rtl w:val="0"/>
          <w:lang w:val="en-US"/>
        </w:rPr>
        <w:t>”</w:t>
      </w:r>
      <w:r>
        <w:rPr>
          <w:rStyle w:val="Hyperlink.0"/>
          <w:rtl w:val="0"/>
        </w:rPr>
        <w:t xml:space="preserve">, </w:t>
      </w:r>
      <w:r>
        <w:rPr>
          <w:rFonts w:ascii="Arial" w:hAnsi="Arial"/>
          <w:i w:val="1"/>
          <w:iCs w:val="1"/>
          <w:sz w:val="22"/>
          <w:szCs w:val="22"/>
          <w:rtl w:val="0"/>
          <w:lang w:val="de-DE"/>
        </w:rPr>
        <w:t>NRT</w:t>
      </w:r>
      <w:r>
        <w:rPr>
          <w:rStyle w:val="Hyperlink.0"/>
          <w:rtl w:val="0"/>
        </w:rPr>
        <w:t xml:space="preserve">, </w:t>
      </w:r>
      <w:r>
        <w:rPr>
          <w:rFonts w:ascii="Arial" w:hAnsi="Arial"/>
          <w:i w:val="1"/>
          <w:iCs w:val="1"/>
          <w:sz w:val="22"/>
          <w:szCs w:val="22"/>
          <w:rtl w:val="0"/>
          <w:lang w:val="en-US"/>
        </w:rPr>
        <w:t>nicotine patch</w:t>
      </w:r>
      <w:r>
        <w:rPr>
          <w:rStyle w:val="Hyperlink.0"/>
          <w:rtl w:val="0"/>
        </w:rPr>
        <w:t xml:space="preserve">, </w:t>
      </w:r>
      <w:r>
        <w:rPr>
          <w:rFonts w:ascii="Arial" w:hAnsi="Arial"/>
          <w:i w:val="1"/>
          <w:iCs w:val="1"/>
          <w:sz w:val="22"/>
          <w:szCs w:val="22"/>
          <w:rtl w:val="0"/>
        </w:rPr>
        <w:t>nicotine gum</w:t>
      </w:r>
      <w:r>
        <w:rPr>
          <w:rStyle w:val="Hyperlink.0"/>
          <w:rtl w:val="0"/>
        </w:rPr>
        <w:t xml:space="preserve">, </w:t>
      </w:r>
      <w:r>
        <w:rPr>
          <w:rFonts w:ascii="Arial" w:hAnsi="Arial"/>
          <w:i w:val="1"/>
          <w:iCs w:val="1"/>
          <w:sz w:val="22"/>
          <w:szCs w:val="22"/>
          <w:rtl w:val="0"/>
          <w:lang w:val="nl-NL"/>
        </w:rPr>
        <w:t>nicotine lozenge</w:t>
      </w:r>
      <w:r>
        <w:rPr>
          <w:rStyle w:val="Hyperlink.0"/>
          <w:rtl w:val="0"/>
        </w:rPr>
        <w:t xml:space="preserve">, </w:t>
      </w:r>
      <w:r>
        <w:rPr>
          <w:rFonts w:ascii="Arial" w:hAnsi="Arial"/>
          <w:i w:val="1"/>
          <w:iCs w:val="1"/>
          <w:sz w:val="22"/>
          <w:szCs w:val="22"/>
          <w:rtl w:val="0"/>
          <w:lang w:val="en-US"/>
        </w:rPr>
        <w:t>smoking cessation</w:t>
      </w:r>
      <w:r>
        <w:rPr>
          <w:rStyle w:val="Hyperlink.0"/>
          <w:rtl w:val="0"/>
        </w:rPr>
        <w:t xml:space="preserve">, </w:t>
      </w:r>
      <w:r>
        <w:rPr>
          <w:rFonts w:ascii="Arial" w:hAnsi="Arial"/>
          <w:i w:val="1"/>
          <w:iCs w:val="1"/>
          <w:sz w:val="22"/>
          <w:szCs w:val="22"/>
          <w:rtl w:val="0"/>
          <w:lang w:val="en-US"/>
        </w:rPr>
        <w:t>smoking abstinence</w:t>
      </w:r>
      <w:r>
        <w:rPr>
          <w:rStyle w:val="Hyperlink.0"/>
          <w:rtl w:val="0"/>
        </w:rPr>
        <w:t xml:space="preserve">, </w:t>
      </w:r>
      <w:r>
        <w:rPr>
          <w:rFonts w:ascii="Arial" w:hAnsi="Arial"/>
          <w:i w:val="1"/>
          <w:iCs w:val="1"/>
          <w:sz w:val="22"/>
          <w:szCs w:val="22"/>
          <w:rtl w:val="0"/>
          <w:lang w:val="it-IT"/>
        </w:rPr>
        <w:t>tobacco cessation</w:t>
      </w:r>
      <w:r>
        <w:rPr>
          <w:rStyle w:val="Hyperlink.0"/>
          <w:rtl w:val="0"/>
        </w:rPr>
        <w:t xml:space="preserve">, </w:t>
      </w:r>
      <w:r>
        <w:rPr>
          <w:rFonts w:ascii="Arial" w:hAnsi="Arial"/>
          <w:i w:val="1"/>
          <w:iCs w:val="1"/>
          <w:sz w:val="22"/>
          <w:szCs w:val="22"/>
          <w:rtl w:val="0"/>
          <w:lang w:val="it-IT"/>
        </w:rPr>
        <w:t>varenicline</w:t>
      </w:r>
      <w:r>
        <w:rPr>
          <w:rStyle w:val="Hyperlink.0"/>
          <w:rtl w:val="0"/>
        </w:rPr>
        <w:t xml:space="preserve">, </w:t>
      </w:r>
      <w:r>
        <w:rPr>
          <w:rFonts w:ascii="Arial" w:hAnsi="Arial"/>
          <w:i w:val="1"/>
          <w:iCs w:val="1"/>
          <w:sz w:val="22"/>
          <w:szCs w:val="22"/>
          <w:rtl w:val="0"/>
          <w:lang w:val="es-ES_tradnl"/>
        </w:rPr>
        <w:t>bupropion</w:t>
      </w:r>
      <w:r>
        <w:rPr>
          <w:rStyle w:val="Hyperlink.0"/>
          <w:rtl w:val="0"/>
        </w:rPr>
        <w:t xml:space="preserve">, </w:t>
      </w:r>
      <w:r>
        <w:rPr>
          <w:rFonts w:ascii="Arial" w:hAnsi="Arial"/>
          <w:i w:val="1"/>
          <w:iCs w:val="1"/>
          <w:sz w:val="22"/>
          <w:szCs w:val="22"/>
          <w:rtl w:val="0"/>
          <w:lang w:val="en-US"/>
        </w:rPr>
        <w:t>electronic cigarette</w:t>
      </w:r>
      <w:r>
        <w:rPr>
          <w:rStyle w:val="Hyperlink.0"/>
          <w:rtl w:val="0"/>
        </w:rPr>
        <w:t xml:space="preserve">, </w:t>
      </w:r>
      <w:r>
        <w:rPr>
          <w:rFonts w:ascii="Arial" w:hAnsi="Arial"/>
          <w:i w:val="1"/>
          <w:iCs w:val="1"/>
          <w:sz w:val="22"/>
          <w:szCs w:val="22"/>
          <w:rtl w:val="0"/>
        </w:rPr>
        <w:t>vaping</w:t>
      </w:r>
      <w:r>
        <w:rPr>
          <w:rStyle w:val="Hyperlink.0"/>
          <w:rtl w:val="0"/>
        </w:rPr>
        <w:t xml:space="preserve">, </w:t>
      </w:r>
      <w:r>
        <w:rPr>
          <w:rFonts w:ascii="Arial" w:hAnsi="Arial"/>
          <w:i w:val="1"/>
          <w:iCs w:val="1"/>
          <w:sz w:val="22"/>
          <w:szCs w:val="22"/>
          <w:rtl w:val="0"/>
          <w:lang w:val="en-US"/>
        </w:rPr>
        <w:t>behavioural support</w:t>
      </w:r>
      <w:r>
        <w:rPr>
          <w:rStyle w:val="Hyperlink.0"/>
          <w:rtl w:val="0"/>
        </w:rPr>
        <w:t xml:space="preserve">, </w:t>
      </w:r>
      <w:r>
        <w:rPr>
          <w:rFonts w:ascii="Arial" w:hAnsi="Arial"/>
          <w:i w:val="1"/>
          <w:iCs w:val="1"/>
          <w:sz w:val="22"/>
          <w:szCs w:val="22"/>
          <w:rtl w:val="0"/>
          <w:lang w:val="en-US"/>
        </w:rPr>
        <w:t>counselling</w:t>
      </w:r>
      <w:r>
        <w:rPr>
          <w:rStyle w:val="Hyperlink.0"/>
          <w:rtl w:val="0"/>
        </w:rPr>
        <w:t xml:space="preserve">, </w:t>
      </w:r>
      <w:r>
        <w:rPr>
          <w:rFonts w:ascii="Arial" w:hAnsi="Arial"/>
          <w:i w:val="1"/>
          <w:iCs w:val="1"/>
          <w:sz w:val="22"/>
          <w:szCs w:val="22"/>
          <w:rtl w:val="0"/>
          <w:lang w:val="en-US"/>
        </w:rPr>
        <w:t>combination therapy</w:t>
      </w:r>
      <w:r>
        <w:rPr>
          <w:rStyle w:val="Hyperlink.0"/>
          <w:rtl w:val="0"/>
        </w:rPr>
        <w:t xml:space="preserve">, </w:t>
      </w:r>
      <w:r>
        <w:rPr>
          <w:rFonts w:ascii="Arial" w:hAnsi="Arial"/>
          <w:i w:val="1"/>
          <w:iCs w:val="1"/>
          <w:sz w:val="22"/>
          <w:szCs w:val="22"/>
          <w:rtl w:val="0"/>
          <w:lang w:val="en-US"/>
        </w:rPr>
        <w:t>adult smokers</w:t>
      </w:r>
      <w:r>
        <w:rPr>
          <w:rFonts w:ascii="Arial" w:hAnsi="Arial"/>
          <w:sz w:val="22"/>
          <w:szCs w:val="22"/>
          <w:rtl w:val="0"/>
          <w:lang w:val="en-US"/>
        </w:rPr>
        <w:t xml:space="preserve"> and </w:t>
      </w:r>
      <w:r>
        <w:rPr>
          <w:rFonts w:ascii="Arial" w:hAnsi="Arial"/>
          <w:i w:val="1"/>
          <w:iCs w:val="1"/>
          <w:sz w:val="22"/>
          <w:szCs w:val="22"/>
          <w:rtl w:val="0"/>
        </w:rPr>
        <w:t>UK</w:t>
      </w:r>
      <w:r>
        <w:rPr>
          <w:rFonts w:ascii="Arial" w:hAnsi="Arial"/>
          <w:sz w:val="22"/>
          <w:szCs w:val="22"/>
          <w:rtl w:val="0"/>
          <w:lang w:val="en-US"/>
        </w:rPr>
        <w:t xml:space="preserve">. Searches will be documented to support reproducibility. </w:t>
      </w:r>
    </w:p>
    <w:p>
      <w:pPr>
        <w:pStyle w:val="Body A"/>
        <w:rPr>
          <w:rStyle w:val="Hyperlink.0"/>
        </w:rPr>
      </w:pPr>
      <w:r>
        <w:rPr>
          <w:rFonts w:ascii="Arial" w:hAnsi="Arial"/>
          <w:b w:val="1"/>
          <w:bCs w:val="1"/>
          <w:sz w:val="22"/>
          <w:szCs w:val="22"/>
          <w:rtl w:val="0"/>
          <w:lang w:val="en-US"/>
        </w:rPr>
        <w:t xml:space="preserve">Justification: </w:t>
      </w:r>
      <w:r>
        <w:rPr>
          <w:rFonts w:ascii="Arial" w:hAnsi="Arial"/>
          <w:sz w:val="22"/>
          <w:szCs w:val="22"/>
          <w:rtl w:val="0"/>
          <w:lang w:val="en-US"/>
        </w:rPr>
        <w:t xml:space="preserve">A detailed search plan will ensure that the greatest amount of evidence is identified and that the research question and studies retrieved are well correlated (Ghamrawi </w:t>
      </w:r>
      <w:r>
        <w:rPr>
          <w:rFonts w:ascii="Arial" w:hAnsi="Arial"/>
          <w:i w:val="1"/>
          <w:iCs w:val="1"/>
          <w:sz w:val="22"/>
          <w:szCs w:val="22"/>
          <w:rtl w:val="0"/>
        </w:rPr>
        <w:t>et al.,</w:t>
      </w:r>
      <w:r>
        <w:rPr>
          <w:rStyle w:val="Hyperlink.0"/>
          <w:rtl w:val="0"/>
        </w:rPr>
        <w:t xml:space="preserve"> 2025).</w:t>
      </w:r>
    </w:p>
    <w:p>
      <w:pPr>
        <w:pStyle w:val="Heading 2"/>
        <w:rPr>
          <w:rFonts w:ascii="Arial" w:cs="Arial" w:hAnsi="Arial" w:eastAsia="Arial"/>
          <w:sz w:val="22"/>
          <w:szCs w:val="22"/>
        </w:rPr>
      </w:pPr>
      <w:bookmarkStart w:name="_Toc13" w:id="25"/>
      <w:bookmarkStart w:name="_huu7b253ld9u" w:id="26"/>
      <w:bookmarkEnd w:id="26"/>
      <w:r>
        <w:rPr>
          <w:rFonts w:ascii="Arial" w:hAnsi="Arial"/>
          <w:sz w:val="22"/>
          <w:szCs w:val="22"/>
          <w:rtl w:val="0"/>
        </w:rPr>
        <w:t>5</w:t>
      </w:r>
      <w:r>
        <w:rPr>
          <w:rFonts w:ascii="Arial" w:hAnsi="Arial"/>
          <w:sz w:val="22"/>
          <w:szCs w:val="22"/>
          <w:rtl w:val="0"/>
          <w:lang w:val="en-US"/>
        </w:rPr>
        <w:t xml:space="preserve">.5 Inclusion and Exclusion Criteria </w:t>
      </w:r>
      <w:bookmarkEnd w:id="25"/>
    </w:p>
    <w:p>
      <w:pPr>
        <w:pStyle w:val="Body A"/>
        <w:rPr>
          <w:rStyle w:val="Hyperlink.0"/>
        </w:rPr>
      </w:pPr>
      <w:r>
        <w:rPr>
          <w:rFonts w:ascii="Arial" w:hAnsi="Arial"/>
          <w:sz w:val="22"/>
          <w:szCs w:val="22"/>
          <w:rtl w:val="0"/>
          <w:lang w:val="en-US"/>
        </w:rPr>
        <w:t>To maintain uniformity in decisions about the selection of studies, eligibility criteria will be set, and then screening will commence.</w:t>
      </w:r>
    </w:p>
    <w:tbl>
      <w:tblPr>
        <w:tblW w:w="902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14"/>
        <w:gridCol w:w="4515"/>
      </w:tblGrid>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6d7a8"/>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Inclusion Criteria </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6d7a8"/>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Exclusion Criteria </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Adults aged 18 years or above who smoke</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18 years old and younger.</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Studies outside the UK</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Participants in the UK.</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NRT provided as the intervention</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Studies that do not evaluate NRT</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Appropriate comparator smoking cessation</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No relevant comparison group </w:t>
            </w:r>
          </w:p>
        </w:tc>
      </w:tr>
      <w:tr>
        <w:tblPrEx>
          <w:shd w:val="clear" w:color="auto" w:fill="ced7e7"/>
        </w:tblPrEx>
        <w:trPr>
          <w:trHeight w:val="629"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Smoking abstinence/cessation results reported</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No pertinent cessation or abstinence result.</w:t>
            </w:r>
          </w:p>
        </w:tc>
      </w:tr>
      <w:tr>
        <w:tblPrEx>
          <w:shd w:val="clear" w:color="auto" w:fill="ced7e7"/>
        </w:tblPrEx>
        <w:trPr>
          <w:trHeight w:val="629"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Randomised controlled trial design</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Observational, qualitative or non-randomised design</w:t>
            </w:r>
          </w:p>
        </w:tc>
      </w:tr>
      <w:tr>
        <w:tblPrEx>
          <w:shd w:val="clear" w:color="auto" w:fill="ced7e7"/>
        </w:tblPrEx>
        <w:trPr>
          <w:trHeight w:val="629"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Evidence published mostly between 2021-2026</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Publications that are not within the specified period</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Adequate data to extract information</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Inadequate data to extract or eligibility</w:t>
            </w:r>
          </w:p>
        </w:tc>
      </w:tr>
      <w:tr>
        <w:tblPrEx>
          <w:shd w:val="clear" w:color="auto" w:fill="ced7e7"/>
        </w:tblPrEx>
        <w:trPr>
          <w:trHeight w:val="273" w:hRule="atLeast"/>
        </w:trPr>
        <w:tc>
          <w:tcPr>
            <w:tcW w:type="dxa" w:w="451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Publications in English-language</w:t>
            </w:r>
          </w:p>
        </w:tc>
        <w:tc>
          <w:tcPr>
            <w:tcW w:type="dxa" w:w="45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d9ead3"/>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 xml:space="preserve">Publications in Non-English languages </w:t>
            </w:r>
          </w:p>
        </w:tc>
      </w:tr>
    </w:tbl>
    <w:p>
      <w:pPr>
        <w:pStyle w:val="Body A"/>
        <w:widowControl w:val="0"/>
        <w:spacing w:line="240" w:lineRule="auto"/>
        <w:ind w:left="108" w:hanging="108"/>
        <w:jc w:val="left"/>
        <w:rPr>
          <w:rStyle w:val="Hyperlink.0"/>
        </w:rPr>
      </w:pPr>
    </w:p>
    <w:p>
      <w:pPr>
        <w:pStyle w:val="Body A"/>
        <w:widowControl w:val="0"/>
        <w:spacing w:line="240" w:lineRule="auto"/>
        <w:rPr>
          <w:rStyle w:val="Hyperlink.0"/>
        </w:rPr>
      </w:pPr>
    </w:p>
    <w:p>
      <w:pPr>
        <w:pStyle w:val="Body A"/>
        <w:jc w:val="center"/>
        <w:rPr>
          <w:rFonts w:ascii="Arial" w:cs="Arial" w:hAnsi="Arial" w:eastAsia="Arial"/>
          <w:b w:val="1"/>
          <w:bCs w:val="1"/>
          <w:sz w:val="22"/>
          <w:szCs w:val="22"/>
        </w:rPr>
      </w:pPr>
      <w:r>
        <w:rPr>
          <w:rFonts w:ascii="Arial" w:hAnsi="Arial"/>
          <w:b w:val="1"/>
          <w:bCs w:val="1"/>
          <w:sz w:val="22"/>
          <w:szCs w:val="22"/>
          <w:rtl w:val="0"/>
          <w:lang w:val="en-US"/>
        </w:rPr>
        <w:t xml:space="preserve">Table 2: Inclusion and Exclusion criteria </w:t>
      </w:r>
    </w:p>
    <w:p>
      <w:pPr>
        <w:pStyle w:val="Body A"/>
        <w:jc w:val="center"/>
        <w:rPr>
          <w:rStyle w:val="Hyperlink.0"/>
        </w:rPr>
      </w:pPr>
      <w:r>
        <w:rPr>
          <w:rFonts w:ascii="Arial" w:hAnsi="Arial"/>
          <w:sz w:val="22"/>
          <w:szCs w:val="22"/>
          <w:rtl w:val="0"/>
          <w:lang w:val="en-US"/>
        </w:rPr>
        <w:t xml:space="preserve">(Self-created) </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The explicit criteria will minimise subjective selection and will make sure that the evidence included will be directly relevant to the population, intervention, comparator and outcomes as stated in the research question (Mancin </w:t>
      </w:r>
      <w:r>
        <w:rPr>
          <w:rFonts w:ascii="Arial" w:hAnsi="Arial"/>
          <w:i w:val="1"/>
          <w:iCs w:val="1"/>
          <w:sz w:val="22"/>
          <w:szCs w:val="22"/>
          <w:rtl w:val="0"/>
        </w:rPr>
        <w:t>et al.,</w:t>
      </w:r>
      <w:r>
        <w:rPr>
          <w:rFonts w:ascii="Arial" w:hAnsi="Arial"/>
          <w:sz w:val="22"/>
          <w:szCs w:val="22"/>
          <w:rtl w:val="0"/>
          <w:lang w:val="en-US"/>
        </w:rPr>
        <w:t xml:space="preserve"> 2024).</w:t>
      </w:r>
    </w:p>
    <w:p>
      <w:pPr>
        <w:pStyle w:val="Heading 2"/>
        <w:rPr>
          <w:rFonts w:ascii="Arial" w:cs="Arial" w:hAnsi="Arial" w:eastAsia="Arial"/>
          <w:sz w:val="22"/>
          <w:szCs w:val="22"/>
        </w:rPr>
      </w:pPr>
      <w:bookmarkStart w:name="_Toc14" w:id="27"/>
      <w:bookmarkStart w:name="_rde7b2hr635j" w:id="28"/>
      <w:bookmarkEnd w:id="28"/>
      <w:r>
        <w:rPr>
          <w:rFonts w:ascii="Arial" w:hAnsi="Arial"/>
          <w:sz w:val="22"/>
          <w:szCs w:val="22"/>
          <w:rtl w:val="0"/>
        </w:rPr>
        <w:t>5</w:t>
      </w:r>
      <w:r>
        <w:rPr>
          <w:rFonts w:ascii="Arial" w:hAnsi="Arial"/>
          <w:sz w:val="22"/>
          <w:szCs w:val="22"/>
          <w:rtl w:val="0"/>
          <w:lang w:val="en-US"/>
        </w:rPr>
        <w:t xml:space="preserve">.6 Study Screening and Selection (PRISMA Flow Diagram) </w:t>
      </w:r>
      <w:bookmarkEnd w:id="27"/>
    </w:p>
    <w:p>
      <w:pPr>
        <w:pStyle w:val="Body A"/>
        <w:rPr>
          <w:rStyle w:val="Hyperlink.0"/>
        </w:rPr>
      </w:pPr>
      <w:r>
        <w:rPr>
          <w:rFonts w:ascii="Arial" w:hAnsi="Arial"/>
          <w:sz w:val="22"/>
          <w:szCs w:val="22"/>
          <w:rtl w:val="0"/>
          <w:lang w:val="en-US"/>
        </w:rPr>
        <w:t>The selection of the studies will be carried out in several stages. Retrieved records will first be organised, and duplicates will be removed. The next step will be to screen titles and abstracts with the predefined eligibility criteria. Potentially relevant records will be sent to full-text assessment, where eligibility will be further determined. Justifications of the exclusion of studies at the full-text level will be recorded. The general selection procedure will then be outlined in a PRISMA flow chart showing the movement of records through the process of identification to the ultimate inclusion (Rethlefsen and Page, 2022).</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A transparent screening process will reduce inappropriate selection of studies and give an auditable explanation that will be used to determine the final evidence base (Editverse, 2026).</w:t>
      </w:r>
    </w:p>
    <w:p>
      <w:pPr>
        <w:pStyle w:val="Body A"/>
        <w:jc w:val="center"/>
        <w:rPr>
          <w:rStyle w:val="Hyperlink.0"/>
        </w:rPr>
      </w:pPr>
      <w:r>
        <w:rPr>
          <w:rStyle w:val="Hyperlink.0"/>
        </w:rPr>
        <w:drawing xmlns:a="http://schemas.openxmlformats.org/drawingml/2006/main">
          <wp:inline distT="0" distB="0" distL="0" distR="0">
            <wp:extent cx="4562475" cy="6096000"/>
            <wp:effectExtent l="0" t="0" r="0" b="0"/>
            <wp:docPr id="1073741827" name="officeArt object" descr="image1.png"/>
            <wp:cNvGraphicFramePr/>
            <a:graphic xmlns:a="http://schemas.openxmlformats.org/drawingml/2006/main">
              <a:graphicData uri="http://schemas.openxmlformats.org/drawingml/2006/picture">
                <pic:pic xmlns:pic="http://schemas.openxmlformats.org/drawingml/2006/picture">
                  <pic:nvPicPr>
                    <pic:cNvPr id="1073741827" name="image1.png" descr="image1.png"/>
                    <pic:cNvPicPr>
                      <a:picLocks noChangeAspect="1"/>
                    </pic:cNvPicPr>
                  </pic:nvPicPr>
                  <pic:blipFill>
                    <a:blip r:embed="rId6">
                      <a:extLst/>
                    </a:blip>
                    <a:stretch>
                      <a:fillRect/>
                    </a:stretch>
                  </pic:blipFill>
                  <pic:spPr>
                    <a:xfrm>
                      <a:off x="0" y="0"/>
                      <a:ext cx="4562475" cy="6096000"/>
                    </a:xfrm>
                    <a:prstGeom prst="rect">
                      <a:avLst/>
                    </a:prstGeom>
                    <a:ln w="12700" cap="flat">
                      <a:noFill/>
                      <a:miter lim="400000"/>
                    </a:ln>
                    <a:effectLst/>
                  </pic:spPr>
                </pic:pic>
              </a:graphicData>
            </a:graphic>
          </wp:inline>
        </w:drawing>
      </w:r>
    </w:p>
    <w:p>
      <w:pPr>
        <w:pStyle w:val="Body A"/>
        <w:jc w:val="center"/>
        <w:rPr>
          <w:rFonts w:ascii="Arial" w:cs="Arial" w:hAnsi="Arial" w:eastAsia="Arial"/>
          <w:b w:val="1"/>
          <w:bCs w:val="1"/>
          <w:sz w:val="22"/>
          <w:szCs w:val="22"/>
        </w:rPr>
      </w:pPr>
      <w:r>
        <w:rPr>
          <w:rFonts w:ascii="Arial" w:hAnsi="Arial"/>
          <w:b w:val="1"/>
          <w:bCs w:val="1"/>
          <w:sz w:val="22"/>
          <w:szCs w:val="22"/>
          <w:rtl w:val="0"/>
          <w:lang w:val="en-US"/>
        </w:rPr>
        <w:t xml:space="preserve">Figure 2: PRISMA Flow diagram steps </w:t>
      </w:r>
    </w:p>
    <w:p>
      <w:pPr>
        <w:pStyle w:val="Body A"/>
        <w:jc w:val="center"/>
        <w:rPr>
          <w:rStyle w:val="Hyperlink.0"/>
        </w:rPr>
      </w:pPr>
      <w:r>
        <w:rPr>
          <w:rFonts w:ascii="Arial" w:hAnsi="Arial"/>
          <w:sz w:val="22"/>
          <w:szCs w:val="22"/>
          <w:rtl w:val="0"/>
          <w:lang w:val="de-DE"/>
        </w:rPr>
        <w:t>(Source: Editverse, 2026)</w:t>
      </w:r>
    </w:p>
    <w:p>
      <w:pPr>
        <w:pStyle w:val="Heading 2"/>
        <w:rPr>
          <w:rFonts w:ascii="Arial" w:cs="Arial" w:hAnsi="Arial" w:eastAsia="Arial"/>
          <w:sz w:val="22"/>
          <w:szCs w:val="22"/>
        </w:rPr>
      </w:pPr>
      <w:bookmarkStart w:name="_Toc15" w:id="29"/>
      <w:bookmarkStart w:name="_egwdsdfj01wg" w:id="30"/>
      <w:bookmarkEnd w:id="30"/>
      <w:r>
        <w:rPr>
          <w:rFonts w:ascii="Arial" w:hAnsi="Arial"/>
          <w:sz w:val="22"/>
          <w:szCs w:val="22"/>
          <w:rtl w:val="0"/>
        </w:rPr>
        <w:t>5</w:t>
      </w:r>
      <w:r>
        <w:rPr>
          <w:rFonts w:ascii="Arial" w:hAnsi="Arial"/>
          <w:sz w:val="22"/>
          <w:szCs w:val="22"/>
          <w:rtl w:val="0"/>
          <w:lang w:val="en-US"/>
        </w:rPr>
        <w:t>.7 Quality Appraisal and Risk of Bias</w:t>
      </w:r>
      <w:bookmarkEnd w:id="29"/>
    </w:p>
    <w:p>
      <w:pPr>
        <w:pStyle w:val="Body A"/>
        <w:rPr>
          <w:rStyle w:val="Hyperlink.0"/>
        </w:rPr>
      </w:pPr>
      <w:r>
        <w:rPr>
          <w:rFonts w:ascii="Arial" w:hAnsi="Arial"/>
          <w:sz w:val="22"/>
          <w:szCs w:val="22"/>
          <w:rtl w:val="0"/>
          <w:lang w:val="en-US"/>
        </w:rPr>
        <w:t xml:space="preserve">The quality of the methodology and risk of bias of the included RCTs will also be determined with the Cochrane Risk of Bias 2 (RoB 2) tool, specifically created to be used with randomised trials (Nejadghaderi </w:t>
      </w:r>
      <w:r>
        <w:rPr>
          <w:rFonts w:ascii="Arial" w:hAnsi="Arial"/>
          <w:i w:val="1"/>
          <w:iCs w:val="1"/>
          <w:sz w:val="22"/>
          <w:szCs w:val="22"/>
          <w:rtl w:val="0"/>
        </w:rPr>
        <w:t>et al.,</w:t>
      </w:r>
      <w:r>
        <w:rPr>
          <w:rFonts w:ascii="Arial" w:hAnsi="Arial"/>
          <w:sz w:val="22"/>
          <w:szCs w:val="22"/>
          <w:rtl w:val="0"/>
          <w:lang w:val="en-US"/>
        </w:rPr>
        <w:t xml:space="preserve"> 2024). Evaluation will be based on areas such as the randomisation process, non-adherence to the planned interventions, non-reporting of outcome data, outcome measurement and selective reporting. The interpretation of findings will include judgements instead of automatically eliminating the studies based on the detection of limitations. The variations in the quality of studies will be taken into account to assess the strength and reliability of the overall evidence.</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The credibility of the review will be enhanced by systematic risk-of-bias assessment, which will differentiate the evidence based on the methodological reliability (Nejadghaderi </w:t>
      </w:r>
      <w:r>
        <w:rPr>
          <w:rFonts w:ascii="Arial" w:hAnsi="Arial"/>
          <w:i w:val="1"/>
          <w:iCs w:val="1"/>
          <w:sz w:val="22"/>
          <w:szCs w:val="22"/>
          <w:rtl w:val="0"/>
        </w:rPr>
        <w:t>et al.,</w:t>
      </w:r>
      <w:r>
        <w:rPr>
          <w:rFonts w:ascii="Arial" w:hAnsi="Arial"/>
          <w:sz w:val="22"/>
          <w:szCs w:val="22"/>
          <w:rtl w:val="0"/>
          <w:lang w:val="en-US"/>
        </w:rPr>
        <w:t xml:space="preserve"> 2024).</w:t>
      </w:r>
    </w:p>
    <w:p>
      <w:pPr>
        <w:pStyle w:val="Heading 2"/>
        <w:rPr>
          <w:rFonts w:ascii="Arial" w:cs="Arial" w:hAnsi="Arial" w:eastAsia="Arial"/>
          <w:sz w:val="22"/>
          <w:szCs w:val="22"/>
        </w:rPr>
      </w:pPr>
      <w:bookmarkStart w:name="_Toc16" w:id="31"/>
      <w:bookmarkStart w:name="_uh2qmy8c2nt" w:id="32"/>
      <w:bookmarkEnd w:id="32"/>
      <w:r>
        <w:rPr>
          <w:rFonts w:ascii="Arial" w:hAnsi="Arial"/>
          <w:sz w:val="22"/>
          <w:szCs w:val="22"/>
          <w:rtl w:val="0"/>
        </w:rPr>
        <w:t>5</w:t>
      </w:r>
      <w:r>
        <w:rPr>
          <w:rFonts w:ascii="Arial" w:hAnsi="Arial"/>
          <w:sz w:val="22"/>
          <w:szCs w:val="22"/>
          <w:rtl w:val="0"/>
          <w:lang w:val="en-US"/>
        </w:rPr>
        <w:t xml:space="preserve">.8 Data Extraction </w:t>
      </w:r>
      <w:bookmarkEnd w:id="31"/>
    </w:p>
    <w:p>
      <w:pPr>
        <w:pStyle w:val="Body A"/>
        <w:rPr>
          <w:rStyle w:val="Hyperlink.0"/>
        </w:rPr>
      </w:pPr>
      <w:r>
        <w:rPr>
          <w:rFonts w:ascii="Arial" w:hAnsi="Arial"/>
          <w:sz w:val="22"/>
          <w:szCs w:val="22"/>
          <w:rtl w:val="0"/>
          <w:lang w:val="en-US"/>
        </w:rPr>
        <w:t xml:space="preserve">A predetermined and structured extraction framework will be used to extract data to ensure uniformity among the studies selected. Data will comprise author and year of publication, UK location, characteristics of the participants, sample size, NRT prescription and dose, control intervention, behavioural support, duration of follow-up, definition and measurement of abstinence, sustained cessation results, estimated effect sizes and study limitations. Adverse events and adherence information will also be documented where possible as a way of offering a more comprehensive evaluation of intervention effectiveness (Schmidt </w:t>
      </w:r>
      <w:r>
        <w:rPr>
          <w:rFonts w:ascii="Arial" w:hAnsi="Arial"/>
          <w:i w:val="1"/>
          <w:iCs w:val="1"/>
          <w:sz w:val="22"/>
          <w:szCs w:val="22"/>
          <w:rtl w:val="0"/>
        </w:rPr>
        <w:t>et al.,</w:t>
      </w:r>
      <w:r>
        <w:rPr>
          <w:rStyle w:val="Hyperlink.0"/>
          <w:rtl w:val="0"/>
        </w:rPr>
        <w:t xml:space="preserve"> 2025).</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Standardised extraction will provide consistency in capturing similar information and will be able to compare it accurately across interventions and time intervals (Schmidt </w:t>
      </w:r>
      <w:r>
        <w:rPr>
          <w:rFonts w:ascii="Arial" w:hAnsi="Arial"/>
          <w:i w:val="1"/>
          <w:iCs w:val="1"/>
          <w:sz w:val="22"/>
          <w:szCs w:val="22"/>
          <w:rtl w:val="0"/>
        </w:rPr>
        <w:t>et al.,</w:t>
      </w:r>
      <w:r>
        <w:rPr>
          <w:rStyle w:val="Hyperlink.0"/>
          <w:rtl w:val="0"/>
        </w:rPr>
        <w:t xml:space="preserve"> 2025).</w:t>
      </w:r>
    </w:p>
    <w:p>
      <w:pPr>
        <w:pStyle w:val="Heading 2"/>
        <w:rPr>
          <w:rFonts w:ascii="Arial" w:cs="Arial" w:hAnsi="Arial" w:eastAsia="Arial"/>
          <w:sz w:val="22"/>
          <w:szCs w:val="22"/>
        </w:rPr>
      </w:pPr>
      <w:bookmarkStart w:name="_Toc17" w:id="33"/>
      <w:bookmarkStart w:name="_rjsfwm0930" w:id="34"/>
      <w:bookmarkEnd w:id="34"/>
      <w:r>
        <w:rPr>
          <w:rFonts w:ascii="Arial" w:hAnsi="Arial"/>
          <w:sz w:val="22"/>
          <w:szCs w:val="22"/>
          <w:rtl w:val="0"/>
        </w:rPr>
        <w:t>5</w:t>
      </w:r>
      <w:r>
        <w:rPr>
          <w:rFonts w:ascii="Arial" w:hAnsi="Arial"/>
          <w:sz w:val="22"/>
          <w:szCs w:val="22"/>
          <w:rtl w:val="0"/>
          <w:lang w:val="en-US"/>
        </w:rPr>
        <w:t xml:space="preserve">.9 Data Synthesis and Analysis </w:t>
      </w:r>
      <w:bookmarkEnd w:id="33"/>
    </w:p>
    <w:p>
      <w:pPr>
        <w:pStyle w:val="Body A"/>
        <w:rPr>
          <w:rStyle w:val="Hyperlink.0"/>
        </w:rPr>
      </w:pPr>
      <w:r>
        <w:rPr>
          <w:rFonts w:ascii="Arial" w:hAnsi="Arial"/>
          <w:sz w:val="22"/>
          <w:szCs w:val="22"/>
          <w:rtl w:val="0"/>
          <w:lang w:val="en-US"/>
        </w:rPr>
        <w:t xml:space="preserve">The extracted evidence will be synthesised according to intervention, comparator, NRT formulation and duration to follow-up, especially on long-term or sustained smoking abstinence. Quantitative synthesis or meta-analysis can be discussed where studies show adequate clinical and methodological comparability with the aid of proper effect measures (e.g., risk or odds ratio with confidence interval). A structured narrative synthesis will be carried out in those situations where statistical pooling will not be suitable due to the heterogeneity of populations, interventions, comparators or outcome definitions (Cumpston </w:t>
      </w:r>
      <w:r>
        <w:rPr>
          <w:rFonts w:ascii="Arial" w:hAnsi="Arial"/>
          <w:i w:val="1"/>
          <w:iCs w:val="1"/>
          <w:sz w:val="22"/>
          <w:szCs w:val="22"/>
          <w:rtl w:val="0"/>
        </w:rPr>
        <w:t>et al.,</w:t>
      </w:r>
      <w:r>
        <w:rPr>
          <w:rFonts w:ascii="Arial" w:hAnsi="Arial"/>
          <w:sz w:val="22"/>
          <w:szCs w:val="22"/>
          <w:rtl w:val="0"/>
          <w:lang w:val="en-US"/>
        </w:rPr>
        <w:t xml:space="preserve"> 2023). The variation in the quality of the study and the risk of bias will be taken into account in drawing the overall findings.</w:t>
      </w:r>
    </w:p>
    <w:p>
      <w:pPr>
        <w:pStyle w:val="Body A"/>
        <w:rPr>
          <w:rStyle w:val="Hyperlink.0"/>
        </w:rPr>
      </w:pPr>
      <w:r>
        <w:rPr>
          <w:rFonts w:ascii="Arial" w:hAnsi="Arial"/>
          <w:b w:val="1"/>
          <w:bCs w:val="1"/>
          <w:sz w:val="22"/>
          <w:szCs w:val="22"/>
          <w:rtl w:val="0"/>
          <w:lang w:val="en-US"/>
        </w:rPr>
        <w:t>Justification:</w:t>
      </w:r>
      <w:r>
        <w:rPr>
          <w:rFonts w:ascii="Arial" w:hAnsi="Arial"/>
          <w:sz w:val="22"/>
          <w:szCs w:val="22"/>
          <w:rtl w:val="0"/>
          <w:lang w:val="en-US"/>
        </w:rPr>
        <w:t xml:space="preserve"> This is a flexible solution that will avoid inappropriate statistical pooling, and similar evidence will be quantitatively evaluated, whereas heterogeneous evidence can also play a significant role in the review (Cumpston </w:t>
      </w:r>
      <w:r>
        <w:rPr>
          <w:rFonts w:ascii="Arial" w:hAnsi="Arial"/>
          <w:i w:val="1"/>
          <w:iCs w:val="1"/>
          <w:sz w:val="22"/>
          <w:szCs w:val="22"/>
          <w:rtl w:val="0"/>
        </w:rPr>
        <w:t>et al.,</w:t>
      </w:r>
      <w:r>
        <w:rPr>
          <w:rStyle w:val="Hyperlink.0"/>
          <w:rtl w:val="0"/>
        </w:rPr>
        <w:t xml:space="preserve"> 2023).</w:t>
      </w:r>
    </w:p>
    <w:p>
      <w:pPr>
        <w:pStyle w:val="Heading"/>
        <w:rPr>
          <w:rFonts w:ascii="Arial" w:cs="Arial" w:hAnsi="Arial" w:eastAsia="Arial"/>
          <w:b w:val="1"/>
          <w:bCs w:val="1"/>
          <w:sz w:val="22"/>
          <w:szCs w:val="22"/>
        </w:rPr>
      </w:pPr>
      <w:bookmarkStart w:name="_Toc18" w:id="35"/>
      <w:bookmarkStart w:name="_qa2x2peg7tm5" w:id="36"/>
      <w:bookmarkEnd w:id="36"/>
      <w:r>
        <w:rPr>
          <w:rFonts w:ascii="Arial" w:hAnsi="Arial"/>
          <w:b w:val="1"/>
          <w:bCs w:val="1"/>
          <w:sz w:val="22"/>
          <w:szCs w:val="22"/>
          <w:rtl w:val="0"/>
        </w:rPr>
        <w:t>6</w:t>
      </w:r>
      <w:r>
        <w:rPr>
          <w:rFonts w:ascii="Arial" w:hAnsi="Arial"/>
          <w:b w:val="1"/>
          <w:bCs w:val="1"/>
          <w:sz w:val="22"/>
          <w:szCs w:val="22"/>
          <w:rtl w:val="0"/>
          <w:lang w:val="en-US"/>
        </w:rPr>
        <w:t>. Ethical Considerations</w:t>
      </w:r>
      <w:bookmarkEnd w:id="35"/>
    </w:p>
    <w:p>
      <w:pPr>
        <w:pStyle w:val="Body A"/>
        <w:spacing w:after="0"/>
        <w:rPr>
          <w:rStyle w:val="Hyperlink.0"/>
        </w:rPr>
      </w:pPr>
      <w:r>
        <w:rPr>
          <w:rFonts w:ascii="Arial" w:hAnsi="Arial"/>
          <w:sz w:val="22"/>
          <w:szCs w:val="22"/>
          <w:rtl w:val="0"/>
          <w:lang w:val="en-US"/>
        </w:rPr>
        <w:t>Ethical standards will be upheld by accurately referencing work using the Harvard referencing system, avoiding plagiarism and presenting work accurately and fairly. Generally, no formal participant ethics approval is needed for secondary research (as per university requirements); there is no recruiting of participants or collection of primary data for the review (Dar and Shairgojri,2022). Throughout the review process, the findings and credibility of the original RCTs will be interpreted consistently, taking into account ethical problems and approvals reported in the original RCTs.</w:t>
      </w:r>
    </w:p>
    <w:p>
      <w:pPr>
        <w:pStyle w:val="Heading"/>
        <w:rPr>
          <w:rFonts w:ascii="Arial" w:cs="Arial" w:hAnsi="Arial" w:eastAsia="Arial"/>
          <w:b w:val="1"/>
          <w:bCs w:val="1"/>
          <w:sz w:val="22"/>
          <w:szCs w:val="22"/>
        </w:rPr>
      </w:pPr>
      <w:bookmarkStart w:name="_Toc19" w:id="37"/>
      <w:bookmarkStart w:name="_yhh27ythcivr" w:id="38"/>
      <w:bookmarkEnd w:id="38"/>
      <w:r>
        <w:rPr>
          <w:rFonts w:ascii="Arial" w:hAnsi="Arial"/>
          <w:b w:val="1"/>
          <w:bCs w:val="1"/>
          <w:sz w:val="22"/>
          <w:szCs w:val="22"/>
          <w:rtl w:val="0"/>
        </w:rPr>
        <w:t>7</w:t>
      </w:r>
      <w:r>
        <w:rPr>
          <w:rFonts w:ascii="Arial" w:hAnsi="Arial"/>
          <w:b w:val="1"/>
          <w:bCs w:val="1"/>
          <w:sz w:val="22"/>
          <w:szCs w:val="22"/>
          <w:rtl w:val="0"/>
          <w:lang w:val="fr-FR"/>
        </w:rPr>
        <w:t xml:space="preserve">. Limitations </w:t>
      </w:r>
      <w:bookmarkEnd w:id="37"/>
    </w:p>
    <w:p>
      <w:pPr>
        <w:pStyle w:val="Body A"/>
        <w:spacing w:after="0"/>
        <w:rPr>
          <w:rStyle w:val="Hyperlink.0"/>
        </w:rPr>
      </w:pPr>
      <w:r>
        <w:rPr>
          <w:rFonts w:ascii="Arial" w:hAnsi="Arial"/>
          <w:sz w:val="22"/>
          <w:szCs w:val="22"/>
          <w:rtl w:val="0"/>
          <w:lang w:val="en-US"/>
        </w:rPr>
        <w:t xml:space="preserve">The review can be biased because of publication bias, by having only English language publications and limited access to full texts (McNeill </w:t>
      </w:r>
      <w:r>
        <w:rPr>
          <w:rFonts w:ascii="Arial" w:hAnsi="Arial"/>
          <w:i w:val="1"/>
          <w:iCs w:val="1"/>
          <w:sz w:val="22"/>
          <w:szCs w:val="22"/>
          <w:rtl w:val="0"/>
        </w:rPr>
        <w:t>et al.</w:t>
      </w:r>
      <w:r>
        <w:rPr>
          <w:rFonts w:ascii="Arial" w:hAnsi="Arial"/>
          <w:sz w:val="22"/>
          <w:szCs w:val="22"/>
          <w:rtl w:val="0"/>
          <w:lang w:val="en-US"/>
        </w:rPr>
        <w:t>, 2022). There may be significant heterogeneity due to variation in NRT formulations, comparator interventions, intensity of behaviour support, follow-up time periods, and definitions of abstinence. Limiting the evidence to RCTs conducted in the UK or to more recent evidence can also limit generalisability. These limitations will be tackled by pre-established criteria, through RoB 2 appraisal, screening and a careful synthesis while interpreting and reporting conclusions appropriately.</w:t>
      </w:r>
    </w:p>
    <w:p>
      <w:pPr>
        <w:pStyle w:val="Heading"/>
        <w:rPr>
          <w:rFonts w:ascii="Arial" w:cs="Arial" w:hAnsi="Arial" w:eastAsia="Arial"/>
          <w:b w:val="1"/>
          <w:bCs w:val="1"/>
          <w:sz w:val="22"/>
          <w:szCs w:val="22"/>
        </w:rPr>
      </w:pPr>
      <w:bookmarkStart w:name="_Toc20" w:id="39"/>
      <w:bookmarkStart w:name="_hc47gusfxmtl" w:id="40"/>
      <w:bookmarkEnd w:id="40"/>
      <w:r>
        <w:rPr>
          <w:rFonts w:ascii="Arial" w:hAnsi="Arial"/>
          <w:b w:val="1"/>
          <w:bCs w:val="1"/>
          <w:sz w:val="22"/>
          <w:szCs w:val="22"/>
          <w:rtl w:val="0"/>
        </w:rPr>
        <w:t>8</w:t>
      </w:r>
      <w:r>
        <w:rPr>
          <w:rFonts w:ascii="Arial" w:hAnsi="Arial"/>
          <w:b w:val="1"/>
          <w:bCs w:val="1"/>
          <w:sz w:val="22"/>
          <w:szCs w:val="22"/>
          <w:rtl w:val="0"/>
          <w:lang w:val="en-US"/>
        </w:rPr>
        <w:t>. Timeline and Expected Contribution</w:t>
      </w:r>
      <w:bookmarkEnd w:id="39"/>
    </w:p>
    <w:tbl>
      <w:tblPr>
        <w:tblW w:w="1012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15"/>
        <w:gridCol w:w="768"/>
        <w:gridCol w:w="712"/>
        <w:gridCol w:w="642"/>
        <w:gridCol w:w="669"/>
        <w:gridCol w:w="683"/>
        <w:gridCol w:w="655"/>
        <w:gridCol w:w="655"/>
        <w:gridCol w:w="613"/>
        <w:gridCol w:w="711"/>
        <w:gridCol w:w="780"/>
        <w:gridCol w:w="711"/>
        <w:gridCol w:w="710"/>
      </w:tblGrid>
      <w:tr>
        <w:tblPrEx>
          <w:shd w:val="clear" w:color="auto" w:fill="ced7e7"/>
        </w:tblPrEx>
        <w:trPr>
          <w:trHeight w:val="273"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Activities </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W1</w:t>
            </w: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W2</w:t>
            </w: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W3</w:t>
            </w: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W4</w:t>
            </w: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W5</w:t>
            </w: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W6</w:t>
            </w: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W7</w:t>
            </w: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W8</w:t>
            </w: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W9</w:t>
            </w: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W10</w:t>
            </w: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W11</w:t>
            </w: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W12</w:t>
            </w: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Finalising research topic</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0000"/>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Background Research;</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0000"/>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 xml:space="preserve">Establish aims and objectives. </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e599"/>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986"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spacing w:before="240" w:after="240"/>
            </w:pPr>
            <w:r>
              <w:rPr>
                <w:rFonts w:ascii="Arial" w:hAnsi="Arial"/>
                <w:sz w:val="22"/>
                <w:szCs w:val="22"/>
                <w:shd w:val="nil" w:color="auto" w:fill="auto"/>
                <w:rtl w:val="0"/>
                <w:lang w:val="en-US"/>
              </w:rPr>
              <w:t>Literature review and framework development</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6d7a8"/>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a9999"/>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4a86e8"/>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Developing the search strategy</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fe599"/>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4a7d6"/>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Screening studies</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6b26b"/>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Quality appraisal</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b6d7a8"/>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Data extraction</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ead1dc"/>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10"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Data synthesis</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Writing and revisions</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r>
      <w:tr>
        <w:tblPrEx>
          <w:shd w:val="clear" w:color="auto" w:fill="ced7e7"/>
        </w:tblPrEx>
        <w:trPr>
          <w:trHeight w:val="629" w:hRule="atLeast"/>
        </w:trPr>
        <w:tc>
          <w:tcPr>
            <w:tcW w:type="dxa" w:w="18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A"/>
              <w:widowControl w:val="0"/>
            </w:pPr>
            <w:r>
              <w:rPr>
                <w:rFonts w:ascii="Arial" w:hAnsi="Arial"/>
                <w:sz w:val="22"/>
                <w:szCs w:val="22"/>
                <w:shd w:val="nil" w:color="auto" w:fill="auto"/>
                <w:rtl w:val="0"/>
                <w:lang w:val="en-US"/>
              </w:rPr>
              <w:t>Final submission</w:t>
            </w:r>
          </w:p>
        </w:tc>
        <w:tc>
          <w:tcPr>
            <w:tcW w:type="dxa" w:w="76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4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69"/>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8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5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6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tc>
        <w:tc>
          <w:tcPr>
            <w:tcW w:type="dxa" w:w="711"/>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c>
          <w:tcPr>
            <w:tcW w:type="dxa" w:w="71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8e7cc3"/>
            <w:tcMar>
              <w:top w:type="dxa" w:w="80"/>
              <w:left w:type="dxa" w:w="80"/>
              <w:bottom w:type="dxa" w:w="80"/>
              <w:right w:type="dxa" w:w="80"/>
            </w:tcMar>
            <w:vAlign w:val="top"/>
          </w:tcPr>
          <w:p/>
        </w:tc>
      </w:tr>
    </w:tbl>
    <w:p>
      <w:pPr>
        <w:pStyle w:val="Heading"/>
        <w:widowControl w:val="0"/>
        <w:spacing w:line="240" w:lineRule="auto"/>
        <w:ind w:left="108" w:hanging="108"/>
        <w:jc w:val="left"/>
        <w:rPr>
          <w:rFonts w:ascii="Arial" w:cs="Arial" w:hAnsi="Arial" w:eastAsia="Arial"/>
          <w:b w:val="1"/>
          <w:bCs w:val="1"/>
          <w:sz w:val="22"/>
          <w:szCs w:val="22"/>
        </w:rPr>
      </w:pPr>
    </w:p>
    <w:p>
      <w:pPr>
        <w:pStyle w:val="Heading"/>
        <w:widowControl w:val="0"/>
        <w:spacing w:line="240" w:lineRule="auto"/>
        <w:rPr>
          <w:rFonts w:ascii="Arial" w:cs="Arial" w:hAnsi="Arial" w:eastAsia="Arial"/>
          <w:b w:val="1"/>
          <w:bCs w:val="1"/>
          <w:sz w:val="22"/>
          <w:szCs w:val="22"/>
        </w:rPr>
      </w:pPr>
    </w:p>
    <w:p>
      <w:pPr>
        <w:pStyle w:val="Body A"/>
        <w:jc w:val="center"/>
        <w:rPr>
          <w:rFonts w:ascii="Arial" w:cs="Arial" w:hAnsi="Arial" w:eastAsia="Arial"/>
          <w:b w:val="1"/>
          <w:bCs w:val="1"/>
          <w:sz w:val="22"/>
          <w:szCs w:val="22"/>
        </w:rPr>
      </w:pPr>
      <w:r>
        <w:rPr>
          <w:rFonts w:ascii="Arial" w:hAnsi="Arial"/>
          <w:b w:val="1"/>
          <w:bCs w:val="1"/>
          <w:sz w:val="22"/>
          <w:szCs w:val="22"/>
          <w:rtl w:val="0"/>
        </w:rPr>
        <w:t>Table 3: Gantt Chart</w:t>
      </w:r>
    </w:p>
    <w:p>
      <w:pPr>
        <w:pStyle w:val="Body A"/>
        <w:jc w:val="center"/>
        <w:rPr>
          <w:rStyle w:val="Hyperlink.0"/>
        </w:rPr>
      </w:pPr>
      <w:r>
        <w:rPr>
          <w:rFonts w:ascii="Arial" w:hAnsi="Arial"/>
          <w:sz w:val="22"/>
          <w:szCs w:val="22"/>
          <w:rtl w:val="0"/>
          <w:lang w:val="en-US"/>
        </w:rPr>
        <w:t>(Self-developed)</w:t>
      </w:r>
    </w:p>
    <w:p>
      <w:pPr>
        <w:pStyle w:val="Body A"/>
        <w:spacing w:after="0"/>
        <w:rPr>
          <w:rStyle w:val="Hyperlink.0"/>
        </w:rPr>
      </w:pPr>
      <w:r>
        <w:rPr>
          <w:rFonts w:ascii="Arial" w:hAnsi="Arial"/>
          <w:sz w:val="22"/>
          <w:szCs w:val="22"/>
          <w:rtl w:val="0"/>
          <w:lang w:val="en-US"/>
        </w:rPr>
        <w:t>As per this timeline, clinical practice can be informed through knowledge of which NRTs and combinations work, which can also assist in making policies concerning smoking cessation programs, enhance healthcare education, and highlight the need for further research. The results can add to knowledge on abstinence and assist healthcare providers in giving evidence-based cessation interventions to UK adults.</w:t>
      </w:r>
    </w:p>
    <w:p>
      <w:pPr>
        <w:pStyle w:val="Body A"/>
        <w:spacing w:after="0"/>
      </w:pPr>
      <w:r>
        <w:rPr>
          <w:rFonts w:ascii="Arial Unicode MS" w:cs="Arial Unicode MS" w:hAnsi="Arial Unicode MS" w:eastAsia="Arial Unicode MS"/>
          <w:b w:val="0"/>
          <w:bCs w:val="0"/>
          <w:i w:val="0"/>
          <w:iCs w:val="0"/>
          <w:sz w:val="22"/>
          <w:szCs w:val="22"/>
        </w:rPr>
        <w:br w:type="page"/>
      </w:r>
    </w:p>
    <w:p>
      <w:pPr>
        <w:pStyle w:val="Heading"/>
        <w:spacing w:after="0"/>
        <w:rPr>
          <w:rFonts w:ascii="Arial" w:cs="Arial" w:hAnsi="Arial" w:eastAsia="Arial"/>
          <w:b w:val="1"/>
          <w:bCs w:val="1"/>
          <w:sz w:val="22"/>
          <w:szCs w:val="22"/>
        </w:rPr>
      </w:pPr>
      <w:bookmarkStart w:name="_Toc21" w:id="41"/>
      <w:bookmarkStart w:name="_fk0c2521zbv9" w:id="42"/>
      <w:bookmarkEnd w:id="42"/>
      <w:r>
        <w:rPr>
          <w:rFonts w:ascii="Arial" w:hAnsi="Arial"/>
          <w:b w:val="1"/>
          <w:bCs w:val="1"/>
          <w:sz w:val="22"/>
          <w:szCs w:val="22"/>
          <w:rtl w:val="0"/>
        </w:rPr>
        <w:t>R</w:t>
      </w:r>
      <w:r>
        <w:rPr>
          <w:rFonts w:ascii="Arial" w:hAnsi="Arial"/>
          <w:b w:val="1"/>
          <w:bCs w:val="1"/>
          <w:sz w:val="22"/>
          <w:szCs w:val="22"/>
          <w:rtl w:val="0"/>
          <w:lang w:val="fr-FR"/>
        </w:rPr>
        <w:t>eferences</w:t>
      </w:r>
      <w:bookmarkEnd w:id="41"/>
    </w:p>
    <w:p>
      <w:pPr>
        <w:pStyle w:val="Body A"/>
        <w:rPr>
          <w:rStyle w:val="Hyperlink.0"/>
        </w:rPr>
      </w:pPr>
      <w:r>
        <w:rPr>
          <w:rFonts w:ascii="Arial" w:hAnsi="Arial"/>
          <w:sz w:val="22"/>
          <w:szCs w:val="22"/>
          <w:rtl w:val="0"/>
          <w:lang w:val="en-US"/>
        </w:rPr>
        <w:t>Al Mahmud, A., Joachim, S., Jayaraman, P.P., Learmonth, C., Tyagi, S., Forkan, A.R.M., Shuakat, M., Wickramasinghe, N., Wheeler, J., Best, S. and Trainer, A., (2026). Digital health interventions to support chronic disease management: systematic scoping review. JMIR mHealth and uHealth, 14, p.e63742.</w:t>
      </w:r>
      <w:r>
        <w:rPr>
          <w:rStyle w:val="Hyperlink.1"/>
        </w:rPr>
        <w:fldChar w:fldCharType="begin" w:fldLock="0"/>
      </w:r>
      <w:r>
        <w:rPr>
          <w:rStyle w:val="Hyperlink.1"/>
        </w:rPr>
        <w:instrText xml:space="preserve"> HYPERLINK "https://mhealth.jmir.org/2026/1/e63742"</w:instrText>
      </w:r>
      <w:r>
        <w:rPr>
          <w:rStyle w:val="Hyperlink.1"/>
        </w:rPr>
        <w:fldChar w:fldCharType="separate" w:fldLock="0"/>
      </w:r>
      <w:r>
        <w:rPr>
          <w:rStyle w:val="Hyperlink.1"/>
          <w:rtl w:val="0"/>
          <w:lang w:val="en-US"/>
        </w:rPr>
        <w:t>https://mhealth.jmir.org/2026/1/e63742</w:t>
      </w:r>
      <w:r>
        <w:rPr/>
        <w:fldChar w:fldCharType="end" w:fldLock="0"/>
      </w:r>
      <w:r>
        <w:rPr>
          <w:rStyle w:val="Hyperlink.0"/>
          <w:rtl w:val="0"/>
        </w:rPr>
        <w:t xml:space="preserve">  </w:t>
      </w:r>
    </w:p>
    <w:p>
      <w:pPr>
        <w:pStyle w:val="Body A"/>
        <w:rPr>
          <w:rStyle w:val="Hyperlink.0"/>
        </w:rPr>
      </w:pPr>
      <w:r>
        <w:rPr>
          <w:rStyle w:val="Hyperlink.0"/>
          <w:rtl w:val="0"/>
        </w:rPr>
        <w:t>A</w:t>
      </w:r>
      <w:r>
        <w:rPr>
          <w:rStyle w:val="Hyperlink.0"/>
        </w:rPr>
        <w:fldChar w:fldCharType="begin" w:fldLock="0"/>
      </w:r>
      <w:r>
        <w:rPr>
          <w:rStyle w:val="Hyperlink.0"/>
        </w:rPr>
        <w:instrText xml:space="preserve"> HYPERLINK "http://ash.org"</w:instrText>
      </w:r>
      <w:r>
        <w:rPr>
          <w:rStyle w:val="Hyperlink.0"/>
        </w:rPr>
        <w:fldChar w:fldCharType="separate" w:fldLock="0"/>
      </w:r>
      <w:r>
        <w:rPr>
          <w:rStyle w:val="Hyperlink.0"/>
          <w:rtl w:val="0"/>
        </w:rPr>
        <w:t>sh.org</w:t>
      </w:r>
      <w:r>
        <w:rPr/>
        <w:fldChar w:fldCharType="end" w:fldLock="0"/>
      </w:r>
      <w:r>
        <w:rPr>
          <w:rStyle w:val="Hyperlink.0"/>
          <w:rtl w:val="0"/>
        </w:rPr>
        <w:t xml:space="preserve">, (2024). </w:t>
      </w:r>
      <w:r>
        <w:rPr>
          <w:rStyle w:val="None"/>
          <w:rFonts w:ascii="Arial" w:hAnsi="Arial" w:hint="default"/>
          <w:sz w:val="22"/>
          <w:szCs w:val="22"/>
          <w:rtl w:val="0"/>
          <w:lang w:val="en-US"/>
        </w:rPr>
        <w:t>£</w:t>
      </w:r>
      <w:r>
        <w:rPr>
          <w:rStyle w:val="None"/>
          <w:rFonts w:ascii="Arial" w:hAnsi="Arial"/>
          <w:sz w:val="22"/>
          <w:szCs w:val="22"/>
          <w:rtl w:val="0"/>
          <w:lang w:val="en-US"/>
        </w:rPr>
        <w:t xml:space="preserve">44.8 billion goes up in smoke each year as cost of smoking to society in England revealed. Availableat: </w:t>
      </w:r>
      <w:r>
        <w:rPr>
          <w:rStyle w:val="Hyperlink.1"/>
        </w:rPr>
        <w:fldChar w:fldCharType="begin" w:fldLock="0"/>
      </w:r>
      <w:r>
        <w:rPr>
          <w:rStyle w:val="Hyperlink.1"/>
        </w:rPr>
        <w:instrText xml:space="preserve"> HYPERLINK "https://ash.org.uk/media-centre/news/press-releases/44-8-billion-goes-up-in-smoke-each-year-as-cost-of-smoking-to-society-in-england-revealed"</w:instrText>
      </w:r>
      <w:r>
        <w:rPr>
          <w:rStyle w:val="Hyperlink.1"/>
        </w:rPr>
        <w:fldChar w:fldCharType="separate" w:fldLock="0"/>
      </w:r>
      <w:r>
        <w:rPr>
          <w:rStyle w:val="Hyperlink.1"/>
          <w:rtl w:val="0"/>
          <w:lang w:val="en-US"/>
        </w:rPr>
        <w:t>https://ash.org.uk/media-centre/news/press-releases/44-8-billion-goes-up-in-smoke-each-year-as-cost-of-smoking-to-society-in-england-revealed</w:t>
      </w:r>
      <w:r>
        <w:rPr/>
        <w:fldChar w:fldCharType="end" w:fldLock="0"/>
      </w:r>
      <w:r>
        <w:rPr>
          <w:rStyle w:val="None"/>
          <w:rFonts w:ascii="Arial" w:hAnsi="Arial"/>
          <w:sz w:val="22"/>
          <w:szCs w:val="22"/>
          <w:rtl w:val="0"/>
          <w:lang w:val="zh-TW" w:eastAsia="zh-TW"/>
        </w:rPr>
        <w:t>?</w:t>
      </w:r>
    </w:p>
    <w:p>
      <w:pPr>
        <w:pStyle w:val="Body A"/>
        <w:rPr>
          <w:rStyle w:val="Hyperlink.0"/>
        </w:rPr>
      </w:pPr>
      <w:r>
        <w:rPr>
          <w:rStyle w:val="None"/>
          <w:rFonts w:ascii="Arial" w:hAnsi="Arial"/>
          <w:sz w:val="22"/>
          <w:szCs w:val="22"/>
          <w:rtl w:val="0"/>
          <w:lang w:val="en-US"/>
        </w:rPr>
        <w:t xml:space="preserve">Berridge, V., (2023). Outlier or pioneer? The development of policy on E-cigarettes in England. In E-Cigarettes and the Comparative Politics of Harm Reduction: History, Evidence, and Policy (pp. 23-52). Cham: Springer International Publishing.  </w:t>
      </w:r>
      <w:r>
        <w:rPr>
          <w:rStyle w:val="Hyperlink.1"/>
        </w:rPr>
        <w:fldChar w:fldCharType="begin" w:fldLock="0"/>
      </w:r>
      <w:r>
        <w:rPr>
          <w:rStyle w:val="Hyperlink.1"/>
        </w:rPr>
        <w:instrText xml:space="preserve"> HYPERLINK "https://library.oapen.org/bitstream/handle/20.500.12657/63534/978-3-031-23658-7.pdf?sequence=1%23page=33"</w:instrText>
      </w:r>
      <w:r>
        <w:rPr>
          <w:rStyle w:val="Hyperlink.1"/>
        </w:rPr>
        <w:fldChar w:fldCharType="separate" w:fldLock="0"/>
      </w:r>
      <w:r>
        <w:rPr>
          <w:rStyle w:val="Hyperlink.1"/>
          <w:rtl w:val="0"/>
          <w:lang w:val="en-US"/>
        </w:rPr>
        <w:t>https://library.oapen.org/bitstream/handle/20.500.12657/63534/978-3-031-23658-7.pdf?sequence=1#page=33</w:t>
      </w:r>
      <w:r>
        <w:rPr/>
        <w:fldChar w:fldCharType="end" w:fldLock="0"/>
      </w:r>
    </w:p>
    <w:p>
      <w:pPr>
        <w:pStyle w:val="Body A"/>
        <w:rPr>
          <w:rStyle w:val="Hyperlink.0"/>
        </w:rPr>
      </w:pPr>
      <w:r>
        <w:rPr>
          <w:rStyle w:val="None"/>
          <w:rFonts w:ascii="Arial" w:hAnsi="Arial"/>
          <w:sz w:val="22"/>
          <w:szCs w:val="22"/>
          <w:rtl w:val="0"/>
          <w:lang w:val="en-US"/>
        </w:rPr>
        <w:t xml:space="preserve">Chandankhede, P., Chipada, B. and Khode, A., (2025). Pharmacological Insights into the Rational Use of Nicotine and Nicotine Replacement Therapy. Int. J. Sci. R. Tech, 2(12).  </w:t>
      </w:r>
      <w:r>
        <w:rPr>
          <w:rStyle w:val="Hyperlink.1"/>
        </w:rPr>
        <w:fldChar w:fldCharType="begin" w:fldLock="0"/>
      </w:r>
      <w:r>
        <w:rPr>
          <w:rStyle w:val="Hyperlink.1"/>
        </w:rPr>
        <w:instrText xml:space="preserve"> HYPERLINK "https://www.ijsrtjournal.com/assetsbackoffice/uploads/article/Pharmacological+Insights+into+the+Rational+Use+of+Nicotine+and+Nicotine+Replacement+Therapy.pdf"</w:instrText>
      </w:r>
      <w:r>
        <w:rPr>
          <w:rStyle w:val="Hyperlink.1"/>
        </w:rPr>
        <w:fldChar w:fldCharType="separate" w:fldLock="0"/>
      </w:r>
      <w:r>
        <w:rPr>
          <w:rStyle w:val="Hyperlink.1"/>
          <w:rtl w:val="0"/>
          <w:lang w:val="en-US"/>
        </w:rPr>
        <w:t>https://www.ijsrtjournal.com/assetsbackoffice/uploads/article/Pharmacological+Insights+into+the+Rational+Use+of+Nicotine+and+Nicotine+Replacement+Therapy.pdf</w:t>
      </w:r>
      <w:r>
        <w:rPr/>
        <w:fldChar w:fldCharType="end" w:fldLock="0"/>
      </w:r>
    </w:p>
    <w:p>
      <w:pPr>
        <w:pStyle w:val="Body A"/>
        <w:rPr>
          <w:rStyle w:val="Hyperlink.0"/>
        </w:rPr>
      </w:pPr>
      <w:r>
        <w:rPr>
          <w:rStyle w:val="None"/>
          <w:rFonts w:ascii="Arial" w:hAnsi="Arial"/>
          <w:sz w:val="22"/>
          <w:szCs w:val="22"/>
          <w:rtl w:val="0"/>
          <w:lang w:val="en-US"/>
        </w:rPr>
        <w:t>Cumpston, M.S., Brennan, S.E., Ryan, R. and McKenzie, J.E., (2023). Synthesis methods other than meta-analysis were commonly used but seldom specified: survey of systematic reviews. Journal of Clinical Epidemiology, 156, pp.42-52.</w:t>
      </w:r>
      <w:r>
        <w:rPr>
          <w:rStyle w:val="Hyperlink.1"/>
        </w:rPr>
        <w:fldChar w:fldCharType="begin" w:fldLock="0"/>
      </w:r>
      <w:r>
        <w:rPr>
          <w:rStyle w:val="Hyperlink.1"/>
        </w:rPr>
        <w:instrText xml:space="preserve"> HYPERLINK "https://www.sciencedirect.com/science/article/pii/S0895435623000148"</w:instrText>
      </w:r>
      <w:r>
        <w:rPr>
          <w:rStyle w:val="Hyperlink.1"/>
        </w:rPr>
        <w:fldChar w:fldCharType="separate" w:fldLock="0"/>
      </w:r>
      <w:r>
        <w:rPr>
          <w:rStyle w:val="Hyperlink.1"/>
          <w:rtl w:val="0"/>
          <w:lang w:val="en-US"/>
        </w:rPr>
        <w:t>https://www.sciencedirect.com/science/article/pii/S0895435623000148</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 xml:space="preserve">Czernin, J., Bodei, L., Modlin, I. and Calais, J., (2025). Reflections on the demand for PSMA-and SSTR-targeted radiopharmaceutical therapies: why we were wrong (and why we will be right eventually). Journal of Nuclear Medicine, 66(3), pp.333-336.  </w:t>
      </w:r>
      <w:r>
        <w:rPr>
          <w:rStyle w:val="Hyperlink.1"/>
        </w:rPr>
        <w:fldChar w:fldCharType="begin" w:fldLock="0"/>
      </w:r>
      <w:r>
        <w:rPr>
          <w:rStyle w:val="Hyperlink.1"/>
        </w:rPr>
        <w:instrText xml:space="preserve"> HYPERLINK "https://jnm.snmjournals.org/content/jnumed/66/3/333.full-text.pdf"</w:instrText>
      </w:r>
      <w:r>
        <w:rPr>
          <w:rStyle w:val="Hyperlink.1"/>
        </w:rPr>
        <w:fldChar w:fldCharType="separate" w:fldLock="0"/>
      </w:r>
      <w:r>
        <w:rPr>
          <w:rStyle w:val="Hyperlink.1"/>
          <w:rtl w:val="0"/>
          <w:lang w:val="en-US"/>
        </w:rPr>
        <w:t>https://jnm.snmjournals.org/content/jnumed/66/3/333.full-text.pdf</w:t>
      </w:r>
      <w:r>
        <w:rPr/>
        <w:fldChar w:fldCharType="end" w:fldLock="0"/>
      </w:r>
    </w:p>
    <w:p>
      <w:pPr>
        <w:pStyle w:val="Body A"/>
        <w:rPr>
          <w:rStyle w:val="Hyperlink.0"/>
        </w:rPr>
      </w:pPr>
      <w:r>
        <w:rPr>
          <w:rStyle w:val="None"/>
          <w:rFonts w:ascii="Arial" w:hAnsi="Arial"/>
          <w:sz w:val="22"/>
          <w:szCs w:val="22"/>
          <w:rtl w:val="0"/>
          <w:lang w:val="en-US"/>
        </w:rPr>
        <w:t xml:space="preserve">Dar, S.A. and Shairgojri, A.A., (2022). Ethics is more than Matter of Research. Journal of Women Empowerment and Studies (JWES) ISSN, 2(3), pp.2799-1253. </w:t>
      </w:r>
      <w:r>
        <w:rPr>
          <w:rStyle w:val="Hyperlink.1"/>
        </w:rPr>
        <w:fldChar w:fldCharType="begin" w:fldLock="0"/>
      </w:r>
      <w:r>
        <w:rPr>
          <w:rStyle w:val="Hyperlink.1"/>
        </w:rPr>
        <w:instrText xml:space="preserve"> HYPERLINK "https://www.researchgate.net/profile/Showkat-Dar-13/publication/360700171_Ethics_is_More_than_Matter_of_Research/links/6285f976e487bf5a92caabb7/Ethics-is-More-than-Matter-of-Research.pdf"</w:instrText>
      </w:r>
      <w:r>
        <w:rPr>
          <w:rStyle w:val="Hyperlink.1"/>
        </w:rPr>
        <w:fldChar w:fldCharType="separate" w:fldLock="0"/>
      </w:r>
      <w:r>
        <w:rPr>
          <w:rStyle w:val="Hyperlink.1"/>
          <w:rtl w:val="0"/>
          <w:lang w:val="en-US"/>
        </w:rPr>
        <w:t>https://www.researchgate.net/profile/Showkat-Dar-13/publication/360700171_Ethics_is_More_than_Matter_of_Research/links/6285f976e487bf5a92caabb7/Ethics-is-More-than-Matter-of-Research.pdf</w:t>
      </w:r>
      <w:r>
        <w:rPr/>
        <w:fldChar w:fldCharType="end" w:fldLock="0"/>
      </w:r>
    </w:p>
    <w:p>
      <w:pPr>
        <w:pStyle w:val="Body A"/>
        <w:rPr>
          <w:rStyle w:val="Hyperlink.0"/>
        </w:rPr>
      </w:pPr>
      <w:r>
        <w:rPr>
          <w:rStyle w:val="Hyperlink.0"/>
          <w:rtl w:val="0"/>
        </w:rPr>
        <w:t xml:space="preserve">Editverse, (2026). </w:t>
      </w:r>
      <w:r>
        <w:rPr>
          <w:rStyle w:val="None"/>
          <w:rFonts w:ascii="Arial" w:hAnsi="Arial"/>
          <w:i w:val="1"/>
          <w:iCs w:val="1"/>
          <w:sz w:val="22"/>
          <w:szCs w:val="22"/>
          <w:rtl w:val="0"/>
          <w:lang w:val="en-US"/>
        </w:rPr>
        <w:t>What You Must Know About PRISMA Flow Chart</w:t>
      </w:r>
      <w:r>
        <w:rPr>
          <w:rStyle w:val="None"/>
          <w:rFonts w:ascii="Arial" w:hAnsi="Arial"/>
          <w:sz w:val="22"/>
          <w:szCs w:val="22"/>
          <w:rtl w:val="0"/>
          <w:lang w:val="en-US"/>
        </w:rPr>
        <w:t xml:space="preserve">. Available at: </w:t>
      </w:r>
      <w:r>
        <w:rPr>
          <w:rStyle w:val="Hyperlink.1"/>
        </w:rPr>
        <w:fldChar w:fldCharType="begin" w:fldLock="0"/>
      </w:r>
      <w:r>
        <w:rPr>
          <w:rStyle w:val="Hyperlink.1"/>
        </w:rPr>
        <w:instrText xml:space="preserve"> HYPERLINK "https://editverse.com/easy-guide-to-prisma-flow-chart-steps/"</w:instrText>
      </w:r>
      <w:r>
        <w:rPr>
          <w:rStyle w:val="Hyperlink.1"/>
        </w:rPr>
        <w:fldChar w:fldCharType="separate" w:fldLock="0"/>
      </w:r>
      <w:r>
        <w:rPr>
          <w:rStyle w:val="Hyperlink.1"/>
          <w:rtl w:val="0"/>
          <w:lang w:val="en-US"/>
        </w:rPr>
        <w:t>https://editverse.com/easy-guide-to-prisma-flow-chart-steps/</w:t>
      </w:r>
      <w:r>
        <w:rPr/>
        <w:fldChar w:fldCharType="end" w:fldLock="0"/>
      </w:r>
      <w:r>
        <w:rPr>
          <w:rStyle w:val="None"/>
          <w:rFonts w:ascii="Arial" w:hAnsi="Arial"/>
          <w:sz w:val="22"/>
          <w:szCs w:val="22"/>
          <w:rtl w:val="0"/>
          <w:lang w:val="en-US"/>
        </w:rPr>
        <w:t xml:space="preserve"> [Accessed on 11.08.2026]</w:t>
      </w:r>
    </w:p>
    <w:p>
      <w:pPr>
        <w:pStyle w:val="Body A"/>
        <w:rPr>
          <w:rStyle w:val="Hyperlink.0"/>
        </w:rPr>
      </w:pPr>
      <w:r>
        <w:rPr>
          <w:rStyle w:val="None"/>
          <w:rFonts w:ascii="Arial" w:hAnsi="Arial"/>
          <w:sz w:val="22"/>
          <w:szCs w:val="22"/>
          <w:rtl w:val="0"/>
          <w:lang w:val="en-US"/>
        </w:rPr>
        <w:t xml:space="preserve">Frandsen, T.F., Moos, C., Marino, C.I.L.H. and Eriksen, M.B., (2025). Supplementary databases increased literature search coverage beyond PubMed and Embase. Journal of clinical epidemiology, 181, p.111704. </w:t>
      </w:r>
      <w:r>
        <w:rPr>
          <w:rStyle w:val="Hyperlink.1"/>
        </w:rPr>
        <w:fldChar w:fldCharType="begin" w:fldLock="0"/>
      </w:r>
      <w:r>
        <w:rPr>
          <w:rStyle w:val="Hyperlink.1"/>
        </w:rPr>
        <w:instrText xml:space="preserve"> HYPERLINK "https://www.sciencedirect.com/science/article/pii/S089543562500037X"</w:instrText>
      </w:r>
      <w:r>
        <w:rPr>
          <w:rStyle w:val="Hyperlink.1"/>
        </w:rPr>
        <w:fldChar w:fldCharType="separate" w:fldLock="0"/>
      </w:r>
      <w:r>
        <w:rPr>
          <w:rStyle w:val="Hyperlink.1"/>
          <w:rtl w:val="0"/>
          <w:lang w:val="en-US"/>
        </w:rPr>
        <w:t>https://www.sciencedirect.com/science/article/pii/S089543562500037X</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Ghamrawi, N., Shal, T., Ghamrawi, N.A., Abu-Tineh, A., Alshaboul, Y. and Alazaizeh, M.A., (2025). A step-by-step approach to systematic reviews in educational research. European Journal of Educational Research, 14(2), pp.549-566.</w:t>
      </w:r>
      <w:r>
        <w:rPr>
          <w:rStyle w:val="Hyperlink.1"/>
        </w:rPr>
        <w:fldChar w:fldCharType="begin" w:fldLock="0"/>
      </w:r>
      <w:r>
        <w:rPr>
          <w:rStyle w:val="Hyperlink.1"/>
        </w:rPr>
        <w:instrText xml:space="preserve"> HYPERLINK "https://www.eu-jer.com/articles/EU-JER_14_2_549.pdf"</w:instrText>
      </w:r>
      <w:r>
        <w:rPr>
          <w:rStyle w:val="Hyperlink.1"/>
        </w:rPr>
        <w:fldChar w:fldCharType="separate" w:fldLock="0"/>
      </w:r>
      <w:r>
        <w:rPr>
          <w:rStyle w:val="Hyperlink.1"/>
          <w:rtl w:val="0"/>
          <w:lang w:val="en-US"/>
        </w:rPr>
        <w:t>https://www.eu-jer.com/articles/EU-JER_14_2_549.pdf</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 xml:space="preserve">Kenyon, J., Dickens, A., McRobbie, H., Stapleton, J. and West, R., (2025). Combination nicotine replacement therapy (NRT). The National Centre for Smoking Cessation and Training: Shaftesbury, UK, pp.1-10.  </w:t>
      </w:r>
      <w:r>
        <w:rPr>
          <w:rStyle w:val="Hyperlink.1"/>
        </w:rPr>
        <w:fldChar w:fldCharType="begin" w:fldLock="0"/>
      </w:r>
      <w:r>
        <w:rPr>
          <w:rStyle w:val="Hyperlink.1"/>
        </w:rPr>
        <w:instrText xml:space="preserve"> HYPERLINK "https://www.ncsct.co.uk/library/view/pdf/combination-NRT-2024-25-v1.pdf"</w:instrText>
      </w:r>
      <w:r>
        <w:rPr>
          <w:rStyle w:val="Hyperlink.1"/>
        </w:rPr>
        <w:fldChar w:fldCharType="separate" w:fldLock="0"/>
      </w:r>
      <w:r>
        <w:rPr>
          <w:rStyle w:val="Hyperlink.1"/>
          <w:rtl w:val="0"/>
          <w:lang w:val="en-US"/>
        </w:rPr>
        <w:t>https://www.ncsct.co.uk/library/view/pdf/combination-NRT-2024-25-v1.pdf</w:t>
      </w:r>
      <w:r>
        <w:rPr/>
        <w:fldChar w:fldCharType="end" w:fldLock="0"/>
      </w:r>
    </w:p>
    <w:p>
      <w:pPr>
        <w:pStyle w:val="Body A"/>
        <w:rPr>
          <w:rStyle w:val="Hyperlink.0"/>
        </w:rPr>
      </w:pPr>
      <w:r>
        <w:rPr>
          <w:rStyle w:val="None"/>
          <w:rFonts w:ascii="Arial" w:hAnsi="Arial"/>
          <w:sz w:val="22"/>
          <w:szCs w:val="22"/>
          <w:rtl w:val="0"/>
          <w:lang w:val="en-US"/>
        </w:rPr>
        <w:t>Mancin, S., Sguanci, M., Andreoli, D., Soekeland, F., Anastasi, G., Piredda, M. and De Marinis, M.G., (2024). Systematic review of clinical practice guidelines and systematic reviews: a method for conducting comprehensive analysis. MethodsX, 12, p.102532.</w:t>
      </w:r>
      <w:r>
        <w:rPr>
          <w:rStyle w:val="Hyperlink.1"/>
        </w:rPr>
        <w:fldChar w:fldCharType="begin" w:fldLock="0"/>
      </w:r>
      <w:r>
        <w:rPr>
          <w:rStyle w:val="Hyperlink.1"/>
        </w:rPr>
        <w:instrText xml:space="preserve"> HYPERLINK "https://www.sciencedirect.com/science/article/pii/S2215016123005289"</w:instrText>
      </w:r>
      <w:r>
        <w:rPr>
          <w:rStyle w:val="Hyperlink.1"/>
        </w:rPr>
        <w:fldChar w:fldCharType="separate" w:fldLock="0"/>
      </w:r>
      <w:r>
        <w:rPr>
          <w:rStyle w:val="Hyperlink.1"/>
          <w:rtl w:val="0"/>
          <w:lang w:val="en-US"/>
        </w:rPr>
        <w:t>https://www.sciencedirect.com/science/article/pii/S2215016123005289</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 xml:space="preserve">McNeill, A., Brose, L., Robson, D., Calder, R., Simonavicius, E., East, K., Taylor, E. and Zuikova, E., (2022). Nicotine vaping in England: an evidence update including health risks and perceptions, 2022.  </w:t>
      </w:r>
      <w:r>
        <w:rPr>
          <w:rStyle w:val="Hyperlink.1"/>
        </w:rPr>
        <w:fldChar w:fldCharType="begin" w:fldLock="0"/>
      </w:r>
      <w:r>
        <w:rPr>
          <w:rStyle w:val="Hyperlink.1"/>
        </w:rPr>
        <w:instrText xml:space="preserve"> HYPERLINK "https://assets.publishing.service.gov.uk/media/633469fc8fa8f5066d28e1a2/Nicotine-vaping-in-England-2022-report.pdf?utm_medium=email&amp;utm_source=transaction"</w:instrText>
      </w:r>
      <w:r>
        <w:rPr>
          <w:rStyle w:val="Hyperlink.1"/>
        </w:rPr>
        <w:fldChar w:fldCharType="separate" w:fldLock="0"/>
      </w:r>
      <w:r>
        <w:rPr>
          <w:rStyle w:val="Hyperlink.1"/>
          <w:rtl w:val="0"/>
          <w:lang w:val="en-US"/>
        </w:rPr>
        <w:t>https://assets.publishing.service.gov.uk/media/633469fc8fa8f5066d28e1a2/Nicotine-vaping-in-England-2022-report.pdf?utm_medium=email&amp;utm_source=transaction</w:t>
      </w:r>
      <w:r>
        <w:rPr/>
        <w:fldChar w:fldCharType="end" w:fldLock="0"/>
      </w:r>
    </w:p>
    <w:p>
      <w:pPr>
        <w:pStyle w:val="Body A"/>
        <w:rPr>
          <w:rStyle w:val="Hyperlink.0"/>
        </w:rPr>
      </w:pPr>
      <w:r>
        <w:rPr>
          <w:rStyle w:val="None"/>
          <w:rFonts w:ascii="Arial" w:hAnsi="Arial"/>
          <w:sz w:val="22"/>
          <w:szCs w:val="22"/>
          <w:rtl w:val="0"/>
          <w:lang w:val="en-US"/>
        </w:rPr>
        <w:t>Nejadghaderi, S.A., Balibegloo, M. and Rezaei, N., (2024). The Cochrane risk of bias assessment tool 2 (RoB 2) versus the original RoB: A perspective on the pros and cons. Health Science Reports, 7(6), p.e2165.</w:t>
      </w:r>
      <w:r>
        <w:rPr>
          <w:rStyle w:val="Hyperlink.1"/>
        </w:rPr>
        <w:fldChar w:fldCharType="begin" w:fldLock="0"/>
      </w:r>
      <w:r>
        <w:rPr>
          <w:rStyle w:val="Hyperlink.1"/>
        </w:rPr>
        <w:instrText xml:space="preserve"> HYPERLINK "https://onlinelibrary.wiley.com/doi/pdf/10.1002/hsr2.2165"</w:instrText>
      </w:r>
      <w:r>
        <w:rPr>
          <w:rStyle w:val="Hyperlink.1"/>
        </w:rPr>
        <w:fldChar w:fldCharType="separate" w:fldLock="0"/>
      </w:r>
      <w:r>
        <w:rPr>
          <w:rStyle w:val="Hyperlink.1"/>
          <w:rtl w:val="0"/>
          <w:lang w:val="en-US"/>
        </w:rPr>
        <w:t>https://onlinelibrary.wiley.com/doi/pdf/10.1002/hsr2.2165</w:t>
      </w:r>
      <w:r>
        <w:rPr/>
        <w:fldChar w:fldCharType="end" w:fldLock="0"/>
      </w:r>
      <w:r>
        <w:rPr>
          <w:rStyle w:val="Hyperlink.0"/>
          <w:rtl w:val="0"/>
        </w:rPr>
        <w:t xml:space="preserve"> </w:t>
      </w:r>
    </w:p>
    <w:p>
      <w:pPr>
        <w:pStyle w:val="Body A"/>
        <w:rPr>
          <w:rStyle w:val="Hyperlink.0"/>
        </w:rPr>
      </w:pPr>
      <w:r>
        <w:rPr>
          <w:rStyle w:val="Hyperlink.0"/>
          <w:rtl w:val="0"/>
        </w:rPr>
        <w:t xml:space="preserve">NHS England, (2023). </w:t>
      </w:r>
      <w:r>
        <w:rPr>
          <w:rStyle w:val="None"/>
          <w:rFonts w:ascii="Arial" w:hAnsi="Arial"/>
          <w:i w:val="1"/>
          <w:iCs w:val="1"/>
          <w:sz w:val="22"/>
          <w:szCs w:val="22"/>
          <w:rtl w:val="0"/>
          <w:lang w:val="en-US"/>
        </w:rPr>
        <w:t xml:space="preserve">Hospital admissions due to smoking up nearly 5% last year, NHS data shows. </w:t>
      </w:r>
      <w:r>
        <w:rPr>
          <w:rStyle w:val="None"/>
          <w:rFonts w:ascii="Arial" w:hAnsi="Arial"/>
          <w:sz w:val="22"/>
          <w:szCs w:val="22"/>
          <w:rtl w:val="0"/>
          <w:lang w:val="en-US"/>
        </w:rPr>
        <w:t xml:space="preserve">Available at: </w:t>
      </w:r>
      <w:r>
        <w:rPr>
          <w:rStyle w:val="Hyperlink.1"/>
        </w:rPr>
        <w:fldChar w:fldCharType="begin" w:fldLock="0"/>
      </w:r>
      <w:r>
        <w:rPr>
          <w:rStyle w:val="Hyperlink.1"/>
        </w:rPr>
        <w:instrText xml:space="preserve"> HYPERLINK "https://www.england.nhs.uk/2023/12/hospital-admissions-due-to-smoking-up-nearly-5-per-cent-last-year-nhs-data-shows/"</w:instrText>
      </w:r>
      <w:r>
        <w:rPr>
          <w:rStyle w:val="Hyperlink.1"/>
        </w:rPr>
        <w:fldChar w:fldCharType="separate" w:fldLock="0"/>
      </w:r>
      <w:r>
        <w:rPr>
          <w:rStyle w:val="Hyperlink.1"/>
          <w:rtl w:val="0"/>
          <w:lang w:val="en-US"/>
        </w:rPr>
        <w:t>https://www.england.nhs.uk/2023/12/hospital-admissions-due-to-smoking-up-nearly-5-per-cent-last-year-nhs-data-shows/</w:t>
      </w:r>
      <w:r>
        <w:rPr/>
        <w:fldChar w:fldCharType="end" w:fldLock="0"/>
      </w:r>
    </w:p>
    <w:p>
      <w:pPr>
        <w:pStyle w:val="Body A"/>
        <w:rPr>
          <w:rStyle w:val="Hyperlink.0"/>
        </w:rPr>
      </w:pPr>
      <w:r>
        <w:rPr>
          <w:rStyle w:val="None"/>
          <w:rFonts w:ascii="Arial" w:hAnsi="Arial"/>
          <w:sz w:val="22"/>
          <w:szCs w:val="22"/>
          <w:rtl w:val="0"/>
          <w:lang w:val="en-US"/>
        </w:rPr>
        <w:t xml:space="preserve">NHS, (2026). Quit smoking with nicotine replacement therapies (NRTs). Available at: </w:t>
      </w:r>
      <w:r>
        <w:rPr>
          <w:rStyle w:val="Hyperlink.1"/>
        </w:rPr>
        <w:fldChar w:fldCharType="begin" w:fldLock="0"/>
      </w:r>
      <w:r>
        <w:rPr>
          <w:rStyle w:val="Hyperlink.1"/>
        </w:rPr>
        <w:instrText xml:space="preserve"> HYPERLINK "https://www.nhs.uk/better-health/quit-smoking/ready-to-quit-smoking/quit-with-nicotine-replacement-therapies-nrt/"</w:instrText>
      </w:r>
      <w:r>
        <w:rPr>
          <w:rStyle w:val="Hyperlink.1"/>
        </w:rPr>
        <w:fldChar w:fldCharType="separate" w:fldLock="0"/>
      </w:r>
      <w:r>
        <w:rPr>
          <w:rStyle w:val="Hyperlink.1"/>
          <w:rtl w:val="0"/>
          <w:lang w:val="en-US"/>
        </w:rPr>
        <w:t>https://www.nhs.uk/better-health/quit-smoking/ready-to-quit-smoking/quit-with-nicotine-replacement-therapies-nrt/</w:t>
      </w:r>
      <w:r>
        <w:rPr/>
        <w:fldChar w:fldCharType="end" w:fldLock="0"/>
      </w:r>
      <w:r>
        <w:rPr>
          <w:rStyle w:val="None"/>
          <w:rFonts w:ascii="Arial" w:hAnsi="Arial"/>
          <w:sz w:val="22"/>
          <w:szCs w:val="22"/>
          <w:rtl w:val="0"/>
          <w:lang w:val="en-US"/>
        </w:rPr>
        <w:t xml:space="preserve"> [Accessed on 11.08.2026] </w:t>
      </w:r>
    </w:p>
    <w:p>
      <w:pPr>
        <w:pStyle w:val="Body A"/>
        <w:rPr>
          <w:rStyle w:val="Hyperlink.0"/>
        </w:rPr>
      </w:pPr>
      <w:r>
        <w:rPr>
          <w:rStyle w:val="None"/>
          <w:rFonts w:ascii="Arial" w:hAnsi="Arial"/>
          <w:sz w:val="22"/>
          <w:szCs w:val="22"/>
          <w:rtl w:val="0"/>
          <w:lang w:val="en-US"/>
        </w:rPr>
        <w:t>Nishikawa-Pacher, A., (2022). Research questions with PICO: a universal mnemonic. Publications, 10(3), p.21.</w:t>
      </w:r>
      <w:r>
        <w:rPr>
          <w:rStyle w:val="Hyperlink.1"/>
        </w:rPr>
        <w:fldChar w:fldCharType="begin" w:fldLock="0"/>
      </w:r>
      <w:r>
        <w:rPr>
          <w:rStyle w:val="Hyperlink.1"/>
        </w:rPr>
        <w:instrText xml:space="preserve"> HYPERLINK "https://www.mdpi.com/2304-6775/10/3/21"</w:instrText>
      </w:r>
      <w:r>
        <w:rPr>
          <w:rStyle w:val="Hyperlink.1"/>
        </w:rPr>
        <w:fldChar w:fldCharType="separate" w:fldLock="0"/>
      </w:r>
      <w:r>
        <w:rPr>
          <w:rStyle w:val="Hyperlink.1"/>
          <w:rtl w:val="0"/>
          <w:lang w:val="en-US"/>
        </w:rPr>
        <w:t>https://www.mdpi.com/2304-6775/10/3/21</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 xml:space="preserve">Onwuzo, C.N., Olukorode, J., Sange, W., Orimoloye, D.A., Udojike, C., Omoragbon, L., Hassan, A.E., Falade, D.M., Omiko, R., Odunaike, O.S. and Adams-Momoh, P.A., (2024). A review of smoking cessation interventions: efficacy, strategies for implementation, and future directions. Cureus, 16(1).  </w:t>
      </w:r>
      <w:r>
        <w:rPr>
          <w:rStyle w:val="Hyperlink.1"/>
        </w:rPr>
        <w:fldChar w:fldCharType="begin" w:fldLock="0"/>
      </w:r>
      <w:r>
        <w:rPr>
          <w:rStyle w:val="Hyperlink.1"/>
        </w:rPr>
        <w:instrText xml:space="preserve"> HYPERLINK "https://www.cureus.com/articles/190558-a-review-of-smoking-cessation-interventions-efficacy-strategies-for-implementation-and-future-directions.pdf"</w:instrText>
      </w:r>
      <w:r>
        <w:rPr>
          <w:rStyle w:val="Hyperlink.1"/>
        </w:rPr>
        <w:fldChar w:fldCharType="separate" w:fldLock="0"/>
      </w:r>
      <w:r>
        <w:rPr>
          <w:rStyle w:val="Hyperlink.1"/>
          <w:rtl w:val="0"/>
          <w:lang w:val="en-US"/>
        </w:rPr>
        <w:t>https://www.cureus.com/articles/190558-a-review-of-smoking-cessation-interventions-efficacy-strategies-for-implementation-and-future-directions.pdf</w:t>
      </w:r>
      <w:r>
        <w:rPr/>
        <w:fldChar w:fldCharType="end" w:fldLock="0"/>
      </w:r>
    </w:p>
    <w:p>
      <w:pPr>
        <w:pStyle w:val="Body A"/>
        <w:rPr>
          <w:rStyle w:val="Hyperlink.0"/>
        </w:rPr>
      </w:pPr>
      <w:r>
        <w:rPr>
          <w:rStyle w:val="None"/>
          <w:rFonts w:ascii="Arial" w:hAnsi="Arial"/>
          <w:sz w:val="22"/>
          <w:szCs w:val="22"/>
          <w:rtl w:val="0"/>
          <w:lang w:val="en-US"/>
        </w:rPr>
        <w:t xml:space="preserve">Pajai, D.D., Paul, P. and Reche, A., (2023). Pharmacotherapy in tobacco cessation: a narrative review. Cureus, 15(2).  </w:t>
      </w:r>
      <w:r>
        <w:rPr>
          <w:rStyle w:val="Hyperlink.1"/>
        </w:rPr>
        <w:fldChar w:fldCharType="begin" w:fldLock="0"/>
      </w:r>
      <w:r>
        <w:rPr>
          <w:rStyle w:val="Hyperlink.1"/>
        </w:rPr>
        <w:instrText xml:space="preserve"> HYPERLINK "https://www.cureus.com/articles/118065-pharmacotherapy-in-tobacco-cessation-a-narrative-review.pdf"</w:instrText>
      </w:r>
      <w:r>
        <w:rPr>
          <w:rStyle w:val="Hyperlink.1"/>
        </w:rPr>
        <w:fldChar w:fldCharType="separate" w:fldLock="0"/>
      </w:r>
      <w:r>
        <w:rPr>
          <w:rStyle w:val="Hyperlink.1"/>
          <w:rtl w:val="0"/>
          <w:lang w:val="en-US"/>
        </w:rPr>
        <w:t>https://www.cureus.com/articles/118065-pharmacotherapy-in-tobacco-cessation-a-narrative-review.pdf</w:t>
      </w:r>
      <w:r>
        <w:rPr/>
        <w:fldChar w:fldCharType="end" w:fldLock="0"/>
      </w:r>
    </w:p>
    <w:p>
      <w:pPr>
        <w:pStyle w:val="Body A"/>
        <w:rPr>
          <w:rStyle w:val="Hyperlink.0"/>
        </w:rPr>
      </w:pPr>
      <w:r>
        <w:rPr>
          <w:rStyle w:val="None"/>
          <w:rFonts w:ascii="Arial" w:hAnsi="Arial"/>
          <w:sz w:val="22"/>
          <w:szCs w:val="22"/>
          <w:rtl w:val="0"/>
          <w:lang w:val="en-US"/>
        </w:rPr>
        <w:t>Rethlefsen, M.L. and Page, M.J., (2022). PRISMA 2020 and PRISMA-S: common questions on tracking records and the flow diagram. Journal of the Medical Library Association: JMLA, 110(2), p.253.</w:t>
      </w:r>
      <w:r>
        <w:rPr>
          <w:rStyle w:val="Hyperlink.2"/>
        </w:rPr>
        <w:fldChar w:fldCharType="begin" w:fldLock="0"/>
      </w:r>
      <w:r>
        <w:rPr>
          <w:rStyle w:val="Hyperlink.2"/>
        </w:rPr>
        <w:instrText xml:space="preserve"> HYPERLINK "https://pmc.ncbi.nlm.nih.gov/articles/PMC9014944/pdf/jmla-110-2-253.pdf"</w:instrText>
      </w:r>
      <w:r>
        <w:rPr>
          <w:rStyle w:val="Hyperlink.2"/>
        </w:rPr>
        <w:fldChar w:fldCharType="separate" w:fldLock="0"/>
      </w:r>
      <w:r>
        <w:rPr>
          <w:rStyle w:val="Hyperlink.2"/>
          <w:rtl w:val="0"/>
        </w:rPr>
        <w:t>https://pmc.ncbi.nlm.nih.gov/articles/PMC9014944/pdf/jmla-110-2-253.pdf</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Sauer, P.C. and Seuring, S., (2023). How to conduct systematic literature reviews in management research: a guide in 6 steps and 14 decisions. Review of Managerial Science, 17(5), pp.1899-1933.</w:t>
      </w:r>
      <w:r>
        <w:rPr>
          <w:rStyle w:val="Hyperlink.2"/>
        </w:rPr>
        <w:fldChar w:fldCharType="begin" w:fldLock="0"/>
      </w:r>
      <w:r>
        <w:rPr>
          <w:rStyle w:val="Hyperlink.2"/>
        </w:rPr>
        <w:instrText xml:space="preserve"> HYPERLINK "https://link.springer.com/content/pdf/10.1007/s11846-023-00668-3.pdf"</w:instrText>
      </w:r>
      <w:r>
        <w:rPr>
          <w:rStyle w:val="Hyperlink.2"/>
        </w:rPr>
        <w:fldChar w:fldCharType="separate" w:fldLock="0"/>
      </w:r>
      <w:r>
        <w:rPr>
          <w:rStyle w:val="Hyperlink.2"/>
          <w:rtl w:val="0"/>
        </w:rPr>
        <w:t>https://link.springer.com/content/pdf/10.1007/s11846-023-00668-3.pdf</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Schmidt, L., Mutlu, A.N.F., Elmore, R., Olorisade, B.K., Thomas, J. and Higgins, J.P., (2025). Data extraction methods for systematic review (semi) automation: Update of a living systematic review. F1000Research, 10, p.401.</w:t>
      </w:r>
      <w:r>
        <w:rPr>
          <w:rStyle w:val="Hyperlink.1"/>
        </w:rPr>
        <w:fldChar w:fldCharType="begin" w:fldLock="0"/>
      </w:r>
      <w:r>
        <w:rPr>
          <w:rStyle w:val="Hyperlink.1"/>
        </w:rPr>
        <w:instrText xml:space="preserve"> HYPERLINK "https://pmc.ncbi.nlm.nih.gov/articles/PMC8361807/pdf/f1000research-10-179210.pdf"</w:instrText>
      </w:r>
      <w:r>
        <w:rPr>
          <w:rStyle w:val="Hyperlink.1"/>
        </w:rPr>
        <w:fldChar w:fldCharType="separate" w:fldLock="0"/>
      </w:r>
      <w:r>
        <w:rPr>
          <w:rStyle w:val="Hyperlink.1"/>
          <w:rtl w:val="0"/>
          <w:lang w:val="en-US"/>
        </w:rPr>
        <w:t>https://pmc.ncbi.nlm.nih.gov/articles/PMC8361807/pdf/f1000research-10-179210.pdf</w:t>
      </w:r>
      <w:r>
        <w:rPr/>
        <w:fldChar w:fldCharType="end" w:fldLock="0"/>
      </w:r>
      <w:r>
        <w:rPr>
          <w:rStyle w:val="Hyperlink.0"/>
          <w:rtl w:val="0"/>
        </w:rPr>
        <w:t xml:space="preserve"> </w:t>
      </w:r>
    </w:p>
    <w:p>
      <w:pPr>
        <w:pStyle w:val="Body A"/>
        <w:rPr>
          <w:rStyle w:val="Hyperlink.0"/>
        </w:rPr>
      </w:pPr>
      <w:r>
        <w:rPr>
          <w:rStyle w:val="None"/>
          <w:rFonts w:ascii="Arial" w:hAnsi="Arial"/>
          <w:sz w:val="22"/>
          <w:szCs w:val="22"/>
          <w:rtl w:val="0"/>
          <w:lang w:val="en-US"/>
        </w:rPr>
        <w:t xml:space="preserve">Spherical insights, (2026). </w:t>
      </w:r>
      <w:r>
        <w:rPr>
          <w:rStyle w:val="None"/>
          <w:rFonts w:ascii="Arial" w:hAnsi="Arial"/>
          <w:i w:val="1"/>
          <w:iCs w:val="1"/>
          <w:sz w:val="22"/>
          <w:szCs w:val="22"/>
          <w:rtl w:val="0"/>
          <w:lang w:val="en-US"/>
        </w:rPr>
        <w:t xml:space="preserve">Global Nicotine Replacement Therapy Market Size To Exceed USD 6.9 Billion By 2033 </w:t>
      </w:r>
      <w:r>
        <w:rPr>
          <w:rStyle w:val="None"/>
          <w:rFonts w:ascii="Arial" w:hAnsi="Arial"/>
          <w:sz w:val="22"/>
          <w:szCs w:val="22"/>
          <w:rtl w:val="0"/>
          <w:lang w:val="en-US"/>
        </w:rPr>
        <w:t xml:space="preserve">CAGR of 7.99%. Available at: </w:t>
      </w:r>
      <w:r>
        <w:rPr>
          <w:rStyle w:val="Hyperlink.1"/>
        </w:rPr>
        <w:fldChar w:fldCharType="begin" w:fldLock="0"/>
      </w:r>
      <w:r>
        <w:rPr>
          <w:rStyle w:val="Hyperlink.1"/>
        </w:rPr>
        <w:instrText xml:space="preserve"> HYPERLINK "https://www.sphericalinsights.com/press-release/nicotine-replacement-therapy-market"</w:instrText>
      </w:r>
      <w:r>
        <w:rPr>
          <w:rStyle w:val="Hyperlink.1"/>
        </w:rPr>
        <w:fldChar w:fldCharType="separate" w:fldLock="0"/>
      </w:r>
      <w:r>
        <w:rPr>
          <w:rStyle w:val="Hyperlink.1"/>
          <w:rtl w:val="0"/>
          <w:lang w:val="en-US"/>
        </w:rPr>
        <w:t>https://www.sphericalinsights.com/press-release/nicotine-replacement-therapy-market</w:t>
      </w:r>
      <w:r>
        <w:rPr/>
        <w:fldChar w:fldCharType="end" w:fldLock="0"/>
      </w:r>
      <w:r>
        <w:rPr>
          <w:rStyle w:val="None"/>
          <w:rFonts w:ascii="Arial" w:hAnsi="Arial"/>
          <w:sz w:val="22"/>
          <w:szCs w:val="22"/>
          <w:rtl w:val="0"/>
          <w:lang w:val="en-US"/>
        </w:rPr>
        <w:t>. [Accessed on 11.8.26]</w:t>
      </w:r>
    </w:p>
    <w:p>
      <w:pPr>
        <w:pStyle w:val="Body A"/>
        <w:rPr>
          <w:rStyle w:val="Hyperlink.0"/>
        </w:rPr>
      </w:pPr>
      <w:r>
        <w:rPr>
          <w:rStyle w:val="None"/>
          <w:rFonts w:ascii="Arial" w:hAnsi="Arial"/>
          <w:sz w:val="22"/>
          <w:szCs w:val="22"/>
          <w:rtl w:val="0"/>
          <w:lang w:val="en-US"/>
        </w:rPr>
        <w:t>World Health Organization, (2026).</w:t>
      </w:r>
      <w:r>
        <w:rPr>
          <w:rStyle w:val="None"/>
          <w:rFonts w:ascii="Arial" w:hAnsi="Arial"/>
          <w:i w:val="1"/>
          <w:iCs w:val="1"/>
          <w:sz w:val="22"/>
          <w:szCs w:val="22"/>
          <w:rtl w:val="0"/>
          <w:lang w:val="en-US"/>
        </w:rPr>
        <w:t xml:space="preserve"> Tobacco and nicotine.</w:t>
      </w:r>
      <w:r>
        <w:rPr>
          <w:rStyle w:val="None"/>
          <w:rFonts w:ascii="Arial" w:hAnsi="Arial"/>
          <w:sz w:val="22"/>
          <w:szCs w:val="22"/>
          <w:rtl w:val="0"/>
          <w:lang w:val="en-US"/>
        </w:rPr>
        <w:t xml:space="preserve"> Available at: </w:t>
      </w:r>
      <w:r>
        <w:rPr>
          <w:rStyle w:val="Hyperlink.1"/>
        </w:rPr>
        <w:fldChar w:fldCharType="begin" w:fldLock="0"/>
      </w:r>
      <w:r>
        <w:rPr>
          <w:rStyle w:val="Hyperlink.1"/>
        </w:rPr>
        <w:instrText xml:space="preserve"> HYPERLINK "https://www.who.int/news-room/fact-sheets/detail/tobacco"</w:instrText>
      </w:r>
      <w:r>
        <w:rPr>
          <w:rStyle w:val="Hyperlink.1"/>
        </w:rPr>
        <w:fldChar w:fldCharType="separate" w:fldLock="0"/>
      </w:r>
      <w:r>
        <w:rPr>
          <w:rStyle w:val="Hyperlink.1"/>
          <w:rtl w:val="0"/>
          <w:lang w:val="en-US"/>
        </w:rPr>
        <w:t>https://www.who.int/news-room/fact-sheets/detail/tobacco</w:t>
      </w:r>
      <w:r>
        <w:rPr/>
        <w:fldChar w:fldCharType="end" w:fldLock="0"/>
      </w:r>
      <w:r>
        <w:rPr>
          <w:rStyle w:val="Hyperlink.1"/>
          <w:rtl w:val="0"/>
          <w:lang w:val="en-US"/>
        </w:rPr>
        <w:t xml:space="preserve"> </w:t>
      </w:r>
      <w:r>
        <w:rPr>
          <w:rStyle w:val="None"/>
          <w:rFonts w:ascii="Arial" w:hAnsi="Arial"/>
          <w:sz w:val="22"/>
          <w:szCs w:val="22"/>
          <w:rtl w:val="0"/>
          <w:lang w:val="en-US"/>
        </w:rPr>
        <w:t>[Accessed on 11.8.26]</w:t>
      </w:r>
    </w:p>
    <w:p>
      <w:pPr>
        <w:pStyle w:val="Body A"/>
      </w:pPr>
      <w:r>
        <w:rPr>
          <w:rStyle w:val="None"/>
          <w:rFonts w:ascii="Arial" w:hAnsi="Arial"/>
          <w:sz w:val="22"/>
          <w:szCs w:val="22"/>
          <w:rtl w:val="0"/>
          <w:lang w:val="en-US"/>
        </w:rPr>
        <w:t>Xames, M.D. and Topcu, T.G., (2024). A systematic literature review of digital twin research for healthcare systems: Research trends, gaps, and realisation challenges. IEEE access, 12, pp.4099-4126.</w:t>
      </w:r>
      <w:r>
        <w:rPr>
          <w:rStyle w:val="Hyperlink.1"/>
        </w:rPr>
        <w:fldChar w:fldCharType="begin" w:fldLock="0"/>
      </w:r>
      <w:r>
        <w:rPr>
          <w:rStyle w:val="Hyperlink.1"/>
        </w:rPr>
        <w:instrText xml:space="preserve"> HYPERLINK "https://ieeexplore.ieee.org/stamp/stamp.jsp?arnumber=10379674"</w:instrText>
      </w:r>
      <w:r>
        <w:rPr>
          <w:rStyle w:val="Hyperlink.1"/>
        </w:rPr>
        <w:fldChar w:fldCharType="separate" w:fldLock="0"/>
      </w:r>
      <w:r>
        <w:rPr>
          <w:rStyle w:val="Hyperlink.1"/>
          <w:rtl w:val="0"/>
          <w:lang w:val="en-US"/>
        </w:rPr>
        <w:t>https://ieeexplore.ieee.org/stamp/stamp.jsp?arnumber=10379674</w:t>
      </w:r>
      <w:r>
        <w:rPr/>
        <w:fldChar w:fldCharType="end" w:fldLock="0"/>
      </w:r>
      <w:r>
        <w:rPr>
          <w:rStyle w:val="Hyperlink.0"/>
          <w:rtl w:val="0"/>
        </w:rPr>
        <w:t xml:space="preserve"> </w:t>
      </w:r>
    </w:p>
    <w:sectPr>
      <w:headerReference w:type="default" r:id="rId7"/>
      <w:footerReference w:type="default" r:id="rId8"/>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Style w:val="Hyperlink.0"/>
      </w:rPr>
      <w:fldChar w:fldCharType="begin" w:fldLock="0"/>
    </w:r>
    <w:r>
      <w:rPr>
        <w:rStyle w:val="Hyperlink.0"/>
      </w:rPr>
      <w:instrText xml:space="preserve"> PAGE </w:instrText>
    </w:r>
    <w:r>
      <w:rPr>
        <w:rStyle w:val="Hyperlink.0"/>
      </w:rPr>
      <w:fldChar w:fldCharType="separate" w:fldLock="0"/>
    </w:r>
    <w:r>
      <w:rPr>
        <w:rStyle w:val="Hyperlink.0"/>
      </w:rPr>
    </w:r>
    <w:r>
      <w:rPr>
        <w:rStyle w:val="Hyperlink.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0">
    <w:name w:val="Hyperlink.0"/>
    <w:rPr>
      <w:rFonts w:ascii="Arial" w:hAnsi="Arial"/>
      <w:sz w:val="22"/>
      <w:szCs w:val="22"/>
    </w:rPr>
  </w:style>
  <w:style w:type="paragraph" w:styleId="Body A">
    <w:name w:val="Body A"/>
    <w:next w:val="Body A"/>
    <w:pPr>
      <w:keepNext w:val="0"/>
      <w:keepLines w:val="0"/>
      <w:pageBreakBefore w:val="0"/>
      <w:widowControl w:val="1"/>
      <w:shd w:val="clear" w:color="auto" w:fill="auto"/>
      <w:suppressAutoHyphens w:val="0"/>
      <w:bidi w:val="0"/>
      <w:spacing w:before="200" w:after="20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A">
    <w:name w:val="None A"/>
  </w:style>
  <w:style w:type="paragraph" w:styleId="TOC Heading1">
    <w:name w:val="TOC Heading1"/>
    <w:next w:val="Body A"/>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200" w:after="100" w:line="360" w:lineRule="auto"/>
      <w:ind w:left="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1"/>
      <w:pageBreakBefore w:val="0"/>
      <w:widowControl w:val="1"/>
      <w:shd w:val="clear" w:color="auto" w:fill="auto"/>
      <w:suppressAutoHyphens w:val="0"/>
      <w:bidi w:val="0"/>
      <w:spacing w:before="400" w:after="120" w:line="360" w:lineRule="auto"/>
      <w:ind w:left="0" w:right="0" w:firstLine="0"/>
      <w:jc w:val="both"/>
      <w:outlineLvl w:val="0"/>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200" w:after="100" w:line="360" w:lineRule="auto"/>
      <w:ind w:left="240" w:right="0" w:firstLine="0"/>
      <w:jc w:val="both"/>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A"/>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1">
    <w:name w:val="Hyperlink.1"/>
    <w:basedOn w:val="None"/>
    <w:next w:val="Hyperlink.1"/>
    <w:rPr>
      <w:rFonts w:ascii="Arial" w:cs="Arial" w:hAnsi="Arial" w:eastAsia="Arial"/>
      <w:outline w:val="0"/>
      <w:color w:val="1155cc"/>
      <w:sz w:val="22"/>
      <w:szCs w:val="22"/>
      <w:u w:val="single" w:color="1155cc"/>
      <w:lang w:val="en-US"/>
      <w14:textFill>
        <w14:solidFill>
          <w14:srgbClr w14:val="1155CC"/>
        </w14:solidFill>
      </w14:textFill>
    </w:rPr>
  </w:style>
  <w:style w:type="character" w:styleId="Hyperlink.2">
    <w:name w:val="Hyperlink.2"/>
    <w:basedOn w:val="None"/>
    <w:next w:val="Hyperlink.2"/>
    <w:rPr>
      <w:rFonts w:ascii="Arial" w:cs="Arial" w:hAnsi="Arial" w:eastAsia="Arial"/>
      <w:outline w:val="0"/>
      <w:color w:val="1155cc"/>
      <w:sz w:val="22"/>
      <w:szCs w:val="22"/>
      <w:u w:val="single" w:color="1155cc"/>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