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pPr>
    </w:p>
    <w:p>
      <w:pPr>
        <w:pStyle w:val="Body A"/>
      </w:pPr>
    </w:p>
    <w:p>
      <w:pPr>
        <w:pStyle w:val="Title"/>
      </w:pPr>
      <w:r>
        <w:rPr>
          <w:rtl w:val="0"/>
          <w:lang w:val="en-US"/>
        </w:rPr>
        <w:t>Environmental Impacts of Meat Eaters vs. Non Meat Eaters</w:t>
      </w:r>
      <w:r>
        <w:rPr>
          <w:outline w:val="0"/>
          <w:color w:val="000000"/>
          <w:u w:color="000000"/>
          <w14:textFill>
            <w14:solidFill>
              <w14:srgbClr w14:val="000000"/>
            </w14:solidFill>
          </w14:textFill>
        </w:rPr>
        <w:drawing>
          <wp:anchor distT="152400" distB="152400" distL="152400" distR="152400" simplePos="0" relativeHeight="251659264" behindDoc="0" locked="0" layoutInCell="1" allowOverlap="1">
            <wp:simplePos x="0" y="0"/>
            <wp:positionH relativeFrom="page">
              <wp:posOffset>745424</wp:posOffset>
            </wp:positionH>
            <wp:positionV relativeFrom="line">
              <wp:posOffset>624838</wp:posOffset>
            </wp:positionV>
            <wp:extent cx="6052952" cy="3403738"/>
            <wp:effectExtent l="0" t="0" r="0" b="0"/>
            <wp:wrapThrough wrapText="bothSides" distL="152400" distR="152400">
              <wp:wrapPolygon edited="1">
                <wp:start x="0" y="0"/>
                <wp:lineTo x="21600" y="0"/>
                <wp:lineTo x="21600" y="21600"/>
                <wp:lineTo x="0" y="21600"/>
                <wp:lineTo x="0" y="0"/>
              </wp:wrapPolygon>
            </wp:wrapThrough>
            <wp:docPr id="1073741825" name="officeArt object" descr="pasted-image.tiff"/>
            <wp:cNvGraphicFramePr/>
            <a:graphic xmlns:a="http://schemas.openxmlformats.org/drawingml/2006/main">
              <a:graphicData uri="http://schemas.openxmlformats.org/drawingml/2006/picture">
                <pic:pic xmlns:pic="http://schemas.openxmlformats.org/drawingml/2006/picture">
                  <pic:nvPicPr>
                    <pic:cNvPr id="1073741825" name="pasted-image.tiff" descr="pasted-image.tiff"/>
                    <pic:cNvPicPr>
                      <a:picLocks noChangeAspect="1"/>
                    </pic:cNvPicPr>
                  </pic:nvPicPr>
                  <pic:blipFill>
                    <a:blip r:embed="rId4">
                      <a:extLst/>
                    </a:blip>
                    <a:stretch>
                      <a:fillRect/>
                    </a:stretch>
                  </pic:blipFill>
                  <pic:spPr>
                    <a:xfrm>
                      <a:off x="0" y="0"/>
                      <a:ext cx="6052952" cy="3403738"/>
                    </a:xfrm>
                    <a:prstGeom prst="rect">
                      <a:avLst/>
                    </a:prstGeom>
                    <a:ln w="12700" cap="flat">
                      <a:noFill/>
                      <a:miter lim="400000"/>
                    </a:ln>
                    <a:effectLst/>
                  </pic:spPr>
                </pic:pic>
              </a:graphicData>
            </a:graphic>
          </wp:anchor>
        </w:drawing>
      </w:r>
    </w:p>
    <w:p>
      <w:pPr>
        <w:pStyle w:val="Subheading"/>
      </w:pPr>
    </w:p>
    <w:p>
      <w:pPr>
        <w:pStyle w:val="Subheading"/>
      </w:pPr>
      <w:r>
        <w:rPr>
          <w:rFonts w:cs="Arial Unicode MS" w:eastAsia="Arial Unicode MS"/>
          <w:rtl w:val="0"/>
          <w:lang w:val="en-US"/>
        </w:rPr>
        <w:t>Research Proposal by Charlotte Morgan</w:t>
      </w:r>
    </w:p>
    <w:p>
      <w:pPr>
        <w:pStyle w:val="Title"/>
      </w:pPr>
    </w:p>
    <w:p>
      <w:pPr>
        <w:pStyle w:val="Attribution"/>
      </w:pPr>
      <w:r>
        <w:rPr>
          <w:rtl w:val="0"/>
          <w:lang w:val="en-US"/>
        </w:rPr>
        <w:t>UWTSD</w:t>
      </w:r>
    </w:p>
    <w:p>
      <w:pPr>
        <w:pStyle w:val="Attribution"/>
      </w:pPr>
      <w:r>
        <w:rPr>
          <w:rtl w:val="0"/>
          <w:lang w:val="en-US"/>
        </w:rPr>
        <w:t>March 2020</w:t>
      </w:r>
      <w:r>
        <w:rPr>
          <w:rFonts w:ascii="Arial Unicode MS" w:cs="Arial Unicode MS" w:hAnsi="Arial Unicode MS" w:eastAsia="Arial Unicode MS"/>
          <w:b w:val="0"/>
          <w:bCs w:val="0"/>
          <w:i w:val="0"/>
          <w:iCs w:val="0"/>
        </w:rPr>
        <w:br w:type="page"/>
      </w:r>
    </w:p>
    <w:p>
      <w:pPr>
        <w:pStyle w:val="Subtitle"/>
      </w:pPr>
      <w:r>
        <w:rPr>
          <w:rtl w:val="0"/>
          <w:lang w:val="en-US"/>
        </w:rPr>
        <w:t>Contents</w:t>
      </w:r>
    </w:p>
    <w:p>
      <w:pPr>
        <w:pStyle w:val="Body 2"/>
      </w:pPr>
    </w:p>
    <w:p>
      <w:pPr>
        <w:pStyle w:val="Heading"/>
        <w:spacing w:line="360" w:lineRule="auto"/>
        <w:jc w:val="both"/>
      </w:pPr>
      <w:r>
        <w:rPr>
          <w:rtl w:val="0"/>
          <w:lang w:val="en-US"/>
        </w:rPr>
        <w:t>Introduction</w:t>
      </w:r>
      <w:r>
        <w:rPr>
          <w:rtl w:val="0"/>
          <w:lang w:val="en-US"/>
        </w:rPr>
        <w:t>…………………………………………………</w:t>
      </w:r>
      <w:r>
        <w:rPr>
          <w:rtl w:val="0"/>
          <w:lang w:val="en-US"/>
        </w:rPr>
        <w:t>.3</w:t>
      </w:r>
    </w:p>
    <w:p>
      <w:pPr>
        <w:pStyle w:val="Heading"/>
        <w:spacing w:line="360" w:lineRule="auto"/>
        <w:jc w:val="both"/>
      </w:pPr>
      <w:r>
        <w:rPr>
          <w:rtl w:val="0"/>
          <w:lang w:val="en-US"/>
        </w:rPr>
        <w:t>Literature Review</w:t>
      </w:r>
      <w:r>
        <w:rPr>
          <w:rtl w:val="0"/>
          <w:lang w:val="en-US"/>
        </w:rPr>
        <w:t>……………………………………………</w:t>
      </w:r>
      <w:r>
        <w:rPr>
          <w:rtl w:val="0"/>
          <w:lang w:val="en-US"/>
        </w:rPr>
        <w:t>.5</w:t>
      </w:r>
    </w:p>
    <w:p>
      <w:pPr>
        <w:pStyle w:val="Heading"/>
        <w:spacing w:line="360" w:lineRule="auto"/>
        <w:jc w:val="both"/>
      </w:pPr>
      <w:r>
        <w:rPr>
          <w:rtl w:val="0"/>
          <w:lang w:val="en-US"/>
        </w:rPr>
        <w:t>Methods</w:t>
      </w:r>
      <w:r>
        <w:rPr>
          <w:rtl w:val="0"/>
          <w:lang w:val="en-US"/>
        </w:rPr>
        <w:t>……………………………………………………</w:t>
      </w:r>
      <w:r>
        <w:rPr>
          <w:rtl w:val="0"/>
          <w:lang w:val="en-US"/>
        </w:rPr>
        <w:t>..10</w:t>
      </w:r>
    </w:p>
    <w:p>
      <w:pPr>
        <w:pStyle w:val="Heading"/>
        <w:spacing w:line="360" w:lineRule="auto"/>
        <w:jc w:val="both"/>
      </w:pPr>
      <w:r>
        <w:rPr>
          <w:rtl w:val="0"/>
          <w:lang w:val="en-US"/>
        </w:rPr>
        <w:t>Results</w:t>
      </w:r>
      <w:r>
        <w:rPr>
          <w:rtl w:val="0"/>
          <w:lang w:val="en-US"/>
        </w:rPr>
        <w:t>………………………………………………………</w:t>
      </w:r>
      <w:r>
        <w:rPr>
          <w:rtl w:val="0"/>
          <w:lang w:val="en-US"/>
        </w:rPr>
        <w:t>13</w:t>
      </w:r>
    </w:p>
    <w:p>
      <w:pPr>
        <w:pStyle w:val="Heading"/>
        <w:spacing w:line="360" w:lineRule="auto"/>
        <w:jc w:val="both"/>
      </w:pPr>
      <w:r>
        <w:rPr>
          <w:rtl w:val="0"/>
          <w:lang w:val="en-US"/>
        </w:rPr>
        <w:t>Evaluation</w:t>
      </w:r>
      <w:r>
        <w:rPr>
          <w:rtl w:val="0"/>
          <w:lang w:val="en-US"/>
        </w:rPr>
        <w:t>…………………………………………………</w:t>
      </w:r>
      <w:r>
        <w:rPr>
          <w:rtl w:val="0"/>
          <w:lang w:val="en-US"/>
        </w:rPr>
        <w:t>..15</w:t>
      </w:r>
    </w:p>
    <w:p>
      <w:pPr>
        <w:pStyle w:val="Heading"/>
        <w:spacing w:line="360" w:lineRule="auto"/>
        <w:jc w:val="both"/>
      </w:pPr>
      <w:r>
        <w:rPr>
          <w:rtl w:val="0"/>
          <w:lang w:val="en-US"/>
        </w:rPr>
        <w:t>References</w:t>
      </w:r>
      <w:r>
        <w:rPr>
          <w:rtl w:val="0"/>
          <w:lang w:val="en-US"/>
        </w:rPr>
        <w:t>…………………………………………………</w:t>
      </w:r>
      <w:r>
        <w:rPr>
          <w:rtl w:val="0"/>
          <w:lang w:val="en-US"/>
        </w:rPr>
        <w:t>..16</w:t>
      </w:r>
    </w:p>
    <w:p>
      <w:pPr>
        <w:pStyle w:val="Subtitle"/>
      </w:pPr>
    </w:p>
    <w:p>
      <w:pPr>
        <w:pStyle w:val="Subtitle"/>
      </w:pPr>
    </w:p>
    <w:p>
      <w:pPr>
        <w:pStyle w:val="Subtitle"/>
      </w:pPr>
    </w:p>
    <w:p>
      <w:pPr>
        <w:pStyle w:val="Subtitle"/>
      </w:pPr>
    </w:p>
    <w:p>
      <w:pPr>
        <w:pStyle w:val="Subtitle"/>
      </w:pPr>
    </w:p>
    <w:p>
      <w:pPr>
        <w:pStyle w:val="Subtitle"/>
      </w:pPr>
    </w:p>
    <w:p>
      <w:pPr>
        <w:pStyle w:val="Subtitle"/>
      </w:pPr>
    </w:p>
    <w:p>
      <w:pPr>
        <w:pStyle w:val="Subtitle"/>
      </w:pPr>
    </w:p>
    <w:p>
      <w:pPr>
        <w:pStyle w:val="Subtitle"/>
      </w:pPr>
    </w:p>
    <w:p>
      <w:pPr>
        <w:pStyle w:val="Subtitle"/>
      </w:pPr>
    </w:p>
    <w:p>
      <w:pPr>
        <w:pStyle w:val="Subtitle"/>
      </w:pPr>
    </w:p>
    <w:p>
      <w:pPr>
        <w:pStyle w:val="Subtitle"/>
      </w:pPr>
      <w:r>
        <w:rPr>
          <w:rtl w:val="0"/>
          <w:lang w:val="en-US"/>
        </w:rPr>
        <w:t>Introduction</w:t>
      </w:r>
    </w:p>
    <w:p>
      <w:pPr>
        <w:pStyle w:val="Body A"/>
      </w:pPr>
    </w:p>
    <w:p>
      <w:pPr>
        <w:pStyle w:val="Body A"/>
        <w:spacing w:line="360" w:lineRule="auto"/>
        <w:jc w:val="both"/>
        <w:rPr>
          <w:sz w:val="24"/>
          <w:szCs w:val="24"/>
        </w:rPr>
      </w:pPr>
      <w:r>
        <w:rPr>
          <w:sz w:val="24"/>
          <w:szCs w:val="24"/>
          <w:rtl w:val="0"/>
          <w:lang w:val="en-US"/>
        </w:rPr>
        <w:t>Climate change is one of the most significant and pressing challenges that faces humanity (R</w:t>
      </w:r>
      <w:r>
        <w:rPr>
          <w:sz w:val="24"/>
          <w:szCs w:val="24"/>
          <w:rtl w:val="0"/>
        </w:rPr>
        <w:t>öö</w:t>
      </w:r>
      <w:r>
        <w:rPr>
          <w:sz w:val="24"/>
          <w:szCs w:val="24"/>
          <w:rtl w:val="0"/>
          <w:lang w:val="en-US"/>
        </w:rPr>
        <w:t xml:space="preserve">s, 2013), with humans facing unprecedented challenges, such as: increased land use change releasing carbon back into the atmosphere, substantial deforestation, damage and contamination to water courses, increased energy consumption, fertiliser application, and waste generation (Marlow </w:t>
      </w:r>
      <w:r>
        <w:rPr>
          <w:i w:val="1"/>
          <w:iCs w:val="1"/>
          <w:sz w:val="24"/>
          <w:szCs w:val="24"/>
          <w:rtl w:val="0"/>
          <w:lang w:val="nl-NL"/>
        </w:rPr>
        <w:t>et al</w:t>
      </w:r>
      <w:r>
        <w:rPr>
          <w:sz w:val="24"/>
          <w:szCs w:val="24"/>
          <w:rtl w:val="0"/>
          <w:lang w:val="en-US"/>
        </w:rPr>
        <w:t xml:space="preserve">., 2009). The cause of these changes can be linked to the unsustainable patterns surrounding anthropogenic material consumption and economic activity (Wackernagel and Rees, 1998). In a recent attempt to combat such a situation there has been an increased prevalence of questioning food choices based on their environmental impact (Rosi </w:t>
      </w:r>
      <w:r>
        <w:rPr>
          <w:i w:val="1"/>
          <w:iCs w:val="1"/>
          <w:sz w:val="24"/>
          <w:szCs w:val="24"/>
          <w:rtl w:val="0"/>
          <w:lang w:val="nl-NL"/>
        </w:rPr>
        <w:t>et al</w:t>
      </w:r>
      <w:r>
        <w:rPr>
          <w:sz w:val="24"/>
          <w:szCs w:val="24"/>
          <w:rtl w:val="0"/>
          <w:lang w:val="en-US"/>
        </w:rPr>
        <w:t>., 2017). Research by Veermani and colleagues (2017) suggests that the dietary choices of modern societies have huge impacts on the</w:t>
      </w:r>
      <w:r>
        <w:rPr>
          <w:sz w:val="24"/>
          <w:szCs w:val="24"/>
          <w:rtl w:val="0"/>
          <w:lang w:val="en-US"/>
        </w:rPr>
        <w:t xml:space="preserve"> environment</w:t>
      </w:r>
      <w:r>
        <w:rPr>
          <w:sz w:val="24"/>
          <w:szCs w:val="24"/>
          <w:rtl w:val="0"/>
          <w:lang w:val="en-US"/>
        </w:rPr>
        <w:t xml:space="preserve">, and thus societal shifts in dietary patterns could assist to ameliorate these issues (Hallstrom </w:t>
      </w:r>
      <w:r>
        <w:rPr>
          <w:i w:val="1"/>
          <w:iCs w:val="1"/>
          <w:sz w:val="24"/>
          <w:szCs w:val="24"/>
          <w:rtl w:val="0"/>
          <w:lang w:val="nl-NL"/>
        </w:rPr>
        <w:t>et al</w:t>
      </w:r>
      <w:r>
        <w:rPr>
          <w:sz w:val="24"/>
          <w:szCs w:val="24"/>
          <w:rtl w:val="0"/>
        </w:rPr>
        <w:t>. 2015).</w:t>
      </w:r>
    </w:p>
    <w:p>
      <w:pPr>
        <w:pStyle w:val="Body A"/>
        <w:spacing w:line="360" w:lineRule="auto"/>
        <w:jc w:val="both"/>
        <w:rPr>
          <w:sz w:val="24"/>
          <w:szCs w:val="24"/>
        </w:rPr>
      </w:pPr>
    </w:p>
    <w:p>
      <w:pPr>
        <w:pStyle w:val="Body A"/>
        <w:spacing w:line="360" w:lineRule="auto"/>
        <w:jc w:val="both"/>
        <w:rPr>
          <w:sz w:val="24"/>
          <w:szCs w:val="24"/>
        </w:rPr>
      </w:pPr>
      <w:r>
        <w:rPr>
          <w:sz w:val="24"/>
          <w:szCs w:val="24"/>
          <w:rtl w:val="0"/>
          <w:lang w:val="en-US"/>
        </w:rPr>
        <w:t>The food sector has been identified as one of the major contributing factors to climate change (R</w:t>
      </w:r>
      <w:r>
        <w:rPr>
          <w:sz w:val="24"/>
          <w:szCs w:val="24"/>
          <w:rtl w:val="0"/>
        </w:rPr>
        <w:t>öö</w:t>
      </w:r>
      <w:r>
        <w:rPr>
          <w:sz w:val="24"/>
          <w:szCs w:val="24"/>
          <w:rtl w:val="0"/>
          <w:lang w:val="en-US"/>
        </w:rPr>
        <w:t xml:space="preserve">s, 2013) with Macrae and colleagues (2013) estimating that </w:t>
      </w:r>
      <w:r>
        <w:rPr>
          <w:sz w:val="24"/>
          <w:szCs w:val="24"/>
          <w:rtl w:val="0"/>
        </w:rPr>
        <w:t>‘</w:t>
      </w:r>
      <w:r>
        <w:rPr>
          <w:sz w:val="24"/>
          <w:szCs w:val="24"/>
          <w:rtl w:val="0"/>
          <w:lang w:val="en-US"/>
        </w:rPr>
        <w:t>around 30% of anthropogenic climate change is linked to food production and food systems at large.</w:t>
      </w:r>
      <w:r>
        <w:rPr>
          <w:sz w:val="24"/>
          <w:szCs w:val="24"/>
          <w:rtl w:val="0"/>
        </w:rPr>
        <w:t xml:space="preserve">’ </w:t>
      </w:r>
      <w:r>
        <w:rPr>
          <w:sz w:val="24"/>
          <w:szCs w:val="24"/>
          <w:rtl w:val="0"/>
          <w:lang w:val="en-US"/>
        </w:rPr>
        <w:t xml:space="preserve">In addition to this, increasing populations and rising incomes have more than doubled food consumption over the past four decades (Harrison </w:t>
      </w:r>
      <w:r>
        <w:rPr>
          <w:i w:val="1"/>
          <w:iCs w:val="1"/>
          <w:sz w:val="24"/>
          <w:szCs w:val="24"/>
          <w:rtl w:val="0"/>
          <w:lang w:val="nl-NL"/>
        </w:rPr>
        <w:t>et al</w:t>
      </w:r>
      <w:r>
        <w:rPr>
          <w:sz w:val="24"/>
          <w:szCs w:val="24"/>
          <w:rtl w:val="0"/>
          <w:lang w:val="en-US"/>
        </w:rPr>
        <w:t xml:space="preserve">., 2002), with a projected population of 9 billion by 2050 (Veeramani </w:t>
      </w:r>
      <w:r>
        <w:rPr>
          <w:i w:val="1"/>
          <w:iCs w:val="1"/>
          <w:sz w:val="24"/>
          <w:szCs w:val="24"/>
          <w:rtl w:val="0"/>
          <w:lang w:val="nl-NL"/>
        </w:rPr>
        <w:t>et al</w:t>
      </w:r>
      <w:r>
        <w:rPr>
          <w:sz w:val="24"/>
          <w:szCs w:val="24"/>
          <w:rtl w:val="0"/>
          <w:lang w:val="en-US"/>
        </w:rPr>
        <w:t xml:space="preserve">. 2017). This suggests that the dietary patterns and their environmental impact need to be analysed to provide an understanding of how best to reduce the negative consequences on the environment. Furthermore, to implement strategies that reduce the environmental impact of dietary patterns, a more thorough understanding of the predominant implications of various dietary choices is important (Veeramani </w:t>
      </w:r>
      <w:r>
        <w:rPr>
          <w:i w:val="1"/>
          <w:iCs w:val="1"/>
          <w:sz w:val="24"/>
          <w:szCs w:val="24"/>
          <w:rtl w:val="0"/>
          <w:lang w:val="nl-NL"/>
        </w:rPr>
        <w:t>et al</w:t>
      </w:r>
      <w:r>
        <w:rPr>
          <w:sz w:val="24"/>
          <w:szCs w:val="24"/>
          <w:rtl w:val="0"/>
        </w:rPr>
        <w:t>., 2017).</w:t>
      </w:r>
    </w:p>
    <w:p>
      <w:pPr>
        <w:pStyle w:val="Body A"/>
        <w:spacing w:line="360" w:lineRule="auto"/>
        <w:jc w:val="both"/>
        <w:rPr>
          <w:sz w:val="24"/>
          <w:szCs w:val="24"/>
        </w:rPr>
      </w:pPr>
    </w:p>
    <w:p>
      <w:pPr>
        <w:pStyle w:val="Body A"/>
        <w:spacing w:line="360" w:lineRule="auto"/>
        <w:jc w:val="both"/>
        <w:rPr>
          <w:sz w:val="24"/>
          <w:szCs w:val="24"/>
        </w:rPr>
      </w:pPr>
      <w:r>
        <w:rPr>
          <w:sz w:val="24"/>
          <w:szCs w:val="24"/>
          <w:rtl w:val="0"/>
          <w:lang w:val="en-US"/>
        </w:rPr>
        <w:t xml:space="preserve">Despite a growing consciousness around food choices and their environmental impact, there is a lack of information about the real life influence of the whole diet rather than a hypothetical intake on different indexes of environmental impact (Rosi </w:t>
      </w:r>
      <w:r>
        <w:rPr>
          <w:i w:val="1"/>
          <w:iCs w:val="1"/>
          <w:sz w:val="24"/>
          <w:szCs w:val="24"/>
          <w:rtl w:val="0"/>
          <w:lang w:val="nl-NL"/>
        </w:rPr>
        <w:t>et al</w:t>
      </w:r>
      <w:r>
        <w:rPr>
          <w:sz w:val="24"/>
          <w:szCs w:val="24"/>
          <w:rtl w:val="0"/>
          <w:lang w:val="en-US"/>
        </w:rPr>
        <w:t>., 2017). Consumers need to be informed about the environmental impact and sustainability of the purchasing choices they make so that the most environmentally sensitive choice can be made (Wall</w:t>
      </w:r>
      <w:r>
        <w:rPr>
          <w:sz w:val="24"/>
          <w:szCs w:val="24"/>
          <w:rtl w:val="0"/>
          <w:lang w:val="fr-FR"/>
        </w:rPr>
        <w:t>é</w:t>
      </w:r>
      <w:r>
        <w:rPr>
          <w:sz w:val="24"/>
          <w:szCs w:val="24"/>
          <w:rtl w:val="0"/>
        </w:rPr>
        <w:t xml:space="preserve">n </w:t>
      </w:r>
      <w:r>
        <w:rPr>
          <w:i w:val="1"/>
          <w:iCs w:val="1"/>
          <w:sz w:val="24"/>
          <w:szCs w:val="24"/>
          <w:rtl w:val="0"/>
          <w:lang w:val="nl-NL"/>
        </w:rPr>
        <w:t>et al</w:t>
      </w:r>
      <w:r>
        <w:rPr>
          <w:sz w:val="24"/>
          <w:szCs w:val="24"/>
          <w:rtl w:val="0"/>
        </w:rPr>
        <w:t>., 2004)</w:t>
      </w:r>
      <w:r>
        <w:rPr>
          <w:sz w:val="24"/>
          <w:szCs w:val="24"/>
          <w:rtl w:val="0"/>
          <w:lang w:val="en-US"/>
        </w:rPr>
        <w:t xml:space="preserve">. A sustainable diet can be defined by the FAO as </w:t>
      </w:r>
      <w:r>
        <w:rPr>
          <w:sz w:val="24"/>
          <w:szCs w:val="24"/>
          <w:rtl w:val="0"/>
        </w:rPr>
        <w:t>‘</w:t>
      </w:r>
      <w:r>
        <w:rPr>
          <w:sz w:val="24"/>
          <w:szCs w:val="24"/>
          <w:rtl w:val="0"/>
          <w:lang w:val="en-US"/>
        </w:rPr>
        <w:t>those that are nutritionally adequate, affordable, safe and culturally acceptable while sparing of natural and human resources</w:t>
      </w:r>
      <w:r>
        <w:rPr>
          <w:sz w:val="24"/>
          <w:szCs w:val="24"/>
          <w:rtl w:val="0"/>
          <w:lang w:val="en-US"/>
        </w:rPr>
        <w:t xml:space="preserve">’  </w:t>
      </w:r>
      <w:r>
        <w:rPr>
          <w:sz w:val="24"/>
          <w:szCs w:val="24"/>
          <w:rtl w:val="0"/>
          <w:lang w:val="en-US"/>
        </w:rPr>
        <w:t xml:space="preserve">(FAO, 2010; Lever, 2011). The challenge of ensuring food security </w:t>
      </w:r>
      <w:r>
        <w:rPr>
          <w:sz w:val="24"/>
          <w:szCs w:val="24"/>
          <w:rtl w:val="0"/>
        </w:rPr>
        <w:t>-</w:t>
      </w:r>
      <w:r>
        <w:rPr>
          <w:sz w:val="24"/>
          <w:szCs w:val="24"/>
          <w:rtl w:val="0"/>
          <w:lang w:val="en-US"/>
        </w:rPr>
        <w:t xml:space="preserve"> and further sustainable diets </w:t>
      </w:r>
      <w:r>
        <w:rPr>
          <w:sz w:val="24"/>
          <w:szCs w:val="24"/>
          <w:rtl w:val="0"/>
        </w:rPr>
        <w:t>-</w:t>
      </w:r>
      <w:r>
        <w:rPr>
          <w:sz w:val="24"/>
          <w:szCs w:val="24"/>
          <w:rtl w:val="0"/>
          <w:lang w:val="en-US"/>
        </w:rPr>
        <w:t xml:space="preserve"> with growing concern surrounding climate change, has led to renewed concerns about the future of the Western diet (Friel </w:t>
      </w:r>
      <w:r>
        <w:rPr>
          <w:i w:val="1"/>
          <w:iCs w:val="1"/>
          <w:sz w:val="24"/>
          <w:szCs w:val="24"/>
          <w:rtl w:val="0"/>
          <w:lang w:val="nl-NL"/>
        </w:rPr>
        <w:t>et al</w:t>
      </w:r>
      <w:r>
        <w:rPr>
          <w:sz w:val="24"/>
          <w:szCs w:val="24"/>
          <w:rtl w:val="0"/>
        </w:rPr>
        <w:t>., 2009).</w:t>
      </w:r>
    </w:p>
    <w:p>
      <w:pPr>
        <w:pStyle w:val="Body A"/>
        <w:spacing w:line="360" w:lineRule="auto"/>
        <w:jc w:val="both"/>
        <w:rPr>
          <w:sz w:val="24"/>
          <w:szCs w:val="24"/>
        </w:rPr>
      </w:pPr>
    </w:p>
    <w:p>
      <w:pPr>
        <w:pStyle w:val="Body A"/>
        <w:spacing w:line="360" w:lineRule="auto"/>
        <w:jc w:val="both"/>
        <w:rPr>
          <w:sz w:val="24"/>
          <w:szCs w:val="24"/>
        </w:rPr>
      </w:pPr>
      <w:r>
        <w:rPr>
          <w:sz w:val="24"/>
          <w:szCs w:val="24"/>
          <w:rtl w:val="0"/>
          <w:lang w:val="en-US"/>
        </w:rPr>
        <w:t xml:space="preserve">Wackernagel and Rees (1998) developed the </w:t>
      </w:r>
      <w:r>
        <w:rPr>
          <w:sz w:val="24"/>
          <w:szCs w:val="24"/>
          <w:rtl w:val="0"/>
        </w:rPr>
        <w:t>‘</w:t>
      </w:r>
      <w:r>
        <w:rPr>
          <w:sz w:val="24"/>
          <w:szCs w:val="24"/>
          <w:rtl w:val="0"/>
          <w:lang w:val="en-US"/>
        </w:rPr>
        <w:t>ecological footprint</w:t>
      </w:r>
      <w:r>
        <w:rPr>
          <w:sz w:val="24"/>
          <w:szCs w:val="24"/>
          <w:rtl w:val="0"/>
        </w:rPr>
        <w:t xml:space="preserve">’ </w:t>
      </w:r>
      <w:r>
        <w:rPr>
          <w:sz w:val="24"/>
          <w:szCs w:val="24"/>
          <w:rtl w:val="0"/>
          <w:lang w:val="en-US"/>
        </w:rPr>
        <w:t xml:space="preserve">concept which is </w:t>
      </w:r>
      <w:r>
        <w:rPr>
          <w:sz w:val="24"/>
          <w:szCs w:val="24"/>
          <w:rtl w:val="0"/>
        </w:rPr>
        <w:t>‘</w:t>
      </w:r>
      <w:r>
        <w:rPr>
          <w:sz w:val="24"/>
          <w:szCs w:val="24"/>
          <w:rtl w:val="0"/>
          <w:lang w:val="en-US"/>
        </w:rPr>
        <w:t>the amount of ecologically productive land that would be necessary to provide current levels of consumption on a sustainable basis.</w:t>
      </w:r>
      <w:r>
        <w:rPr>
          <w:sz w:val="24"/>
          <w:szCs w:val="24"/>
          <w:rtl w:val="0"/>
        </w:rPr>
        <w:t xml:space="preserve">’ </w:t>
      </w:r>
      <w:r>
        <w:rPr>
          <w:sz w:val="24"/>
          <w:szCs w:val="24"/>
          <w:rtl w:val="0"/>
          <w:lang w:val="en-US"/>
        </w:rPr>
        <w:t>An ecological footprint is the measure of environmental impact, with a larger estimated footprint implying greater land requirements and therefore a greater impact on the environment by a population. This measure can be applied to differing dietary patterns, to surmise the overall environmental impact of the diet. This is an increasingly pressing issue</w:t>
      </w:r>
      <w:r>
        <w:rPr>
          <w:sz w:val="24"/>
          <w:szCs w:val="24"/>
          <w:rtl w:val="0"/>
          <w:lang w:val="en-US"/>
        </w:rPr>
        <w:t xml:space="preserve"> </w:t>
      </w:r>
      <w:r>
        <w:rPr>
          <w:sz w:val="24"/>
          <w:szCs w:val="24"/>
          <w:rtl w:val="0"/>
          <w:lang w:val="en-US"/>
        </w:rPr>
        <w:t xml:space="preserve">as meat consumption quadrupled during the latter half of the 20th century (De Boer </w:t>
      </w:r>
      <w:r>
        <w:rPr>
          <w:i w:val="1"/>
          <w:iCs w:val="1"/>
          <w:sz w:val="24"/>
          <w:szCs w:val="24"/>
          <w:rtl w:val="0"/>
          <w:lang w:val="nl-NL"/>
        </w:rPr>
        <w:t>et al</w:t>
      </w:r>
      <w:r>
        <w:rPr>
          <w:sz w:val="24"/>
          <w:szCs w:val="24"/>
          <w:rtl w:val="0"/>
          <w:lang w:val="en-US"/>
        </w:rPr>
        <w:t xml:space="preserve">., 2006), and environmental impacts are set to further increase due to trade and trends in the food market (Frey and Barrett, 2007). </w:t>
      </w:r>
    </w:p>
    <w:p>
      <w:pPr>
        <w:pStyle w:val="Body A"/>
        <w:spacing w:line="360" w:lineRule="auto"/>
        <w:jc w:val="both"/>
        <w:rPr>
          <w:sz w:val="24"/>
          <w:szCs w:val="24"/>
        </w:rPr>
      </w:pPr>
    </w:p>
    <w:p>
      <w:pPr>
        <w:pStyle w:val="Body A"/>
        <w:spacing w:line="360" w:lineRule="auto"/>
        <w:jc w:val="both"/>
        <w:rPr>
          <w:sz w:val="24"/>
          <w:szCs w:val="24"/>
        </w:rPr>
      </w:pPr>
      <w:r>
        <w:rPr>
          <w:sz w:val="24"/>
          <w:szCs w:val="24"/>
          <w:rtl w:val="0"/>
          <w:lang w:val="en-US"/>
        </w:rPr>
        <w:t>There is clear and justifiable evidence that the challenge facing humanity is enormous, at a time when climate change, biodiversity loss, soil erosion, pollution, and water and land shortages are placing stress on global food production systems (R</w:t>
      </w:r>
      <w:r>
        <w:rPr>
          <w:sz w:val="24"/>
          <w:szCs w:val="24"/>
          <w:rtl w:val="0"/>
        </w:rPr>
        <w:t>öö</w:t>
      </w:r>
      <w:r>
        <w:rPr>
          <w:sz w:val="24"/>
          <w:szCs w:val="24"/>
          <w:rtl w:val="0"/>
          <w:lang w:val="en-US"/>
        </w:rPr>
        <w:t xml:space="preserve">s, 2013). Goodland (1997) argued that diet is an important factor in working towards sustainability in agriculture; further, he points out that a diet based predominantly on meat is typically consumed by more affluent citizens, and requires a significantly greater amount of environmental resources per calorie than a grain based diet. This increased demand for meat has encouraged farmers to raise livestock instead of grain and this grain is typically used to feed livestock, and so is unavailable for human consumption (Brown and Kane, 1994). Although this information is dated, it can be used to illustrate just how long ago these issues were being recognised, and therefore can be used to highlight the urgency in the matter. </w:t>
      </w:r>
    </w:p>
    <w:p>
      <w:pPr>
        <w:pStyle w:val="Subtitle"/>
      </w:pPr>
    </w:p>
    <w:p>
      <w:pPr>
        <w:pStyle w:val="Subtitle"/>
      </w:pPr>
    </w:p>
    <w:p>
      <w:pPr>
        <w:pStyle w:val="Subtitle"/>
      </w:pPr>
    </w:p>
    <w:p>
      <w:pPr>
        <w:pStyle w:val="Subtitle"/>
      </w:pPr>
    </w:p>
    <w:p>
      <w:pPr>
        <w:pStyle w:val="Subtitle"/>
      </w:pPr>
      <w:r>
        <w:rPr>
          <w:rtl w:val="0"/>
          <w:lang w:val="en-US"/>
        </w:rPr>
        <w:t>Literature Review</w:t>
      </w:r>
    </w:p>
    <w:p>
      <w:pPr>
        <w:pStyle w:val="Body A"/>
        <w:spacing w:line="360" w:lineRule="auto"/>
        <w:jc w:val="both"/>
        <w:rPr>
          <w:sz w:val="24"/>
          <w:szCs w:val="24"/>
        </w:rPr>
      </w:pPr>
    </w:p>
    <w:p>
      <w:pPr>
        <w:pStyle w:val="Body A"/>
        <w:spacing w:line="360" w:lineRule="auto"/>
        <w:jc w:val="both"/>
        <w:rPr>
          <w:sz w:val="24"/>
          <w:szCs w:val="24"/>
        </w:rPr>
      </w:pPr>
      <w:r>
        <w:rPr>
          <w:sz w:val="24"/>
          <w:szCs w:val="24"/>
          <w:rtl w:val="0"/>
          <w:lang w:val="en-US"/>
        </w:rPr>
        <w:t>Climate change and food security are increasingly at the forefront of many countries</w:t>
      </w:r>
      <w:r>
        <w:rPr>
          <w:sz w:val="24"/>
          <w:szCs w:val="24"/>
          <w:rtl w:val="0"/>
        </w:rPr>
        <w:t xml:space="preserve">’ </w:t>
      </w:r>
      <w:r>
        <w:rPr>
          <w:sz w:val="24"/>
          <w:szCs w:val="24"/>
          <w:rtl w:val="0"/>
          <w:lang w:val="en-US"/>
        </w:rPr>
        <w:t>action plans and agendas (European Commission, 2006</w:t>
      </w:r>
      <w:r>
        <w:rPr>
          <w:sz w:val="24"/>
          <w:szCs w:val="24"/>
          <w:rtl w:val="0"/>
        </w:rPr>
        <w:t>)</w:t>
      </w:r>
      <w:r>
        <w:rPr>
          <w:sz w:val="24"/>
          <w:szCs w:val="24"/>
          <w:rtl w:val="0"/>
          <w:lang w:val="en-US"/>
        </w:rPr>
        <w:t xml:space="preserve">, and climate change increasingly has negative affects on food production systems worldwide (Rosi </w:t>
      </w:r>
      <w:r>
        <w:rPr>
          <w:i w:val="1"/>
          <w:iCs w:val="1"/>
          <w:sz w:val="24"/>
          <w:szCs w:val="24"/>
          <w:rtl w:val="0"/>
          <w:lang w:val="nl-NL"/>
        </w:rPr>
        <w:t>et al</w:t>
      </w:r>
      <w:r>
        <w:rPr>
          <w:sz w:val="24"/>
          <w:szCs w:val="24"/>
          <w:rtl w:val="0"/>
          <w:lang w:val="en-US"/>
        </w:rPr>
        <w:t xml:space="preserve">., 2017). As a result of increased land under cultivation and improved yields on existing agricultural lands (FAO, 1996) there has been an increase in world-wide food production (White, 2000). Consequently, such demands on food production have resulted in the acceleration of deforestation and soil erosion and the accumulation of greenhouse gases in the atmosphere; these are all indicators that demands on nature, from both society and the food industry, are compromising the wellbeing of future generations (Wackernagel and Rees, 1998). To address concerns about the increased demand for animal products, a series of questions need to be considered: Do dietary choices really have an effect on the environment? Does animal consumption create a larger footprint than a vegetarian diet? What are some of the greatest environmental impacts of an animal breed diet? How might these be measured? (Marlow </w:t>
      </w:r>
      <w:r>
        <w:rPr>
          <w:i w:val="1"/>
          <w:iCs w:val="1"/>
          <w:sz w:val="24"/>
          <w:szCs w:val="24"/>
          <w:rtl w:val="0"/>
        </w:rPr>
        <w:t>e</w:t>
      </w:r>
      <w:r>
        <w:rPr>
          <w:i w:val="1"/>
          <w:iCs w:val="1"/>
          <w:sz w:val="24"/>
          <w:szCs w:val="24"/>
          <w:rtl w:val="0"/>
          <w:lang w:val="en-US"/>
        </w:rPr>
        <w:t>t</w:t>
      </w:r>
      <w:r>
        <w:rPr>
          <w:i w:val="1"/>
          <w:iCs w:val="1"/>
          <w:sz w:val="24"/>
          <w:szCs w:val="24"/>
          <w:rtl w:val="0"/>
        </w:rPr>
        <w:t xml:space="preserve"> al</w:t>
      </w:r>
      <w:r>
        <w:rPr>
          <w:sz w:val="24"/>
          <w:szCs w:val="24"/>
          <w:rtl w:val="0"/>
        </w:rPr>
        <w:t xml:space="preserve">., 2009). </w:t>
      </w:r>
    </w:p>
    <w:p>
      <w:pPr>
        <w:pStyle w:val="Body A"/>
        <w:spacing w:line="360" w:lineRule="auto"/>
        <w:jc w:val="both"/>
        <w:rPr>
          <w:sz w:val="24"/>
          <w:szCs w:val="24"/>
        </w:rPr>
      </w:pPr>
    </w:p>
    <w:p>
      <w:pPr>
        <w:pStyle w:val="Body A"/>
        <w:spacing w:line="360" w:lineRule="auto"/>
        <w:jc w:val="both"/>
        <w:rPr>
          <w:sz w:val="24"/>
          <w:szCs w:val="24"/>
        </w:rPr>
      </w:pPr>
      <w:r>
        <w:rPr>
          <w:sz w:val="24"/>
          <w:szCs w:val="24"/>
          <w:rtl w:val="0"/>
          <w:lang w:val="en-US"/>
        </w:rPr>
        <w:t xml:space="preserve">When considering emissions of greenhouse gases, 50% of these are emitted into the atmosphere via the farming system (Friel </w:t>
      </w:r>
      <w:r>
        <w:rPr>
          <w:i w:val="1"/>
          <w:iCs w:val="1"/>
          <w:sz w:val="24"/>
          <w:szCs w:val="24"/>
          <w:rtl w:val="0"/>
          <w:lang w:val="nl-NL"/>
        </w:rPr>
        <w:t>et al</w:t>
      </w:r>
      <w:r>
        <w:rPr>
          <w:sz w:val="24"/>
          <w:szCs w:val="24"/>
          <w:rtl w:val="0"/>
          <w:lang w:val="en-US"/>
        </w:rPr>
        <w:t>., 2009). These gases include nitrous oxide from production of forage crops, methane from enteric fermentation and carbon dioxide relating to land use change (Gonz</w:t>
      </w:r>
      <w:r>
        <w:rPr>
          <w:sz w:val="24"/>
          <w:szCs w:val="24"/>
          <w:rtl w:val="0"/>
        </w:rPr>
        <w:t>á</w:t>
      </w:r>
      <w:r>
        <w:rPr>
          <w:sz w:val="24"/>
          <w:szCs w:val="24"/>
          <w:rtl w:val="0"/>
        </w:rPr>
        <w:t>lez-Garci</w:t>
      </w:r>
      <w:r>
        <w:rPr>
          <w:sz w:val="24"/>
          <w:szCs w:val="24"/>
          <w:rtl w:val="0"/>
        </w:rPr>
        <w:t xml:space="preserve">á </w:t>
      </w:r>
      <w:r>
        <w:rPr>
          <w:i w:val="1"/>
          <w:iCs w:val="1"/>
          <w:sz w:val="24"/>
          <w:szCs w:val="24"/>
          <w:rtl w:val="0"/>
          <w:lang w:val="nl-NL"/>
        </w:rPr>
        <w:t>et al</w:t>
      </w:r>
      <w:r>
        <w:rPr>
          <w:sz w:val="24"/>
          <w:szCs w:val="24"/>
          <w:rtl w:val="0"/>
          <w:lang w:val="en-US"/>
        </w:rPr>
        <w:t xml:space="preserve">., 2018). These agricultural activities are one example of the complex system surrounding production and consumption of food; processing, distribution, preparation, consumption and waste management also play key roles (Duchin, 2005; Friel </w:t>
      </w:r>
      <w:r>
        <w:rPr>
          <w:i w:val="1"/>
          <w:iCs w:val="1"/>
          <w:sz w:val="24"/>
          <w:szCs w:val="24"/>
          <w:rtl w:val="0"/>
          <w:lang w:val="nl-NL"/>
        </w:rPr>
        <w:t>et al</w:t>
      </w:r>
      <w:r>
        <w:rPr>
          <w:sz w:val="24"/>
          <w:szCs w:val="24"/>
          <w:rtl w:val="0"/>
          <w:lang w:val="en-US"/>
        </w:rPr>
        <w:t xml:space="preserve">., 2009) as they all have the potential to cause further detriment to the environment. To quantify this, a carbon footprint could be calculated, as it is the sum of greenhouse gas emissions, and can be associated with food production, processing, transporting and retailing (Drewnowski </w:t>
      </w:r>
      <w:r>
        <w:rPr>
          <w:i w:val="1"/>
          <w:iCs w:val="1"/>
          <w:sz w:val="24"/>
          <w:szCs w:val="24"/>
          <w:rtl w:val="0"/>
          <w:lang w:val="nl-NL"/>
        </w:rPr>
        <w:t>et al</w:t>
      </w:r>
      <w:r>
        <w:rPr>
          <w:sz w:val="24"/>
          <w:szCs w:val="24"/>
          <w:rtl w:val="0"/>
          <w:lang w:val="en-US"/>
        </w:rPr>
        <w:t xml:space="preserve">., 2015). The reported contribution of agriculture and food industries to global greenhouse gas emissions ranges from 15% to 30% (Kim and Neff, 2009; Vieux </w:t>
      </w:r>
      <w:r>
        <w:rPr>
          <w:i w:val="1"/>
          <w:iCs w:val="1"/>
          <w:sz w:val="24"/>
          <w:szCs w:val="24"/>
          <w:rtl w:val="0"/>
          <w:lang w:val="nl-NL"/>
        </w:rPr>
        <w:t>et al</w:t>
      </w:r>
      <w:r>
        <w:rPr>
          <w:sz w:val="24"/>
          <w:szCs w:val="24"/>
          <w:rtl w:val="0"/>
        </w:rPr>
        <w:t>., 2012).</w:t>
      </w:r>
    </w:p>
    <w:p>
      <w:pPr>
        <w:pStyle w:val="Body A"/>
        <w:spacing w:line="360" w:lineRule="auto"/>
        <w:jc w:val="both"/>
        <w:rPr>
          <w:sz w:val="24"/>
          <w:szCs w:val="24"/>
        </w:rPr>
      </w:pPr>
    </w:p>
    <w:p>
      <w:pPr>
        <w:pStyle w:val="Body A"/>
        <w:spacing w:line="360" w:lineRule="auto"/>
        <w:jc w:val="both"/>
        <w:rPr>
          <w:sz w:val="24"/>
          <w:szCs w:val="24"/>
        </w:rPr>
      </w:pPr>
      <w:r>
        <w:rPr>
          <w:sz w:val="24"/>
          <w:szCs w:val="24"/>
          <w:rtl w:val="0"/>
          <w:lang w:val="en-US"/>
        </w:rPr>
        <w:t xml:space="preserve">From studying the carbon footprint of food, an important insight is that direct emissions from livestock production are dominated by both pre-farm and on-farm emissions, while emissions from post-farm activities are considerably smaller (Cederberg </w:t>
      </w:r>
      <w:r>
        <w:rPr>
          <w:i w:val="1"/>
          <w:iCs w:val="1"/>
          <w:sz w:val="24"/>
          <w:szCs w:val="24"/>
          <w:rtl w:val="0"/>
          <w:lang w:val="nl-NL"/>
        </w:rPr>
        <w:t>et al</w:t>
      </w:r>
      <w:r>
        <w:rPr>
          <w:sz w:val="24"/>
          <w:szCs w:val="24"/>
          <w:rtl w:val="0"/>
        </w:rPr>
        <w:t xml:space="preserve">., 2009; Peters </w:t>
      </w:r>
      <w:r>
        <w:rPr>
          <w:i w:val="1"/>
          <w:iCs w:val="1"/>
          <w:sz w:val="24"/>
          <w:szCs w:val="24"/>
          <w:rtl w:val="0"/>
          <w:lang w:val="nl-NL"/>
        </w:rPr>
        <w:t>et al</w:t>
      </w:r>
      <w:r>
        <w:rPr>
          <w:sz w:val="24"/>
          <w:szCs w:val="24"/>
          <w:rtl w:val="0"/>
        </w:rPr>
        <w:t xml:space="preserve">., 2010). </w:t>
      </w:r>
      <w:r>
        <w:rPr>
          <w:sz w:val="24"/>
          <w:szCs w:val="24"/>
          <w:rtl w:val="0"/>
          <w:lang w:val="en-US"/>
        </w:rPr>
        <w:t xml:space="preserve">Comparatively, emissions for transport of plant-based foods in the post-farm stage can contribute a considerable amount to the total carbon footprint for fruit and vegetables (Sim </w:t>
      </w:r>
      <w:r>
        <w:rPr>
          <w:i w:val="1"/>
          <w:iCs w:val="1"/>
          <w:sz w:val="24"/>
          <w:szCs w:val="24"/>
          <w:rtl w:val="0"/>
          <w:lang w:val="nl-NL"/>
        </w:rPr>
        <w:t>et al</w:t>
      </w:r>
      <w:r>
        <w:rPr>
          <w:sz w:val="24"/>
          <w:szCs w:val="24"/>
          <w:rtl w:val="0"/>
          <w:lang w:val="en-US"/>
        </w:rPr>
        <w:t xml:space="preserve">., 2007; Weber and Matthews, 2008). With market globalisation and convenient transportation, food choices have become widely available throughout the year, and are no longer driven by seasonality, but instead by consumers and market demand (Marlow </w:t>
      </w:r>
      <w:r>
        <w:rPr>
          <w:i w:val="1"/>
          <w:iCs w:val="1"/>
          <w:sz w:val="24"/>
          <w:szCs w:val="24"/>
          <w:rtl w:val="0"/>
          <w:lang w:val="nl-NL"/>
        </w:rPr>
        <w:t>et al</w:t>
      </w:r>
      <w:r>
        <w:rPr>
          <w:sz w:val="24"/>
          <w:szCs w:val="24"/>
          <w:rtl w:val="0"/>
        </w:rPr>
        <w:t>., 2009).</w:t>
      </w:r>
    </w:p>
    <w:p>
      <w:pPr>
        <w:pStyle w:val="Body A"/>
        <w:spacing w:line="360" w:lineRule="auto"/>
        <w:jc w:val="both"/>
        <w:rPr>
          <w:sz w:val="24"/>
          <w:szCs w:val="24"/>
        </w:rPr>
      </w:pPr>
    </w:p>
    <w:p>
      <w:pPr>
        <w:pStyle w:val="Body A"/>
        <w:spacing w:line="360" w:lineRule="auto"/>
        <w:jc w:val="both"/>
        <w:rPr>
          <w:sz w:val="24"/>
          <w:szCs w:val="24"/>
        </w:rPr>
      </w:pPr>
      <w:r>
        <w:rPr>
          <w:sz w:val="24"/>
          <w:szCs w:val="24"/>
          <w:rtl w:val="0"/>
          <w:lang w:val="en-US"/>
        </w:rPr>
        <w:t xml:space="preserve">With regards to ranging dietary patterns, environmental impact can be studied through looking at components of a diet; one of which being the amount of resources per unit of food needed to raise different livestocks. For example, White (2000) suggests that cattle must eat around 7kg of grain to generate a single kg of beef, and pigs require about 4 kg of grain for 1 kg of pork. Meats such as chicken and turkey are more efficient (they require approximately 2 kg of feed per 1 kg of poultry meat), however these are still significant amounts. In addition to this, methods of livestock farming can have negative, knock on effects on the environment; these include soil erosion caused by overgrazing, which can further result in desertification, and the loss of ecosystems such as tropical rainforests as it is cleared to make way for cattle ranches (Brown and Kane, 1994). </w:t>
      </w:r>
    </w:p>
    <w:p>
      <w:pPr>
        <w:pStyle w:val="Body A"/>
        <w:spacing w:line="360" w:lineRule="auto"/>
        <w:jc w:val="both"/>
        <w:rPr>
          <w:sz w:val="24"/>
          <w:szCs w:val="24"/>
        </w:rPr>
      </w:pPr>
    </w:p>
    <w:p>
      <w:pPr>
        <w:pStyle w:val="Body A"/>
        <w:spacing w:line="360" w:lineRule="auto"/>
        <w:jc w:val="both"/>
        <w:rPr>
          <w:sz w:val="24"/>
          <w:szCs w:val="24"/>
        </w:rPr>
      </w:pPr>
      <w:r>
        <w:rPr>
          <w:sz w:val="24"/>
          <w:szCs w:val="24"/>
          <w:rtl w:val="0"/>
          <w:lang w:val="en-US"/>
        </w:rPr>
        <w:t xml:space="preserve">A number of studies have been reviewed to determine the impact of dietary choices on the environment. It was found that there are large disparities between the amounts of land needed to produce different foods, and their impact on the environment. Take meat and soy products, for example, when comparing the two it can be observed that an equivalent amount of meat protein requires 6-17 times the amount of land than soy protein (Reijnders and Soret, 2003). Also, meat production requires 4.4 times the amount of water through intensive agriculture processes such as intensive irrigation compared to soy (Joyce </w:t>
      </w:r>
      <w:r>
        <w:rPr>
          <w:i w:val="1"/>
          <w:iCs w:val="1"/>
          <w:sz w:val="24"/>
          <w:szCs w:val="24"/>
          <w:rtl w:val="0"/>
          <w:lang w:val="nl-NL"/>
        </w:rPr>
        <w:t>et al</w:t>
      </w:r>
      <w:r>
        <w:rPr>
          <w:sz w:val="24"/>
          <w:szCs w:val="24"/>
          <w:rtl w:val="0"/>
        </w:rPr>
        <w:t>., 2012).</w:t>
      </w:r>
      <w:r>
        <w:rPr>
          <w:sz w:val="24"/>
          <w:szCs w:val="24"/>
          <w:rtl w:val="0"/>
          <w:lang w:val="en-US"/>
        </w:rPr>
        <w:t xml:space="preserve"> This, again, highlights another element of meat production which has a larger impact on the environment than the equivalent production element of plant based products. Research from Pimentel and Pimentel (2003) states that producing protein from meat takes 11 times the amount of fossil fuels compared to the equivalent amount of plant-based protein. Moreover, that same production of protein from animal products would take 100 times more water than plant-based products due to the need for growing crops using irrigation to feed livestock. This disparity in the estimated amounts of water needed to produce meat-based products highlights the need for more rigorous research to gain an accurate understanding of the environmental issues created by various farming practices. </w:t>
      </w:r>
    </w:p>
    <w:p>
      <w:pPr>
        <w:pStyle w:val="Body A"/>
        <w:spacing w:line="360" w:lineRule="auto"/>
        <w:jc w:val="both"/>
        <w:rPr>
          <w:sz w:val="24"/>
          <w:szCs w:val="24"/>
        </w:rPr>
      </w:pPr>
    </w:p>
    <w:p>
      <w:pPr>
        <w:pStyle w:val="Body A"/>
        <w:spacing w:line="360" w:lineRule="auto"/>
        <w:jc w:val="both"/>
        <w:rPr>
          <w:sz w:val="24"/>
          <w:szCs w:val="24"/>
        </w:rPr>
      </w:pPr>
      <w:r>
        <w:rPr>
          <w:sz w:val="24"/>
          <w:szCs w:val="24"/>
          <w:rtl w:val="0"/>
          <w:lang w:val="en-US"/>
        </w:rPr>
        <w:t>Environmental impacts of dietary patterns including meat-based products have wider ranging impacts than simply carbon dioxide emissions. Dietary patterns can be responsible for environmental impacts in countries other than the country consuming the food, as food is transported around the world depending on the patterns and traditions of a nation. These activities also lead to environmental impacts and must be considered when assessing the impact of a dietary pattern.</w:t>
      </w:r>
    </w:p>
    <w:p>
      <w:pPr>
        <w:pStyle w:val="Body A"/>
        <w:spacing w:line="360" w:lineRule="auto"/>
        <w:jc w:val="both"/>
        <w:rPr>
          <w:sz w:val="24"/>
          <w:szCs w:val="24"/>
        </w:rPr>
      </w:pPr>
    </w:p>
    <w:p>
      <w:pPr>
        <w:pStyle w:val="Body A"/>
        <w:spacing w:line="360" w:lineRule="auto"/>
        <w:jc w:val="both"/>
        <w:rPr>
          <w:sz w:val="24"/>
          <w:szCs w:val="24"/>
        </w:rPr>
      </w:pPr>
      <w:r>
        <w:rPr>
          <w:sz w:val="24"/>
          <w:szCs w:val="24"/>
          <w:rtl w:val="0"/>
          <w:lang w:val="en-US"/>
        </w:rPr>
        <w:t xml:space="preserve">Dietary patterns differ from country to country, region to region. This is due to a number of factors, for example: tradition and culture, weather, availability of food groups, trade deals and seasonality. Therefore, the impacts of food systems and food choices on climate change also vary from country to country, and so research conducted in various regions is needed to inform policy and action plans (Alber </w:t>
      </w:r>
      <w:r>
        <w:rPr>
          <w:i w:val="1"/>
          <w:iCs w:val="1"/>
          <w:sz w:val="24"/>
          <w:szCs w:val="24"/>
          <w:rtl w:val="0"/>
          <w:lang w:val="nl-NL"/>
        </w:rPr>
        <w:t>et al</w:t>
      </w:r>
      <w:r>
        <w:rPr>
          <w:sz w:val="24"/>
          <w:szCs w:val="24"/>
          <w:rtl w:val="0"/>
          <w:lang w:val="fr-FR"/>
        </w:rPr>
        <w:t xml:space="preserve">., 2003; Macrae </w:t>
      </w:r>
      <w:r>
        <w:rPr>
          <w:i w:val="1"/>
          <w:iCs w:val="1"/>
          <w:sz w:val="24"/>
          <w:szCs w:val="24"/>
          <w:rtl w:val="0"/>
          <w:lang w:val="nl-NL"/>
        </w:rPr>
        <w:t>et al</w:t>
      </w:r>
      <w:r>
        <w:rPr>
          <w:sz w:val="24"/>
          <w:szCs w:val="24"/>
          <w:rtl w:val="0"/>
        </w:rPr>
        <w:t xml:space="preserve">., 2013; Notarnicola </w:t>
      </w:r>
      <w:r>
        <w:rPr>
          <w:i w:val="1"/>
          <w:iCs w:val="1"/>
          <w:sz w:val="24"/>
          <w:szCs w:val="24"/>
          <w:rtl w:val="0"/>
          <w:lang w:val="nl-NL"/>
        </w:rPr>
        <w:t>et al</w:t>
      </w:r>
      <w:r>
        <w:rPr>
          <w:sz w:val="24"/>
          <w:szCs w:val="24"/>
          <w:rtl w:val="0"/>
          <w:lang w:val="en-US"/>
        </w:rPr>
        <w:t xml:space="preserve">., 2015) specific to each area. Patterns of food consumption and their effect on the environment have been studied in a number of regions across Europe (Tukker </w:t>
      </w:r>
      <w:r>
        <w:rPr>
          <w:i w:val="1"/>
          <w:iCs w:val="1"/>
          <w:sz w:val="24"/>
          <w:szCs w:val="24"/>
          <w:rtl w:val="0"/>
          <w:lang w:val="nl-NL"/>
        </w:rPr>
        <w:t>et al</w:t>
      </w:r>
      <w:r>
        <w:rPr>
          <w:sz w:val="24"/>
          <w:szCs w:val="24"/>
          <w:rtl w:val="0"/>
          <w:lang w:val="en-US"/>
        </w:rPr>
        <w:t xml:space="preserve">., 2011) and increasingly in the UK (Macdiarmid, 2013). Numerous studies from Europe can be found in literature that consider the environmental footprint of food consumption patterns following a Life Cycle Assessment (LCA) framework (Heller </w:t>
      </w:r>
      <w:r>
        <w:rPr>
          <w:i w:val="1"/>
          <w:iCs w:val="1"/>
          <w:sz w:val="24"/>
          <w:szCs w:val="24"/>
          <w:rtl w:val="0"/>
          <w:lang w:val="nl-NL"/>
        </w:rPr>
        <w:t>et al</w:t>
      </w:r>
      <w:r>
        <w:rPr>
          <w:sz w:val="24"/>
          <w:szCs w:val="24"/>
          <w:rtl w:val="0"/>
          <w:lang w:val="de-DE"/>
        </w:rPr>
        <w:t xml:space="preserve">., 2013; Van Kernebeek </w:t>
      </w:r>
      <w:r>
        <w:rPr>
          <w:i w:val="1"/>
          <w:iCs w:val="1"/>
          <w:sz w:val="24"/>
          <w:szCs w:val="24"/>
          <w:rtl w:val="0"/>
          <w:lang w:val="nl-NL"/>
        </w:rPr>
        <w:t>et al</w:t>
      </w:r>
      <w:r>
        <w:rPr>
          <w:sz w:val="24"/>
          <w:szCs w:val="24"/>
          <w:rtl w:val="0"/>
        </w:rPr>
        <w:t>., 2015).</w:t>
      </w:r>
    </w:p>
    <w:p>
      <w:pPr>
        <w:pStyle w:val="Body A"/>
        <w:spacing w:line="360" w:lineRule="auto"/>
        <w:jc w:val="both"/>
        <w:rPr>
          <w:sz w:val="24"/>
          <w:szCs w:val="24"/>
        </w:rPr>
      </w:pPr>
    </w:p>
    <w:p>
      <w:pPr>
        <w:pStyle w:val="Body A"/>
        <w:spacing w:line="360" w:lineRule="auto"/>
        <w:jc w:val="both"/>
        <w:rPr>
          <w:sz w:val="24"/>
          <w:szCs w:val="24"/>
        </w:rPr>
      </w:pPr>
      <w:r>
        <w:rPr>
          <w:sz w:val="24"/>
          <w:szCs w:val="24"/>
          <w:rtl w:val="0"/>
          <w:lang w:val="en-US"/>
        </w:rPr>
        <w:t xml:space="preserve">A number of papers have been written on the environmental foot printing of single agricultural products such as beef (Beauchemin </w:t>
      </w:r>
      <w:r>
        <w:rPr>
          <w:i w:val="1"/>
          <w:iCs w:val="1"/>
          <w:sz w:val="24"/>
          <w:szCs w:val="24"/>
          <w:rtl w:val="0"/>
          <w:lang w:val="nl-NL"/>
        </w:rPr>
        <w:t>et al</w:t>
      </w:r>
      <w:r>
        <w:rPr>
          <w:sz w:val="24"/>
          <w:szCs w:val="24"/>
          <w:rtl w:val="0"/>
          <w:lang w:val="pt-PT"/>
        </w:rPr>
        <w:t xml:space="preserve">., 2010; Dias </w:t>
      </w:r>
      <w:r>
        <w:rPr>
          <w:i w:val="1"/>
          <w:iCs w:val="1"/>
          <w:sz w:val="24"/>
          <w:szCs w:val="24"/>
          <w:rtl w:val="0"/>
          <w:lang w:val="nl-NL"/>
        </w:rPr>
        <w:t>et al</w:t>
      </w:r>
      <w:r>
        <w:rPr>
          <w:sz w:val="24"/>
          <w:szCs w:val="24"/>
          <w:rtl w:val="0"/>
          <w:lang w:val="pt-PT"/>
        </w:rPr>
        <w:t>., 2014), tomato</w:t>
      </w:r>
      <w:r>
        <w:rPr>
          <w:sz w:val="24"/>
          <w:szCs w:val="24"/>
          <w:rtl w:val="0"/>
          <w:lang w:val="en-US"/>
        </w:rPr>
        <w:t>es</w:t>
      </w:r>
      <w:r>
        <w:rPr>
          <w:sz w:val="24"/>
          <w:szCs w:val="24"/>
          <w:rtl w:val="0"/>
        </w:rPr>
        <w:t xml:space="preserve"> (Dias </w:t>
      </w:r>
      <w:r>
        <w:rPr>
          <w:i w:val="1"/>
          <w:iCs w:val="1"/>
          <w:sz w:val="24"/>
          <w:szCs w:val="24"/>
          <w:rtl w:val="0"/>
          <w:lang w:val="nl-NL"/>
        </w:rPr>
        <w:t>et al</w:t>
      </w:r>
      <w:r>
        <w:rPr>
          <w:sz w:val="24"/>
          <w:szCs w:val="24"/>
          <w:rtl w:val="0"/>
          <w:lang w:val="en-US"/>
        </w:rPr>
        <w:t xml:space="preserve">., 2017), apples (Keyes </w:t>
      </w:r>
      <w:r>
        <w:rPr>
          <w:i w:val="1"/>
          <w:iCs w:val="1"/>
          <w:sz w:val="24"/>
          <w:szCs w:val="24"/>
          <w:rtl w:val="0"/>
          <w:lang w:val="nl-NL"/>
        </w:rPr>
        <w:t>et al</w:t>
      </w:r>
      <w:r>
        <w:rPr>
          <w:sz w:val="24"/>
          <w:szCs w:val="24"/>
          <w:rtl w:val="0"/>
          <w:lang w:val="en-US"/>
        </w:rPr>
        <w:t xml:space="preserve">., 2015), diary products (McGeough </w:t>
      </w:r>
      <w:r>
        <w:rPr>
          <w:i w:val="1"/>
          <w:iCs w:val="1"/>
          <w:sz w:val="24"/>
          <w:szCs w:val="24"/>
          <w:rtl w:val="0"/>
          <w:lang w:val="nl-NL"/>
        </w:rPr>
        <w:t>et al</w:t>
      </w:r>
      <w:r>
        <w:rPr>
          <w:sz w:val="24"/>
          <w:szCs w:val="24"/>
          <w:rtl w:val="0"/>
          <w:lang w:val="en-US"/>
        </w:rPr>
        <w:t xml:space="preserve">., 2012) and fish (Ayer and Tyedmers, 2009). Despite this and the wealth of findings they present, there are fewer papers providing insight into the overall impact associated with dietary patterns (Veeramani </w:t>
      </w:r>
      <w:r>
        <w:rPr>
          <w:i w:val="1"/>
          <w:iCs w:val="1"/>
          <w:sz w:val="24"/>
          <w:szCs w:val="24"/>
          <w:rtl w:val="0"/>
          <w:lang w:val="nl-NL"/>
        </w:rPr>
        <w:t>et al</w:t>
      </w:r>
      <w:r>
        <w:rPr>
          <w:sz w:val="24"/>
          <w:szCs w:val="24"/>
          <w:rtl w:val="0"/>
          <w:lang w:val="en-US"/>
        </w:rPr>
        <w:t>., 2017). It is important to have research that explores the environmental impact of dietary patterns as apposed to single food groups so that consumers can be more fully informed as to how their dietary choices are impacting the environment on a larger scale. Comparing assessments of environmental impacts may be extremely useful to consumers as lessons can be learnt not only from their own experience, but that of other dietary patterns too (Lo-locono-Ferreira</w:t>
      </w:r>
      <w:r>
        <w:rPr>
          <w:sz w:val="24"/>
          <w:szCs w:val="24"/>
          <w:rtl w:val="0"/>
        </w:rPr>
        <w:t xml:space="preserve"> </w:t>
      </w:r>
      <w:r>
        <w:rPr>
          <w:i w:val="1"/>
          <w:iCs w:val="1"/>
          <w:sz w:val="24"/>
          <w:szCs w:val="24"/>
          <w:rtl w:val="0"/>
          <w:lang w:val="nl-NL"/>
        </w:rPr>
        <w:t>et al</w:t>
      </w:r>
      <w:r>
        <w:rPr>
          <w:sz w:val="24"/>
          <w:szCs w:val="24"/>
          <w:rtl w:val="0"/>
        </w:rPr>
        <w:t>., 2016).</w:t>
      </w:r>
    </w:p>
    <w:p>
      <w:pPr>
        <w:pStyle w:val="Body A"/>
        <w:spacing w:line="360" w:lineRule="auto"/>
        <w:jc w:val="both"/>
        <w:rPr>
          <w:sz w:val="24"/>
          <w:szCs w:val="24"/>
        </w:rPr>
      </w:pPr>
    </w:p>
    <w:p>
      <w:pPr>
        <w:pStyle w:val="Body A"/>
        <w:spacing w:line="360" w:lineRule="auto"/>
        <w:jc w:val="both"/>
        <w:rPr>
          <w:sz w:val="24"/>
          <w:szCs w:val="24"/>
        </w:rPr>
      </w:pPr>
      <w:r>
        <w:rPr>
          <w:sz w:val="24"/>
          <w:szCs w:val="24"/>
          <w:rtl w:val="0"/>
          <w:lang w:val="en-US"/>
        </w:rPr>
        <w:t xml:space="preserve">Dietary patterns in the UK are generally categorised as: meat-eater, pescatarian, vegetarian or vegan. The vegetarian diet is based on the consumption of vegetables, fruits, dairy, flour based products and eggs, but excludes any type of meat product; vegan diets are also vegetable based but excludes any food of animal origin such as eggs, dairy products, fish and meat (Baroni </w:t>
      </w:r>
      <w:r>
        <w:rPr>
          <w:i w:val="1"/>
          <w:iCs w:val="1"/>
          <w:sz w:val="24"/>
          <w:szCs w:val="24"/>
          <w:rtl w:val="0"/>
          <w:lang w:val="nl-NL"/>
        </w:rPr>
        <w:t>et al</w:t>
      </w:r>
      <w:r>
        <w:rPr>
          <w:sz w:val="24"/>
          <w:szCs w:val="24"/>
          <w:rtl w:val="0"/>
          <w:lang w:val="en-US"/>
        </w:rPr>
        <w:t xml:space="preserve">., 2007). As a substitute for meat products and animal products in a vegan diet, soy-based milk products, legumes, nuts and seeds are consumed (Meier and Christen, 2013). In order to examine how dietary patterns have impacted the environment, ecological footprint analysis as set out by Wackernagel and Rees (1994, 1996) can, and has, been utilised. </w:t>
      </w:r>
    </w:p>
    <w:p>
      <w:pPr>
        <w:pStyle w:val="Body A"/>
        <w:spacing w:line="360" w:lineRule="auto"/>
        <w:jc w:val="both"/>
        <w:rPr>
          <w:sz w:val="24"/>
          <w:szCs w:val="24"/>
        </w:rPr>
      </w:pPr>
    </w:p>
    <w:p>
      <w:pPr>
        <w:pStyle w:val="Body A"/>
        <w:spacing w:line="360" w:lineRule="auto"/>
        <w:jc w:val="both"/>
        <w:rPr>
          <w:sz w:val="24"/>
          <w:szCs w:val="24"/>
        </w:rPr>
      </w:pPr>
      <w:r>
        <w:rPr>
          <w:sz w:val="24"/>
          <w:szCs w:val="24"/>
          <w:rtl w:val="0"/>
          <w:lang w:val="en-US"/>
        </w:rPr>
        <w:t xml:space="preserve">Environmental Footprint Assessment (EFA) has previously been proposed as a measure of ecological impact (Herva </w:t>
      </w:r>
      <w:r>
        <w:rPr>
          <w:i w:val="1"/>
          <w:iCs w:val="1"/>
          <w:sz w:val="24"/>
          <w:szCs w:val="24"/>
          <w:rtl w:val="0"/>
          <w:lang w:val="nl-NL"/>
        </w:rPr>
        <w:t>et al</w:t>
      </w:r>
      <w:r>
        <w:rPr>
          <w:sz w:val="24"/>
          <w:szCs w:val="24"/>
          <w:rtl w:val="0"/>
          <w:lang w:val="en-US"/>
        </w:rPr>
        <w:t xml:space="preserve">., 2008; Rees and Wackernagel, 1996; Wackernagel and Rees, 1997). The EFA is an integrated measure that expresses results relating to the biophysical limits of resources used (Lo-lacono-Ferreira </w:t>
      </w:r>
      <w:r>
        <w:rPr>
          <w:i w:val="1"/>
          <w:iCs w:val="1"/>
          <w:sz w:val="24"/>
          <w:szCs w:val="24"/>
          <w:rtl w:val="0"/>
          <w:lang w:val="nl-NL"/>
        </w:rPr>
        <w:t>et al</w:t>
      </w:r>
      <w:r>
        <w:rPr>
          <w:sz w:val="24"/>
          <w:szCs w:val="24"/>
          <w:rtl w:val="0"/>
          <w:lang w:val="en-US"/>
        </w:rPr>
        <w:t xml:space="preserve">., 2016), and results represent the amount of biologically productive land and water required to provide resources by a given entity (Conway </w:t>
      </w:r>
      <w:r>
        <w:rPr>
          <w:i w:val="1"/>
          <w:iCs w:val="1"/>
          <w:sz w:val="24"/>
          <w:szCs w:val="24"/>
          <w:rtl w:val="0"/>
          <w:lang w:val="nl-NL"/>
        </w:rPr>
        <w:t>et al</w:t>
      </w:r>
      <w:r>
        <w:rPr>
          <w:sz w:val="24"/>
          <w:szCs w:val="24"/>
          <w:rtl w:val="0"/>
          <w:lang w:val="en-US"/>
        </w:rPr>
        <w:t xml:space="preserve">., 2008; Wiedmann and Barrett, 2010). The original EFA method was intended for use in inland areas and has since been modified for and adapted to be applied to other systems such as cites and companies (Galli </w:t>
      </w:r>
      <w:r>
        <w:rPr>
          <w:i w:val="1"/>
          <w:iCs w:val="1"/>
          <w:sz w:val="24"/>
          <w:szCs w:val="24"/>
          <w:rtl w:val="0"/>
          <w:lang w:val="nl-NL"/>
        </w:rPr>
        <w:t>et al</w:t>
      </w:r>
      <w:r>
        <w:rPr>
          <w:sz w:val="24"/>
          <w:szCs w:val="24"/>
          <w:rtl w:val="0"/>
          <w:lang w:val="fr-FR"/>
        </w:rPr>
        <w:t xml:space="preserve">., 2012, Herva </w:t>
      </w:r>
      <w:r>
        <w:rPr>
          <w:i w:val="1"/>
          <w:iCs w:val="1"/>
          <w:sz w:val="24"/>
          <w:szCs w:val="24"/>
          <w:rtl w:val="0"/>
          <w:lang w:val="nl-NL"/>
        </w:rPr>
        <w:t>et al</w:t>
      </w:r>
      <w:r>
        <w:rPr>
          <w:sz w:val="24"/>
          <w:szCs w:val="24"/>
          <w:rtl w:val="0"/>
          <w:lang w:val="en-US"/>
        </w:rPr>
        <w:t>., 2008; Wiedmann and Barrett, 2010). When EFA is used to assess organisations in this way, it is mainly used to report on consumption, energy use and waste generation. However, when counties or regions are analysed, EFA compares land activity with land bio capacity (Lo-la</w:t>
      </w:r>
      <w:r>
        <w:rPr>
          <w:sz w:val="24"/>
          <w:szCs w:val="24"/>
          <w:rtl w:val="0"/>
          <w:lang w:val="pt-PT"/>
        </w:rPr>
        <w:t xml:space="preserve">cono-Ferreira </w:t>
      </w:r>
      <w:r>
        <w:rPr>
          <w:i w:val="1"/>
          <w:iCs w:val="1"/>
          <w:sz w:val="24"/>
          <w:szCs w:val="24"/>
          <w:rtl w:val="0"/>
          <w:lang w:val="nl-NL"/>
        </w:rPr>
        <w:t>et al</w:t>
      </w:r>
      <w:r>
        <w:rPr>
          <w:sz w:val="24"/>
          <w:szCs w:val="24"/>
          <w:rtl w:val="0"/>
          <w:lang w:val="en-US"/>
        </w:rPr>
        <w:t xml:space="preserve">., 2016). A study analysing the environmental impact of dietary patterns, using EFA as the method of assessment, would need to take an approach which takes all factors into account - consumption, energy use, waste generation, land activity and land bio capacity. </w:t>
      </w:r>
    </w:p>
    <w:p>
      <w:pPr>
        <w:pStyle w:val="Body A"/>
        <w:spacing w:line="360" w:lineRule="auto"/>
        <w:jc w:val="both"/>
        <w:rPr>
          <w:sz w:val="24"/>
          <w:szCs w:val="24"/>
        </w:rPr>
      </w:pPr>
    </w:p>
    <w:p>
      <w:pPr>
        <w:pStyle w:val="Body A"/>
        <w:spacing w:line="360" w:lineRule="auto"/>
        <w:jc w:val="both"/>
        <w:rPr>
          <w:sz w:val="24"/>
          <w:szCs w:val="24"/>
        </w:rPr>
      </w:pPr>
      <w:r>
        <w:rPr>
          <w:sz w:val="24"/>
          <w:szCs w:val="24"/>
          <w:rtl w:val="0"/>
          <w:lang w:val="en-US"/>
        </w:rPr>
        <w:t xml:space="preserve">Authors such as Van den Bergh (2010) puts forward that the EFA does not include all relevant human impacts on the environment, including emissions of toxic substances, water pollution, acid rain ozone layer depletion, fragmentation of ecosystems and biodiversity loss. Similarly, Hevra </w:t>
      </w:r>
      <w:r>
        <w:rPr>
          <w:i w:val="1"/>
          <w:iCs w:val="1"/>
          <w:sz w:val="24"/>
          <w:szCs w:val="24"/>
          <w:rtl w:val="0"/>
          <w:lang w:val="nl-NL"/>
        </w:rPr>
        <w:t>et al</w:t>
      </w:r>
      <w:r>
        <w:rPr>
          <w:sz w:val="24"/>
          <w:szCs w:val="24"/>
          <w:rtl w:val="0"/>
          <w:lang w:val="en-US"/>
        </w:rPr>
        <w:t>., 2011) question the use of bio capacity when EFA is applied for not taking into account the consideration of toxic and hazardous waste pollutants.</w:t>
      </w:r>
    </w:p>
    <w:p>
      <w:pPr>
        <w:pStyle w:val="Body A"/>
        <w:spacing w:line="360" w:lineRule="auto"/>
        <w:jc w:val="both"/>
        <w:rPr>
          <w:sz w:val="24"/>
          <w:szCs w:val="24"/>
        </w:rPr>
      </w:pPr>
    </w:p>
    <w:p>
      <w:pPr>
        <w:pStyle w:val="Body A"/>
        <w:spacing w:line="360" w:lineRule="auto"/>
        <w:jc w:val="both"/>
        <w:rPr>
          <w:sz w:val="24"/>
          <w:szCs w:val="24"/>
        </w:rPr>
      </w:pPr>
      <w:r>
        <w:rPr>
          <w:sz w:val="24"/>
          <w:szCs w:val="24"/>
          <w:rtl w:val="0"/>
          <w:lang w:val="en-US"/>
        </w:rPr>
        <w:t>Another measure used to calculate the environmental footprint of food production is the Life Cycle Assessment (LCA) (Macdiarmid et aI., 2011). LCA is a well-established method for assessing the environmental impact of a product or service; therefore the improvement and development of more sustainable diets can be worked towards by using this evaluation tool (R</w:t>
      </w:r>
      <w:r>
        <w:rPr>
          <w:sz w:val="24"/>
          <w:szCs w:val="24"/>
          <w:rtl w:val="0"/>
        </w:rPr>
        <w:t>öö</w:t>
      </w:r>
      <w:r>
        <w:rPr>
          <w:sz w:val="24"/>
          <w:szCs w:val="24"/>
          <w:rtl w:val="0"/>
          <w:lang w:val="en-US"/>
        </w:rPr>
        <w:t>s, 2013). A number of studies have shown the usefulness of the LCA method in assessing the environmental impact of products and services (Hertwich, 2005). The integrity of the analysis has contributed to the three main components: firstly, the determination of processes involved in the lifecycle of a product; secondly, the determination of environmental pressures such as emissions and use of resources; finally, the assessment of environmental impacts and aggregation of the impact indicators (Lo-la</w:t>
      </w:r>
      <w:r>
        <w:rPr>
          <w:sz w:val="24"/>
          <w:szCs w:val="24"/>
          <w:rtl w:val="0"/>
          <w:lang w:val="pt-PT"/>
        </w:rPr>
        <w:t xml:space="preserve">cono-Ferreira </w:t>
      </w:r>
      <w:r>
        <w:rPr>
          <w:i w:val="1"/>
          <w:iCs w:val="1"/>
          <w:sz w:val="24"/>
          <w:szCs w:val="24"/>
          <w:rtl w:val="0"/>
          <w:lang w:val="nl-NL"/>
        </w:rPr>
        <w:t>et al</w:t>
      </w:r>
      <w:r>
        <w:rPr>
          <w:sz w:val="24"/>
          <w:szCs w:val="24"/>
          <w:rtl w:val="0"/>
        </w:rPr>
        <w:t>., 2016).</w:t>
      </w:r>
    </w:p>
    <w:p>
      <w:pPr>
        <w:pStyle w:val="Body A"/>
        <w:spacing w:line="360" w:lineRule="auto"/>
        <w:jc w:val="both"/>
        <w:rPr>
          <w:sz w:val="24"/>
          <w:szCs w:val="24"/>
        </w:rPr>
      </w:pPr>
    </w:p>
    <w:p>
      <w:pPr>
        <w:pStyle w:val="Body A"/>
        <w:spacing w:line="360" w:lineRule="auto"/>
        <w:jc w:val="both"/>
        <w:rPr>
          <w:sz w:val="24"/>
          <w:szCs w:val="24"/>
        </w:rPr>
      </w:pPr>
      <w:r>
        <w:rPr>
          <w:sz w:val="24"/>
          <w:szCs w:val="24"/>
          <w:rtl w:val="0"/>
          <w:lang w:val="en-US"/>
        </w:rPr>
        <w:t xml:space="preserve">In light of the findings in literature, it would seem that advancements are required to reduce future impacts. These could come in the form of policies designed to discourage meat consumption through taxation and incentives (Goodland, 1997). Particular skepticism has been aimed at the increasing demand for animal products in high income countries (Steinfeld </w:t>
      </w:r>
      <w:r>
        <w:rPr>
          <w:i w:val="1"/>
          <w:iCs w:val="1"/>
          <w:sz w:val="24"/>
          <w:szCs w:val="24"/>
          <w:rtl w:val="0"/>
          <w:lang w:val="nl-NL"/>
        </w:rPr>
        <w:t>et al</w:t>
      </w:r>
      <w:r>
        <w:rPr>
          <w:sz w:val="24"/>
          <w:szCs w:val="24"/>
          <w:rtl w:val="0"/>
          <w:lang w:val="en-US"/>
        </w:rPr>
        <w:t>., 2006), therefore reducing the amount of meat consumed by more affluent members of society could lead to more equity in the distribution of food consumption, as well as environmental impact (R</w:t>
      </w:r>
      <w:r>
        <w:rPr>
          <w:sz w:val="24"/>
          <w:szCs w:val="24"/>
          <w:rtl w:val="0"/>
        </w:rPr>
        <w:t>öö</w:t>
      </w:r>
      <w:r>
        <w:rPr>
          <w:sz w:val="24"/>
          <w:szCs w:val="24"/>
          <w:rtl w:val="0"/>
        </w:rPr>
        <w:t>s, 2013).</w:t>
      </w:r>
    </w:p>
    <w:p>
      <w:pPr>
        <w:pStyle w:val="Body A"/>
        <w:spacing w:line="360" w:lineRule="auto"/>
        <w:jc w:val="both"/>
        <w:rPr>
          <w:sz w:val="24"/>
          <w:szCs w:val="24"/>
        </w:rPr>
      </w:pPr>
    </w:p>
    <w:p>
      <w:pPr>
        <w:pStyle w:val="Body A"/>
        <w:spacing w:line="360" w:lineRule="auto"/>
        <w:jc w:val="both"/>
        <w:rPr>
          <w:sz w:val="24"/>
          <w:szCs w:val="24"/>
        </w:rPr>
      </w:pPr>
    </w:p>
    <w:p>
      <w:pPr>
        <w:pStyle w:val="Subtitle"/>
      </w:pPr>
    </w:p>
    <w:p>
      <w:pPr>
        <w:pStyle w:val="Subtitle"/>
      </w:pPr>
    </w:p>
    <w:p>
      <w:pPr>
        <w:pStyle w:val="Subtitle"/>
      </w:pPr>
    </w:p>
    <w:p>
      <w:pPr>
        <w:pStyle w:val="Subtitle"/>
      </w:pPr>
    </w:p>
    <w:p>
      <w:pPr>
        <w:pStyle w:val="Subtitle"/>
      </w:pPr>
    </w:p>
    <w:p>
      <w:pPr>
        <w:pStyle w:val="Subtitle"/>
      </w:pPr>
    </w:p>
    <w:p>
      <w:pPr>
        <w:pStyle w:val="Subtitle"/>
      </w:pPr>
    </w:p>
    <w:p>
      <w:pPr>
        <w:pStyle w:val="Subtitle"/>
      </w:pPr>
    </w:p>
    <w:p>
      <w:pPr>
        <w:pStyle w:val="Subtitle"/>
      </w:pPr>
    </w:p>
    <w:p>
      <w:pPr>
        <w:pStyle w:val="Subtitle"/>
      </w:pPr>
    </w:p>
    <w:p>
      <w:pPr>
        <w:pStyle w:val="Subtitle"/>
      </w:pPr>
      <w:r>
        <w:rPr>
          <w:rtl w:val="0"/>
          <w:lang w:val="en-US"/>
        </w:rPr>
        <w:t>Methods</w:t>
      </w:r>
    </w:p>
    <w:p>
      <w:pPr>
        <w:pStyle w:val="Body A"/>
        <w:spacing w:line="360" w:lineRule="auto"/>
        <w:jc w:val="both"/>
        <w:rPr>
          <w:sz w:val="24"/>
          <w:szCs w:val="24"/>
        </w:rPr>
      </w:pPr>
    </w:p>
    <w:p>
      <w:pPr>
        <w:pStyle w:val="Body A"/>
        <w:spacing w:line="360" w:lineRule="auto"/>
        <w:jc w:val="both"/>
        <w:rPr>
          <w:sz w:val="24"/>
          <w:szCs w:val="24"/>
        </w:rPr>
      </w:pPr>
      <w:r>
        <w:rPr>
          <w:sz w:val="24"/>
          <w:szCs w:val="24"/>
          <w:rtl w:val="0"/>
          <w:lang w:val="en-US"/>
        </w:rPr>
        <w:t xml:space="preserve">To manage organisations and systems in a sustainable way, it is necessary to know how well these systems are performing. Monitoring interactions between system agents is important, and many parameters </w:t>
      </w:r>
      <w:r>
        <w:rPr>
          <w:sz w:val="24"/>
          <w:szCs w:val="24"/>
          <w:rtl w:val="0"/>
        </w:rPr>
        <w:t>-</w:t>
      </w:r>
      <w:r>
        <w:rPr>
          <w:sz w:val="24"/>
          <w:szCs w:val="24"/>
          <w:rtl w:val="0"/>
          <w:lang w:val="en-US"/>
        </w:rPr>
        <w:t xml:space="preserve"> including emissions, resource and energy consumption, and usage patterns </w:t>
      </w:r>
      <w:r>
        <w:rPr>
          <w:sz w:val="24"/>
          <w:szCs w:val="24"/>
          <w:rtl w:val="0"/>
        </w:rPr>
        <w:t>-</w:t>
      </w:r>
      <w:r>
        <w:rPr>
          <w:sz w:val="24"/>
          <w:szCs w:val="24"/>
          <w:rtl w:val="0"/>
          <w:lang w:val="en-US"/>
        </w:rPr>
        <w:t xml:space="preserve"> must be measured (Lo-lacono-Ferreira </w:t>
      </w:r>
      <w:r>
        <w:rPr>
          <w:i w:val="1"/>
          <w:iCs w:val="1"/>
          <w:sz w:val="24"/>
          <w:szCs w:val="24"/>
          <w:rtl w:val="0"/>
          <w:lang w:val="nl-NL"/>
        </w:rPr>
        <w:t>et al</w:t>
      </w:r>
      <w:r>
        <w:rPr>
          <w:sz w:val="24"/>
          <w:szCs w:val="24"/>
          <w:rtl w:val="0"/>
          <w:lang w:val="en-US"/>
        </w:rPr>
        <w:t xml:space="preserve">., 2016). Individual analysis and assessment of these parameters is needed to assess their synergies (Azqueta and Delacamara, 2006). When considering dietary choices and the impact they may have on the environment, there are a number of factors to consider, that all relate to one another. These factors include: farming methods and practices, transportation methods of products, organic vs. non-organic, and intensive farming vs. non-intensive farming. Environmental impact analysis can be conducted to analyse the degree to which dietary choices can effect the environment (Rosi </w:t>
      </w:r>
      <w:r>
        <w:rPr>
          <w:i w:val="1"/>
          <w:iCs w:val="1"/>
          <w:sz w:val="24"/>
          <w:szCs w:val="24"/>
          <w:rtl w:val="0"/>
          <w:lang w:val="nl-NL"/>
        </w:rPr>
        <w:t>et al</w:t>
      </w:r>
      <w:r>
        <w:rPr>
          <w:sz w:val="24"/>
          <w:szCs w:val="24"/>
          <w:rtl w:val="0"/>
          <w:lang w:val="en-US"/>
        </w:rPr>
        <w:t xml:space="preserve">., 2017). This can be calculated for each process in the food chain, and all aspects can be considered by using the Life Cycle Assessment methodology. </w:t>
      </w:r>
    </w:p>
    <w:p>
      <w:pPr>
        <w:pStyle w:val="Body A"/>
        <w:spacing w:line="360" w:lineRule="auto"/>
        <w:jc w:val="both"/>
        <w:rPr>
          <w:sz w:val="24"/>
          <w:szCs w:val="24"/>
        </w:rPr>
      </w:pPr>
    </w:p>
    <w:p>
      <w:pPr>
        <w:pStyle w:val="Body A"/>
        <w:spacing w:line="360" w:lineRule="auto"/>
        <w:jc w:val="both"/>
        <w:rPr>
          <w:sz w:val="24"/>
          <w:szCs w:val="24"/>
        </w:rPr>
      </w:pPr>
      <w:r>
        <w:rPr>
          <w:sz w:val="24"/>
          <w:szCs w:val="24"/>
          <w:rtl w:val="0"/>
          <w:lang w:val="en-US"/>
        </w:rPr>
        <w:t xml:space="preserve">According to the definition of Life Cycle Assessment (LCA), there is a significant relationship between Ecological Footprint Assessment (EFA) and LCA, so much so that some authors defend the use of the standardised and detailed LCA process as a means to support the calculation of specific impacts accounted for in EFA (Castellani and Sala, 2012). Methodologically, LCA offers an opportunity to analyse and eliminate many of the drawbacks associated with EFA (Lo-lacono-Ferreira </w:t>
      </w:r>
      <w:r>
        <w:rPr>
          <w:i w:val="1"/>
          <w:iCs w:val="1"/>
          <w:sz w:val="24"/>
          <w:szCs w:val="24"/>
          <w:rtl w:val="0"/>
          <w:lang w:val="nl-NL"/>
        </w:rPr>
        <w:t>et al</w:t>
      </w:r>
      <w:r>
        <w:rPr>
          <w:sz w:val="24"/>
          <w:szCs w:val="24"/>
          <w:rtl w:val="0"/>
          <w:lang w:val="en-US"/>
        </w:rPr>
        <w:t>., 2016). Such drawbacks include lack of scientific rigour, inadequacy to make conclusions about environmental policies and limitations in only assessing issues related to global warming or bio capacity (Wiedmann and Barrett, 2010). Further, the LCA technique was developed to better understand and address the environmental impacts associated with particular products and services (International Organisation for Standardisation, 2006a).</w:t>
      </w:r>
      <w:r>
        <w:rPr>
          <w:sz w:val="24"/>
          <w:szCs w:val="24"/>
          <w:rtl w:val="0"/>
        </w:rPr>
        <w:t xml:space="preserve"> </w:t>
      </w:r>
      <w:r>
        <w:rPr>
          <w:sz w:val="24"/>
          <w:szCs w:val="24"/>
          <w:rtl w:val="0"/>
          <w:lang w:val="en-US"/>
        </w:rPr>
        <w:t>Due to it</w:t>
      </w:r>
      <w:r>
        <w:rPr>
          <w:sz w:val="24"/>
          <w:szCs w:val="24"/>
          <w:rtl w:val="0"/>
        </w:rPr>
        <w:t>’</w:t>
      </w:r>
      <w:r>
        <w:rPr>
          <w:sz w:val="24"/>
          <w:szCs w:val="24"/>
          <w:rtl w:val="0"/>
          <w:lang w:val="en-US"/>
        </w:rPr>
        <w:t xml:space="preserve">s strict definition LCA is one of the most accepted tools for the study and measurement of environmental impacts (Lo-lacono-Ferreira </w:t>
      </w:r>
      <w:r>
        <w:rPr>
          <w:i w:val="1"/>
          <w:iCs w:val="1"/>
          <w:sz w:val="24"/>
          <w:szCs w:val="24"/>
          <w:rtl w:val="0"/>
          <w:lang w:val="nl-NL"/>
        </w:rPr>
        <w:t>et al</w:t>
      </w:r>
      <w:r>
        <w:rPr>
          <w:sz w:val="24"/>
          <w:szCs w:val="24"/>
          <w:rtl w:val="0"/>
        </w:rPr>
        <w:t>., 2016).</w:t>
      </w:r>
    </w:p>
    <w:p>
      <w:pPr>
        <w:pStyle w:val="Body A"/>
        <w:spacing w:line="360" w:lineRule="auto"/>
        <w:jc w:val="both"/>
        <w:rPr>
          <w:sz w:val="24"/>
          <w:szCs w:val="24"/>
        </w:rPr>
      </w:pPr>
    </w:p>
    <w:p>
      <w:pPr>
        <w:pStyle w:val="Body A"/>
        <w:spacing w:line="360" w:lineRule="auto"/>
        <w:jc w:val="both"/>
        <w:rPr>
          <w:sz w:val="24"/>
          <w:szCs w:val="24"/>
        </w:rPr>
      </w:pPr>
      <w:r>
        <w:rPr>
          <w:sz w:val="24"/>
          <w:szCs w:val="24"/>
          <w:rtl w:val="0"/>
          <w:lang w:val="en-US"/>
        </w:rPr>
        <w:t xml:space="preserve">Authors such as Rosi </w:t>
      </w:r>
      <w:r>
        <w:rPr>
          <w:i w:val="1"/>
          <w:iCs w:val="1"/>
          <w:sz w:val="24"/>
          <w:szCs w:val="24"/>
          <w:rtl w:val="0"/>
          <w:lang w:val="nl-NL"/>
        </w:rPr>
        <w:t>et al</w:t>
      </w:r>
      <w:r>
        <w:rPr>
          <w:sz w:val="24"/>
          <w:szCs w:val="24"/>
          <w:rtl w:val="0"/>
        </w:rPr>
        <w:t>., (2017), Gonz</w:t>
      </w:r>
      <w:r>
        <w:rPr>
          <w:sz w:val="24"/>
          <w:szCs w:val="24"/>
          <w:rtl w:val="0"/>
        </w:rPr>
        <w:t>á</w:t>
      </w:r>
      <w:r>
        <w:rPr>
          <w:sz w:val="24"/>
          <w:szCs w:val="24"/>
          <w:rtl w:val="0"/>
        </w:rPr>
        <w:t>lez-Garc</w:t>
      </w:r>
      <w:r>
        <w:rPr>
          <w:sz w:val="24"/>
          <w:szCs w:val="24"/>
          <w:rtl w:val="0"/>
        </w:rPr>
        <w:t>í</w:t>
      </w:r>
      <w:r>
        <w:rPr>
          <w:sz w:val="24"/>
          <w:szCs w:val="24"/>
          <w:rtl w:val="0"/>
        </w:rPr>
        <w:t xml:space="preserve">a </w:t>
      </w:r>
      <w:r>
        <w:rPr>
          <w:i w:val="1"/>
          <w:iCs w:val="1"/>
          <w:sz w:val="24"/>
          <w:szCs w:val="24"/>
          <w:rtl w:val="0"/>
          <w:lang w:val="nl-NL"/>
        </w:rPr>
        <w:t>et al</w:t>
      </w:r>
      <w:r>
        <w:rPr>
          <w:sz w:val="24"/>
          <w:szCs w:val="24"/>
          <w:rtl w:val="0"/>
          <w:lang w:val="en-US"/>
        </w:rPr>
        <w:t xml:space="preserve">., (2018) and Baroni </w:t>
      </w:r>
      <w:r>
        <w:rPr>
          <w:i w:val="1"/>
          <w:iCs w:val="1"/>
          <w:sz w:val="24"/>
          <w:szCs w:val="24"/>
          <w:rtl w:val="0"/>
          <w:lang w:val="nl-NL"/>
        </w:rPr>
        <w:t>et al</w:t>
      </w:r>
      <w:r>
        <w:rPr>
          <w:sz w:val="24"/>
          <w:szCs w:val="24"/>
          <w:rtl w:val="0"/>
        </w:rPr>
        <w:t xml:space="preserve">., (2007) </w:t>
      </w:r>
      <w:r>
        <w:rPr>
          <w:sz w:val="24"/>
          <w:szCs w:val="24"/>
          <w:rtl w:val="0"/>
          <w:lang w:val="en-US"/>
        </w:rPr>
        <w:t xml:space="preserve">discuss the use of LCA to analyse the impact of diets on the environment. In contradicting reviews, Rosi </w:t>
      </w:r>
      <w:r>
        <w:rPr>
          <w:i w:val="1"/>
          <w:iCs w:val="1"/>
          <w:sz w:val="24"/>
          <w:szCs w:val="24"/>
          <w:rtl w:val="0"/>
          <w:lang w:val="nl-NL"/>
        </w:rPr>
        <w:t>et al</w:t>
      </w:r>
      <w:r>
        <w:rPr>
          <w:sz w:val="24"/>
          <w:szCs w:val="24"/>
          <w:rtl w:val="0"/>
          <w:lang w:val="en-US"/>
        </w:rPr>
        <w:t xml:space="preserve">., (2017) suggest that LCA focuses on single foodstuffs or food groups which fails to reflect actual eating habits; whereas Baroni </w:t>
      </w:r>
      <w:r>
        <w:rPr>
          <w:i w:val="1"/>
          <w:iCs w:val="1"/>
          <w:sz w:val="24"/>
          <w:szCs w:val="24"/>
          <w:rtl w:val="0"/>
          <w:lang w:val="nl-NL"/>
        </w:rPr>
        <w:t>et al</w:t>
      </w:r>
      <w:r>
        <w:rPr>
          <w:sz w:val="24"/>
          <w:szCs w:val="24"/>
          <w:rtl w:val="0"/>
          <w:lang w:val="en-US"/>
        </w:rPr>
        <w:t xml:space="preserve">., (2007) state that a </w:t>
      </w:r>
      <w:r>
        <w:rPr>
          <w:sz w:val="24"/>
          <w:szCs w:val="24"/>
          <w:rtl w:val="0"/>
        </w:rPr>
        <w:t>‘</w:t>
      </w:r>
      <w:r>
        <w:rPr>
          <w:sz w:val="24"/>
          <w:szCs w:val="24"/>
          <w:rtl w:val="0"/>
          <w:lang w:val="en-US"/>
        </w:rPr>
        <w:t>comprehensive assessment of the impact of different dietary patterns</w:t>
      </w:r>
      <w:r>
        <w:rPr>
          <w:sz w:val="24"/>
          <w:szCs w:val="24"/>
          <w:rtl w:val="0"/>
        </w:rPr>
        <w:t xml:space="preserve">’ </w:t>
      </w:r>
      <w:r>
        <w:rPr>
          <w:sz w:val="24"/>
          <w:szCs w:val="24"/>
          <w:rtl w:val="0"/>
          <w:lang w:val="en-US"/>
        </w:rPr>
        <w:t>can be carried out to calculate the impacts of several diets on the environment. Gonz</w:t>
      </w:r>
      <w:r>
        <w:rPr>
          <w:sz w:val="24"/>
          <w:szCs w:val="24"/>
          <w:rtl w:val="0"/>
        </w:rPr>
        <w:t>á</w:t>
      </w:r>
      <w:r>
        <w:rPr>
          <w:sz w:val="24"/>
          <w:szCs w:val="24"/>
          <w:rtl w:val="0"/>
        </w:rPr>
        <w:t>lez-Garc</w:t>
      </w:r>
      <w:r>
        <w:rPr>
          <w:sz w:val="24"/>
          <w:szCs w:val="24"/>
          <w:rtl w:val="0"/>
        </w:rPr>
        <w:t>í</w:t>
      </w:r>
      <w:r>
        <w:rPr>
          <w:sz w:val="24"/>
          <w:szCs w:val="24"/>
          <w:rtl w:val="0"/>
        </w:rPr>
        <w:t xml:space="preserve">a </w:t>
      </w:r>
      <w:r>
        <w:rPr>
          <w:i w:val="1"/>
          <w:iCs w:val="1"/>
          <w:sz w:val="24"/>
          <w:szCs w:val="24"/>
          <w:rtl w:val="0"/>
          <w:lang w:val="nl-NL"/>
        </w:rPr>
        <w:t>et al</w:t>
      </w:r>
      <w:r>
        <w:rPr>
          <w:sz w:val="24"/>
          <w:szCs w:val="24"/>
          <w:rtl w:val="0"/>
          <w:lang w:val="en-US"/>
        </w:rPr>
        <w:t xml:space="preserve">., (2018) somewhat agrees with Baroni </w:t>
      </w:r>
      <w:r>
        <w:rPr>
          <w:i w:val="1"/>
          <w:iCs w:val="1"/>
          <w:sz w:val="24"/>
          <w:szCs w:val="24"/>
          <w:rtl w:val="0"/>
          <w:lang w:val="nl-NL"/>
        </w:rPr>
        <w:t>et al</w:t>
      </w:r>
      <w:r>
        <w:rPr>
          <w:sz w:val="24"/>
          <w:szCs w:val="24"/>
          <w:rtl w:val="0"/>
          <w:lang w:val="en-US"/>
        </w:rPr>
        <w:t>., (2018) as they state that LCA is a widely used and standardised tool that can be used for the systematic evaluation of environmental aspects of a product, or indeed of a production system. They state that this can be done throughout all stages of a product</w:t>
      </w:r>
      <w:r>
        <w:rPr>
          <w:sz w:val="24"/>
          <w:szCs w:val="24"/>
          <w:rtl w:val="0"/>
        </w:rPr>
        <w:t>’</w:t>
      </w:r>
      <w:r>
        <w:rPr>
          <w:sz w:val="24"/>
          <w:szCs w:val="24"/>
          <w:rtl w:val="0"/>
          <w:lang w:val="en-US"/>
        </w:rPr>
        <w:t xml:space="preserve">s life cycle, and is considered an </w:t>
      </w:r>
      <w:r>
        <w:rPr>
          <w:sz w:val="24"/>
          <w:szCs w:val="24"/>
          <w:rtl w:val="0"/>
        </w:rPr>
        <w:t>‘</w:t>
      </w:r>
      <w:r>
        <w:rPr>
          <w:sz w:val="24"/>
          <w:szCs w:val="24"/>
          <w:rtl w:val="0"/>
          <w:lang w:val="en-US"/>
        </w:rPr>
        <w:t>ideal instrument for assessing the environmental dimension of sustainability</w:t>
      </w:r>
      <w:r>
        <w:rPr>
          <w:sz w:val="24"/>
          <w:szCs w:val="24"/>
          <w:rtl w:val="0"/>
        </w:rPr>
        <w:t xml:space="preserve">’ </w:t>
      </w:r>
      <w:r>
        <w:rPr>
          <w:sz w:val="24"/>
          <w:szCs w:val="24"/>
          <w:rtl w:val="0"/>
        </w:rPr>
        <w:t>(Gonz</w:t>
      </w:r>
      <w:r>
        <w:rPr>
          <w:sz w:val="24"/>
          <w:szCs w:val="24"/>
          <w:rtl w:val="0"/>
        </w:rPr>
        <w:t>á</w:t>
      </w:r>
      <w:r>
        <w:rPr>
          <w:sz w:val="24"/>
          <w:szCs w:val="24"/>
          <w:rtl w:val="0"/>
        </w:rPr>
        <w:t>lez-Garc</w:t>
      </w:r>
      <w:r>
        <w:rPr>
          <w:sz w:val="24"/>
          <w:szCs w:val="24"/>
          <w:rtl w:val="0"/>
        </w:rPr>
        <w:t>í</w:t>
      </w:r>
      <w:r>
        <w:rPr>
          <w:sz w:val="24"/>
          <w:szCs w:val="24"/>
          <w:rtl w:val="0"/>
        </w:rPr>
        <w:t xml:space="preserve">a </w:t>
      </w:r>
      <w:r>
        <w:rPr>
          <w:i w:val="1"/>
          <w:iCs w:val="1"/>
          <w:sz w:val="24"/>
          <w:szCs w:val="24"/>
          <w:rtl w:val="0"/>
          <w:lang w:val="nl-NL"/>
        </w:rPr>
        <w:t>et al</w:t>
      </w:r>
      <w:r>
        <w:rPr>
          <w:sz w:val="24"/>
          <w:szCs w:val="24"/>
          <w:rtl w:val="0"/>
        </w:rPr>
        <w:t>., 2018).</w:t>
      </w:r>
    </w:p>
    <w:p>
      <w:pPr>
        <w:pStyle w:val="Body A"/>
        <w:spacing w:line="360" w:lineRule="auto"/>
        <w:jc w:val="both"/>
        <w:rPr>
          <w:sz w:val="24"/>
          <w:szCs w:val="24"/>
        </w:rPr>
      </w:pPr>
    </w:p>
    <w:p>
      <w:pPr>
        <w:pStyle w:val="Body A"/>
        <w:spacing w:line="360" w:lineRule="auto"/>
        <w:jc w:val="both"/>
        <w:rPr>
          <w:sz w:val="24"/>
          <w:szCs w:val="24"/>
        </w:rPr>
      </w:pPr>
      <w:r>
        <w:rPr>
          <w:sz w:val="24"/>
          <w:szCs w:val="24"/>
          <w:rtl w:val="0"/>
          <w:lang w:val="en-US"/>
        </w:rPr>
        <w:t xml:space="preserve">LCA analysis is largely based on hypothetical diets or average consumption of population groups. Using actual intakes rather than recommendations or model diets appears to be the best strategy in evaluating environmental impacts (Rosi </w:t>
      </w:r>
      <w:r>
        <w:rPr>
          <w:i w:val="1"/>
          <w:iCs w:val="1"/>
          <w:sz w:val="24"/>
          <w:szCs w:val="24"/>
          <w:rtl w:val="0"/>
          <w:lang w:val="nl-NL"/>
        </w:rPr>
        <w:t>et al</w:t>
      </w:r>
      <w:r>
        <w:rPr>
          <w:sz w:val="24"/>
          <w:szCs w:val="24"/>
          <w:rtl w:val="0"/>
          <w:lang w:val="en-US"/>
        </w:rPr>
        <w:t>., 2017). Inflows of natural resources (for example, energy, land and water) to the system, and outputs in the form of products, by-products, emissions and waste are calculated and quantified for each step in the life cycle. The process starts with raw material extraction and continuing through to manufacturing, use and finally ending with the disposal of the product (R</w:t>
      </w:r>
      <w:r>
        <w:rPr>
          <w:sz w:val="24"/>
          <w:szCs w:val="24"/>
          <w:rtl w:val="0"/>
        </w:rPr>
        <w:t>öö</w:t>
      </w:r>
      <w:r>
        <w:rPr>
          <w:sz w:val="24"/>
          <w:szCs w:val="24"/>
          <w:rtl w:val="0"/>
          <w:lang w:val="en-US"/>
        </w:rPr>
        <w:t>s, 2013). LCA can be used to carry out this assessment in an aim to be fully comprehensive, avoiding sub-optimisation and problem shifting (R</w:t>
      </w:r>
      <w:r>
        <w:rPr>
          <w:sz w:val="24"/>
          <w:szCs w:val="24"/>
          <w:rtl w:val="0"/>
        </w:rPr>
        <w:t>öö</w:t>
      </w:r>
      <w:r>
        <w:rPr>
          <w:sz w:val="24"/>
          <w:szCs w:val="24"/>
          <w:rtl w:val="0"/>
        </w:rPr>
        <w:t>s, 2013).</w:t>
      </w:r>
    </w:p>
    <w:p>
      <w:pPr>
        <w:pStyle w:val="Body A"/>
        <w:spacing w:line="360" w:lineRule="auto"/>
        <w:jc w:val="both"/>
        <w:rPr>
          <w:sz w:val="24"/>
          <w:szCs w:val="24"/>
        </w:rPr>
      </w:pPr>
    </w:p>
    <w:p>
      <w:pPr>
        <w:pStyle w:val="Body A"/>
        <w:spacing w:line="360" w:lineRule="auto"/>
        <w:jc w:val="both"/>
        <w:rPr>
          <w:sz w:val="24"/>
          <w:szCs w:val="24"/>
        </w:rPr>
      </w:pPr>
      <w:r>
        <w:rPr>
          <w:sz w:val="24"/>
          <w:szCs w:val="24"/>
          <w:rtl w:val="0"/>
          <w:lang w:val="en-US"/>
        </w:rPr>
        <w:t xml:space="preserve">To conduct this research, participants will be asked to record all food and beverages consumed over 7 connective days as per the investigation conducted by Rosi </w:t>
      </w:r>
      <w:r>
        <w:rPr>
          <w:i w:val="1"/>
          <w:iCs w:val="1"/>
          <w:sz w:val="24"/>
          <w:szCs w:val="24"/>
          <w:rtl w:val="0"/>
          <w:lang w:val="nl-NL"/>
        </w:rPr>
        <w:t>et al</w:t>
      </w:r>
      <w:r>
        <w:rPr>
          <w:sz w:val="24"/>
          <w:szCs w:val="24"/>
          <w:rtl w:val="0"/>
          <w:lang w:val="en-US"/>
        </w:rPr>
        <w:t>. (2017).  However, small changes will be made in the processing of the data, as in Rosi</w:t>
      </w:r>
      <w:r>
        <w:rPr>
          <w:sz w:val="24"/>
          <w:szCs w:val="24"/>
          <w:rtl w:val="0"/>
        </w:rPr>
        <w:t>’</w:t>
      </w:r>
      <w:r>
        <w:rPr>
          <w:sz w:val="24"/>
          <w:szCs w:val="24"/>
          <w:rtl w:val="0"/>
          <w:lang w:val="en-US"/>
        </w:rPr>
        <w:t xml:space="preserve">s investigation, collected information was sent to the Department of Food Science of the University of Parma, which will not be possible for this study. Instead, the World Food LCA Database (Benoga </w:t>
      </w:r>
      <w:r>
        <w:rPr>
          <w:i w:val="1"/>
          <w:iCs w:val="1"/>
          <w:sz w:val="24"/>
          <w:szCs w:val="24"/>
          <w:rtl w:val="0"/>
          <w:lang w:val="en-US"/>
        </w:rPr>
        <w:t>et al.</w:t>
      </w:r>
      <w:r>
        <w:rPr>
          <w:sz w:val="24"/>
          <w:szCs w:val="24"/>
          <w:rtl w:val="0"/>
          <w:lang w:val="en-US"/>
        </w:rPr>
        <w:t xml:space="preserve">, 2015) created by Quantis will be used. This database includes an inventory of agricultural products and methodological guidelines for the life cycle inventory. The inventory will provide data that can be used to calculate the LCA of food products, which can then be processed to calculate the environmental footprint of whole diets. Comparisons will then be possible between dietary patterns as a whole, and realistic changes can be highlighted that would reduce said environmental impacts of dietary patterns. </w:t>
      </w:r>
    </w:p>
    <w:p>
      <w:pPr>
        <w:pStyle w:val="Body A"/>
        <w:spacing w:line="360" w:lineRule="auto"/>
        <w:jc w:val="both"/>
        <w:rPr>
          <w:sz w:val="24"/>
          <w:szCs w:val="24"/>
        </w:rPr>
      </w:pPr>
    </w:p>
    <w:p>
      <w:pPr>
        <w:pStyle w:val="Body A"/>
        <w:spacing w:line="360" w:lineRule="auto"/>
        <w:jc w:val="both"/>
        <w:rPr>
          <w:sz w:val="24"/>
          <w:szCs w:val="24"/>
        </w:rPr>
      </w:pPr>
      <w:r>
        <w:rPr>
          <w:sz w:val="24"/>
          <w:szCs w:val="24"/>
          <w:rtl w:val="0"/>
          <w:lang w:val="en-US"/>
        </w:rPr>
        <w:t>In the framework of a LCA study, carbon footprint is used as an indicator of environmental impact that reflects the widely accepted need to reduce greenhouse gas emissions in an attempt to counteract the effects of climate change (Gonz</w:t>
      </w:r>
      <w:r>
        <w:rPr>
          <w:sz w:val="24"/>
          <w:szCs w:val="24"/>
          <w:rtl w:val="0"/>
        </w:rPr>
        <w:t>á</w:t>
      </w:r>
      <w:r>
        <w:rPr>
          <w:sz w:val="24"/>
          <w:szCs w:val="24"/>
          <w:rtl w:val="0"/>
        </w:rPr>
        <w:t>lez-Garc</w:t>
      </w:r>
      <w:r>
        <w:rPr>
          <w:sz w:val="24"/>
          <w:szCs w:val="24"/>
          <w:rtl w:val="0"/>
        </w:rPr>
        <w:t>í</w:t>
      </w:r>
      <w:r>
        <w:rPr>
          <w:sz w:val="24"/>
          <w:szCs w:val="24"/>
          <w:rtl w:val="0"/>
        </w:rPr>
        <w:t xml:space="preserve">a </w:t>
      </w:r>
      <w:r>
        <w:rPr>
          <w:i w:val="1"/>
          <w:iCs w:val="1"/>
          <w:sz w:val="24"/>
          <w:szCs w:val="24"/>
          <w:rtl w:val="0"/>
          <w:lang w:val="nl-NL"/>
        </w:rPr>
        <w:t>et al</w:t>
      </w:r>
      <w:r>
        <w:rPr>
          <w:sz w:val="24"/>
          <w:szCs w:val="24"/>
          <w:rtl w:val="0"/>
          <w:lang w:val="en-US"/>
        </w:rPr>
        <w:t>., 2018). LCA is standardised by the International Organisation for Standardisation (ISO) and the standard can be regarded as a framework (R</w:t>
      </w:r>
      <w:r>
        <w:rPr>
          <w:sz w:val="24"/>
          <w:szCs w:val="24"/>
          <w:rtl w:val="0"/>
        </w:rPr>
        <w:t>öö</w:t>
      </w:r>
      <w:r>
        <w:rPr>
          <w:sz w:val="24"/>
          <w:szCs w:val="24"/>
          <w:rtl w:val="0"/>
          <w:lang w:val="en-US"/>
        </w:rPr>
        <w:t>s, 2013) that can be used as guidance for structuring this study. The ISO (ISO 2006a, 2006b) sets out the following four phases:</w:t>
      </w:r>
    </w:p>
    <w:p>
      <w:pPr>
        <w:pStyle w:val="Body A"/>
        <w:numPr>
          <w:ilvl w:val="0"/>
          <w:numId w:val="2"/>
        </w:numPr>
        <w:bidi w:val="0"/>
        <w:spacing w:line="360" w:lineRule="auto"/>
        <w:ind w:right="0"/>
        <w:jc w:val="both"/>
        <w:rPr>
          <w:sz w:val="24"/>
          <w:szCs w:val="24"/>
          <w:rtl w:val="0"/>
          <w:lang w:val="en-US"/>
        </w:rPr>
      </w:pPr>
      <w:r>
        <w:rPr>
          <w:sz w:val="24"/>
          <w:szCs w:val="24"/>
          <w:rtl w:val="0"/>
          <w:lang w:val="en-US"/>
        </w:rPr>
        <w:t>Goal and scope definition-careful definition of the aim of the study</w:t>
      </w:r>
    </w:p>
    <w:p>
      <w:pPr>
        <w:pStyle w:val="Body A"/>
        <w:numPr>
          <w:ilvl w:val="0"/>
          <w:numId w:val="2"/>
        </w:numPr>
        <w:bidi w:val="0"/>
        <w:spacing w:line="360" w:lineRule="auto"/>
        <w:ind w:right="0"/>
        <w:jc w:val="both"/>
        <w:rPr>
          <w:sz w:val="24"/>
          <w:szCs w:val="24"/>
          <w:rtl w:val="0"/>
          <w:lang w:val="en-US"/>
        </w:rPr>
      </w:pPr>
      <w:r>
        <w:rPr>
          <w:sz w:val="24"/>
          <w:szCs w:val="24"/>
          <w:rtl w:val="0"/>
          <w:lang w:val="en-US"/>
        </w:rPr>
        <w:t>Inventory analysis-necessary input and output data needed for the study</w:t>
      </w:r>
    </w:p>
    <w:p>
      <w:pPr>
        <w:pStyle w:val="Body A"/>
        <w:numPr>
          <w:ilvl w:val="0"/>
          <w:numId w:val="2"/>
        </w:numPr>
        <w:bidi w:val="0"/>
        <w:spacing w:line="360" w:lineRule="auto"/>
        <w:ind w:right="0"/>
        <w:jc w:val="both"/>
        <w:rPr>
          <w:sz w:val="24"/>
          <w:szCs w:val="24"/>
          <w:rtl w:val="0"/>
          <w:lang w:val="en-US"/>
        </w:rPr>
      </w:pPr>
      <w:r>
        <w:rPr>
          <w:sz w:val="24"/>
          <w:szCs w:val="24"/>
          <w:rtl w:val="0"/>
          <w:lang w:val="en-US"/>
        </w:rPr>
        <w:t>Impact assessment-sorting of the previously identified input and output flows into different impact categories and characterising them into one common unit</w:t>
      </w:r>
    </w:p>
    <w:p>
      <w:pPr>
        <w:pStyle w:val="Body A"/>
        <w:numPr>
          <w:ilvl w:val="0"/>
          <w:numId w:val="2"/>
        </w:numPr>
        <w:bidi w:val="0"/>
        <w:spacing w:line="360" w:lineRule="auto"/>
        <w:ind w:right="0"/>
        <w:jc w:val="both"/>
        <w:rPr>
          <w:sz w:val="24"/>
          <w:szCs w:val="24"/>
          <w:rtl w:val="0"/>
          <w:lang w:val="en-US"/>
        </w:rPr>
      </w:pPr>
      <w:r>
        <w:rPr>
          <w:sz w:val="24"/>
          <w:szCs w:val="24"/>
          <w:rtl w:val="0"/>
          <w:lang w:val="en-US"/>
        </w:rPr>
        <w:t>Interpretation-results and evaluation</w:t>
      </w:r>
    </w:p>
    <w:p>
      <w:pPr>
        <w:pStyle w:val="Body A"/>
        <w:spacing w:line="360" w:lineRule="auto"/>
        <w:jc w:val="both"/>
        <w:rPr>
          <w:sz w:val="24"/>
          <w:szCs w:val="24"/>
        </w:rPr>
      </w:pPr>
      <w:r>
        <w:rPr>
          <w:sz w:val="24"/>
          <w:szCs w:val="24"/>
          <w:rtl w:val="0"/>
          <w:lang w:val="en-US"/>
        </w:rPr>
        <w:t xml:space="preserve">As well as these steps, Kruse (2010) states that there are ways to include social issues in an aim to provide a more comprehensive evaluation of a product; in this case, the product being a dietary pattern. Although the main aim of this study is to calculate environmental footprints of a variety of diets, it is also important to remember that the outcome, and indeed the dedication to accept and work to reduce environmental footprints, will come from people involved. Depending on findings, recommendations on how to reduce individuals ecological footprint will be suggested, rather than simply presenting results with no guidance on how to improve and reduce potential impacts. </w:t>
      </w:r>
    </w:p>
    <w:p>
      <w:pPr>
        <w:pStyle w:val="Body A"/>
        <w:spacing w:line="360" w:lineRule="auto"/>
        <w:jc w:val="both"/>
        <w:rPr>
          <w:sz w:val="24"/>
          <w:szCs w:val="24"/>
        </w:rPr>
      </w:pPr>
    </w:p>
    <w:p>
      <w:pPr>
        <w:pStyle w:val="Body A"/>
        <w:spacing w:line="360" w:lineRule="auto"/>
        <w:jc w:val="both"/>
        <w:rPr>
          <w:sz w:val="24"/>
          <w:szCs w:val="24"/>
        </w:rPr>
      </w:pPr>
      <w:r>
        <w:rPr>
          <w:sz w:val="24"/>
          <w:szCs w:val="24"/>
          <w:rtl w:val="0"/>
          <w:lang w:val="en-US"/>
        </w:rPr>
        <w:t xml:space="preserve">As the environmental impacts of food and food production are becoming more widely understood, a number of people in society are now trying to reduce their meat in-take, with activities such as </w:t>
      </w:r>
      <w:r>
        <w:rPr>
          <w:sz w:val="24"/>
          <w:szCs w:val="24"/>
          <w:rtl w:val="0"/>
        </w:rPr>
        <w:t>‘</w:t>
      </w:r>
      <w:r>
        <w:rPr>
          <w:sz w:val="24"/>
          <w:szCs w:val="24"/>
          <w:rtl w:val="0"/>
          <w:lang w:val="en-US"/>
        </w:rPr>
        <w:t>Veganuary</w:t>
      </w:r>
      <w:r>
        <w:rPr>
          <w:sz w:val="24"/>
          <w:szCs w:val="24"/>
          <w:rtl w:val="0"/>
        </w:rPr>
        <w:t xml:space="preserve">’ </w:t>
      </w:r>
      <w:r>
        <w:rPr>
          <w:sz w:val="24"/>
          <w:szCs w:val="24"/>
          <w:rtl w:val="0"/>
          <w:lang w:val="en-US"/>
        </w:rPr>
        <w:t xml:space="preserve">and </w:t>
      </w:r>
      <w:r>
        <w:rPr>
          <w:sz w:val="24"/>
          <w:szCs w:val="24"/>
          <w:rtl w:val="0"/>
        </w:rPr>
        <w:t>‘</w:t>
      </w:r>
      <w:r>
        <w:rPr>
          <w:sz w:val="24"/>
          <w:szCs w:val="24"/>
          <w:rtl w:val="0"/>
          <w:lang w:val="en-US"/>
        </w:rPr>
        <w:t>Meat-Free Mondays</w:t>
      </w:r>
      <w:r>
        <w:rPr>
          <w:sz w:val="24"/>
          <w:szCs w:val="24"/>
          <w:rtl w:val="0"/>
        </w:rPr>
        <w:t>’</w:t>
      </w:r>
      <w:r>
        <w:rPr>
          <w:sz w:val="24"/>
          <w:szCs w:val="24"/>
          <w:rtl w:val="0"/>
          <w:lang w:val="en-US"/>
        </w:rPr>
        <w:t>. With this consciousness in mind, this investigation will not use: meat eater, pescatarian, vegetarian and vegan as parameters, but rather: high meat eaters (</w:t>
      </w:r>
      <w:r>
        <w:rPr>
          <w:sz w:val="24"/>
          <w:szCs w:val="24"/>
          <w:rtl w:val="0"/>
        </w:rPr>
        <w:t>≥</w:t>
      </w:r>
      <w:r>
        <w:rPr>
          <w:sz w:val="24"/>
          <w:szCs w:val="24"/>
          <w:rtl w:val="0"/>
          <w:lang w:val="en-US"/>
        </w:rPr>
        <w:t xml:space="preserve">100 g/d), medium meat eaters (50-99 g/d), low meat eaters (&lt;50 g/d), fish eaters, vegetarian and vegan (Scarborough </w:t>
      </w:r>
      <w:r>
        <w:rPr>
          <w:i w:val="1"/>
          <w:iCs w:val="1"/>
          <w:sz w:val="24"/>
          <w:szCs w:val="24"/>
          <w:rtl w:val="0"/>
          <w:lang w:val="nl-NL"/>
        </w:rPr>
        <w:t>et al</w:t>
      </w:r>
      <w:r>
        <w:rPr>
          <w:sz w:val="24"/>
          <w:szCs w:val="24"/>
          <w:rtl w:val="0"/>
        </w:rPr>
        <w:t>., 2014).</w:t>
      </w:r>
      <w:r>
        <w:rPr>
          <w:sz w:val="24"/>
          <w:szCs w:val="24"/>
          <w:rtl w:val="0"/>
          <w:lang w:val="en-US"/>
        </w:rPr>
        <w:t xml:space="preserve"> </w:t>
      </w:r>
    </w:p>
    <w:p>
      <w:pPr>
        <w:pStyle w:val="Body A"/>
        <w:spacing w:line="360" w:lineRule="auto"/>
        <w:jc w:val="both"/>
        <w:rPr>
          <w:sz w:val="24"/>
          <w:szCs w:val="24"/>
        </w:rPr>
      </w:pPr>
    </w:p>
    <w:p>
      <w:pPr>
        <w:pStyle w:val="Subtitle"/>
      </w:pPr>
    </w:p>
    <w:p>
      <w:pPr>
        <w:pStyle w:val="Subtitle"/>
      </w:pPr>
    </w:p>
    <w:p>
      <w:pPr>
        <w:pStyle w:val="Subtitle"/>
      </w:pPr>
    </w:p>
    <w:p>
      <w:pPr>
        <w:pStyle w:val="Subtitle"/>
      </w:pPr>
    </w:p>
    <w:p>
      <w:pPr>
        <w:pStyle w:val="Subtitle"/>
      </w:pPr>
    </w:p>
    <w:p>
      <w:pPr>
        <w:pStyle w:val="Subtitle"/>
      </w:pPr>
      <w:r>
        <w:rPr>
          <w:rtl w:val="0"/>
          <w:lang w:val="en-US"/>
        </w:rPr>
        <w:t>Results</w:t>
      </w:r>
    </w:p>
    <w:p>
      <w:pPr>
        <w:pStyle w:val="Body A"/>
        <w:spacing w:line="360" w:lineRule="auto"/>
        <w:jc w:val="both"/>
        <w:rPr>
          <w:sz w:val="24"/>
          <w:szCs w:val="24"/>
        </w:rPr>
      </w:pPr>
    </w:p>
    <w:p>
      <w:pPr>
        <w:pStyle w:val="Body A"/>
        <w:spacing w:line="360" w:lineRule="auto"/>
        <w:jc w:val="both"/>
        <w:rPr>
          <w:sz w:val="24"/>
          <w:szCs w:val="24"/>
        </w:rPr>
      </w:pPr>
      <w:r>
        <w:rPr>
          <w:sz w:val="24"/>
          <w:szCs w:val="24"/>
          <w:rtl w:val="0"/>
          <w:lang w:val="en-US"/>
        </w:rPr>
        <w:t>Farming and agriculture produce emissions from energy consumption, transport and the post-farm process; however emissions directly from naturally occurring, biological processes from fertilisation and ruminant animals dominate the overall emissions (R</w:t>
      </w:r>
      <w:r>
        <w:rPr>
          <w:sz w:val="24"/>
          <w:szCs w:val="24"/>
          <w:rtl w:val="0"/>
        </w:rPr>
        <w:t>öö</w:t>
      </w:r>
      <w:r>
        <w:rPr>
          <w:sz w:val="24"/>
          <w:szCs w:val="24"/>
          <w:rtl w:val="0"/>
          <w:lang w:val="en-US"/>
        </w:rPr>
        <w:t>s, 2013). Live stock products generally have a considerably larger carbon footprint than plant-based foods (EC, 2006). Foods such as: beef, lamb and cheese have exceptionally high carbon footprints due to the methane released from enteric fermentation in ruminants (R</w:t>
      </w:r>
      <w:r>
        <w:rPr>
          <w:sz w:val="24"/>
          <w:szCs w:val="24"/>
          <w:rtl w:val="0"/>
        </w:rPr>
        <w:t>öö</w:t>
      </w:r>
      <w:r>
        <w:rPr>
          <w:sz w:val="24"/>
          <w:szCs w:val="24"/>
          <w:rtl w:val="0"/>
          <w:lang w:val="en-US"/>
        </w:rPr>
        <w:t>s, 2013). In contrast to this, meat from mono gastric animals such as pigs and poultry show considerably lower carbon footprint values, but still have higher values than most plant-based foods (R</w:t>
      </w:r>
      <w:r>
        <w:rPr>
          <w:sz w:val="24"/>
          <w:szCs w:val="24"/>
          <w:rtl w:val="0"/>
        </w:rPr>
        <w:t>öö</w:t>
      </w:r>
      <w:r>
        <w:rPr>
          <w:sz w:val="24"/>
          <w:szCs w:val="24"/>
          <w:rtl w:val="0"/>
          <w:lang w:val="en-US"/>
        </w:rPr>
        <w:t xml:space="preserve">s, 2013). Similarly, high carbon footprint values have been found for plant-based foods that have been heated in greenhouses, transported by air or produced in low-yielding systems (Stoessel </w:t>
      </w:r>
      <w:r>
        <w:rPr>
          <w:i w:val="1"/>
          <w:iCs w:val="1"/>
          <w:sz w:val="24"/>
          <w:szCs w:val="24"/>
          <w:rtl w:val="0"/>
          <w:lang w:val="nl-NL"/>
        </w:rPr>
        <w:t>et al</w:t>
      </w:r>
      <w:r>
        <w:rPr>
          <w:sz w:val="24"/>
          <w:szCs w:val="24"/>
          <w:rtl w:val="0"/>
        </w:rPr>
        <w:t>., 2012).</w:t>
      </w:r>
    </w:p>
    <w:p>
      <w:pPr>
        <w:pStyle w:val="Body A"/>
        <w:spacing w:line="360" w:lineRule="auto"/>
        <w:jc w:val="both"/>
        <w:rPr>
          <w:sz w:val="24"/>
          <w:szCs w:val="24"/>
        </w:rPr>
      </w:pPr>
    </w:p>
    <w:p>
      <w:pPr>
        <w:pStyle w:val="Body A"/>
        <w:spacing w:line="360" w:lineRule="auto"/>
        <w:jc w:val="both"/>
        <w:rPr>
          <w:sz w:val="24"/>
          <w:szCs w:val="24"/>
        </w:rPr>
      </w:pPr>
      <w:r>
        <w:rPr>
          <w:sz w:val="24"/>
          <w:szCs w:val="24"/>
          <w:rtl w:val="0"/>
          <w:lang w:val="en-US"/>
        </w:rPr>
        <w:t>The carbon footprint of different food products is variable, and variability can also been seen for the same product if there are differing production systems (R</w:t>
      </w:r>
      <w:r>
        <w:rPr>
          <w:sz w:val="24"/>
          <w:szCs w:val="24"/>
          <w:rtl w:val="0"/>
        </w:rPr>
        <w:t>öö</w:t>
      </w:r>
      <w:r>
        <w:rPr>
          <w:sz w:val="24"/>
          <w:szCs w:val="24"/>
          <w:rtl w:val="0"/>
          <w:lang w:val="en-US"/>
        </w:rPr>
        <w:t xml:space="preserve">s, 2013), which may be found in different countries. Therefore, it is recommended that further research in this field pays particular attention to this, and possibly sets out ways to account and adjust for this. For this study the </w:t>
      </w:r>
      <w:r>
        <w:rPr>
          <w:sz w:val="24"/>
          <w:szCs w:val="24"/>
          <w:rtl w:val="0"/>
          <w:lang w:val="it-IT"/>
        </w:rPr>
        <w:t>Quantis</w:t>
      </w:r>
      <w:r>
        <w:rPr>
          <w:sz w:val="24"/>
          <w:szCs w:val="24"/>
          <w:rtl w:val="0"/>
          <w:lang w:val="en-US"/>
        </w:rPr>
        <w:t xml:space="preserve"> database will be used to account for and eliminate the variabilities.</w:t>
      </w:r>
    </w:p>
    <w:p>
      <w:pPr>
        <w:pStyle w:val="Body A"/>
        <w:spacing w:line="360" w:lineRule="auto"/>
        <w:jc w:val="both"/>
        <w:rPr>
          <w:sz w:val="24"/>
          <w:szCs w:val="24"/>
        </w:rPr>
      </w:pPr>
    </w:p>
    <w:p>
      <w:pPr>
        <w:pStyle w:val="Body A"/>
        <w:spacing w:line="360" w:lineRule="auto"/>
        <w:jc w:val="both"/>
        <w:rPr>
          <w:sz w:val="24"/>
          <w:szCs w:val="24"/>
        </w:rPr>
      </w:pPr>
      <w:r>
        <w:rPr>
          <w:sz w:val="24"/>
          <w:szCs w:val="24"/>
          <w:rtl w:val="0"/>
          <w:lang w:val="en-US"/>
        </w:rPr>
        <w:t xml:space="preserve">Although greenhouse gas emissions have been studied in relation to dietary patterns and food production, the assessment of other indicators such as water consumption and land use demand have not been as extensively studied in relation to populations and dietary choices (Rose </w:t>
      </w:r>
      <w:r>
        <w:rPr>
          <w:i w:val="1"/>
          <w:iCs w:val="1"/>
          <w:sz w:val="24"/>
          <w:szCs w:val="24"/>
          <w:rtl w:val="0"/>
          <w:lang w:val="nl-NL"/>
        </w:rPr>
        <w:t>et al</w:t>
      </w:r>
      <w:r>
        <w:rPr>
          <w:sz w:val="24"/>
          <w:szCs w:val="24"/>
          <w:rtl w:val="0"/>
          <w:lang w:val="en-US"/>
        </w:rPr>
        <w:t xml:space="preserve">., 2017). It could be suggested that finding a way to incorporate these into measurements would make findings more comprehensive, and give a more rounded view of the environmental impacts of dietary patterns (Lo-lacono-Ferreira </w:t>
      </w:r>
      <w:r>
        <w:rPr>
          <w:i w:val="1"/>
          <w:iCs w:val="1"/>
          <w:sz w:val="24"/>
          <w:szCs w:val="24"/>
          <w:rtl w:val="0"/>
          <w:lang w:val="en-US"/>
        </w:rPr>
        <w:t>et al</w:t>
      </w:r>
      <w:r>
        <w:rPr>
          <w:sz w:val="24"/>
          <w:szCs w:val="24"/>
          <w:rtl w:val="0"/>
          <w:lang w:val="en-US"/>
        </w:rPr>
        <w:t>., 2016</w:t>
      </w:r>
      <w:r>
        <w:rPr>
          <w:sz w:val="24"/>
          <w:szCs w:val="24"/>
          <w:rtl w:val="0"/>
        </w:rPr>
        <w:t>).</w:t>
      </w:r>
    </w:p>
    <w:p>
      <w:pPr>
        <w:pStyle w:val="Body A"/>
        <w:spacing w:line="360" w:lineRule="auto"/>
        <w:jc w:val="both"/>
        <w:rPr>
          <w:sz w:val="24"/>
          <w:szCs w:val="24"/>
        </w:rPr>
      </w:pPr>
    </w:p>
    <w:p>
      <w:pPr>
        <w:pStyle w:val="Body A"/>
        <w:spacing w:line="360" w:lineRule="auto"/>
        <w:jc w:val="both"/>
        <w:rPr>
          <w:sz w:val="24"/>
          <w:szCs w:val="24"/>
        </w:rPr>
      </w:pPr>
      <w:r>
        <w:rPr>
          <w:sz w:val="24"/>
          <w:szCs w:val="24"/>
          <w:rtl w:val="0"/>
          <w:lang w:val="en-US"/>
        </w:rPr>
        <w:t>The food system is considered one of the most prevalent when discussi</w:t>
      </w:r>
      <w:r>
        <w:rPr>
          <w:sz w:val="24"/>
          <w:szCs w:val="24"/>
          <w:rtl w:val="0"/>
          <w:lang w:val="en-US"/>
        </w:rPr>
        <w:t>ng</w:t>
      </w:r>
      <w:r>
        <w:rPr>
          <w:sz w:val="24"/>
          <w:szCs w:val="24"/>
          <w:rtl w:val="0"/>
          <w:lang w:val="en-US"/>
        </w:rPr>
        <w:t xml:space="preserve"> negative environmental impacts, mainly associated with greenhouse gas emission, water requirements and land use (Friel </w:t>
      </w:r>
      <w:r>
        <w:rPr>
          <w:i w:val="1"/>
          <w:iCs w:val="1"/>
          <w:sz w:val="24"/>
          <w:szCs w:val="24"/>
          <w:rtl w:val="0"/>
          <w:lang w:val="nl-NL"/>
        </w:rPr>
        <w:t>et al</w:t>
      </w:r>
      <w:r>
        <w:rPr>
          <w:sz w:val="24"/>
          <w:szCs w:val="24"/>
          <w:rtl w:val="0"/>
          <w:lang w:val="nl-NL"/>
        </w:rPr>
        <w:t xml:space="preserve">., 2009; Tukker </w:t>
      </w:r>
      <w:r>
        <w:rPr>
          <w:i w:val="1"/>
          <w:iCs w:val="1"/>
          <w:sz w:val="24"/>
          <w:szCs w:val="24"/>
          <w:rtl w:val="0"/>
          <w:lang w:val="nl-NL"/>
        </w:rPr>
        <w:t>et al</w:t>
      </w:r>
      <w:r>
        <w:rPr>
          <w:sz w:val="24"/>
          <w:szCs w:val="24"/>
          <w:rtl w:val="0"/>
          <w:lang w:val="de-DE"/>
        </w:rPr>
        <w:t xml:space="preserve">., 2011; Wolf </w:t>
      </w:r>
      <w:r>
        <w:rPr>
          <w:i w:val="1"/>
          <w:iCs w:val="1"/>
          <w:sz w:val="24"/>
          <w:szCs w:val="24"/>
          <w:rtl w:val="0"/>
          <w:lang w:val="nl-NL"/>
        </w:rPr>
        <w:t>et al</w:t>
      </w:r>
      <w:r>
        <w:rPr>
          <w:sz w:val="24"/>
          <w:szCs w:val="24"/>
          <w:rtl w:val="0"/>
        </w:rPr>
        <w:t xml:space="preserve">.,2011; Gustafson </w:t>
      </w:r>
      <w:r>
        <w:rPr>
          <w:i w:val="1"/>
          <w:iCs w:val="1"/>
          <w:sz w:val="24"/>
          <w:szCs w:val="24"/>
          <w:rtl w:val="0"/>
          <w:lang w:val="nl-NL"/>
        </w:rPr>
        <w:t>et al</w:t>
      </w:r>
      <w:r>
        <w:rPr>
          <w:sz w:val="24"/>
          <w:szCs w:val="24"/>
          <w:rtl w:val="0"/>
          <w:lang w:val="en-US"/>
        </w:rPr>
        <w:t xml:space="preserve">., 2016). Goodland (1997) suggests that environmental impact of plant and animal species increases along the food chain. To reduce environmental impact, the consumption of foods of animal origin should be reduced, and foods of plant origin should be increased (Stehfest  </w:t>
      </w:r>
      <w:r>
        <w:rPr>
          <w:i w:val="1"/>
          <w:iCs w:val="1"/>
          <w:sz w:val="24"/>
          <w:szCs w:val="24"/>
          <w:rtl w:val="0"/>
          <w:lang w:val="nl-NL"/>
        </w:rPr>
        <w:t>et al</w:t>
      </w:r>
      <w:r>
        <w:rPr>
          <w:sz w:val="24"/>
          <w:szCs w:val="24"/>
          <w:rtl w:val="0"/>
          <w:lang w:val="en-US"/>
        </w:rPr>
        <w:t xml:space="preserve">., 2009; Thaler </w:t>
      </w:r>
      <w:r>
        <w:rPr>
          <w:i w:val="1"/>
          <w:iCs w:val="1"/>
          <w:sz w:val="24"/>
          <w:szCs w:val="24"/>
          <w:rtl w:val="0"/>
          <w:lang w:val="nl-NL"/>
        </w:rPr>
        <w:t>et al</w:t>
      </w:r>
      <w:r>
        <w:rPr>
          <w:sz w:val="24"/>
          <w:szCs w:val="24"/>
          <w:rtl w:val="0"/>
          <w:lang w:val="en-US"/>
        </w:rPr>
        <w:t xml:space="preserve">., 2015). Therefore, when considering a sustainable future food pattern, a shift from a meat-based to a plant-based diet could be the answer (Garnett, 2011; Perignon </w:t>
      </w:r>
      <w:r>
        <w:rPr>
          <w:i w:val="1"/>
          <w:iCs w:val="1"/>
          <w:sz w:val="24"/>
          <w:szCs w:val="24"/>
          <w:rtl w:val="0"/>
          <w:lang w:val="nl-NL"/>
        </w:rPr>
        <w:t>et al</w:t>
      </w:r>
      <w:r>
        <w:rPr>
          <w:sz w:val="24"/>
          <w:szCs w:val="24"/>
          <w:rtl w:val="0"/>
        </w:rPr>
        <w:t>., 2017).</w:t>
      </w:r>
    </w:p>
    <w:p>
      <w:pPr>
        <w:pStyle w:val="Body A"/>
        <w:spacing w:line="360" w:lineRule="auto"/>
        <w:jc w:val="both"/>
        <w:rPr>
          <w:sz w:val="24"/>
          <w:szCs w:val="24"/>
        </w:rPr>
      </w:pPr>
    </w:p>
    <w:p>
      <w:pPr>
        <w:pStyle w:val="Subtitle"/>
      </w:pPr>
    </w:p>
    <w:p>
      <w:pPr>
        <w:pStyle w:val="Subtitle"/>
      </w:pPr>
    </w:p>
    <w:p>
      <w:pPr>
        <w:pStyle w:val="Subtitle"/>
      </w:pPr>
    </w:p>
    <w:p>
      <w:pPr>
        <w:pStyle w:val="Subtitle"/>
      </w:pPr>
    </w:p>
    <w:p>
      <w:pPr>
        <w:pStyle w:val="Subtitle"/>
      </w:pPr>
    </w:p>
    <w:p>
      <w:pPr>
        <w:pStyle w:val="Subtitle"/>
      </w:pPr>
    </w:p>
    <w:p>
      <w:pPr>
        <w:pStyle w:val="Subtitle"/>
      </w:pPr>
    </w:p>
    <w:p>
      <w:pPr>
        <w:pStyle w:val="Subtitle"/>
      </w:pPr>
    </w:p>
    <w:p>
      <w:pPr>
        <w:pStyle w:val="Subtitle"/>
      </w:pPr>
    </w:p>
    <w:p>
      <w:pPr>
        <w:pStyle w:val="Subtitle"/>
      </w:pPr>
    </w:p>
    <w:p>
      <w:pPr>
        <w:pStyle w:val="Subtitle"/>
      </w:pPr>
    </w:p>
    <w:p>
      <w:pPr>
        <w:pStyle w:val="Subtitle"/>
      </w:pPr>
    </w:p>
    <w:p>
      <w:pPr>
        <w:pStyle w:val="Subtitle"/>
      </w:pPr>
    </w:p>
    <w:p>
      <w:pPr>
        <w:pStyle w:val="Subtitle"/>
      </w:pPr>
    </w:p>
    <w:p>
      <w:pPr>
        <w:pStyle w:val="Subtitle"/>
      </w:pPr>
    </w:p>
    <w:p>
      <w:pPr>
        <w:pStyle w:val="Subtitle"/>
      </w:pPr>
    </w:p>
    <w:p>
      <w:pPr>
        <w:pStyle w:val="Subtitle"/>
      </w:pPr>
      <w:r>
        <w:rPr>
          <w:rtl w:val="0"/>
          <w:lang w:val="en-US"/>
        </w:rPr>
        <w:t>Evaluation</w:t>
      </w:r>
    </w:p>
    <w:p>
      <w:pPr>
        <w:pStyle w:val="Body 2"/>
        <w:spacing w:line="360" w:lineRule="auto"/>
        <w:jc w:val="both"/>
      </w:pPr>
    </w:p>
    <w:p>
      <w:pPr>
        <w:pStyle w:val="Body A"/>
        <w:spacing w:line="360" w:lineRule="auto"/>
        <w:jc w:val="both"/>
        <w:rPr>
          <w:sz w:val="24"/>
          <w:szCs w:val="24"/>
        </w:rPr>
      </w:pPr>
      <w:r>
        <w:rPr>
          <w:sz w:val="24"/>
          <w:szCs w:val="24"/>
          <w:rtl w:val="0"/>
          <w:lang w:val="en-US"/>
        </w:rPr>
        <w:t>Not only in Europe, but worldwide, there is a growing interest in adopting healthy, sustainable diets (</w:t>
      </w:r>
      <w:r>
        <w:rPr>
          <w:sz w:val="24"/>
          <w:szCs w:val="24"/>
          <w:rtl w:val="0"/>
          <w:lang w:val="it-IT"/>
        </w:rPr>
        <w:t>Gonz</w:t>
      </w:r>
      <w:r>
        <w:rPr>
          <w:sz w:val="24"/>
          <w:szCs w:val="24"/>
          <w:rtl w:val="0"/>
        </w:rPr>
        <w:t>á</w:t>
      </w:r>
      <w:r>
        <w:rPr>
          <w:sz w:val="24"/>
          <w:szCs w:val="24"/>
          <w:rtl w:val="0"/>
        </w:rPr>
        <w:t>lez-Garc</w:t>
      </w:r>
      <w:r>
        <w:rPr>
          <w:sz w:val="24"/>
          <w:szCs w:val="24"/>
          <w:rtl w:val="0"/>
        </w:rPr>
        <w:t>í</w:t>
      </w:r>
      <w:r>
        <w:rPr>
          <w:sz w:val="24"/>
          <w:szCs w:val="24"/>
          <w:rtl w:val="0"/>
        </w:rPr>
        <w:t xml:space="preserve">a </w:t>
      </w:r>
      <w:r>
        <w:rPr>
          <w:i w:val="1"/>
          <w:iCs w:val="1"/>
          <w:sz w:val="24"/>
          <w:szCs w:val="24"/>
          <w:rtl w:val="0"/>
          <w:lang w:val="nl-NL"/>
        </w:rPr>
        <w:t>et al</w:t>
      </w:r>
      <w:r>
        <w:rPr>
          <w:sz w:val="24"/>
          <w:szCs w:val="24"/>
          <w:rtl w:val="0"/>
          <w:lang w:val="en-US"/>
        </w:rPr>
        <w:t xml:space="preserve">, 2018). In order to do this, research needs to advance to the next level. This could be achieved by calculating the environmental impacts of diet styles to create a more comprehensive approach rather than a short-sighted focus on single dietary components (Rosi </w:t>
      </w:r>
      <w:r>
        <w:rPr>
          <w:i w:val="1"/>
          <w:iCs w:val="1"/>
          <w:sz w:val="24"/>
          <w:szCs w:val="24"/>
          <w:rtl w:val="0"/>
          <w:lang w:val="en-US"/>
        </w:rPr>
        <w:t>et al</w:t>
      </w:r>
      <w:r>
        <w:rPr>
          <w:sz w:val="24"/>
          <w:szCs w:val="24"/>
          <w:rtl w:val="0"/>
          <w:lang w:val="en-US"/>
        </w:rPr>
        <w:t xml:space="preserve">., 2017). </w:t>
      </w:r>
    </w:p>
    <w:p>
      <w:pPr>
        <w:pStyle w:val="Body A"/>
        <w:spacing w:line="360" w:lineRule="auto"/>
        <w:jc w:val="both"/>
        <w:rPr>
          <w:sz w:val="24"/>
          <w:szCs w:val="24"/>
        </w:rPr>
      </w:pPr>
    </w:p>
    <w:p>
      <w:pPr>
        <w:pStyle w:val="Body A"/>
        <w:spacing w:line="360" w:lineRule="auto"/>
        <w:jc w:val="both"/>
        <w:rPr>
          <w:sz w:val="24"/>
          <w:szCs w:val="24"/>
        </w:rPr>
      </w:pPr>
      <w:r>
        <w:rPr>
          <w:sz w:val="24"/>
          <w:szCs w:val="24"/>
          <w:rtl w:val="0"/>
          <w:lang w:val="en-US"/>
        </w:rPr>
        <w:t>A comprehensive approach to reporting the relative sustainability</w:t>
      </w:r>
      <w:r>
        <w:rPr>
          <w:sz w:val="24"/>
          <w:szCs w:val="24"/>
          <w:rtl w:val="0"/>
          <w:lang w:val="en-US"/>
        </w:rPr>
        <w:t>’</w:t>
      </w:r>
      <w:r>
        <w:rPr>
          <w:sz w:val="24"/>
          <w:szCs w:val="24"/>
          <w:rtl w:val="0"/>
          <w:lang w:val="en-US"/>
        </w:rPr>
        <w:t xml:space="preserve">s of diets needs a comprehensive approach to analysis. This would be achievable using the LCA approach. In the framework of a LCA, carbon footprint is considered as the </w:t>
      </w:r>
      <w:r>
        <w:rPr>
          <w:sz w:val="24"/>
          <w:szCs w:val="24"/>
          <w:rtl w:val="0"/>
          <w:lang w:val="en-US"/>
        </w:rPr>
        <w:t>‘</w:t>
      </w:r>
      <w:r>
        <w:rPr>
          <w:sz w:val="24"/>
          <w:szCs w:val="24"/>
          <w:rtl w:val="0"/>
          <w:lang w:val="en-US"/>
        </w:rPr>
        <w:t>fight against the effects of climate change</w:t>
      </w:r>
      <w:r>
        <w:rPr>
          <w:sz w:val="24"/>
          <w:szCs w:val="24"/>
          <w:rtl w:val="0"/>
          <w:lang w:val="en-US"/>
        </w:rPr>
        <w:t xml:space="preserve">’ </w:t>
      </w:r>
      <w:r>
        <w:rPr>
          <w:sz w:val="24"/>
          <w:szCs w:val="24"/>
          <w:rtl w:val="0"/>
          <w:lang w:val="en-US"/>
        </w:rPr>
        <w:t>(</w:t>
      </w:r>
      <w:r>
        <w:rPr>
          <w:sz w:val="24"/>
          <w:szCs w:val="24"/>
          <w:rtl w:val="0"/>
          <w:lang w:val="it-IT"/>
        </w:rPr>
        <w:t>Gonz</w:t>
      </w:r>
      <w:r>
        <w:rPr>
          <w:sz w:val="24"/>
          <w:szCs w:val="24"/>
          <w:rtl w:val="0"/>
        </w:rPr>
        <w:t>á</w:t>
      </w:r>
      <w:r>
        <w:rPr>
          <w:sz w:val="24"/>
          <w:szCs w:val="24"/>
          <w:rtl w:val="0"/>
        </w:rPr>
        <w:t>lez-Garc</w:t>
      </w:r>
      <w:r>
        <w:rPr>
          <w:sz w:val="24"/>
          <w:szCs w:val="24"/>
          <w:rtl w:val="0"/>
        </w:rPr>
        <w:t>í</w:t>
      </w:r>
      <w:r>
        <w:rPr>
          <w:sz w:val="24"/>
          <w:szCs w:val="24"/>
          <w:rtl w:val="0"/>
        </w:rPr>
        <w:t xml:space="preserve">a </w:t>
      </w:r>
      <w:r>
        <w:rPr>
          <w:i w:val="1"/>
          <w:iCs w:val="1"/>
          <w:sz w:val="24"/>
          <w:szCs w:val="24"/>
          <w:rtl w:val="0"/>
          <w:lang w:val="nl-NL"/>
        </w:rPr>
        <w:t>et al</w:t>
      </w:r>
      <w:r>
        <w:rPr>
          <w:sz w:val="24"/>
          <w:szCs w:val="24"/>
          <w:rtl w:val="0"/>
        </w:rPr>
        <w:t>, 2018)</w:t>
      </w:r>
      <w:r>
        <w:rPr>
          <w:sz w:val="24"/>
          <w:szCs w:val="24"/>
          <w:rtl w:val="0"/>
          <w:lang w:val="en-US"/>
        </w:rPr>
        <w:t>. Given the current and growing concern about the effects of climate change, great prevalence is placed on finding ways to reduce and rectify effects.</w:t>
      </w:r>
    </w:p>
    <w:p>
      <w:pPr>
        <w:pStyle w:val="Body A"/>
        <w:spacing w:line="360" w:lineRule="auto"/>
        <w:jc w:val="both"/>
        <w:rPr>
          <w:sz w:val="24"/>
          <w:szCs w:val="24"/>
        </w:rPr>
      </w:pPr>
    </w:p>
    <w:p>
      <w:pPr>
        <w:pStyle w:val="Body A"/>
        <w:spacing w:line="360" w:lineRule="auto"/>
        <w:jc w:val="both"/>
        <w:rPr>
          <w:sz w:val="24"/>
          <w:szCs w:val="24"/>
        </w:rPr>
      </w:pPr>
      <w:r>
        <w:rPr>
          <w:sz w:val="24"/>
          <w:szCs w:val="24"/>
          <w:rtl w:val="0"/>
          <w:lang w:val="en-US"/>
        </w:rPr>
        <w:t xml:space="preserve">In order to improve recommendations on environmental impact of dietary patterns, more thorough research should be carried out to demonstrate the exact capability of dietary patterns on overall environmental impact (Rosi </w:t>
      </w:r>
      <w:r>
        <w:rPr>
          <w:i w:val="1"/>
          <w:iCs w:val="1"/>
          <w:sz w:val="24"/>
          <w:szCs w:val="24"/>
          <w:rtl w:val="0"/>
          <w:lang w:val="nl-NL"/>
        </w:rPr>
        <w:t>et al</w:t>
      </w:r>
      <w:r>
        <w:rPr>
          <w:sz w:val="24"/>
          <w:szCs w:val="24"/>
          <w:rtl w:val="0"/>
        </w:rPr>
        <w:t xml:space="preserve">., 2017). </w:t>
      </w:r>
      <w:r>
        <w:rPr>
          <w:sz w:val="24"/>
          <w:szCs w:val="24"/>
          <w:rtl w:val="0"/>
          <w:lang w:val="en-US"/>
        </w:rPr>
        <w:t>One common belief is that plant-based diets are more environmentally sustainable than diets that contain food of animal origin (</w:t>
      </w:r>
      <w:r>
        <w:rPr>
          <w:sz w:val="24"/>
          <w:szCs w:val="24"/>
          <w:rtl w:val="0"/>
          <w:lang w:val="fr-FR"/>
        </w:rPr>
        <w:t xml:space="preserve">Vieux </w:t>
      </w:r>
      <w:r>
        <w:rPr>
          <w:i w:val="1"/>
          <w:iCs w:val="1"/>
          <w:sz w:val="24"/>
          <w:szCs w:val="24"/>
          <w:rtl w:val="0"/>
          <w:lang w:val="nl-NL"/>
        </w:rPr>
        <w:t>et al</w:t>
      </w:r>
      <w:r>
        <w:rPr>
          <w:sz w:val="24"/>
          <w:szCs w:val="24"/>
          <w:rtl w:val="0"/>
        </w:rPr>
        <w:t>., 2012</w:t>
      </w:r>
      <w:r>
        <w:rPr>
          <w:sz w:val="24"/>
          <w:szCs w:val="24"/>
          <w:rtl w:val="0"/>
          <w:lang w:val="en-US"/>
        </w:rPr>
        <w:t xml:space="preserve">; </w:t>
      </w:r>
      <w:r>
        <w:rPr>
          <w:sz w:val="24"/>
          <w:szCs w:val="24"/>
          <w:rtl w:val="0"/>
          <w:lang w:val="nl-NL"/>
        </w:rPr>
        <w:t>Reijnders and Soret, 2003)</w:t>
      </w:r>
      <w:r>
        <w:rPr>
          <w:sz w:val="24"/>
          <w:szCs w:val="24"/>
          <w:rtl w:val="0"/>
          <w:lang w:val="en-US"/>
        </w:rPr>
        <w:t xml:space="preserve">. However, it is not realistic to expect entire populations to switch to a completely vegan diet. Research into this area is important so that consumers can be advised on the best way to approach making diets more sustainable and environmentally friendly. </w:t>
      </w: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Subtitle"/>
        <w:rPr>
          <w:lang w:val="fr-FR"/>
        </w:rPr>
      </w:pPr>
    </w:p>
    <w:p>
      <w:pPr>
        <w:pStyle w:val="Subtitle"/>
        <w:rPr>
          <w:lang w:val="fr-FR"/>
        </w:rPr>
      </w:pPr>
      <w:r>
        <w:rPr>
          <w:rtl w:val="0"/>
          <w:lang w:val="fr-FR"/>
        </w:rPr>
        <w:t>References</w:t>
      </w:r>
    </w:p>
    <w:p>
      <w:pPr>
        <w:pStyle w:val="Body A"/>
        <w:rPr>
          <w:sz w:val="24"/>
          <w:szCs w:val="24"/>
        </w:rPr>
      </w:pPr>
    </w:p>
    <w:p>
      <w:pPr>
        <w:pStyle w:val="Body A"/>
        <w:rPr>
          <w:sz w:val="24"/>
          <w:szCs w:val="24"/>
        </w:rPr>
      </w:pPr>
    </w:p>
    <w:p>
      <w:pPr>
        <w:pStyle w:val="Body A"/>
        <w:rPr>
          <w:sz w:val="24"/>
          <w:szCs w:val="24"/>
        </w:rPr>
      </w:pPr>
      <w:r>
        <w:rPr>
          <w:rFonts w:cs="Arial Unicode MS" w:eastAsia="Arial Unicode MS"/>
          <w:sz w:val="24"/>
          <w:szCs w:val="24"/>
          <w:rtl w:val="0"/>
          <w:lang w:val="en-US"/>
        </w:rPr>
        <w:t>Alber, S., Clift, R., Cowell, S., Crettaz, P., Gaillard, G., Hausheer, J. and van Zeijts, H., 2003. Harmonisation of Environmental Life Cycle Assessment for Agriculture: Final Report Concerted Action AIR3-CT94-2028. CE DG VI-Centre de documentation.</w:t>
      </w:r>
    </w:p>
    <w:p>
      <w:pPr>
        <w:pStyle w:val="Body A"/>
        <w:rPr>
          <w:sz w:val="24"/>
          <w:szCs w:val="24"/>
        </w:rPr>
      </w:pPr>
    </w:p>
    <w:p>
      <w:pPr>
        <w:pStyle w:val="Body A"/>
        <w:rPr>
          <w:sz w:val="24"/>
          <w:szCs w:val="24"/>
        </w:rPr>
      </w:pPr>
      <w:r>
        <w:rPr>
          <w:rFonts w:cs="Arial Unicode MS" w:eastAsia="Arial Unicode MS"/>
          <w:sz w:val="24"/>
          <w:szCs w:val="24"/>
          <w:rtl w:val="0"/>
          <w:lang w:val="en-US"/>
        </w:rPr>
        <w:t>Ayer, N.W., Tyedmers, P.H., 2009. Assessing alternative aquaculture technologies:life cycle assessment of salmonid culture systems in Canada. J. Clean. Prod. 17(3), 362e373.</w:t>
      </w:r>
    </w:p>
    <w:p>
      <w:pPr>
        <w:pStyle w:val="Body A"/>
        <w:rPr>
          <w:sz w:val="24"/>
          <w:szCs w:val="24"/>
        </w:rPr>
      </w:pPr>
    </w:p>
    <w:p>
      <w:pPr>
        <w:pStyle w:val="Body A"/>
        <w:rPr>
          <w:sz w:val="24"/>
          <w:szCs w:val="24"/>
        </w:rPr>
      </w:pPr>
      <w:r>
        <w:rPr>
          <w:rFonts w:cs="Arial Unicode MS" w:eastAsia="Arial Unicode MS"/>
          <w:sz w:val="24"/>
          <w:szCs w:val="24"/>
          <w:rtl w:val="0"/>
          <w:lang w:val="en-US"/>
        </w:rPr>
        <w:t>Azqueta, D. and Delac</w:t>
      </w:r>
      <w:r>
        <w:rPr>
          <w:rFonts w:cs="Arial Unicode MS" w:eastAsia="Arial Unicode MS" w:hint="default"/>
          <w:sz w:val="24"/>
          <w:szCs w:val="24"/>
          <w:rtl w:val="0"/>
        </w:rPr>
        <w:t>á</w:t>
      </w:r>
      <w:r>
        <w:rPr>
          <w:rFonts w:cs="Arial Unicode MS" w:eastAsia="Arial Unicode MS"/>
          <w:sz w:val="24"/>
          <w:szCs w:val="24"/>
          <w:rtl w:val="0"/>
          <w:lang w:val="en-US"/>
        </w:rPr>
        <w:t>mara, G., 2006. Ethics, economics and environmental management. Ecological Economics, 56(4), pp.524-533.</w:t>
      </w:r>
    </w:p>
    <w:p>
      <w:pPr>
        <w:pStyle w:val="Body A"/>
        <w:rPr>
          <w:sz w:val="24"/>
          <w:szCs w:val="24"/>
        </w:rPr>
      </w:pPr>
    </w:p>
    <w:p>
      <w:pPr>
        <w:pStyle w:val="Body A"/>
        <w:rPr>
          <w:sz w:val="24"/>
          <w:szCs w:val="24"/>
        </w:rPr>
      </w:pPr>
      <w:r>
        <w:rPr>
          <w:rFonts w:cs="Arial Unicode MS" w:eastAsia="Arial Unicode MS"/>
          <w:sz w:val="24"/>
          <w:szCs w:val="24"/>
          <w:rtl w:val="0"/>
          <w:lang w:val="en-US"/>
        </w:rPr>
        <w:t>Baroni, L., Cenci, L., Tettamanti, M. and Berati, M., 2007. Evaluating the environmental impact of various dietary patterns combined with different food production systems. European journal of clinical nutrition, 61(2), pp.279-286.</w:t>
      </w:r>
    </w:p>
    <w:p>
      <w:pPr>
        <w:pStyle w:val="Body A"/>
        <w:rPr>
          <w:sz w:val="24"/>
          <w:szCs w:val="24"/>
        </w:rPr>
      </w:pPr>
    </w:p>
    <w:p>
      <w:pPr>
        <w:pStyle w:val="Body A"/>
        <w:rPr>
          <w:sz w:val="24"/>
          <w:szCs w:val="24"/>
        </w:rPr>
      </w:pPr>
      <w:r>
        <w:rPr>
          <w:rFonts w:cs="Arial Unicode MS" w:eastAsia="Arial Unicode MS"/>
          <w:sz w:val="24"/>
          <w:szCs w:val="24"/>
          <w:rtl w:val="0"/>
          <w:lang w:val="en-US"/>
        </w:rPr>
        <w:t>Beauchemin, K.A., Henry Janzen, H., Little, S.M., McAllister, T.A., McGinn, S.M., 2010.Life cycle assessment of greenhouse gas emissions from beef production in western Canada: a case study. Agric. Syst. 103 (6), 371e379.</w:t>
      </w:r>
    </w:p>
    <w:p>
      <w:pPr>
        <w:pStyle w:val="Body A"/>
        <w:rPr>
          <w:sz w:val="24"/>
          <w:szCs w:val="24"/>
        </w:rPr>
      </w:pPr>
    </w:p>
    <w:p>
      <w:pPr>
        <w:pStyle w:val="Body A"/>
        <w:rPr>
          <w:sz w:val="24"/>
          <w:szCs w:val="24"/>
        </w:rPr>
      </w:pPr>
      <w:r>
        <w:rPr>
          <w:rFonts w:cs="Arial Unicode MS" w:eastAsia="Arial Unicode MS"/>
          <w:sz w:val="24"/>
          <w:szCs w:val="24"/>
          <w:rtl w:val="0"/>
          <w:lang w:val="nl-NL"/>
        </w:rPr>
        <w:t>Bengoa, X., Rossi, V., Humbert, S., Nemecek, T., Lansche, J., Mouron, P., Riedener, E. . (2015).</w:t>
      </w:r>
      <w:r>
        <w:rPr>
          <w:rFonts w:cs="Arial Unicode MS" w:eastAsia="Arial Unicode MS" w:hint="default"/>
          <w:sz w:val="24"/>
          <w:szCs w:val="24"/>
          <w:rtl w:val="0"/>
        </w:rPr>
        <w:t> </w:t>
      </w:r>
      <w:r>
        <w:rPr>
          <w:rFonts w:cs="Arial Unicode MS" w:eastAsia="Arial Unicode MS"/>
          <w:sz w:val="24"/>
          <w:szCs w:val="24"/>
          <w:rtl w:val="0"/>
          <w:lang w:val="en-US"/>
        </w:rPr>
        <w:t>Methodological Guidelines for the Life Cycle Inventory of Agricultural Products.</w:t>
      </w:r>
      <w:r>
        <w:rPr>
          <w:rFonts w:cs="Arial Unicode MS" w:eastAsia="Arial Unicode MS" w:hint="default"/>
          <w:sz w:val="24"/>
          <w:szCs w:val="24"/>
          <w:rtl w:val="0"/>
        </w:rPr>
        <w:t> </w:t>
      </w:r>
      <w:r>
        <w:rPr>
          <w:rFonts w:cs="Arial Unicode MS" w:eastAsia="Arial Unicode MS"/>
          <w:sz w:val="24"/>
          <w:szCs w:val="24"/>
          <w:rtl w:val="0"/>
          <w:lang w:val="en-US"/>
        </w:rPr>
        <w:t>Available: https://quantis-intl.com/wp-content/uploads/2017/02/wfldb_methodologicalguidelines_v3.0.pdf. Last accessed 15.03.2020.</w:t>
      </w:r>
    </w:p>
    <w:p>
      <w:pPr>
        <w:pStyle w:val="Body A"/>
        <w:rPr>
          <w:sz w:val="24"/>
          <w:szCs w:val="24"/>
        </w:rPr>
      </w:pPr>
    </w:p>
    <w:p>
      <w:pPr>
        <w:pStyle w:val="Body A"/>
        <w:rPr>
          <w:sz w:val="24"/>
          <w:szCs w:val="24"/>
        </w:rPr>
      </w:pPr>
      <w:r>
        <w:rPr>
          <w:rFonts w:cs="Arial Unicode MS" w:eastAsia="Arial Unicode MS"/>
          <w:sz w:val="24"/>
          <w:szCs w:val="24"/>
          <w:rtl w:val="0"/>
          <w:lang w:val="en-US"/>
        </w:rPr>
        <w:t>Brown, L.R., Kane, H., 1994. Full House. W.W. Norton, New York, p. 261.</w:t>
      </w:r>
    </w:p>
    <w:p>
      <w:pPr>
        <w:pStyle w:val="Body A"/>
        <w:rPr>
          <w:sz w:val="24"/>
          <w:szCs w:val="24"/>
        </w:rPr>
      </w:pPr>
      <w:r>
        <w:rPr>
          <w:rFonts w:cs="Arial Unicode MS" w:eastAsia="Arial Unicode MS"/>
          <w:sz w:val="24"/>
          <w:szCs w:val="24"/>
          <w:rtl w:val="0"/>
          <w:lang w:val="en-US"/>
        </w:rPr>
        <w:t>Dias, G.M., Ayer, N.W., Khosla, S., Van Acker, R., Young, S.B., Whitney, S. and Hendricks, P., 2017. Life cycle perspectives on the sustainability of Ontario greenhouse tomato production: Benchmarking and improvement opportunities. Journal of Cleaner Production, 140, pp.831-839</w:t>
      </w:r>
    </w:p>
    <w:p>
      <w:pPr>
        <w:pStyle w:val="Body A"/>
        <w:rPr>
          <w:sz w:val="24"/>
          <w:szCs w:val="24"/>
        </w:rPr>
      </w:pPr>
    </w:p>
    <w:p>
      <w:pPr>
        <w:pStyle w:val="Body A"/>
        <w:rPr>
          <w:sz w:val="24"/>
          <w:szCs w:val="24"/>
        </w:rPr>
      </w:pPr>
      <w:r>
        <w:rPr>
          <w:rFonts w:cs="Arial Unicode MS" w:eastAsia="Arial Unicode MS"/>
          <w:sz w:val="24"/>
          <w:szCs w:val="24"/>
          <w:rtl w:val="0"/>
          <w:lang w:val="en-US"/>
        </w:rPr>
        <w:t>Castellani, V. and Sala, S., 2012. Ecological Footprint and Life Cycle Assessment in the sustainability assessment of tourism activities. Ecological indicators, 16, pp.135-147.</w:t>
      </w:r>
    </w:p>
    <w:p>
      <w:pPr>
        <w:pStyle w:val="Body A"/>
        <w:rPr>
          <w:sz w:val="24"/>
          <w:szCs w:val="24"/>
        </w:rPr>
      </w:pPr>
    </w:p>
    <w:p>
      <w:pPr>
        <w:pStyle w:val="Body A"/>
        <w:rPr>
          <w:sz w:val="24"/>
          <w:szCs w:val="24"/>
        </w:rPr>
      </w:pPr>
      <w:r>
        <w:rPr>
          <w:rFonts w:cs="Arial Unicode MS" w:eastAsia="Arial Unicode MS"/>
          <w:sz w:val="24"/>
          <w:szCs w:val="24"/>
          <w:rtl w:val="0"/>
          <w:lang w:val="en-US"/>
        </w:rPr>
        <w:t>Cederberg, C., Meyer, D. and Flysj</w:t>
      </w:r>
      <w:r>
        <w:rPr>
          <w:rFonts w:cs="Arial Unicode MS" w:eastAsia="Arial Unicode MS" w:hint="default"/>
          <w:sz w:val="24"/>
          <w:szCs w:val="24"/>
          <w:rtl w:val="0"/>
          <w:lang w:val="sv-SE"/>
        </w:rPr>
        <w:t>ö</w:t>
      </w:r>
      <w:r>
        <w:rPr>
          <w:rFonts w:cs="Arial Unicode MS" w:eastAsia="Arial Unicode MS"/>
          <w:sz w:val="24"/>
          <w:szCs w:val="24"/>
          <w:rtl w:val="0"/>
          <w:lang w:val="en-US"/>
        </w:rPr>
        <w:t>, A., 2009. Life cycle inventory of greenhouse gas emissions and use of land and energy in Brazilian beef production. SIK Institutet f</w:t>
      </w:r>
      <w:r>
        <w:rPr>
          <w:rFonts w:cs="Arial Unicode MS" w:eastAsia="Arial Unicode MS" w:hint="default"/>
          <w:sz w:val="24"/>
          <w:szCs w:val="24"/>
          <w:rtl w:val="0"/>
          <w:lang w:val="sv-SE"/>
        </w:rPr>
        <w:t>ö</w:t>
      </w:r>
      <w:r>
        <w:rPr>
          <w:rFonts w:cs="Arial Unicode MS" w:eastAsia="Arial Unicode MS"/>
          <w:sz w:val="24"/>
          <w:szCs w:val="24"/>
          <w:rtl w:val="0"/>
          <w:lang w:val="sv-SE"/>
        </w:rPr>
        <w:t>r livsmedel och bioteknik.</w:t>
      </w:r>
    </w:p>
    <w:p>
      <w:pPr>
        <w:pStyle w:val="Body A"/>
        <w:rPr>
          <w:sz w:val="24"/>
          <w:szCs w:val="24"/>
        </w:rPr>
      </w:pPr>
    </w:p>
    <w:p>
      <w:pPr>
        <w:pStyle w:val="Body A"/>
        <w:rPr>
          <w:sz w:val="24"/>
          <w:szCs w:val="24"/>
        </w:rPr>
      </w:pPr>
      <w:r>
        <w:rPr>
          <w:rFonts w:cs="Arial Unicode MS" w:eastAsia="Arial Unicode MS"/>
          <w:sz w:val="24"/>
          <w:szCs w:val="24"/>
          <w:rtl w:val="0"/>
          <w:lang w:val="en-US"/>
        </w:rPr>
        <w:t>Conway, T.M., Dalton, C., Loo, J. and Benakoun, L., 2008. Developing ecological footprint scenarios on university campuses. International Journal of Sustainability in Higher Education.</w:t>
      </w:r>
    </w:p>
    <w:p>
      <w:pPr>
        <w:pStyle w:val="Body A"/>
        <w:rPr>
          <w:sz w:val="24"/>
          <w:szCs w:val="24"/>
        </w:rPr>
      </w:pPr>
    </w:p>
    <w:p>
      <w:pPr>
        <w:pStyle w:val="Body A"/>
        <w:rPr>
          <w:sz w:val="24"/>
          <w:szCs w:val="24"/>
        </w:rPr>
      </w:pPr>
      <w:r>
        <w:rPr>
          <w:rFonts w:cs="Arial Unicode MS" w:eastAsia="Arial Unicode MS"/>
          <w:sz w:val="24"/>
          <w:szCs w:val="24"/>
          <w:rtl w:val="0"/>
          <w:lang w:val="en-US"/>
        </w:rPr>
        <w:t>Dias, G., Kariyapperuma, K., Wiens, M., Kopp, J., Young, S., Ominski, K.,Veeramani, A., 2014. Extended Bale Grazing as a Greenhouse Gas Mitigating Alternative to Traditional Dry Lot Overwintering in Western Canada Beef Production: a Life Cycle Evaluation. Poster presented at the LCA Food 2014, SanFrancisco</w:t>
      </w:r>
    </w:p>
    <w:p>
      <w:pPr>
        <w:pStyle w:val="Body A"/>
        <w:rPr>
          <w:sz w:val="24"/>
          <w:szCs w:val="24"/>
        </w:rPr>
      </w:pPr>
    </w:p>
    <w:p>
      <w:pPr>
        <w:pStyle w:val="Body A"/>
        <w:rPr>
          <w:sz w:val="24"/>
          <w:szCs w:val="24"/>
        </w:rPr>
      </w:pPr>
      <w:r>
        <w:rPr>
          <w:rFonts w:cs="Arial Unicode MS" w:eastAsia="Arial Unicode MS"/>
          <w:sz w:val="24"/>
          <w:szCs w:val="24"/>
          <w:rtl w:val="0"/>
          <w:lang w:val="en-US"/>
        </w:rPr>
        <w:t>Duchin, F., 2005. Sustainable consumption of food - a framework for analyzing scenarios about  changes  in  diets.  J.  Ind.  Ecol.  9:99</w:t>
      </w:r>
      <w:r>
        <w:rPr>
          <w:rFonts w:cs="Arial Unicode MS" w:eastAsia="Arial Unicode MS" w:hint="default"/>
          <w:sz w:val="24"/>
          <w:szCs w:val="24"/>
          <w:rtl w:val="0"/>
        </w:rPr>
        <w:t>–</w:t>
      </w:r>
      <w:r>
        <w:rPr>
          <w:rFonts w:cs="Arial Unicode MS" w:eastAsia="Arial Unicode MS"/>
          <w:sz w:val="24"/>
          <w:szCs w:val="24"/>
          <w:rtl w:val="0"/>
        </w:rPr>
        <w:t>114</w:t>
      </w:r>
    </w:p>
    <w:p>
      <w:pPr>
        <w:pStyle w:val="Body A"/>
        <w:rPr>
          <w:sz w:val="24"/>
          <w:szCs w:val="24"/>
        </w:rPr>
      </w:pPr>
    </w:p>
    <w:p>
      <w:pPr>
        <w:pStyle w:val="Body A"/>
        <w:rPr>
          <w:sz w:val="24"/>
          <w:szCs w:val="24"/>
        </w:rPr>
      </w:pPr>
      <w:r>
        <w:rPr>
          <w:rFonts w:cs="Arial Unicode MS" w:eastAsia="Arial Unicode MS"/>
          <w:sz w:val="24"/>
          <w:szCs w:val="24"/>
          <w:rtl w:val="0"/>
          <w:lang w:val="en-US"/>
        </w:rPr>
        <w:t>EC (2006). Environmental Impact of Products (EIPRO): Analysis of the Life Cycle Environmental Impacts Related to the Total Final Consumption of the EU 25 (2006). European Commission Technical Report EUR 22284 EN.</w:t>
      </w:r>
    </w:p>
    <w:p>
      <w:pPr>
        <w:pStyle w:val="Body A"/>
        <w:rPr>
          <w:sz w:val="24"/>
          <w:szCs w:val="24"/>
        </w:rPr>
      </w:pPr>
    </w:p>
    <w:p>
      <w:pPr>
        <w:pStyle w:val="Body A"/>
        <w:rPr>
          <w:sz w:val="24"/>
          <w:szCs w:val="24"/>
        </w:rPr>
      </w:pPr>
      <w:r>
        <w:rPr>
          <w:rFonts w:cs="Arial Unicode MS" w:eastAsia="Arial Unicode MS"/>
          <w:sz w:val="24"/>
          <w:szCs w:val="24"/>
          <w:rtl w:val="0"/>
          <w:lang w:val="en-US"/>
        </w:rPr>
        <w:t>European Commission. (Not Defined). Emissions monitoring &amp; reporting. Available: https://ec.europa.eu/clima/policies/strategies/progress/monitoring_en#tab-0-0. Last accessed 07.02.2020.</w:t>
      </w:r>
    </w:p>
    <w:p>
      <w:pPr>
        <w:pStyle w:val="Body A"/>
        <w:rPr>
          <w:sz w:val="24"/>
          <w:szCs w:val="24"/>
        </w:rPr>
      </w:pPr>
    </w:p>
    <w:p>
      <w:pPr>
        <w:pStyle w:val="Body A"/>
        <w:rPr>
          <w:sz w:val="24"/>
          <w:szCs w:val="24"/>
        </w:rPr>
      </w:pPr>
      <w:r>
        <w:rPr>
          <w:rFonts w:cs="Arial Unicode MS" w:eastAsia="Arial Unicode MS"/>
          <w:sz w:val="24"/>
          <w:szCs w:val="24"/>
          <w:rtl w:val="0"/>
          <w:lang w:val="en-US"/>
        </w:rPr>
        <w:t>FAO, Food and Agriculture Organization of the United Nations, 1996. Food, Agriculture and Food Security: Developments since the World Food Conference and Prospects. FAO, Rome.</w:t>
      </w:r>
    </w:p>
    <w:p>
      <w:pPr>
        <w:pStyle w:val="Body A"/>
        <w:rPr>
          <w:sz w:val="24"/>
          <w:szCs w:val="24"/>
        </w:rPr>
      </w:pPr>
    </w:p>
    <w:p>
      <w:pPr>
        <w:pStyle w:val="Body A"/>
        <w:rPr>
          <w:sz w:val="24"/>
          <w:szCs w:val="24"/>
        </w:rPr>
      </w:pPr>
      <w:r>
        <w:rPr>
          <w:rFonts w:cs="Arial Unicode MS" w:eastAsia="Arial Unicode MS"/>
          <w:sz w:val="24"/>
          <w:szCs w:val="24"/>
          <w:rtl w:val="0"/>
          <w:lang w:val="en-US"/>
        </w:rPr>
        <w:t xml:space="preserve"> FAO. Definition of sustainable diets. International scientific symposium: biodiversity and sustainable diets united against hunger. Rome (Italy): Food and Agriculture Organization of the United Nations; 2010.</w:t>
      </w:r>
    </w:p>
    <w:p>
      <w:pPr>
        <w:pStyle w:val="Body A"/>
        <w:rPr>
          <w:sz w:val="24"/>
          <w:szCs w:val="24"/>
        </w:rPr>
      </w:pPr>
    </w:p>
    <w:p>
      <w:pPr>
        <w:pStyle w:val="Body A"/>
        <w:rPr>
          <w:sz w:val="24"/>
          <w:szCs w:val="24"/>
        </w:rPr>
      </w:pPr>
      <w:r>
        <w:rPr>
          <w:rFonts w:cs="Arial Unicode MS" w:eastAsia="Arial Unicode MS"/>
          <w:sz w:val="24"/>
          <w:szCs w:val="24"/>
          <w:rtl w:val="0"/>
          <w:lang w:val="en-US"/>
        </w:rPr>
        <w:t>Frey, S. and Barrett, J., 2007, May. Our health, our environment: the ecological footprint of what we eat. In International Ecological Footprint Conference, Cardiff (Vol. 8, No. 10).</w:t>
      </w:r>
    </w:p>
    <w:p>
      <w:pPr>
        <w:pStyle w:val="Body A"/>
        <w:rPr>
          <w:sz w:val="24"/>
          <w:szCs w:val="24"/>
        </w:rPr>
      </w:pPr>
    </w:p>
    <w:p>
      <w:pPr>
        <w:pStyle w:val="Body A"/>
        <w:rPr>
          <w:sz w:val="24"/>
          <w:szCs w:val="24"/>
        </w:rPr>
      </w:pPr>
      <w:r>
        <w:rPr>
          <w:rFonts w:cs="Arial Unicode MS" w:eastAsia="Arial Unicode MS"/>
          <w:sz w:val="24"/>
          <w:szCs w:val="24"/>
          <w:rtl w:val="0"/>
          <w:lang w:val="en-US"/>
        </w:rPr>
        <w:t>Friel, S., Dagour, A., Garnett, T., Lock, K., Chalabi, Z., Roberts, I., Butler, A., Butler, C.D.,Waage, J., McMichael, A.J., Haines, A., 2009. Public health benefits of strategies to reduce greenhouse-gas emissions: food and agriculture. Lancet 374 (9706):2016</w:t>
      </w:r>
      <w:r>
        <w:rPr>
          <w:rFonts w:cs="Arial Unicode MS" w:eastAsia="Arial Unicode MS" w:hint="default"/>
          <w:sz w:val="24"/>
          <w:szCs w:val="24"/>
          <w:rtl w:val="0"/>
        </w:rPr>
        <w:t>–</w:t>
      </w:r>
      <w:r>
        <w:rPr>
          <w:rFonts w:cs="Arial Unicode MS" w:eastAsia="Arial Unicode MS"/>
          <w:sz w:val="24"/>
          <w:szCs w:val="24"/>
          <w:rtl w:val="0"/>
        </w:rPr>
        <w:t>2025.</w:t>
      </w:r>
    </w:p>
    <w:p>
      <w:pPr>
        <w:pStyle w:val="Body A"/>
        <w:rPr>
          <w:sz w:val="24"/>
          <w:szCs w:val="24"/>
        </w:rPr>
      </w:pPr>
    </w:p>
    <w:p>
      <w:pPr>
        <w:pStyle w:val="Body A"/>
        <w:rPr>
          <w:sz w:val="24"/>
          <w:szCs w:val="24"/>
        </w:rPr>
      </w:pPr>
      <w:r>
        <w:rPr>
          <w:rFonts w:cs="Arial Unicode MS" w:eastAsia="Arial Unicode MS"/>
          <w:sz w:val="24"/>
          <w:szCs w:val="24"/>
          <w:rtl w:val="0"/>
          <w:lang w:val="en-US"/>
        </w:rPr>
        <w:t>Galli, A., Kitzes, J., Niccolucci, V., Wackernagel, M., Wada, Y. and Marchettini, N., 2012. Assessing the global environmental consequences of economic growth through the ecological footprint: a focus on China and India. Ecological Indicators, 17, pp.99-107.</w:t>
      </w:r>
    </w:p>
    <w:p>
      <w:pPr>
        <w:pStyle w:val="Body A"/>
        <w:rPr>
          <w:sz w:val="24"/>
          <w:szCs w:val="24"/>
        </w:rPr>
      </w:pPr>
    </w:p>
    <w:p>
      <w:pPr>
        <w:pStyle w:val="Body A"/>
        <w:rPr>
          <w:sz w:val="24"/>
          <w:szCs w:val="24"/>
        </w:rPr>
      </w:pPr>
      <w:r>
        <w:rPr>
          <w:rFonts w:cs="Arial Unicode MS" w:eastAsia="Arial Unicode MS"/>
          <w:sz w:val="24"/>
          <w:szCs w:val="24"/>
          <w:rtl w:val="0"/>
          <w:lang w:val="en-US"/>
        </w:rPr>
        <w:t>Garnett, T., 2011. Where are the best opportunities for reducing greenhouse gas emis-sions in the food system (including the food chain)? Food Policy 37:463</w:t>
      </w:r>
      <w:r>
        <w:rPr>
          <w:rFonts w:cs="Arial Unicode MS" w:eastAsia="Arial Unicode MS" w:hint="default"/>
          <w:sz w:val="24"/>
          <w:szCs w:val="24"/>
          <w:rtl w:val="0"/>
        </w:rPr>
        <w:t>–</w:t>
      </w:r>
      <w:r>
        <w:rPr>
          <w:rFonts w:cs="Arial Unicode MS" w:eastAsia="Arial Unicode MS"/>
          <w:sz w:val="24"/>
          <w:szCs w:val="24"/>
          <w:rtl w:val="0"/>
        </w:rPr>
        <w:t>466.</w:t>
      </w:r>
    </w:p>
    <w:p>
      <w:pPr>
        <w:pStyle w:val="Body A"/>
        <w:rPr>
          <w:sz w:val="24"/>
          <w:szCs w:val="24"/>
        </w:rPr>
      </w:pPr>
    </w:p>
    <w:p>
      <w:pPr>
        <w:pStyle w:val="Body A"/>
        <w:rPr>
          <w:sz w:val="24"/>
          <w:szCs w:val="24"/>
        </w:rPr>
      </w:pPr>
      <w:r>
        <w:rPr>
          <w:rFonts w:cs="Arial Unicode MS" w:eastAsia="Arial Unicode MS"/>
          <w:sz w:val="24"/>
          <w:szCs w:val="24"/>
          <w:rtl w:val="0"/>
          <w:lang w:val="it-IT"/>
        </w:rPr>
        <w:t>Gonz</w:t>
      </w:r>
      <w:r>
        <w:rPr>
          <w:rFonts w:cs="Arial Unicode MS" w:eastAsia="Arial Unicode MS" w:hint="default"/>
          <w:sz w:val="24"/>
          <w:szCs w:val="24"/>
          <w:rtl w:val="0"/>
        </w:rPr>
        <w:t>á</w:t>
      </w:r>
      <w:r>
        <w:rPr>
          <w:rFonts w:cs="Arial Unicode MS" w:eastAsia="Arial Unicode MS"/>
          <w:sz w:val="24"/>
          <w:szCs w:val="24"/>
          <w:rtl w:val="0"/>
        </w:rPr>
        <w:t>lez-Garc</w:t>
      </w:r>
      <w:r>
        <w:rPr>
          <w:rFonts w:cs="Arial Unicode MS" w:eastAsia="Arial Unicode MS" w:hint="default"/>
          <w:sz w:val="24"/>
          <w:szCs w:val="24"/>
          <w:rtl w:val="0"/>
        </w:rPr>
        <w:t>í</w:t>
      </w:r>
      <w:r>
        <w:rPr>
          <w:rFonts w:cs="Arial Unicode MS" w:eastAsia="Arial Unicode MS"/>
          <w:sz w:val="24"/>
          <w:szCs w:val="24"/>
          <w:rtl w:val="0"/>
          <w:lang w:val="en-US"/>
        </w:rPr>
        <w:t>a, S., Esteve-Llorens. X., Moreira, M., Feijoo. G.. (2018). Carbon footprint and nutritional quality of different human dietary choices. Science of the total Environment. 644, 77-94.</w:t>
      </w:r>
    </w:p>
    <w:p>
      <w:pPr>
        <w:pStyle w:val="Body A"/>
        <w:rPr>
          <w:sz w:val="24"/>
          <w:szCs w:val="24"/>
        </w:rPr>
      </w:pPr>
    </w:p>
    <w:p>
      <w:pPr>
        <w:pStyle w:val="Body A"/>
        <w:rPr>
          <w:sz w:val="24"/>
          <w:szCs w:val="24"/>
        </w:rPr>
      </w:pPr>
      <w:r>
        <w:rPr>
          <w:rFonts w:cs="Arial Unicode MS" w:eastAsia="Arial Unicode MS"/>
          <w:sz w:val="24"/>
          <w:szCs w:val="24"/>
          <w:rtl w:val="0"/>
          <w:lang w:val="en-US"/>
        </w:rPr>
        <w:t>Goodland, R., 1997. Environmental sustainability in agriculture: diet matters. Ecol.Econ. 23 (3), 189e200</w:t>
      </w:r>
    </w:p>
    <w:p>
      <w:pPr>
        <w:pStyle w:val="Body A"/>
        <w:rPr>
          <w:sz w:val="24"/>
          <w:szCs w:val="24"/>
        </w:rPr>
      </w:pPr>
    </w:p>
    <w:p>
      <w:pPr>
        <w:pStyle w:val="Body A"/>
        <w:rPr>
          <w:sz w:val="24"/>
          <w:szCs w:val="24"/>
        </w:rPr>
      </w:pPr>
      <w:r>
        <w:rPr>
          <w:rFonts w:cs="Arial Unicode MS" w:eastAsia="Arial Unicode MS"/>
          <w:sz w:val="24"/>
          <w:szCs w:val="24"/>
          <w:rtl w:val="0"/>
          <w:lang w:val="en-US"/>
        </w:rPr>
        <w:t>Gustafson, D., Gutman, A., Leet, W., Drewnowski, A., Fanzo, J., Ingram, J., 2016. Seven foodsystem metric of sustainable nutrition security. Sustain. For. 8 (3):196.</w:t>
      </w:r>
    </w:p>
    <w:p>
      <w:pPr>
        <w:pStyle w:val="Body A"/>
        <w:rPr>
          <w:sz w:val="24"/>
          <w:szCs w:val="24"/>
        </w:rPr>
      </w:pPr>
    </w:p>
    <w:p>
      <w:pPr>
        <w:pStyle w:val="Body A"/>
        <w:rPr>
          <w:sz w:val="24"/>
          <w:szCs w:val="24"/>
        </w:rPr>
      </w:pPr>
      <w:r>
        <w:rPr>
          <w:rFonts w:cs="Arial Unicode MS" w:eastAsia="Arial Unicode MS"/>
          <w:sz w:val="24"/>
          <w:szCs w:val="24"/>
          <w:rtl w:val="0"/>
          <w:lang w:val="sv-SE"/>
        </w:rPr>
        <w:t>Hallstrom, E., Carlsson-Kanyama, A., B</w:t>
      </w:r>
      <w:r>
        <w:rPr>
          <w:rFonts w:cs="Arial Unicode MS" w:eastAsia="Arial Unicode MS" w:hint="default"/>
          <w:sz w:val="24"/>
          <w:szCs w:val="24"/>
          <w:rtl w:val="0"/>
          <w:lang w:val="sv-SE"/>
        </w:rPr>
        <w:t>ö</w:t>
      </w:r>
      <w:r>
        <w:rPr>
          <w:rFonts w:cs="Arial Unicode MS" w:eastAsia="Arial Unicode MS"/>
          <w:sz w:val="24"/>
          <w:szCs w:val="24"/>
          <w:rtl w:val="0"/>
          <w:lang w:val="en-US"/>
        </w:rPr>
        <w:t>rjesson, P.. (2015). Environmental impact of dietary change: a systematic review. Journal of Cleaner Production. 91 (1), 1-11.</w:t>
      </w:r>
    </w:p>
    <w:p>
      <w:pPr>
        <w:pStyle w:val="Body A"/>
        <w:rPr>
          <w:sz w:val="24"/>
          <w:szCs w:val="24"/>
        </w:rPr>
      </w:pPr>
    </w:p>
    <w:p>
      <w:pPr>
        <w:pStyle w:val="Body A"/>
        <w:rPr>
          <w:sz w:val="24"/>
          <w:szCs w:val="24"/>
        </w:rPr>
      </w:pPr>
      <w:r>
        <w:rPr>
          <w:rFonts w:cs="Arial Unicode MS" w:eastAsia="Arial Unicode MS"/>
          <w:sz w:val="24"/>
          <w:szCs w:val="24"/>
          <w:rtl w:val="0"/>
          <w:lang w:val="en-US"/>
        </w:rPr>
        <w:t xml:space="preserve">Harrison, P., Bruinsma, J., de Haen, H., Alexandratos, N., Schmidhuber, J., Bodeker, G.,Ottaviani, M., 2002. World Agriculture: towards 2015/2030. </w:t>
      </w:r>
    </w:p>
    <w:p>
      <w:pPr>
        <w:pStyle w:val="Body A"/>
        <w:rPr>
          <w:sz w:val="24"/>
          <w:szCs w:val="24"/>
        </w:rPr>
      </w:pPr>
    </w:p>
    <w:p>
      <w:pPr>
        <w:pStyle w:val="Body A"/>
        <w:rPr>
          <w:sz w:val="24"/>
          <w:szCs w:val="24"/>
        </w:rPr>
      </w:pPr>
      <w:r>
        <w:rPr>
          <w:rFonts w:cs="Arial Unicode MS" w:eastAsia="Arial Unicode MS"/>
          <w:sz w:val="24"/>
          <w:szCs w:val="24"/>
          <w:rtl w:val="0"/>
          <w:lang w:val="en-US"/>
        </w:rPr>
        <w:t>Heller, M.C., Keoleian, G.A., Willett, W.C., 2013. Toward a life cycle-based, diet-levelframework for food environmental impact and nutritional quality assessment: a crit-ical review. Environ. Sci. Technol. 47:12632</w:t>
      </w:r>
      <w:r>
        <w:rPr>
          <w:rFonts w:cs="Arial Unicode MS" w:eastAsia="Arial Unicode MS" w:hint="default"/>
          <w:sz w:val="24"/>
          <w:szCs w:val="24"/>
          <w:rtl w:val="0"/>
        </w:rPr>
        <w:t>–</w:t>
      </w:r>
      <w:r>
        <w:rPr>
          <w:rFonts w:cs="Arial Unicode MS" w:eastAsia="Arial Unicode MS"/>
          <w:sz w:val="24"/>
          <w:szCs w:val="24"/>
          <w:rtl w:val="0"/>
        </w:rPr>
        <w:t>12647</w:t>
      </w:r>
    </w:p>
    <w:p>
      <w:pPr>
        <w:pStyle w:val="Body A"/>
        <w:rPr>
          <w:sz w:val="24"/>
          <w:szCs w:val="24"/>
        </w:rPr>
      </w:pPr>
    </w:p>
    <w:p>
      <w:pPr>
        <w:pStyle w:val="Body A"/>
        <w:rPr>
          <w:sz w:val="24"/>
          <w:szCs w:val="24"/>
        </w:rPr>
      </w:pPr>
      <w:r>
        <w:rPr>
          <w:rFonts w:cs="Arial Unicode MS" w:eastAsia="Arial Unicode MS"/>
          <w:sz w:val="24"/>
          <w:szCs w:val="24"/>
          <w:rtl w:val="0"/>
          <w:lang w:val="en-US"/>
        </w:rPr>
        <w:t>Hertwich, E.G., 2005. Life cycle approaches to sustainable consumption: a critical review. Environmental science &amp; technology, 39(13), pp.4673-4684.</w:t>
      </w:r>
    </w:p>
    <w:p>
      <w:pPr>
        <w:pStyle w:val="Body A"/>
        <w:rPr>
          <w:sz w:val="24"/>
          <w:szCs w:val="24"/>
        </w:rPr>
      </w:pPr>
    </w:p>
    <w:p>
      <w:pPr>
        <w:pStyle w:val="Body A"/>
        <w:rPr>
          <w:sz w:val="24"/>
          <w:szCs w:val="24"/>
        </w:rPr>
      </w:pPr>
      <w:r>
        <w:rPr>
          <w:rFonts w:cs="Arial Unicode MS" w:eastAsia="Arial Unicode MS"/>
          <w:sz w:val="24"/>
          <w:szCs w:val="24"/>
          <w:rtl w:val="0"/>
          <w:lang w:val="pt-PT"/>
        </w:rPr>
        <w:t xml:space="preserve">Herva, M., Franco, A., Ferreiro, S., </w:t>
      </w:r>
      <w:r>
        <w:rPr>
          <w:rFonts w:cs="Arial Unicode MS" w:eastAsia="Arial Unicode MS" w:hint="default"/>
          <w:sz w:val="24"/>
          <w:szCs w:val="24"/>
          <w:rtl w:val="0"/>
        </w:rPr>
        <w:t>Á</w:t>
      </w:r>
      <w:r>
        <w:rPr>
          <w:rFonts w:cs="Arial Unicode MS" w:eastAsia="Arial Unicode MS"/>
          <w:sz w:val="24"/>
          <w:szCs w:val="24"/>
          <w:rtl w:val="0"/>
          <w:lang w:val="en-US"/>
        </w:rPr>
        <w:t>lvarez, A. and Roca, E., 2008. An approach for the application of the ecological footprint as environmental indicator in the textile sector.</w:t>
      </w:r>
      <w:r>
        <w:rPr>
          <w:rFonts w:cs="Arial Unicode MS" w:eastAsia="Arial Unicode MS" w:hint="default"/>
          <w:sz w:val="24"/>
          <w:szCs w:val="24"/>
          <w:rtl w:val="0"/>
        </w:rPr>
        <w:t> </w:t>
      </w:r>
      <w:r>
        <w:rPr>
          <w:rFonts w:cs="Arial Unicode MS" w:eastAsia="Arial Unicode MS"/>
          <w:sz w:val="24"/>
          <w:szCs w:val="24"/>
          <w:rtl w:val="0"/>
          <w:lang w:val="en-US"/>
        </w:rPr>
        <w:t>Journal of Hazardous Materials,</w:t>
      </w:r>
      <w:r>
        <w:rPr>
          <w:rFonts w:cs="Arial Unicode MS" w:eastAsia="Arial Unicode MS" w:hint="default"/>
          <w:sz w:val="24"/>
          <w:szCs w:val="24"/>
          <w:rtl w:val="0"/>
        </w:rPr>
        <w:t> </w:t>
      </w:r>
      <w:r>
        <w:rPr>
          <w:rFonts w:cs="Arial Unicode MS" w:eastAsia="Arial Unicode MS"/>
          <w:sz w:val="24"/>
          <w:szCs w:val="24"/>
          <w:rtl w:val="0"/>
        </w:rPr>
        <w:t>156(1-3), pp.478-487.</w:t>
      </w:r>
    </w:p>
    <w:p>
      <w:pPr>
        <w:pStyle w:val="Body A"/>
        <w:rPr>
          <w:sz w:val="24"/>
          <w:szCs w:val="24"/>
        </w:rPr>
      </w:pPr>
    </w:p>
    <w:p>
      <w:pPr>
        <w:pStyle w:val="Body A"/>
        <w:rPr>
          <w:sz w:val="24"/>
          <w:szCs w:val="24"/>
        </w:rPr>
      </w:pPr>
      <w:r>
        <w:rPr>
          <w:rFonts w:cs="Arial Unicode MS" w:eastAsia="Arial Unicode MS"/>
          <w:sz w:val="24"/>
          <w:szCs w:val="24"/>
          <w:rtl w:val="0"/>
          <w:lang w:val="en-US"/>
        </w:rPr>
        <w:t xml:space="preserve">ISO (2006a). ISO 14040 International Standard. In: Environmental management </w:t>
      </w:r>
      <w:r>
        <w:rPr>
          <w:rFonts w:cs="Arial Unicode MS" w:eastAsia="Arial Unicode MS" w:hint="default"/>
          <w:sz w:val="24"/>
          <w:szCs w:val="24"/>
          <w:rtl w:val="0"/>
        </w:rPr>
        <w:t xml:space="preserve">– </w:t>
      </w:r>
      <w:r>
        <w:rPr>
          <w:rFonts w:cs="Arial Unicode MS" w:eastAsia="Arial Unicode MS"/>
          <w:sz w:val="24"/>
          <w:szCs w:val="24"/>
          <w:rtl w:val="0"/>
          <w:lang w:val="en-US"/>
        </w:rPr>
        <w:t xml:space="preserve">Life cycle assessment </w:t>
      </w:r>
      <w:r>
        <w:rPr>
          <w:rFonts w:cs="Arial Unicode MS" w:eastAsia="Arial Unicode MS" w:hint="default"/>
          <w:sz w:val="24"/>
          <w:szCs w:val="24"/>
          <w:rtl w:val="0"/>
        </w:rPr>
        <w:t xml:space="preserve">– </w:t>
      </w:r>
      <w:r>
        <w:rPr>
          <w:rFonts w:cs="Arial Unicode MS" w:eastAsia="Arial Unicode MS"/>
          <w:sz w:val="24"/>
          <w:szCs w:val="24"/>
          <w:rtl w:val="0"/>
          <w:lang w:val="en-US"/>
        </w:rPr>
        <w:t>Principles and framework. International Organization for Standardization, Geneva.</w:t>
      </w:r>
    </w:p>
    <w:p>
      <w:pPr>
        <w:pStyle w:val="Body A"/>
        <w:rPr>
          <w:sz w:val="24"/>
          <w:szCs w:val="24"/>
        </w:rPr>
      </w:pPr>
    </w:p>
    <w:p>
      <w:pPr>
        <w:pStyle w:val="Body A"/>
        <w:rPr>
          <w:sz w:val="24"/>
          <w:szCs w:val="24"/>
        </w:rPr>
      </w:pPr>
      <w:r>
        <w:rPr>
          <w:rFonts w:cs="Arial Unicode MS" w:eastAsia="Arial Unicode MS"/>
          <w:sz w:val="24"/>
          <w:szCs w:val="24"/>
          <w:rtl w:val="0"/>
          <w:lang w:val="en-US"/>
        </w:rPr>
        <w:t xml:space="preserve">ISO (2006b). ISO 14040 International Standard. In: Environmental management </w:t>
      </w:r>
      <w:r>
        <w:rPr>
          <w:rFonts w:cs="Arial Unicode MS" w:eastAsia="Arial Unicode MS" w:hint="default"/>
          <w:sz w:val="24"/>
          <w:szCs w:val="24"/>
          <w:rtl w:val="0"/>
        </w:rPr>
        <w:t xml:space="preserve">– </w:t>
      </w:r>
      <w:r>
        <w:rPr>
          <w:rFonts w:cs="Arial Unicode MS" w:eastAsia="Arial Unicode MS"/>
          <w:sz w:val="24"/>
          <w:szCs w:val="24"/>
          <w:rtl w:val="0"/>
          <w:lang w:val="en-US"/>
        </w:rPr>
        <w:t xml:space="preserve">Lifecycle assessment </w:t>
      </w:r>
      <w:r>
        <w:rPr>
          <w:rFonts w:cs="Arial Unicode MS" w:eastAsia="Arial Unicode MS" w:hint="default"/>
          <w:sz w:val="24"/>
          <w:szCs w:val="24"/>
          <w:rtl w:val="0"/>
        </w:rPr>
        <w:t xml:space="preserve">– </w:t>
      </w:r>
      <w:r>
        <w:rPr>
          <w:rFonts w:cs="Arial Unicode MS" w:eastAsia="Arial Unicode MS"/>
          <w:sz w:val="24"/>
          <w:szCs w:val="24"/>
          <w:rtl w:val="0"/>
          <w:lang w:val="en-US"/>
        </w:rPr>
        <w:t>Requirements and guidelines. International Organization for Standardization, Geneva.</w:t>
      </w:r>
    </w:p>
    <w:p>
      <w:pPr>
        <w:pStyle w:val="Body A"/>
        <w:rPr>
          <w:sz w:val="24"/>
          <w:szCs w:val="24"/>
        </w:rPr>
      </w:pPr>
    </w:p>
    <w:p>
      <w:pPr>
        <w:pStyle w:val="Body A"/>
        <w:rPr>
          <w:sz w:val="24"/>
          <w:szCs w:val="24"/>
        </w:rPr>
      </w:pPr>
      <w:r>
        <w:rPr>
          <w:rFonts w:cs="Arial Unicode MS" w:eastAsia="Arial Unicode MS"/>
          <w:sz w:val="24"/>
          <w:szCs w:val="24"/>
          <w:rtl w:val="0"/>
          <w:lang w:val="en-US"/>
        </w:rPr>
        <w:t>Joyce, A., Dixon, S., Comfort. J., Hallett. J. (2012). Reducing the Environmental Impact of Dietary Choice: Perspectives from a Behavioural and Social Change Approach. Journal of Environmental and Public Health. 2012, 1-7.</w:t>
      </w:r>
    </w:p>
    <w:p>
      <w:pPr>
        <w:pStyle w:val="Body A"/>
        <w:rPr>
          <w:sz w:val="24"/>
          <w:szCs w:val="24"/>
        </w:rPr>
      </w:pPr>
    </w:p>
    <w:p>
      <w:pPr>
        <w:pStyle w:val="Body A"/>
        <w:rPr>
          <w:sz w:val="24"/>
          <w:szCs w:val="24"/>
        </w:rPr>
      </w:pPr>
      <w:r>
        <w:rPr>
          <w:rFonts w:cs="Arial Unicode MS" w:eastAsia="Arial Unicode MS"/>
          <w:sz w:val="24"/>
          <w:szCs w:val="24"/>
          <w:rtl w:val="0"/>
          <w:lang w:val="en-US"/>
        </w:rPr>
        <w:t>Keyes, S., Tyedmers, P., Beazley, K., 2015. Evaluating the environmental impacts ofconventional and organic apple production in Nova Scotia, Canada, through lifecycle  assessment.  J.  Clean.  Prod. 104,  40e51</w:t>
      </w:r>
    </w:p>
    <w:p>
      <w:pPr>
        <w:pStyle w:val="Body A"/>
        <w:rPr>
          <w:sz w:val="24"/>
          <w:szCs w:val="24"/>
        </w:rPr>
      </w:pPr>
    </w:p>
    <w:p>
      <w:pPr>
        <w:pStyle w:val="Body A"/>
        <w:rPr>
          <w:sz w:val="24"/>
          <w:szCs w:val="24"/>
        </w:rPr>
      </w:pPr>
      <w:r>
        <w:rPr>
          <w:rFonts w:cs="Arial Unicode MS" w:eastAsia="Arial Unicode MS"/>
          <w:sz w:val="24"/>
          <w:szCs w:val="24"/>
          <w:rtl w:val="0"/>
          <w:lang w:val="en-US"/>
        </w:rPr>
        <w:t>Kim, B. and Neff, R., 2009. Measurement and communication of greenhouse gas emissions from US food consumption via carbon calculators. Ecological Economics, 69(1), pp.186-196.</w:t>
      </w:r>
    </w:p>
    <w:p>
      <w:pPr>
        <w:pStyle w:val="Body A"/>
        <w:rPr>
          <w:sz w:val="24"/>
          <w:szCs w:val="24"/>
        </w:rPr>
      </w:pPr>
    </w:p>
    <w:p>
      <w:pPr>
        <w:pStyle w:val="Body A"/>
        <w:rPr>
          <w:sz w:val="24"/>
          <w:szCs w:val="24"/>
        </w:rPr>
      </w:pPr>
      <w:r>
        <w:rPr>
          <w:rFonts w:cs="Arial Unicode MS" w:eastAsia="Arial Unicode MS"/>
          <w:sz w:val="24"/>
          <w:szCs w:val="24"/>
          <w:rtl w:val="0"/>
          <w:lang w:val="en-US"/>
        </w:rPr>
        <w:t>Kruse, S.A. (2010). Inclusion of social aspects in Life Cycle Assessment of Food. In: Sonesson U, Berlin J, Ziegler F (ed) Environmental assessment and management in the food industry, Woodhead Publishing Limited, Cambridge.</w:t>
      </w:r>
    </w:p>
    <w:p>
      <w:pPr>
        <w:pStyle w:val="Body A"/>
        <w:rPr>
          <w:sz w:val="24"/>
          <w:szCs w:val="24"/>
        </w:rPr>
      </w:pPr>
    </w:p>
    <w:p>
      <w:pPr>
        <w:pStyle w:val="Body A"/>
        <w:rPr>
          <w:sz w:val="24"/>
          <w:szCs w:val="24"/>
        </w:rPr>
      </w:pPr>
      <w:r>
        <w:rPr>
          <w:rFonts w:cs="Arial Unicode MS" w:eastAsia="Arial Unicode MS"/>
          <w:sz w:val="24"/>
          <w:szCs w:val="24"/>
          <w:rtl w:val="0"/>
          <w:lang w:val="en-US"/>
        </w:rPr>
        <w:t>Leaver, J.D., 2011. Global food supply: a challenge for sustainable agriculture. Nutrition Bulletin, 36(4), pp.416-421.</w:t>
      </w:r>
    </w:p>
    <w:p>
      <w:pPr>
        <w:pStyle w:val="Body A"/>
        <w:rPr>
          <w:sz w:val="24"/>
          <w:szCs w:val="24"/>
        </w:rPr>
      </w:pPr>
    </w:p>
    <w:p>
      <w:pPr>
        <w:pStyle w:val="Body A"/>
        <w:rPr>
          <w:sz w:val="24"/>
          <w:szCs w:val="24"/>
        </w:rPr>
      </w:pPr>
      <w:r>
        <w:rPr>
          <w:rFonts w:cs="Arial Unicode MS" w:eastAsia="Arial Unicode MS"/>
          <w:sz w:val="24"/>
          <w:szCs w:val="24"/>
          <w:rtl w:val="0"/>
          <w:lang w:val="pt-PT"/>
        </w:rPr>
        <w:t>Lo-Iacono-Ferreira, V.G., Torregrosa-L</w:t>
      </w:r>
      <w:r>
        <w:rPr>
          <w:rFonts w:cs="Arial Unicode MS" w:eastAsia="Arial Unicode MS" w:hint="default"/>
          <w:sz w:val="24"/>
          <w:szCs w:val="24"/>
          <w:rtl w:val="0"/>
          <w:lang w:val="es-ES_tradnl"/>
        </w:rPr>
        <w:t>ó</w:t>
      </w:r>
      <w:r>
        <w:rPr>
          <w:rFonts w:cs="Arial Unicode MS" w:eastAsia="Arial Unicode MS"/>
          <w:sz w:val="24"/>
          <w:szCs w:val="24"/>
          <w:rtl w:val="0"/>
          <w:lang w:val="en-US"/>
        </w:rPr>
        <w:t>pez, J.I. and Capuz-Rizo, S.F., 2016. Use of Life Cycle Assessment methodology in the analysis of Ecological Footprint Assessment results to evaluate the environmental performance of universities.</w:t>
      </w:r>
      <w:r>
        <w:rPr>
          <w:rFonts w:cs="Arial Unicode MS" w:eastAsia="Arial Unicode MS" w:hint="default"/>
          <w:sz w:val="24"/>
          <w:szCs w:val="24"/>
          <w:rtl w:val="0"/>
        </w:rPr>
        <w:t> </w:t>
      </w:r>
      <w:r>
        <w:rPr>
          <w:rFonts w:cs="Arial Unicode MS" w:eastAsia="Arial Unicode MS"/>
          <w:sz w:val="24"/>
          <w:szCs w:val="24"/>
          <w:rtl w:val="0"/>
          <w:lang w:val="en-US"/>
        </w:rPr>
        <w:t>Journal of Cleaner Production,</w:t>
      </w:r>
      <w:r>
        <w:rPr>
          <w:rFonts w:cs="Arial Unicode MS" w:eastAsia="Arial Unicode MS" w:hint="default"/>
          <w:sz w:val="24"/>
          <w:szCs w:val="24"/>
          <w:rtl w:val="0"/>
        </w:rPr>
        <w:t> </w:t>
      </w:r>
      <w:r>
        <w:rPr>
          <w:rFonts w:cs="Arial Unicode MS" w:eastAsia="Arial Unicode MS"/>
          <w:sz w:val="24"/>
          <w:szCs w:val="24"/>
          <w:rtl w:val="0"/>
        </w:rPr>
        <w:t>133, pp.43-53.</w:t>
      </w:r>
    </w:p>
    <w:p>
      <w:pPr>
        <w:pStyle w:val="Body A"/>
        <w:rPr>
          <w:sz w:val="24"/>
          <w:szCs w:val="24"/>
        </w:rPr>
      </w:pPr>
    </w:p>
    <w:p>
      <w:pPr>
        <w:pStyle w:val="Body A"/>
        <w:rPr>
          <w:sz w:val="24"/>
          <w:szCs w:val="24"/>
        </w:rPr>
      </w:pPr>
      <w:r>
        <w:rPr>
          <w:rFonts w:cs="Arial Unicode MS" w:eastAsia="Arial Unicode MS"/>
          <w:sz w:val="24"/>
          <w:szCs w:val="24"/>
          <w:rtl w:val="0"/>
          <w:lang w:val="en-US"/>
        </w:rPr>
        <w:t>Macdiarmid, J.I., 2013. Is a healthy diet an environmentally sustainable diet? Proc.Nutr. Soc. 72, 13e20.</w:t>
      </w:r>
    </w:p>
    <w:p>
      <w:pPr>
        <w:pStyle w:val="Body A"/>
        <w:rPr>
          <w:sz w:val="24"/>
          <w:szCs w:val="24"/>
        </w:rPr>
      </w:pPr>
    </w:p>
    <w:p>
      <w:pPr>
        <w:pStyle w:val="Body A"/>
        <w:rPr>
          <w:sz w:val="24"/>
          <w:szCs w:val="24"/>
        </w:rPr>
      </w:pPr>
      <w:r>
        <w:rPr>
          <w:rFonts w:cs="Arial Unicode MS" w:eastAsia="Arial Unicode MS"/>
          <w:sz w:val="24"/>
          <w:szCs w:val="24"/>
          <w:rtl w:val="0"/>
          <w:lang w:val="en-US"/>
        </w:rPr>
        <w:t>Macdiarmid, J.I., Kyle, J., Horgan, G.W., Loe, J.E., Fyfe, C., Johnstone, A. and McNeill, G., 2011. Livewell: a balance of healthy and sustainable food choices.</w:t>
      </w:r>
    </w:p>
    <w:p>
      <w:pPr>
        <w:pStyle w:val="Body A"/>
        <w:rPr>
          <w:sz w:val="24"/>
          <w:szCs w:val="24"/>
        </w:rPr>
      </w:pPr>
    </w:p>
    <w:p>
      <w:pPr>
        <w:pStyle w:val="Body A"/>
        <w:rPr>
          <w:sz w:val="24"/>
          <w:szCs w:val="24"/>
        </w:rPr>
      </w:pPr>
      <w:r>
        <w:rPr>
          <w:rFonts w:cs="Arial Unicode MS" w:eastAsia="Arial Unicode MS"/>
          <w:sz w:val="24"/>
          <w:szCs w:val="24"/>
          <w:rtl w:val="0"/>
          <w:lang w:val="en-US"/>
        </w:rPr>
        <w:t>MacRae, R., Cuddeford, V., Young, S.B. and Matsubuchi-Shaw, M., 2013. The food system and climate change: An exploration of emerging strategies to reduce GHG emissions in Canada. Agroecology and Sustainable Food Systems, 37(8), pp.933-963.</w:t>
      </w:r>
    </w:p>
    <w:p>
      <w:pPr>
        <w:pStyle w:val="Body A"/>
        <w:rPr>
          <w:sz w:val="24"/>
          <w:szCs w:val="24"/>
        </w:rPr>
      </w:pPr>
    </w:p>
    <w:p>
      <w:pPr>
        <w:pStyle w:val="Body A"/>
        <w:rPr>
          <w:sz w:val="24"/>
          <w:szCs w:val="24"/>
        </w:rPr>
      </w:pPr>
      <w:r>
        <w:rPr>
          <w:rFonts w:cs="Arial Unicode MS" w:eastAsia="Arial Unicode MS"/>
          <w:sz w:val="24"/>
          <w:szCs w:val="24"/>
          <w:rtl w:val="0"/>
          <w:lang w:val="en-US"/>
        </w:rPr>
        <w:t>Marlow, H.J., Hayes, W.K., Soret, S., Carter, R.L., Schwab, E.R. and Sabate, J., 2009. Diet and the environment: does what you eat matter?. The American journal of clinical nutrition, 89(5), pp.1699S-1703S.</w:t>
      </w:r>
    </w:p>
    <w:p>
      <w:pPr>
        <w:pStyle w:val="Body A"/>
        <w:rPr>
          <w:sz w:val="24"/>
          <w:szCs w:val="24"/>
        </w:rPr>
      </w:pPr>
    </w:p>
    <w:p>
      <w:pPr>
        <w:pStyle w:val="Body A"/>
        <w:rPr>
          <w:sz w:val="24"/>
          <w:szCs w:val="24"/>
        </w:rPr>
      </w:pPr>
      <w:r>
        <w:rPr>
          <w:rFonts w:cs="Arial Unicode MS" w:eastAsia="Arial Unicode MS"/>
          <w:sz w:val="24"/>
          <w:szCs w:val="24"/>
          <w:rtl w:val="0"/>
          <w:lang w:val="en-US"/>
        </w:rPr>
        <w:t>McGeough,  E.J.,  Little,  S.M.,  Janzen,  H.H.,  McAllister,  T.A.,  McGinn,  S.M.,Beauchemin, K.A., 2012. Life-cycle assessment of greenhouse gas emissionsf rom dairy production in Eastern Canada: a case study. J. Dairy Sci. 95 (9),5164e5175.</w:t>
      </w:r>
    </w:p>
    <w:p>
      <w:pPr>
        <w:pStyle w:val="Body A"/>
        <w:rPr>
          <w:sz w:val="24"/>
          <w:szCs w:val="24"/>
        </w:rPr>
      </w:pPr>
    </w:p>
    <w:p>
      <w:pPr>
        <w:pStyle w:val="Body A"/>
        <w:rPr>
          <w:sz w:val="24"/>
          <w:szCs w:val="24"/>
        </w:rPr>
      </w:pPr>
      <w:r>
        <w:rPr>
          <w:rFonts w:cs="Arial Unicode MS" w:eastAsia="Arial Unicode MS"/>
          <w:sz w:val="24"/>
          <w:szCs w:val="24"/>
          <w:rtl w:val="0"/>
          <w:lang w:val="en-US"/>
        </w:rPr>
        <w:t>Meier, T., Christen, O., 2013. Environmental impacts of dietary recommendations and dietary styles: Germany as an example. Environ. Sci. Technol. 47:877</w:t>
      </w:r>
      <w:r>
        <w:rPr>
          <w:rFonts w:cs="Arial Unicode MS" w:eastAsia="Arial Unicode MS" w:hint="default"/>
          <w:sz w:val="24"/>
          <w:szCs w:val="24"/>
          <w:rtl w:val="0"/>
        </w:rPr>
        <w:t>–</w:t>
      </w:r>
      <w:r>
        <w:rPr>
          <w:rFonts w:cs="Arial Unicode MS" w:eastAsia="Arial Unicode MS"/>
          <w:sz w:val="24"/>
          <w:szCs w:val="24"/>
          <w:rtl w:val="0"/>
        </w:rPr>
        <w:t>888</w:t>
      </w:r>
    </w:p>
    <w:p>
      <w:pPr>
        <w:pStyle w:val="Body A"/>
        <w:rPr>
          <w:sz w:val="24"/>
          <w:szCs w:val="24"/>
        </w:rPr>
      </w:pPr>
    </w:p>
    <w:p>
      <w:pPr>
        <w:pStyle w:val="Body A"/>
        <w:rPr>
          <w:sz w:val="24"/>
          <w:szCs w:val="24"/>
        </w:rPr>
      </w:pPr>
      <w:r>
        <w:rPr>
          <w:rFonts w:cs="Arial Unicode MS" w:eastAsia="Arial Unicode MS"/>
          <w:sz w:val="24"/>
          <w:szCs w:val="24"/>
          <w:rtl w:val="0"/>
          <w:lang w:val="en-US"/>
        </w:rPr>
        <w:t>Notarnicola, B., Salomone, R., Petti, L., Renzulli, P.A., Roma, R. and Cerutti, A.K. eds., 2015. Life cycle assessment in the agri-food sector: case studies, methodological issues and best practices. Springer.</w:t>
      </w:r>
    </w:p>
    <w:p>
      <w:pPr>
        <w:pStyle w:val="Body A"/>
        <w:rPr>
          <w:sz w:val="24"/>
          <w:szCs w:val="24"/>
        </w:rPr>
      </w:pPr>
    </w:p>
    <w:p>
      <w:pPr>
        <w:pStyle w:val="Body A"/>
        <w:rPr>
          <w:sz w:val="24"/>
          <w:szCs w:val="24"/>
        </w:rPr>
      </w:pPr>
      <w:r>
        <w:rPr>
          <w:rFonts w:cs="Arial Unicode MS" w:eastAsia="Arial Unicode MS"/>
          <w:sz w:val="24"/>
          <w:szCs w:val="24"/>
          <w:rtl w:val="0"/>
          <w:lang w:val="en-US"/>
        </w:rPr>
        <w:t>Perignon, M., Vieux, F., Soler, L.G., Masset, G., Darmon, N., 2017. Improving diet sustain-ability through evolution of food choices: review of epidemiological studies on theenvironmental impact of diets. Nutr. Rev. 75 (1):2</w:t>
      </w:r>
      <w:r>
        <w:rPr>
          <w:rFonts w:cs="Arial Unicode MS" w:eastAsia="Arial Unicode MS" w:hint="default"/>
          <w:sz w:val="24"/>
          <w:szCs w:val="24"/>
          <w:rtl w:val="0"/>
        </w:rPr>
        <w:t>–</w:t>
      </w:r>
      <w:r>
        <w:rPr>
          <w:rFonts w:cs="Arial Unicode MS" w:eastAsia="Arial Unicode MS"/>
          <w:sz w:val="24"/>
          <w:szCs w:val="24"/>
          <w:rtl w:val="0"/>
        </w:rPr>
        <w:t>17</w:t>
      </w:r>
    </w:p>
    <w:p>
      <w:pPr>
        <w:pStyle w:val="Body A"/>
        <w:rPr>
          <w:sz w:val="24"/>
          <w:szCs w:val="24"/>
        </w:rPr>
      </w:pPr>
    </w:p>
    <w:p>
      <w:pPr>
        <w:pStyle w:val="Body A"/>
        <w:rPr>
          <w:sz w:val="24"/>
          <w:szCs w:val="24"/>
        </w:rPr>
      </w:pPr>
      <w:r>
        <w:rPr>
          <w:rFonts w:cs="Arial Unicode MS" w:eastAsia="Arial Unicode MS"/>
          <w:sz w:val="24"/>
          <w:szCs w:val="24"/>
          <w:rtl w:val="0"/>
          <w:lang w:val="en-US"/>
        </w:rPr>
        <w:t>Pimentel, D. and Pimentel, M., 2003. Sustainability of meat-based and plant-based diets and the environment. The American journal of clinical nutrition, 78(3), pp.660S-663S.</w:t>
      </w:r>
    </w:p>
    <w:p>
      <w:pPr>
        <w:pStyle w:val="Body A"/>
        <w:rPr>
          <w:sz w:val="24"/>
          <w:szCs w:val="24"/>
        </w:rPr>
      </w:pPr>
    </w:p>
    <w:p>
      <w:pPr>
        <w:pStyle w:val="Body A"/>
        <w:rPr>
          <w:sz w:val="24"/>
          <w:szCs w:val="24"/>
        </w:rPr>
      </w:pPr>
      <w:r>
        <w:rPr>
          <w:rFonts w:cs="Arial Unicode MS" w:eastAsia="Arial Unicode MS"/>
          <w:sz w:val="24"/>
          <w:szCs w:val="24"/>
          <w:rtl w:val="0"/>
          <w:lang w:val="en-US"/>
        </w:rPr>
        <w:t>Rees, W. and Wackernagel, M., 2008. Urban ecological footprints: why cities cannot be sustainable</w:t>
      </w:r>
      <w:r>
        <w:rPr>
          <w:rFonts w:cs="Arial Unicode MS" w:eastAsia="Arial Unicode MS" w:hint="default"/>
          <w:sz w:val="24"/>
          <w:szCs w:val="24"/>
          <w:rtl w:val="0"/>
          <w:lang w:val="en-US"/>
        </w:rPr>
        <w:t>—</w:t>
      </w:r>
      <w:r>
        <w:rPr>
          <w:rFonts w:cs="Arial Unicode MS" w:eastAsia="Arial Unicode MS"/>
          <w:sz w:val="24"/>
          <w:szCs w:val="24"/>
          <w:rtl w:val="0"/>
          <w:lang w:val="en-US"/>
        </w:rPr>
        <w:t>and why they are a key to sustainability. In</w:t>
      </w:r>
      <w:r>
        <w:rPr>
          <w:rFonts w:cs="Arial Unicode MS" w:eastAsia="Arial Unicode MS" w:hint="default"/>
          <w:sz w:val="24"/>
          <w:szCs w:val="24"/>
          <w:rtl w:val="0"/>
        </w:rPr>
        <w:t> </w:t>
      </w:r>
      <w:r>
        <w:rPr>
          <w:rFonts w:cs="Arial Unicode MS" w:eastAsia="Arial Unicode MS"/>
          <w:sz w:val="24"/>
          <w:szCs w:val="24"/>
          <w:rtl w:val="0"/>
        </w:rPr>
        <w:t>Urban Ecology</w:t>
      </w:r>
      <w:r>
        <w:rPr>
          <w:rFonts w:cs="Arial Unicode MS" w:eastAsia="Arial Unicode MS" w:hint="default"/>
          <w:sz w:val="24"/>
          <w:szCs w:val="24"/>
          <w:rtl w:val="0"/>
        </w:rPr>
        <w:t> </w:t>
      </w:r>
      <w:r>
        <w:rPr>
          <w:rFonts w:cs="Arial Unicode MS" w:eastAsia="Arial Unicode MS"/>
          <w:sz w:val="24"/>
          <w:szCs w:val="24"/>
          <w:rtl w:val="0"/>
          <w:lang w:val="en-US"/>
        </w:rPr>
        <w:t>(pp. 537-555). Springer, Boston, MA.</w:t>
      </w:r>
    </w:p>
    <w:p>
      <w:pPr>
        <w:pStyle w:val="Body A"/>
        <w:rPr>
          <w:sz w:val="24"/>
          <w:szCs w:val="24"/>
        </w:rPr>
      </w:pPr>
    </w:p>
    <w:p>
      <w:pPr>
        <w:pStyle w:val="Body A"/>
        <w:rPr>
          <w:sz w:val="24"/>
          <w:szCs w:val="24"/>
        </w:rPr>
      </w:pPr>
      <w:r>
        <w:rPr>
          <w:rFonts w:cs="Arial Unicode MS" w:eastAsia="Arial Unicode MS"/>
          <w:sz w:val="24"/>
          <w:szCs w:val="24"/>
          <w:rtl w:val="0"/>
          <w:lang w:val="en-US"/>
        </w:rPr>
        <w:t>Reijnders, L. and Soret, S., 2003. Quantification of the environmental impact of different dietary protein choices. The American journal of clinical nutrition, 78(3), pp.664S-668S.</w:t>
      </w:r>
    </w:p>
    <w:p>
      <w:pPr>
        <w:pStyle w:val="Body A"/>
        <w:rPr>
          <w:sz w:val="24"/>
          <w:szCs w:val="24"/>
        </w:rPr>
      </w:pPr>
    </w:p>
    <w:p>
      <w:pPr>
        <w:pStyle w:val="Body A"/>
        <w:rPr>
          <w:sz w:val="24"/>
          <w:szCs w:val="24"/>
        </w:rPr>
      </w:pPr>
      <w:r>
        <w:rPr>
          <w:rFonts w:cs="Arial Unicode MS" w:eastAsia="Arial Unicode MS"/>
          <w:sz w:val="24"/>
          <w:szCs w:val="24"/>
          <w:rtl w:val="0"/>
        </w:rPr>
        <w:t>R</w:t>
      </w:r>
      <w:r>
        <w:rPr>
          <w:rFonts w:cs="Arial Unicode MS" w:eastAsia="Arial Unicode MS" w:hint="default"/>
          <w:sz w:val="24"/>
          <w:szCs w:val="24"/>
          <w:rtl w:val="0"/>
        </w:rPr>
        <w:t>öö</w:t>
      </w:r>
      <w:r>
        <w:rPr>
          <w:rFonts w:cs="Arial Unicode MS" w:eastAsia="Arial Unicode MS"/>
          <w:sz w:val="24"/>
          <w:szCs w:val="24"/>
          <w:rtl w:val="0"/>
          <w:lang w:val="en-US"/>
        </w:rPr>
        <w:t>s, E. (2013). Analysing the Carbon Footprint of Food. Uppsala: Swedish University of Agricultural Sciences. 1-95.</w:t>
      </w:r>
    </w:p>
    <w:p>
      <w:pPr>
        <w:pStyle w:val="Body A"/>
        <w:rPr>
          <w:sz w:val="24"/>
          <w:szCs w:val="24"/>
        </w:rPr>
      </w:pPr>
    </w:p>
    <w:p>
      <w:pPr>
        <w:pStyle w:val="Body A"/>
        <w:rPr>
          <w:sz w:val="24"/>
          <w:szCs w:val="24"/>
        </w:rPr>
      </w:pPr>
      <w:r>
        <w:rPr>
          <w:rFonts w:cs="Arial Unicode MS" w:eastAsia="Arial Unicode MS"/>
          <w:sz w:val="24"/>
          <w:szCs w:val="24"/>
          <w:rtl w:val="0"/>
          <w:lang w:val="it-IT"/>
        </w:rPr>
        <w:t>Rosi, A., Mena, P., Turroni, N., Neviani, E., Ferrocino, I., Di Cagno, R., Ruini, L., Ciati, R., Angelino, D., Maddock, J., Gobb. M. (2017). Environmental impact of omnivorous, ovo-lacto-vegetarian, and vegan diet. Scientific Reports. 7 (6105), 1-9.</w:t>
      </w:r>
    </w:p>
    <w:p>
      <w:pPr>
        <w:pStyle w:val="Body A"/>
        <w:rPr>
          <w:sz w:val="24"/>
          <w:szCs w:val="24"/>
        </w:rPr>
      </w:pPr>
    </w:p>
    <w:p>
      <w:pPr>
        <w:pStyle w:val="Body A"/>
        <w:rPr>
          <w:sz w:val="24"/>
          <w:szCs w:val="24"/>
        </w:rPr>
      </w:pPr>
      <w:r>
        <w:rPr>
          <w:rFonts w:cs="Arial Unicode MS" w:eastAsia="Arial Unicode MS"/>
          <w:sz w:val="24"/>
          <w:szCs w:val="24"/>
          <w:rtl w:val="0"/>
          <w:lang w:val="en-US"/>
        </w:rPr>
        <w:t>Scarborough, P., Appleby, P.N., Mizdrak, A., Briggs, A.D.M., Travis, R.C., Bradbury, K.E., Key,T.J., 2014. Dietary greenhouse gas emissions of meat-eaters, fish-eaters, vegetarians and vegans in the UK. Clim. Chang. 125:179</w:t>
      </w:r>
      <w:r>
        <w:rPr>
          <w:rFonts w:cs="Arial Unicode MS" w:eastAsia="Arial Unicode MS" w:hint="default"/>
          <w:sz w:val="24"/>
          <w:szCs w:val="24"/>
          <w:rtl w:val="0"/>
        </w:rPr>
        <w:t>–</w:t>
      </w:r>
      <w:r>
        <w:rPr>
          <w:rFonts w:cs="Arial Unicode MS" w:eastAsia="Arial Unicode MS"/>
          <w:sz w:val="24"/>
          <w:szCs w:val="24"/>
          <w:rtl w:val="0"/>
        </w:rPr>
        <w:t>192.</w:t>
      </w:r>
    </w:p>
    <w:p>
      <w:pPr>
        <w:pStyle w:val="Body A"/>
        <w:rPr>
          <w:sz w:val="24"/>
          <w:szCs w:val="24"/>
        </w:rPr>
      </w:pPr>
    </w:p>
    <w:p>
      <w:pPr>
        <w:pStyle w:val="Body A"/>
        <w:rPr>
          <w:sz w:val="24"/>
          <w:szCs w:val="24"/>
        </w:rPr>
      </w:pPr>
      <w:r>
        <w:rPr>
          <w:rFonts w:cs="Arial Unicode MS" w:eastAsia="Arial Unicode MS"/>
          <w:sz w:val="24"/>
          <w:szCs w:val="24"/>
          <w:rtl w:val="0"/>
          <w:lang w:val="en-US"/>
        </w:rPr>
        <w:t>Sim, S., Barry, M., Clift, R. and Cowell, S.J., 2007. The relative importance of transport in determining an appropriate sustainability strategy for food sourcing. The International Journal of Life Cycle Assessment, 12(6), p.422.</w:t>
      </w:r>
    </w:p>
    <w:p>
      <w:pPr>
        <w:pStyle w:val="Body A"/>
        <w:rPr>
          <w:sz w:val="24"/>
          <w:szCs w:val="24"/>
        </w:rPr>
      </w:pPr>
    </w:p>
    <w:p>
      <w:pPr>
        <w:pStyle w:val="Body A"/>
        <w:rPr>
          <w:sz w:val="24"/>
          <w:szCs w:val="24"/>
        </w:rPr>
      </w:pPr>
      <w:r>
        <w:rPr>
          <w:rFonts w:cs="Arial Unicode MS" w:eastAsia="Arial Unicode MS"/>
          <w:sz w:val="24"/>
          <w:szCs w:val="24"/>
          <w:rtl w:val="0"/>
          <w:lang w:val="nl-NL"/>
        </w:rPr>
        <w:t>Stehfest, E., Bouwman, L., van Vuuren, D.P., den Elzen, M.G.J., Eickhout, B., Kabat, P., 2009.Climate benefits of changing diet. Clim. Chang. 95:83</w:t>
      </w:r>
      <w:r>
        <w:rPr>
          <w:rFonts w:cs="Arial Unicode MS" w:eastAsia="Arial Unicode MS" w:hint="default"/>
          <w:sz w:val="24"/>
          <w:szCs w:val="24"/>
          <w:rtl w:val="0"/>
        </w:rPr>
        <w:t>–</w:t>
      </w:r>
      <w:r>
        <w:rPr>
          <w:rFonts w:cs="Arial Unicode MS" w:eastAsia="Arial Unicode MS"/>
          <w:sz w:val="24"/>
          <w:szCs w:val="24"/>
          <w:rtl w:val="0"/>
        </w:rPr>
        <w:t>102</w:t>
      </w:r>
    </w:p>
    <w:p>
      <w:pPr>
        <w:pStyle w:val="Body A"/>
        <w:rPr>
          <w:sz w:val="24"/>
          <w:szCs w:val="24"/>
        </w:rPr>
      </w:pPr>
    </w:p>
    <w:p>
      <w:pPr>
        <w:pStyle w:val="Body A"/>
        <w:rPr>
          <w:sz w:val="24"/>
          <w:szCs w:val="24"/>
        </w:rPr>
      </w:pPr>
      <w:r>
        <w:rPr>
          <w:rFonts w:cs="Arial Unicode MS" w:eastAsia="Arial Unicode MS"/>
          <w:sz w:val="24"/>
          <w:szCs w:val="24"/>
          <w:rtl w:val="0"/>
          <w:lang w:val="en-US"/>
        </w:rPr>
        <w:t>Steinfeld, H., Gerber, P., Wassenaar, T.D., Castel, V., Rosales, M., Rosales, M. and de Haan, C., 2006. Livestock's long shadow: environmental issues and options. Food &amp; Agriculture Org..</w:t>
      </w:r>
    </w:p>
    <w:p>
      <w:pPr>
        <w:pStyle w:val="Body A"/>
        <w:rPr>
          <w:sz w:val="24"/>
          <w:szCs w:val="24"/>
        </w:rPr>
      </w:pPr>
    </w:p>
    <w:p>
      <w:pPr>
        <w:pStyle w:val="Body A"/>
        <w:rPr>
          <w:sz w:val="24"/>
          <w:szCs w:val="24"/>
        </w:rPr>
      </w:pPr>
      <w:r>
        <w:rPr>
          <w:rFonts w:cs="Arial Unicode MS" w:eastAsia="Arial Unicode MS"/>
          <w:sz w:val="24"/>
          <w:szCs w:val="24"/>
          <w:rtl w:val="0"/>
          <w:lang w:val="en-US"/>
        </w:rPr>
        <w:t>Stoessel, F., Juraske, R., Pfister, S. &amp; Hellweg, S. (2012). Life cycle inventory and carbon and water foodprint of fruits and vegetables: application to a Swiss retailer. Environmental Science and Technology 46, 3253-3262.</w:t>
      </w:r>
    </w:p>
    <w:p>
      <w:pPr>
        <w:pStyle w:val="Body A"/>
        <w:rPr>
          <w:sz w:val="24"/>
          <w:szCs w:val="24"/>
        </w:rPr>
      </w:pPr>
    </w:p>
    <w:p>
      <w:pPr>
        <w:pStyle w:val="Body A"/>
        <w:rPr>
          <w:sz w:val="24"/>
          <w:szCs w:val="24"/>
        </w:rPr>
      </w:pPr>
      <w:r>
        <w:rPr>
          <w:rFonts w:cs="Arial Unicode MS" w:eastAsia="Arial Unicode MS"/>
          <w:sz w:val="24"/>
          <w:szCs w:val="24"/>
          <w:rtl w:val="0"/>
          <w:lang w:val="en-US"/>
        </w:rPr>
        <w:t>Thaler, S., Zessner, M., Weigl, M., Rechberger, H., Schilling, K., Kroiss, H., 2015. Possible im-plications of dietary changes on nutrientfluxes, environment and land use in Austria.Agric. Syst. 136:14</w:t>
      </w:r>
      <w:r>
        <w:rPr>
          <w:rFonts w:cs="Arial Unicode MS" w:eastAsia="Arial Unicode MS" w:hint="default"/>
          <w:sz w:val="24"/>
          <w:szCs w:val="24"/>
          <w:rtl w:val="0"/>
        </w:rPr>
        <w:t>–</w:t>
      </w:r>
      <w:r>
        <w:rPr>
          <w:rFonts w:cs="Arial Unicode MS" w:eastAsia="Arial Unicode MS"/>
          <w:sz w:val="24"/>
          <w:szCs w:val="24"/>
          <w:rtl w:val="0"/>
        </w:rPr>
        <w:t>29.</w:t>
      </w:r>
    </w:p>
    <w:p>
      <w:pPr>
        <w:pStyle w:val="Body A"/>
        <w:rPr>
          <w:sz w:val="24"/>
          <w:szCs w:val="24"/>
        </w:rPr>
      </w:pPr>
    </w:p>
    <w:p>
      <w:pPr>
        <w:pStyle w:val="Body A"/>
        <w:rPr>
          <w:sz w:val="24"/>
          <w:szCs w:val="24"/>
        </w:rPr>
      </w:pPr>
      <w:r>
        <w:rPr>
          <w:rFonts w:cs="Arial Unicode MS" w:eastAsia="Arial Unicode MS"/>
          <w:sz w:val="24"/>
          <w:szCs w:val="24"/>
          <w:rtl w:val="0"/>
          <w:lang w:val="en-US"/>
        </w:rPr>
        <w:t>Tilman, D., Clark, M., 2014. Global diets link environmental sustainability and humanhealth. Nature 515:518</w:t>
      </w:r>
      <w:r>
        <w:rPr>
          <w:rFonts w:cs="Arial Unicode MS" w:eastAsia="Arial Unicode MS" w:hint="default"/>
          <w:sz w:val="24"/>
          <w:szCs w:val="24"/>
          <w:rtl w:val="0"/>
        </w:rPr>
        <w:t>–</w:t>
      </w:r>
      <w:r>
        <w:rPr>
          <w:rFonts w:cs="Arial Unicode MS" w:eastAsia="Arial Unicode MS"/>
          <w:sz w:val="24"/>
          <w:szCs w:val="24"/>
          <w:rtl w:val="0"/>
        </w:rPr>
        <w:t>522</w:t>
      </w:r>
    </w:p>
    <w:p>
      <w:pPr>
        <w:pStyle w:val="Body A"/>
        <w:rPr>
          <w:sz w:val="24"/>
          <w:szCs w:val="24"/>
        </w:rPr>
      </w:pPr>
    </w:p>
    <w:p>
      <w:pPr>
        <w:pStyle w:val="Body A"/>
        <w:rPr>
          <w:sz w:val="24"/>
          <w:szCs w:val="24"/>
        </w:rPr>
      </w:pPr>
      <w:r>
        <w:rPr>
          <w:rFonts w:cs="Arial Unicode MS" w:eastAsia="Arial Unicode MS"/>
          <w:sz w:val="24"/>
          <w:szCs w:val="24"/>
          <w:rtl w:val="0"/>
          <w:lang w:val="nl-NL"/>
        </w:rPr>
        <w:t>Tukker, A., Goldbohm, R.A., de Koning, A., Verheijden, M., Kleijn, R., Wolf, O., Rueda-Cantuche, J.M., 2011. Environmental impacts of changes to healthier diets inEurope.  Ecol.  Econ.  70  (10),  1776e1788.</w:t>
      </w:r>
    </w:p>
    <w:p>
      <w:pPr>
        <w:pStyle w:val="Body A"/>
        <w:rPr>
          <w:sz w:val="24"/>
          <w:szCs w:val="24"/>
        </w:rPr>
      </w:pPr>
    </w:p>
    <w:p>
      <w:pPr>
        <w:pStyle w:val="Body A"/>
        <w:rPr>
          <w:sz w:val="24"/>
          <w:szCs w:val="24"/>
        </w:rPr>
      </w:pPr>
      <w:r>
        <w:rPr>
          <w:rFonts w:cs="Arial Unicode MS" w:eastAsia="Arial Unicode MS"/>
          <w:sz w:val="24"/>
          <w:szCs w:val="24"/>
          <w:rtl w:val="0"/>
          <w:lang w:val="en-US"/>
        </w:rPr>
        <w:t>Van den Bergh, J.C., 2010. Externality or sustainability economics?. Ecological Economics, 69(11), pp.2047-2052.</w:t>
      </w:r>
    </w:p>
    <w:p>
      <w:pPr>
        <w:pStyle w:val="Body A"/>
        <w:rPr>
          <w:sz w:val="24"/>
          <w:szCs w:val="24"/>
        </w:rPr>
      </w:pPr>
    </w:p>
    <w:p>
      <w:pPr>
        <w:pStyle w:val="Body A"/>
        <w:rPr>
          <w:sz w:val="24"/>
          <w:szCs w:val="24"/>
        </w:rPr>
      </w:pPr>
      <w:r>
        <w:rPr>
          <w:rFonts w:cs="Arial Unicode MS" w:eastAsia="Arial Unicode MS"/>
          <w:sz w:val="24"/>
          <w:szCs w:val="24"/>
          <w:rtl w:val="0"/>
          <w:lang w:val="en-US"/>
        </w:rPr>
        <w:t>Van Kernebeek, H.R.J., Oosting, S.J., Feskens, E.J.M., Gerber, P.J., De Boer, I.J.M., 2014. Theeffect of nutritional quality on comparing environmental impacts of human diets.J. Clean. Prod. 73:88</w:t>
      </w:r>
      <w:r>
        <w:rPr>
          <w:rFonts w:cs="Arial Unicode MS" w:eastAsia="Arial Unicode MS" w:hint="default"/>
          <w:sz w:val="24"/>
          <w:szCs w:val="24"/>
          <w:rtl w:val="0"/>
        </w:rPr>
        <w:t>–</w:t>
      </w:r>
      <w:r>
        <w:rPr>
          <w:rFonts w:cs="Arial Unicode MS" w:eastAsia="Arial Unicode MS"/>
          <w:sz w:val="24"/>
          <w:szCs w:val="24"/>
          <w:rtl w:val="0"/>
        </w:rPr>
        <w:t>99.</w:t>
      </w:r>
    </w:p>
    <w:p>
      <w:pPr>
        <w:pStyle w:val="Body A"/>
        <w:rPr>
          <w:sz w:val="24"/>
          <w:szCs w:val="24"/>
        </w:rPr>
      </w:pPr>
    </w:p>
    <w:p>
      <w:pPr>
        <w:pStyle w:val="Body A"/>
        <w:rPr>
          <w:sz w:val="24"/>
          <w:szCs w:val="24"/>
        </w:rPr>
      </w:pPr>
      <w:r>
        <w:rPr>
          <w:rFonts w:cs="Arial Unicode MS" w:eastAsia="Arial Unicode MS"/>
          <w:sz w:val="24"/>
          <w:szCs w:val="24"/>
          <w:rtl w:val="0"/>
          <w:lang w:val="en-US"/>
        </w:rPr>
        <w:t>Veeramani, A., Dias, G., Kirkpatrick, S.. (2017). Carbon footprint of dietary patterns in Ontario, Canada: A case study based on actual food consumption. Journal of Cleaner Production. 162, 1398-1406.</w:t>
      </w:r>
    </w:p>
    <w:p>
      <w:pPr>
        <w:pStyle w:val="Body A"/>
        <w:rPr>
          <w:sz w:val="24"/>
          <w:szCs w:val="24"/>
        </w:rPr>
      </w:pPr>
    </w:p>
    <w:p>
      <w:pPr>
        <w:pStyle w:val="Body A"/>
        <w:rPr>
          <w:sz w:val="24"/>
          <w:szCs w:val="24"/>
        </w:rPr>
      </w:pPr>
      <w:r>
        <w:rPr>
          <w:rFonts w:cs="Arial Unicode MS" w:eastAsia="Arial Unicode MS"/>
          <w:sz w:val="24"/>
          <w:szCs w:val="24"/>
          <w:rtl w:val="0"/>
          <w:lang w:val="en-US"/>
        </w:rPr>
        <w:t>Vieux, F., Darmon, N., Touazi, D. and Soler, L.G., 2012. Greenhouse gas emissions of self-selected individual diets in France: changing the diet structure or consuming less?. Ecological economics, 75, pp.91-101.</w:t>
      </w:r>
    </w:p>
    <w:p>
      <w:pPr>
        <w:pStyle w:val="Body A"/>
        <w:rPr>
          <w:sz w:val="24"/>
          <w:szCs w:val="24"/>
        </w:rPr>
      </w:pPr>
    </w:p>
    <w:p>
      <w:pPr>
        <w:pStyle w:val="Body A"/>
        <w:rPr>
          <w:sz w:val="24"/>
          <w:szCs w:val="24"/>
        </w:rPr>
      </w:pPr>
      <w:r>
        <w:rPr>
          <w:rFonts w:cs="Arial Unicode MS" w:eastAsia="Arial Unicode MS"/>
          <w:sz w:val="24"/>
          <w:szCs w:val="24"/>
          <w:rtl w:val="0"/>
          <w:lang w:val="en-US"/>
        </w:rPr>
        <w:t>Wackernagel, M. and Rees, W., 1998. Our ecological footprint: reducing human impact on the earth (Vol. 9). New society publishers.</w:t>
      </w:r>
    </w:p>
    <w:p>
      <w:pPr>
        <w:pStyle w:val="Body A"/>
        <w:rPr>
          <w:sz w:val="24"/>
          <w:szCs w:val="24"/>
        </w:rPr>
      </w:pPr>
    </w:p>
    <w:p>
      <w:pPr>
        <w:pStyle w:val="Body A"/>
        <w:rPr>
          <w:sz w:val="24"/>
          <w:szCs w:val="24"/>
        </w:rPr>
      </w:pPr>
      <w:r>
        <w:rPr>
          <w:rFonts w:cs="Arial Unicode MS" w:eastAsia="Arial Unicode MS"/>
          <w:sz w:val="24"/>
          <w:szCs w:val="24"/>
          <w:rtl w:val="0"/>
          <w:lang w:val="en-US"/>
        </w:rPr>
        <w:t>Wackernagel, M. and Rees, W.E., 1997. Perceptual and structural barriers to investing in natural capital: Economics from an ecological footprint perspective.</w:t>
      </w:r>
      <w:r>
        <w:rPr>
          <w:rFonts w:cs="Arial Unicode MS" w:eastAsia="Arial Unicode MS" w:hint="default"/>
          <w:sz w:val="24"/>
          <w:szCs w:val="24"/>
          <w:rtl w:val="0"/>
        </w:rPr>
        <w:t> </w:t>
      </w:r>
      <w:r>
        <w:rPr>
          <w:rFonts w:cs="Arial Unicode MS" w:eastAsia="Arial Unicode MS"/>
          <w:sz w:val="24"/>
          <w:szCs w:val="24"/>
          <w:rtl w:val="0"/>
          <w:lang w:val="it-IT"/>
        </w:rPr>
        <w:t>Ecological economics,</w:t>
      </w:r>
      <w:r>
        <w:rPr>
          <w:rFonts w:cs="Arial Unicode MS" w:eastAsia="Arial Unicode MS" w:hint="default"/>
          <w:sz w:val="24"/>
          <w:szCs w:val="24"/>
          <w:rtl w:val="0"/>
        </w:rPr>
        <w:t> </w:t>
      </w:r>
      <w:r>
        <w:rPr>
          <w:rFonts w:cs="Arial Unicode MS" w:eastAsia="Arial Unicode MS"/>
          <w:sz w:val="24"/>
          <w:szCs w:val="24"/>
          <w:rtl w:val="0"/>
        </w:rPr>
        <w:t>20(1), pp.3-24.</w:t>
      </w:r>
    </w:p>
    <w:p>
      <w:pPr>
        <w:pStyle w:val="Body A"/>
        <w:rPr>
          <w:sz w:val="24"/>
          <w:szCs w:val="24"/>
        </w:rPr>
      </w:pPr>
    </w:p>
    <w:p>
      <w:pPr>
        <w:pStyle w:val="Body A"/>
        <w:rPr>
          <w:sz w:val="24"/>
          <w:szCs w:val="24"/>
        </w:rPr>
      </w:pPr>
      <w:r>
        <w:rPr>
          <w:rFonts w:cs="Arial Unicode MS" w:eastAsia="Arial Unicode MS"/>
          <w:sz w:val="24"/>
          <w:szCs w:val="24"/>
          <w:rtl w:val="0"/>
          <w:lang w:val="en-US"/>
        </w:rPr>
        <w:t>Wall</w:t>
      </w:r>
      <w:r>
        <w:rPr>
          <w:rFonts w:cs="Arial Unicode MS" w:eastAsia="Arial Unicode MS" w:hint="default"/>
          <w:sz w:val="24"/>
          <w:szCs w:val="24"/>
          <w:rtl w:val="0"/>
          <w:lang w:val="fr-FR"/>
        </w:rPr>
        <w:t>é</w:t>
      </w:r>
      <w:r>
        <w:rPr>
          <w:rFonts w:cs="Arial Unicode MS" w:eastAsia="Arial Unicode MS"/>
          <w:sz w:val="24"/>
          <w:szCs w:val="24"/>
          <w:rtl w:val="0"/>
          <w:lang w:val="en-US"/>
        </w:rPr>
        <w:t>n, A., Brandt, N., Wennersten, R., 2004. Does the Swedish consumer's choice of food influence greenhouse gas emissions? Environ. Sci. Pol. 7:525</w:t>
      </w:r>
      <w:r>
        <w:rPr>
          <w:rFonts w:cs="Arial Unicode MS" w:eastAsia="Arial Unicode MS" w:hint="default"/>
          <w:sz w:val="24"/>
          <w:szCs w:val="24"/>
          <w:rtl w:val="0"/>
        </w:rPr>
        <w:t>–</w:t>
      </w:r>
      <w:r>
        <w:rPr>
          <w:rFonts w:cs="Arial Unicode MS" w:eastAsia="Arial Unicode MS"/>
          <w:sz w:val="24"/>
          <w:szCs w:val="24"/>
          <w:rtl w:val="0"/>
        </w:rPr>
        <w:t>535.</w:t>
      </w:r>
    </w:p>
    <w:p>
      <w:pPr>
        <w:pStyle w:val="Body A"/>
        <w:rPr>
          <w:sz w:val="24"/>
          <w:szCs w:val="24"/>
        </w:rPr>
      </w:pPr>
    </w:p>
    <w:p>
      <w:pPr>
        <w:pStyle w:val="Body A"/>
        <w:rPr>
          <w:sz w:val="24"/>
          <w:szCs w:val="24"/>
        </w:rPr>
      </w:pPr>
      <w:r>
        <w:rPr>
          <w:rFonts w:cs="Arial Unicode MS" w:eastAsia="Arial Unicode MS"/>
          <w:sz w:val="24"/>
          <w:szCs w:val="24"/>
          <w:rtl w:val="0"/>
          <w:lang w:val="en-US"/>
        </w:rPr>
        <w:t>Weber, C.L. and Matthews, H.S., 2008. Food-miles and the relative climate impacts of food choices in the United States.</w:t>
      </w:r>
    </w:p>
    <w:p>
      <w:pPr>
        <w:pStyle w:val="Body A"/>
        <w:rPr>
          <w:sz w:val="24"/>
          <w:szCs w:val="24"/>
        </w:rPr>
      </w:pPr>
    </w:p>
    <w:p>
      <w:pPr>
        <w:pStyle w:val="Body A"/>
        <w:rPr>
          <w:sz w:val="24"/>
          <w:szCs w:val="24"/>
        </w:rPr>
      </w:pPr>
      <w:r>
        <w:rPr>
          <w:rFonts w:cs="Arial Unicode MS" w:eastAsia="Arial Unicode MS"/>
          <w:sz w:val="24"/>
          <w:szCs w:val="24"/>
          <w:rtl w:val="0"/>
          <w:lang w:val="en-US"/>
        </w:rPr>
        <w:t>Wiedmann, T. and Barrett, J., 2010. A review of the ecological footprint indicator</w:t>
      </w:r>
      <w:r>
        <w:rPr>
          <w:rFonts w:cs="Arial Unicode MS" w:eastAsia="Arial Unicode MS" w:hint="default"/>
          <w:sz w:val="24"/>
          <w:szCs w:val="24"/>
          <w:rtl w:val="0"/>
          <w:lang w:val="en-US"/>
        </w:rPr>
        <w:t>—</w:t>
      </w:r>
      <w:r>
        <w:rPr>
          <w:rFonts w:cs="Arial Unicode MS" w:eastAsia="Arial Unicode MS"/>
          <w:sz w:val="24"/>
          <w:szCs w:val="24"/>
          <w:rtl w:val="0"/>
          <w:lang w:val="en-US"/>
        </w:rPr>
        <w:t>perceptions and methods. Sustainability, 2(6), pp.1645-1693.</w:t>
      </w:r>
    </w:p>
    <w:p>
      <w:pPr>
        <w:pStyle w:val="Body A"/>
        <w:rPr>
          <w:sz w:val="24"/>
          <w:szCs w:val="24"/>
        </w:rPr>
      </w:pPr>
    </w:p>
    <w:p>
      <w:pPr>
        <w:pStyle w:val="Body A"/>
        <w:rPr>
          <w:sz w:val="24"/>
          <w:szCs w:val="24"/>
        </w:rPr>
      </w:pPr>
      <w:r>
        <w:rPr>
          <w:rFonts w:cs="Arial Unicode MS" w:eastAsia="Arial Unicode MS"/>
          <w:sz w:val="24"/>
          <w:szCs w:val="24"/>
          <w:rtl w:val="0"/>
          <w:lang w:val="en-US"/>
        </w:rPr>
        <w:t>White, T. (2000). Diet and the distribution of environmental impact. Ecological Economics. 34 (234), 145-153.</w:t>
      </w:r>
    </w:p>
    <w:p>
      <w:pPr>
        <w:pStyle w:val="Body A"/>
        <w:rPr>
          <w:sz w:val="24"/>
          <w:szCs w:val="24"/>
        </w:rPr>
      </w:pPr>
    </w:p>
    <w:p>
      <w:pPr>
        <w:pStyle w:val="Body A"/>
      </w:pPr>
      <w:r>
        <w:rPr>
          <w:rFonts w:cs="Arial Unicode MS" w:eastAsia="Arial Unicode MS"/>
          <w:sz w:val="24"/>
          <w:szCs w:val="24"/>
          <w:rtl w:val="0"/>
          <w:lang w:val="en-US"/>
        </w:rPr>
        <w:t>Wolf, O., P</w:t>
      </w:r>
      <w:r>
        <w:rPr>
          <w:rFonts w:cs="Arial Unicode MS" w:eastAsia="Arial Unicode MS" w:hint="default"/>
          <w:sz w:val="24"/>
          <w:szCs w:val="24"/>
          <w:rtl w:val="0"/>
          <w:lang w:val="fr-FR"/>
        </w:rPr>
        <w:t>é</w:t>
      </w:r>
      <w:r>
        <w:rPr>
          <w:rFonts w:cs="Arial Unicode MS" w:eastAsia="Arial Unicode MS"/>
          <w:sz w:val="24"/>
          <w:szCs w:val="24"/>
          <w:rtl w:val="0"/>
        </w:rPr>
        <w:t>rez-Dom</w:t>
      </w:r>
      <w:r>
        <w:rPr>
          <w:rFonts w:cs="Arial Unicode MS" w:eastAsia="Arial Unicode MS" w:hint="default"/>
          <w:sz w:val="24"/>
          <w:szCs w:val="24"/>
          <w:rtl w:val="0"/>
        </w:rPr>
        <w:t>í</w:t>
      </w:r>
      <w:r>
        <w:rPr>
          <w:rFonts w:cs="Arial Unicode MS" w:eastAsia="Arial Unicode MS"/>
          <w:sz w:val="24"/>
          <w:szCs w:val="24"/>
          <w:rtl w:val="0"/>
          <w:lang w:val="nl-NL"/>
        </w:rPr>
        <w:t>nguez, I., Rueda-Cantuche, J.M., Tukker, E., Kleijn, R., de Koning, A.,Bausch-Goldbohm, S., Verheijden, M., 2011. Do healthy diets in Europe matter tothe environment? A quantitative analysis. J. Policy Model 33:8</w:t>
      </w:r>
      <w:r>
        <w:rPr>
          <w:rFonts w:cs="Arial Unicode MS" w:eastAsia="Arial Unicode MS" w:hint="default"/>
          <w:sz w:val="24"/>
          <w:szCs w:val="24"/>
          <w:rtl w:val="0"/>
        </w:rPr>
        <w:t>–</w:t>
      </w:r>
      <w:r>
        <w:rPr>
          <w:rFonts w:cs="Arial Unicode MS" w:eastAsia="Arial Unicode MS"/>
          <w:sz w:val="24"/>
          <w:szCs w:val="24"/>
          <w:rtl w:val="0"/>
        </w:rPr>
        <w:t>28.</w:t>
      </w:r>
    </w:p>
    <w:sectPr>
      <w:headerReference w:type="default" r:id="rId5"/>
      <w:footerReference w:type="default" r:id="rId6"/>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Baskerville">
    <w:charset w:val="00"/>
    <w:family w:val="roman"/>
    <w:pitch w:val="default"/>
  </w:font>
  <w:font w:name="Baskerville SemiBol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 w:val="right" w:pos="9000"/>
        <w:tab w:val="clear" w:pos="9020"/>
      </w:tabs>
    </w:pPr>
    <w:r>
      <w:rPr>
        <w:rtl w:val="0"/>
        <w:lang w:val="en-US"/>
      </w:rPr>
      <w:t>Research Proposal</w:t>
      <w:tab/>
      <w:tab/>
    </w:r>
    <w:r>
      <w:rPr/>
      <w:fldChar w:fldCharType="begin" w:fldLock="0"/>
    </w:r>
    <w:r>
      <w:instrText xml:space="preserve"> PAGE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6" type="#_x0000_t75" style="visibility:visible;width:382.0pt;height:150.0pt;">
        <v:imagedata r:id="rId1" o:title="scrapbook_bullet_black.png"/>
      </v:shape>
    </w:pict>
  </w:numPicBullet>
  <w:abstractNum w:abstractNumId="0">
    <w:multiLevelType w:val="hybridMultilevel"/>
    <w:numStyleLink w:val="Image"/>
  </w:abstractNum>
  <w:abstractNum w:abstractNumId="1">
    <w:multiLevelType w:val="hybridMultilevel"/>
    <w:styleLink w:val="Image"/>
    <w:lvl w:ilvl="0">
      <w:start w:val="1"/>
      <w:numFmt w:val="bullet"/>
      <w:suff w:val="tab"/>
      <w:lvlText w:val="•"/>
      <w:lvlPicBulletId w:val="0"/>
      <w:lvlJc w:val="left"/>
      <w:pPr>
        <w:ind w:left="257" w:hanging="257"/>
      </w:pPr>
      <w:rPr>
        <w:rFonts w:hAnsi="Arial Unicode MS"/>
        <w:caps w:val="0"/>
        <w:smallCaps w:val="0"/>
        <w:strike w:val="0"/>
        <w:dstrike w:val="0"/>
        <w:outline w:val="0"/>
        <w:emboss w:val="0"/>
        <w:imprint w:val="0"/>
        <w:color w:val="f2b329"/>
        <w:spacing w:val="0"/>
        <w:w w:val="100"/>
        <w:kern w:val="0"/>
        <w:position w:val="0"/>
        <w:sz w:val="5"/>
        <w:szCs w:val="5"/>
        <w:highlight w:val="none"/>
        <w:vertAlign w:val="baseline"/>
      </w:rPr>
    </w:lvl>
    <w:lvl w:ilvl="1">
      <w:start w:val="1"/>
      <w:numFmt w:val="bullet"/>
      <w:suff w:val="tab"/>
      <w:lvlText w:val="•"/>
      <w:lvlPicBulletId w:val="0"/>
      <w:lvlJc w:val="left"/>
      <w:pPr>
        <w:ind w:left="440" w:hanging="220"/>
      </w:pPr>
      <w:rPr>
        <w:rFonts w:hAnsi="Arial Unicode MS"/>
        <w:caps w:val="0"/>
        <w:smallCaps w:val="0"/>
        <w:strike w:val="0"/>
        <w:dstrike w:val="0"/>
        <w:outline w:val="0"/>
        <w:emboss w:val="0"/>
        <w:imprint w:val="0"/>
        <w:color w:val="f2b329"/>
        <w:spacing w:val="0"/>
        <w:w w:val="100"/>
        <w:kern w:val="0"/>
        <w:position w:val="0"/>
        <w:sz w:val="5"/>
        <w:szCs w:val="5"/>
        <w:highlight w:val="none"/>
        <w:vertAlign w:val="baseline"/>
      </w:rPr>
    </w:lvl>
    <w:lvl w:ilvl="2">
      <w:start w:val="1"/>
      <w:numFmt w:val="bullet"/>
      <w:suff w:val="tab"/>
      <w:lvlText w:val="•"/>
      <w:lvlPicBulletId w:val="0"/>
      <w:lvlJc w:val="left"/>
      <w:pPr>
        <w:ind w:left="660" w:hanging="220"/>
      </w:pPr>
      <w:rPr>
        <w:rFonts w:hAnsi="Arial Unicode MS"/>
        <w:caps w:val="0"/>
        <w:smallCaps w:val="0"/>
        <w:strike w:val="0"/>
        <w:dstrike w:val="0"/>
        <w:outline w:val="0"/>
        <w:emboss w:val="0"/>
        <w:imprint w:val="0"/>
        <w:color w:val="f2b329"/>
        <w:spacing w:val="0"/>
        <w:w w:val="100"/>
        <w:kern w:val="0"/>
        <w:position w:val="0"/>
        <w:sz w:val="5"/>
        <w:szCs w:val="5"/>
        <w:highlight w:val="none"/>
        <w:vertAlign w:val="baseline"/>
      </w:rPr>
    </w:lvl>
    <w:lvl w:ilvl="3">
      <w:start w:val="1"/>
      <w:numFmt w:val="bullet"/>
      <w:suff w:val="tab"/>
      <w:lvlText w:val="•"/>
      <w:lvlPicBulletId w:val="0"/>
      <w:lvlJc w:val="left"/>
      <w:pPr>
        <w:ind w:left="880" w:hanging="220"/>
      </w:pPr>
      <w:rPr>
        <w:rFonts w:hAnsi="Arial Unicode MS"/>
        <w:caps w:val="0"/>
        <w:smallCaps w:val="0"/>
        <w:strike w:val="0"/>
        <w:dstrike w:val="0"/>
        <w:outline w:val="0"/>
        <w:emboss w:val="0"/>
        <w:imprint w:val="0"/>
        <w:color w:val="f2b329"/>
        <w:spacing w:val="0"/>
        <w:w w:val="100"/>
        <w:kern w:val="0"/>
        <w:position w:val="0"/>
        <w:sz w:val="5"/>
        <w:szCs w:val="5"/>
        <w:highlight w:val="none"/>
        <w:vertAlign w:val="baseline"/>
      </w:rPr>
    </w:lvl>
    <w:lvl w:ilvl="4">
      <w:start w:val="1"/>
      <w:numFmt w:val="bullet"/>
      <w:suff w:val="tab"/>
      <w:lvlText w:val="•"/>
      <w:lvlPicBulletId w:val="0"/>
      <w:lvlJc w:val="left"/>
      <w:pPr>
        <w:ind w:left="1100" w:hanging="220"/>
      </w:pPr>
      <w:rPr>
        <w:rFonts w:hAnsi="Arial Unicode MS"/>
        <w:caps w:val="0"/>
        <w:smallCaps w:val="0"/>
        <w:strike w:val="0"/>
        <w:dstrike w:val="0"/>
        <w:outline w:val="0"/>
        <w:emboss w:val="0"/>
        <w:imprint w:val="0"/>
        <w:color w:val="f2b329"/>
        <w:spacing w:val="0"/>
        <w:w w:val="100"/>
        <w:kern w:val="0"/>
        <w:position w:val="0"/>
        <w:sz w:val="5"/>
        <w:szCs w:val="5"/>
        <w:highlight w:val="none"/>
        <w:vertAlign w:val="baseline"/>
      </w:rPr>
    </w:lvl>
    <w:lvl w:ilvl="5">
      <w:start w:val="1"/>
      <w:numFmt w:val="bullet"/>
      <w:suff w:val="tab"/>
      <w:lvlText w:val="•"/>
      <w:lvlPicBulletId w:val="0"/>
      <w:lvlJc w:val="left"/>
      <w:pPr>
        <w:ind w:left="1320" w:hanging="220"/>
      </w:pPr>
      <w:rPr>
        <w:rFonts w:hAnsi="Arial Unicode MS"/>
        <w:caps w:val="0"/>
        <w:smallCaps w:val="0"/>
        <w:strike w:val="0"/>
        <w:dstrike w:val="0"/>
        <w:outline w:val="0"/>
        <w:emboss w:val="0"/>
        <w:imprint w:val="0"/>
        <w:color w:val="f2b329"/>
        <w:spacing w:val="0"/>
        <w:w w:val="100"/>
        <w:kern w:val="0"/>
        <w:position w:val="0"/>
        <w:sz w:val="5"/>
        <w:szCs w:val="5"/>
        <w:highlight w:val="none"/>
        <w:vertAlign w:val="baseline"/>
      </w:rPr>
    </w:lvl>
    <w:lvl w:ilvl="6">
      <w:start w:val="1"/>
      <w:numFmt w:val="bullet"/>
      <w:suff w:val="tab"/>
      <w:lvlText w:val="•"/>
      <w:lvlPicBulletId w:val="0"/>
      <w:lvlJc w:val="left"/>
      <w:pPr>
        <w:ind w:left="1540" w:hanging="220"/>
      </w:pPr>
      <w:rPr>
        <w:rFonts w:hAnsi="Arial Unicode MS"/>
        <w:caps w:val="0"/>
        <w:smallCaps w:val="0"/>
        <w:strike w:val="0"/>
        <w:dstrike w:val="0"/>
        <w:outline w:val="0"/>
        <w:emboss w:val="0"/>
        <w:imprint w:val="0"/>
        <w:color w:val="f2b329"/>
        <w:spacing w:val="0"/>
        <w:w w:val="100"/>
        <w:kern w:val="0"/>
        <w:position w:val="0"/>
        <w:sz w:val="5"/>
        <w:szCs w:val="5"/>
        <w:highlight w:val="none"/>
        <w:vertAlign w:val="baseline"/>
      </w:rPr>
    </w:lvl>
    <w:lvl w:ilvl="7">
      <w:start w:val="1"/>
      <w:numFmt w:val="bullet"/>
      <w:suff w:val="tab"/>
      <w:lvlText w:val="•"/>
      <w:lvlPicBulletId w:val="0"/>
      <w:lvlJc w:val="left"/>
      <w:pPr>
        <w:ind w:left="1760" w:hanging="220"/>
      </w:pPr>
      <w:rPr>
        <w:rFonts w:hAnsi="Arial Unicode MS"/>
        <w:caps w:val="0"/>
        <w:smallCaps w:val="0"/>
        <w:strike w:val="0"/>
        <w:dstrike w:val="0"/>
        <w:outline w:val="0"/>
        <w:emboss w:val="0"/>
        <w:imprint w:val="0"/>
        <w:color w:val="f2b329"/>
        <w:spacing w:val="0"/>
        <w:w w:val="100"/>
        <w:kern w:val="0"/>
        <w:position w:val="0"/>
        <w:sz w:val="5"/>
        <w:szCs w:val="5"/>
        <w:highlight w:val="none"/>
        <w:vertAlign w:val="baseline"/>
      </w:rPr>
    </w:lvl>
    <w:lvl w:ilvl="8">
      <w:start w:val="1"/>
      <w:numFmt w:val="bullet"/>
      <w:suff w:val="tab"/>
      <w:lvlText w:val="•"/>
      <w:lvlPicBulletId w:val="0"/>
      <w:lvlJc w:val="left"/>
      <w:pPr>
        <w:ind w:left="1980" w:hanging="220"/>
      </w:pPr>
      <w:rPr>
        <w:rFonts w:hAnsi="Arial Unicode MS"/>
        <w:caps w:val="0"/>
        <w:smallCaps w:val="0"/>
        <w:strike w:val="0"/>
        <w:dstrike w:val="0"/>
        <w:outline w:val="0"/>
        <w:emboss w:val="0"/>
        <w:imprint w:val="0"/>
        <w:color w:val="f2b329"/>
        <w:spacing w:val="0"/>
        <w:w w:val="100"/>
        <w:kern w:val="0"/>
        <w:position w:val="0"/>
        <w:sz w:val="5"/>
        <w:szCs w:val="5"/>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1"/>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Baskerville" w:cs="Arial Unicode MS" w:hAnsi="Baskerville" w:eastAsia="Arial Unicode MS"/>
      <w:b w:val="0"/>
      <w:bCs w:val="0"/>
      <w:i w:val="0"/>
      <w:iCs w:val="0"/>
      <w:caps w:val="1"/>
      <w:strike w:val="0"/>
      <w:dstrike w:val="0"/>
      <w:outline w:val="0"/>
      <w:color w:val="000000"/>
      <w:spacing w:val="0"/>
      <w:kern w:val="0"/>
      <w:position w:val="0"/>
      <w:sz w:val="20"/>
      <w:szCs w:val="20"/>
      <w:u w:val="none" w:color="000000"/>
      <w:vertAlign w:val="baseline"/>
      <w:lang w:val="en-US"/>
      <w14:textOutline w14:w="12700" w14:cap="flat">
        <w14:noFill/>
        <w14:miter w14:lim="400000"/>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88" w:lineRule="auto"/>
      <w:ind w:left="0" w:right="0" w:firstLine="0"/>
      <w:jc w:val="left"/>
      <w:outlineLvl w:val="9"/>
    </w:pPr>
    <w:rPr>
      <w:rFonts w:ascii="Baskerville" w:cs="Baskerville" w:hAnsi="Baskerville" w:eastAsia="Baskerville"/>
      <w:b w:val="0"/>
      <w:bCs w:val="0"/>
      <w:i w:val="0"/>
      <w:iCs w:val="0"/>
      <w:caps w:val="0"/>
      <w:smallCaps w:val="0"/>
      <w:strike w:val="0"/>
      <w:dstrike w:val="0"/>
      <w:outline w:val="0"/>
      <w:color w:val="232323"/>
      <w:spacing w:val="0"/>
      <w:kern w:val="0"/>
      <w:position w:val="0"/>
      <w:sz w:val="28"/>
      <w:szCs w:val="28"/>
      <w:u w:val="none" w:color="232323"/>
      <w:vertAlign w:val="baseline"/>
      <w14:textOutline w14:w="12700" w14:cap="flat">
        <w14:noFill/>
        <w14:miter w14:lim="400000"/>
      </w14:textOutline>
      <w14:textFill>
        <w14:solidFill>
          <w14:srgbClr w14:val="232323"/>
        </w14:solidFill>
      </w14:textFill>
    </w:rPr>
  </w:style>
  <w:style w:type="paragraph" w:styleId="Title">
    <w:name w:val="Title"/>
    <w:next w:val="Body 2"/>
    <w:pPr>
      <w:keepNext w:val="0"/>
      <w:keepLines w:val="0"/>
      <w:pageBreakBefore w:val="0"/>
      <w:widowControl w:val="1"/>
      <w:shd w:val="clear" w:color="auto" w:fill="auto"/>
      <w:suppressAutoHyphens w:val="0"/>
      <w:bidi w:val="0"/>
      <w:spacing w:before="0" w:after="120" w:line="240" w:lineRule="auto"/>
      <w:ind w:left="0" w:right="0" w:firstLine="0"/>
      <w:jc w:val="center"/>
      <w:outlineLvl w:val="0"/>
    </w:pPr>
    <w:rPr>
      <w:rFonts w:ascii="Baskerville SemiBold" w:cs="Arial Unicode MS" w:hAnsi="Baskerville SemiBold" w:eastAsia="Arial Unicode MS"/>
      <w:b w:val="0"/>
      <w:bCs w:val="0"/>
      <w:i w:val="0"/>
      <w:iCs w:val="0"/>
      <w:caps w:val="0"/>
      <w:smallCaps w:val="0"/>
      <w:strike w:val="0"/>
      <w:dstrike w:val="0"/>
      <w:outline w:val="0"/>
      <w:color w:val="4c7196"/>
      <w:spacing w:val="6"/>
      <w:kern w:val="0"/>
      <w:position w:val="0"/>
      <w:sz w:val="64"/>
      <w:szCs w:val="64"/>
      <w:u w:val="none" w:color="4c7196"/>
      <w:vertAlign w:val="baseline"/>
      <w:lang w:val="en-US"/>
      <w14:textOutline w14:w="12700" w14:cap="flat">
        <w14:noFill/>
        <w14:miter w14:lim="400000"/>
      </w14:textOutline>
      <w14:textFill>
        <w14:solidFill>
          <w14:srgbClr w14:val="4C7196"/>
        </w14:solidFill>
      </w14:textFill>
    </w:rPr>
  </w:style>
  <w:style w:type="paragraph" w:styleId="Body 2">
    <w:name w:val="Body 2"/>
    <w:next w:val="Body 2"/>
    <w:pPr>
      <w:keepNext w:val="0"/>
      <w:keepLines w:val="0"/>
      <w:pageBreakBefore w:val="0"/>
      <w:widowControl w:val="1"/>
      <w:shd w:val="clear" w:color="auto" w:fill="auto"/>
      <w:suppressAutoHyphens w:val="0"/>
      <w:bidi w:val="0"/>
      <w:spacing w:before="0" w:after="80" w:line="288" w:lineRule="auto"/>
      <w:ind w:left="0" w:right="0" w:firstLine="0"/>
      <w:jc w:val="left"/>
      <w:outlineLvl w:val="9"/>
    </w:pPr>
    <w:rPr>
      <w:rFonts w:ascii="Baskerville" w:cs="Arial Unicode MS" w:hAnsi="Baskerville" w:eastAsia="Arial Unicode MS"/>
      <w:b w:val="0"/>
      <w:bCs w:val="0"/>
      <w:i w:val="0"/>
      <w:iCs w:val="0"/>
      <w:caps w:val="0"/>
      <w:smallCaps w:val="0"/>
      <w:strike w:val="0"/>
      <w:dstrike w:val="0"/>
      <w:outline w:val="0"/>
      <w:color w:val="444444"/>
      <w:spacing w:val="0"/>
      <w:kern w:val="0"/>
      <w:position w:val="0"/>
      <w:sz w:val="24"/>
      <w:szCs w:val="24"/>
      <w:u w:val="none" w:color="444444"/>
      <w:vertAlign w:val="baseline"/>
      <w:lang w:val="en-US"/>
      <w14:textOutline w14:w="12700" w14:cap="flat">
        <w14:noFill/>
        <w14:miter w14:lim="400000"/>
      </w14:textOutline>
      <w14:textFill>
        <w14:solidFill>
          <w14:srgbClr w14:val="444444"/>
        </w14:solidFill>
      </w14:textFill>
    </w:rPr>
  </w:style>
  <w:style w:type="paragraph" w:styleId="Subheading">
    <w:name w:val="Subheading"/>
    <w:next w:val="Body 2"/>
    <w:pPr>
      <w:keepNext w:val="0"/>
      <w:keepLines w:val="0"/>
      <w:pageBreakBefore w:val="0"/>
      <w:widowControl w:val="1"/>
      <w:shd w:val="clear" w:color="auto" w:fill="auto"/>
      <w:suppressAutoHyphens w:val="0"/>
      <w:bidi w:val="0"/>
      <w:spacing w:before="0" w:after="160" w:line="240" w:lineRule="auto"/>
      <w:ind w:left="0" w:right="0" w:firstLine="0"/>
      <w:jc w:val="center"/>
      <w:outlineLvl w:val="0"/>
    </w:pPr>
    <w:rPr>
      <w:rFonts w:ascii="Baskerville" w:cs="Baskerville" w:hAnsi="Baskerville" w:eastAsia="Baskerville"/>
      <w:b w:val="0"/>
      <w:bCs w:val="0"/>
      <w:i w:val="1"/>
      <w:iCs w:val="1"/>
      <w:caps w:val="0"/>
      <w:smallCaps w:val="0"/>
      <w:strike w:val="0"/>
      <w:dstrike w:val="0"/>
      <w:outline w:val="0"/>
      <w:color w:val="5c432b"/>
      <w:spacing w:val="0"/>
      <w:kern w:val="0"/>
      <w:position w:val="0"/>
      <w:sz w:val="40"/>
      <w:szCs w:val="40"/>
      <w:u w:val="none" w:color="5c432b"/>
      <w:vertAlign w:val="baseline"/>
      <w14:textOutline w14:w="12700" w14:cap="flat">
        <w14:noFill/>
        <w14:miter w14:lim="400000"/>
      </w14:textOutline>
      <w14:textFill>
        <w14:solidFill>
          <w14:srgbClr w14:val="5C432B"/>
        </w14:solidFill>
      </w14:textFill>
    </w:rPr>
  </w:style>
  <w:style w:type="paragraph" w:styleId="Attribution">
    <w:name w:val="Attribution"/>
    <w:next w:val="Body 2"/>
    <w:pPr>
      <w:keepNext w:val="1"/>
      <w:keepLines w:val="0"/>
      <w:pageBreakBefore w:val="0"/>
      <w:widowControl w:val="1"/>
      <w:shd w:val="clear" w:color="auto" w:fill="auto"/>
      <w:suppressAutoHyphens w:val="0"/>
      <w:bidi w:val="0"/>
      <w:spacing w:before="0" w:after="160" w:line="240" w:lineRule="auto"/>
      <w:ind w:left="0" w:right="0" w:firstLine="0"/>
      <w:jc w:val="center"/>
      <w:outlineLvl w:val="0"/>
    </w:pPr>
    <w:rPr>
      <w:rFonts w:ascii="Baskerville" w:cs="Arial Unicode MS" w:hAnsi="Baskerville" w:eastAsia="Arial Unicode MS"/>
      <w:b w:val="0"/>
      <w:bCs w:val="0"/>
      <w:i w:val="0"/>
      <w:iCs w:val="0"/>
      <w:caps w:val="0"/>
      <w:smallCaps w:val="0"/>
      <w:strike w:val="0"/>
      <w:dstrike w:val="0"/>
      <w:outline w:val="0"/>
      <w:color w:val="5b5854"/>
      <w:spacing w:val="0"/>
      <w:kern w:val="0"/>
      <w:position w:val="0"/>
      <w:sz w:val="36"/>
      <w:szCs w:val="36"/>
      <w:u w:val="none" w:color="5b5854"/>
      <w:vertAlign w:val="baseline"/>
      <w:lang w:val="en-US"/>
      <w14:textOutline w14:w="12700" w14:cap="flat">
        <w14:noFill/>
        <w14:miter w14:lim="400000"/>
      </w14:textOutline>
      <w14:textFill>
        <w14:solidFill>
          <w14:srgbClr w14:val="5B5854"/>
        </w14:solidFill>
      </w14:textFill>
    </w:rPr>
  </w:style>
  <w:style w:type="paragraph" w:styleId="Subtitle">
    <w:name w:val="Subtitle"/>
    <w:next w:val="Body 2"/>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Baskerville" w:cs="Arial Unicode MS" w:hAnsi="Baskerville" w:eastAsia="Arial Unicode MS"/>
      <w:b w:val="0"/>
      <w:bCs w:val="0"/>
      <w:i w:val="0"/>
      <w:iCs w:val="0"/>
      <w:caps w:val="0"/>
      <w:smallCaps w:val="0"/>
      <w:strike w:val="0"/>
      <w:dstrike w:val="0"/>
      <w:outline w:val="0"/>
      <w:color w:val="dc5922"/>
      <w:spacing w:val="6"/>
      <w:kern w:val="0"/>
      <w:position w:val="0"/>
      <w:sz w:val="64"/>
      <w:szCs w:val="64"/>
      <w:u w:val="none" w:color="dc5922"/>
      <w:vertAlign w:val="baseline"/>
      <w:lang w:val="en-US"/>
      <w14:textOutline w14:w="12700" w14:cap="flat">
        <w14:noFill/>
        <w14:miter w14:lim="400000"/>
      </w14:textOutline>
      <w14:textFill>
        <w14:solidFill>
          <w14:srgbClr w14:val="DC5922"/>
        </w14:solidFill>
      </w14:textFill>
    </w:rPr>
  </w:style>
  <w:style w:type="paragraph" w:styleId="Heading">
    <w:name w:val="Heading"/>
    <w:next w:val="Body 2"/>
    <w:pPr>
      <w:keepNext w:val="1"/>
      <w:keepLines w:val="0"/>
      <w:pageBreakBefore w:val="0"/>
      <w:widowControl w:val="1"/>
      <w:shd w:val="clear" w:color="auto" w:fill="auto"/>
      <w:suppressAutoHyphens w:val="0"/>
      <w:bidi w:val="0"/>
      <w:spacing w:before="0" w:after="160" w:line="240" w:lineRule="auto"/>
      <w:ind w:left="0" w:right="0" w:firstLine="0"/>
      <w:jc w:val="center"/>
      <w:outlineLvl w:val="0"/>
    </w:pPr>
    <w:rPr>
      <w:rFonts w:ascii="Baskerville" w:cs="Arial Unicode MS" w:hAnsi="Baskerville" w:eastAsia="Arial Unicode MS"/>
      <w:b w:val="0"/>
      <w:bCs w:val="0"/>
      <w:i w:val="0"/>
      <w:iCs w:val="0"/>
      <w:caps w:val="0"/>
      <w:smallCaps w:val="0"/>
      <w:strike w:val="0"/>
      <w:dstrike w:val="0"/>
      <w:outline w:val="0"/>
      <w:color w:val="5b5854"/>
      <w:spacing w:val="0"/>
      <w:kern w:val="0"/>
      <w:position w:val="0"/>
      <w:sz w:val="36"/>
      <w:szCs w:val="36"/>
      <w:u w:val="none" w:color="5b5854"/>
      <w:vertAlign w:val="baseline"/>
      <w:lang w:val="en-US"/>
      <w14:textOutline w14:w="12700" w14:cap="flat">
        <w14:noFill/>
        <w14:miter w14:lim="400000"/>
      </w14:textOutline>
      <w14:textFill>
        <w14:solidFill>
          <w14:srgbClr w14:val="5B5854"/>
        </w14:solidFill>
      </w14:textFill>
    </w:rPr>
  </w:style>
  <w:style w:type="numbering" w:styleId="Image">
    <w:name w:val="Image"/>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tif"/><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04_Term_Paper">
  <a:themeElements>
    <a:clrScheme name="04_Term_Paper">
      <a:dk1>
        <a:srgbClr val="000000"/>
      </a:dk1>
      <a:lt1>
        <a:srgbClr val="FFFFFF"/>
      </a:lt1>
      <a:dk2>
        <a:srgbClr val="A7A7A7"/>
      </a:dk2>
      <a:lt2>
        <a:srgbClr val="535353"/>
      </a:lt2>
      <a:accent1>
        <a:srgbClr val="A6BACF"/>
      </a:accent1>
      <a:accent2>
        <a:srgbClr val="98A68D"/>
      </a:accent2>
      <a:accent3>
        <a:srgbClr val="E2C07E"/>
      </a:accent3>
      <a:accent4>
        <a:srgbClr val="EA8B60"/>
      </a:accent4>
      <a:accent5>
        <a:srgbClr val="B93E40"/>
      </a:accent5>
      <a:accent6>
        <a:srgbClr val="807898"/>
      </a:accent6>
      <a:hlink>
        <a:srgbClr val="0000FF"/>
      </a:hlink>
      <a:folHlink>
        <a:srgbClr val="FF00FF"/>
      </a:folHlink>
    </a:clrScheme>
    <a:fontScheme name="04_Term_Paper">
      <a:majorFont>
        <a:latin typeface="Baskerville SemiBold"/>
        <a:ea typeface="Baskerville SemiBold"/>
        <a:cs typeface="Baskerville SemiBold"/>
      </a:majorFont>
      <a:minorFont>
        <a:latin typeface="Baskerville"/>
        <a:ea typeface="Baskerville"/>
        <a:cs typeface="Baskerville"/>
      </a:minorFont>
    </a:fontScheme>
    <a:fmtScheme name="04_Term_Pape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Baskervill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Baskervill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