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FDDEE" w14:textId="77777777" w:rsidR="00F33B50" w:rsidRDefault="005A56EA">
      <w:pPr>
        <w:jc w:val="center"/>
      </w:pPr>
      <w:r>
        <w:rPr>
          <w:b/>
          <w:sz w:val="36"/>
        </w:rPr>
        <w:t>Principles of Health and Social Care Practice</w:t>
      </w:r>
    </w:p>
    <w:p w14:paraId="5081E0D9" w14:textId="77777777" w:rsidR="00F33B50" w:rsidRDefault="005A56EA">
      <w:pPr>
        <w:jc w:val="center"/>
      </w:pPr>
      <w:r>
        <w:rPr>
          <w:b/>
          <w:sz w:val="32"/>
        </w:rPr>
        <w:t>Component 1: Reflective Report</w:t>
      </w:r>
    </w:p>
    <w:p w14:paraId="219BB6E1" w14:textId="77777777" w:rsidR="00F33B50" w:rsidRDefault="00F33B50">
      <w:pPr>
        <w:jc w:val="center"/>
      </w:pPr>
    </w:p>
    <w:tbl>
      <w:tblPr>
        <w:tblStyle w:val="TableGrid"/>
        <w:tblW w:w="0" w:type="auto"/>
        <w:tblLook w:val="04A0" w:firstRow="1" w:lastRow="0" w:firstColumn="1" w:lastColumn="0" w:noHBand="0" w:noVBand="1"/>
      </w:tblPr>
      <w:tblGrid>
        <w:gridCol w:w="530"/>
        <w:gridCol w:w="8820"/>
      </w:tblGrid>
      <w:tr w:rsidR="00676C63" w14:paraId="0BF1BFF3" w14:textId="77777777" w:rsidTr="00676C63">
        <w:tc>
          <w:tcPr>
            <w:tcW w:w="2088" w:type="dxa"/>
          </w:tcPr>
          <w:p w14:paraId="6DC3AB9B" w14:textId="77777777" w:rsidR="00676C63" w:rsidRPr="00D93E09" w:rsidRDefault="00676C63" w:rsidP="00676C63">
            <w:pPr>
              <w:jc w:val="center"/>
            </w:pPr>
            <w:r>
              <w:t>Module Code</w:t>
            </w:r>
          </w:p>
        </w:tc>
        <w:tc>
          <w:tcPr>
            <w:tcW w:w="7488" w:type="dxa"/>
          </w:tcPr>
          <w:p w14:paraId="677BEEDC" w14:textId="77777777" w:rsidR="00676C63" w:rsidRDefault="00676C63" w:rsidP="00676C63">
            <w:r w:rsidRPr="00D93E09">
              <w:t>BMHP5016</w:t>
            </w:r>
          </w:p>
          <w:p w14:paraId="069B394C" w14:textId="1ED8A8A6" w:rsidR="00874FD0" w:rsidRDefault="00874FD0" w:rsidP="00676C63">
            <w:r>
              <w:t>Component 1</w:t>
            </w:r>
          </w:p>
        </w:tc>
      </w:tr>
      <w:tr w:rsidR="00676C63" w14:paraId="212EA72F" w14:textId="77777777" w:rsidTr="00676C63">
        <w:tc>
          <w:tcPr>
            <w:tcW w:w="2088" w:type="dxa"/>
          </w:tcPr>
          <w:p w14:paraId="545D8E9D" w14:textId="77777777" w:rsidR="00676C63" w:rsidRPr="00D93E09" w:rsidRDefault="00676C63" w:rsidP="00676C63">
            <w:pPr>
              <w:jc w:val="center"/>
            </w:pPr>
            <w:r>
              <w:t>Programme</w:t>
            </w:r>
          </w:p>
        </w:tc>
        <w:tc>
          <w:tcPr>
            <w:tcW w:w="7488" w:type="dxa"/>
          </w:tcPr>
          <w:p w14:paraId="243505DD" w14:textId="77777777" w:rsidR="00676C63" w:rsidRDefault="00676C63" w:rsidP="00676C63">
            <w:r w:rsidRPr="00D93E09">
              <w:t>BSc Health and Social Care</w:t>
            </w:r>
          </w:p>
        </w:tc>
      </w:tr>
      <w:tr w:rsidR="00676C63" w14:paraId="788E3D5E" w14:textId="77777777" w:rsidTr="00676C63">
        <w:tc>
          <w:tcPr>
            <w:tcW w:w="2088" w:type="dxa"/>
          </w:tcPr>
          <w:p w14:paraId="15D07CE2" w14:textId="77777777" w:rsidR="00676C63" w:rsidRPr="00D93E09" w:rsidRDefault="00676C63" w:rsidP="00676C63">
            <w:pPr>
              <w:jc w:val="center"/>
            </w:pPr>
            <w:r>
              <w:t>Student Name</w:t>
            </w:r>
          </w:p>
        </w:tc>
        <w:tc>
          <w:tcPr>
            <w:tcW w:w="7488" w:type="dxa"/>
          </w:tcPr>
          <w:p w14:paraId="7A53B686" w14:textId="4AA69F85" w:rsidR="00676C63" w:rsidRDefault="005109B3" w:rsidP="00676C63">
            <w:r>
              <w:t xml:space="preserve">Rabina Akhtar </w:t>
            </w:r>
          </w:p>
        </w:tc>
      </w:tr>
      <w:tr w:rsidR="00676C63" w14:paraId="0CFFF02B" w14:textId="77777777" w:rsidTr="00676C63">
        <w:tc>
          <w:tcPr>
            <w:tcW w:w="2088" w:type="dxa"/>
          </w:tcPr>
          <w:p w14:paraId="03D547BF" w14:textId="77777777" w:rsidR="00676C63" w:rsidRPr="00D93E09" w:rsidRDefault="00676C63" w:rsidP="00676C63">
            <w:pPr>
              <w:jc w:val="center"/>
            </w:pPr>
            <w:r w:rsidRPr="00D93E09">
              <w:t>Student Number</w:t>
            </w:r>
          </w:p>
        </w:tc>
        <w:tc>
          <w:tcPr>
            <w:tcW w:w="7488" w:type="dxa"/>
          </w:tcPr>
          <w:p w14:paraId="282E22F6" w14:textId="655C86BF" w:rsidR="00676C63" w:rsidRDefault="005109B3" w:rsidP="00676C63">
            <w:r>
              <w:t>2421435</w:t>
            </w:r>
          </w:p>
        </w:tc>
      </w:tr>
      <w:tr w:rsidR="00676C63" w14:paraId="20D7D038" w14:textId="77777777" w:rsidTr="00676C63">
        <w:tc>
          <w:tcPr>
            <w:tcW w:w="2088" w:type="dxa"/>
          </w:tcPr>
          <w:p w14:paraId="51AD48F5" w14:textId="6503DC33" w:rsidR="00676C63" w:rsidRPr="00D93E09" w:rsidRDefault="005109B3" w:rsidP="00676C63">
            <w:pPr>
              <w:jc w:val="center"/>
            </w:pPr>
            <w:r>
              <w:t xml:space="preserve">Lecturer </w:t>
            </w:r>
          </w:p>
        </w:tc>
        <w:tc>
          <w:tcPr>
            <w:tcW w:w="7488" w:type="dxa"/>
          </w:tcPr>
          <w:p w14:paraId="7FD4C6B3" w14:textId="5A182FF5" w:rsidR="00676C63" w:rsidRDefault="001D75CE" w:rsidP="00676C63">
            <w:r>
              <w:t>Kennedy Obohwemu</w:t>
            </w:r>
          </w:p>
        </w:tc>
      </w:tr>
    </w:tbl>
    <w:p w14:paraId="125BAC51" w14:textId="77777777" w:rsidR="00F33B50" w:rsidRDefault="005A56EA">
      <w:r>
        <w:br w:type="page"/>
      </w:r>
    </w:p>
    <w:sdt>
      <w:sdtPr>
        <w:rPr>
          <w:rFonts w:eastAsia="Arial" w:cstheme="minorBidi"/>
          <w:b w:val="0"/>
          <w:bCs w:val="0"/>
        </w:rPr>
        <w:id w:val="784233999"/>
        <w:docPartObj>
          <w:docPartGallery w:val="Table of Contents"/>
          <w:docPartUnique/>
        </w:docPartObj>
      </w:sdtPr>
      <w:sdtEndPr>
        <w:rPr>
          <w:noProof/>
        </w:rPr>
      </w:sdtEndPr>
      <w:sdtContent>
        <w:p w14:paraId="61EE6D33" w14:textId="77777777" w:rsidR="00426F07" w:rsidRDefault="00426F07" w:rsidP="00FD043C">
          <w:pPr>
            <w:pStyle w:val="TOCHeading"/>
          </w:pPr>
          <w:r>
            <w:t>Table of Contents</w:t>
          </w:r>
        </w:p>
        <w:p w14:paraId="12E02C33" w14:textId="77777777" w:rsidR="00426F07" w:rsidRDefault="00426F07" w:rsidP="00FD043C">
          <w:pPr>
            <w:pStyle w:val="TOC1"/>
            <w:tabs>
              <w:tab w:val="right" w:leader="dot" w:pos="9350"/>
            </w:tabs>
            <w:rPr>
              <w:rFonts w:asciiTheme="minorHAnsi" w:eastAsiaTheme="minorEastAsia" w:hAnsiTheme="minorHAnsi"/>
              <w:noProof/>
              <w:lang w:val="en-GB" w:eastAsia="en-GB"/>
            </w:rPr>
          </w:pPr>
          <w:r>
            <w:fldChar w:fldCharType="begin"/>
          </w:r>
          <w:r>
            <w:instrText xml:space="preserve"> TOC \o "1-3" \h \z \u </w:instrText>
          </w:r>
          <w:r>
            <w:fldChar w:fldCharType="separate"/>
          </w:r>
          <w:hyperlink w:anchor="_Toc241486974" w:history="1">
            <w:r w:rsidRPr="00572CEA">
              <w:rPr>
                <w:rStyle w:val="Hyperlink"/>
                <w:noProof/>
              </w:rPr>
              <w:t>1. Introduction</w:t>
            </w:r>
            <w:r>
              <w:rPr>
                <w:noProof/>
                <w:webHidden/>
              </w:rPr>
              <w:tab/>
            </w:r>
            <w:r>
              <w:rPr>
                <w:noProof/>
                <w:webHidden/>
              </w:rPr>
              <w:fldChar w:fldCharType="begin"/>
            </w:r>
            <w:r>
              <w:rPr>
                <w:noProof/>
                <w:webHidden/>
              </w:rPr>
              <w:instrText xml:space="preserve"> PAGEREF _Toc241486974 \h </w:instrText>
            </w:r>
            <w:r>
              <w:rPr>
                <w:noProof/>
                <w:webHidden/>
              </w:rPr>
            </w:r>
            <w:r>
              <w:rPr>
                <w:noProof/>
                <w:webHidden/>
              </w:rPr>
              <w:fldChar w:fldCharType="separate"/>
            </w:r>
            <w:r>
              <w:rPr>
                <w:noProof/>
                <w:webHidden/>
              </w:rPr>
              <w:t>3</w:t>
            </w:r>
            <w:r>
              <w:rPr>
                <w:noProof/>
                <w:webHidden/>
              </w:rPr>
              <w:fldChar w:fldCharType="end"/>
            </w:r>
          </w:hyperlink>
        </w:p>
        <w:p w14:paraId="3D0C5EDE" w14:textId="77777777" w:rsidR="00426F07" w:rsidRDefault="00426F07" w:rsidP="00FD043C">
          <w:pPr>
            <w:pStyle w:val="TOC1"/>
            <w:tabs>
              <w:tab w:val="right" w:leader="dot" w:pos="9350"/>
            </w:tabs>
            <w:rPr>
              <w:rFonts w:asciiTheme="minorHAnsi" w:eastAsiaTheme="minorEastAsia" w:hAnsiTheme="minorHAnsi"/>
              <w:noProof/>
              <w:lang w:val="en-GB" w:eastAsia="en-GB"/>
            </w:rPr>
          </w:pPr>
          <w:hyperlink w:anchor="_Toc241486975" w:history="1">
            <w:r w:rsidRPr="00572CEA">
              <w:rPr>
                <w:rStyle w:val="Hyperlink"/>
                <w:noProof/>
              </w:rPr>
              <w:t>2. Task 1: Critical Reflection on the Importance of Health and Social Care Principles</w:t>
            </w:r>
            <w:r>
              <w:rPr>
                <w:noProof/>
                <w:webHidden/>
              </w:rPr>
              <w:tab/>
            </w:r>
            <w:r>
              <w:rPr>
                <w:noProof/>
                <w:webHidden/>
              </w:rPr>
              <w:fldChar w:fldCharType="begin"/>
            </w:r>
            <w:r>
              <w:rPr>
                <w:noProof/>
                <w:webHidden/>
              </w:rPr>
              <w:instrText xml:space="preserve"> PAGEREF _Toc241486975 \h </w:instrText>
            </w:r>
            <w:r>
              <w:rPr>
                <w:noProof/>
                <w:webHidden/>
              </w:rPr>
            </w:r>
            <w:r>
              <w:rPr>
                <w:noProof/>
                <w:webHidden/>
              </w:rPr>
              <w:fldChar w:fldCharType="separate"/>
            </w:r>
            <w:r>
              <w:rPr>
                <w:noProof/>
                <w:webHidden/>
              </w:rPr>
              <w:t>3</w:t>
            </w:r>
            <w:r>
              <w:rPr>
                <w:noProof/>
                <w:webHidden/>
              </w:rPr>
              <w:fldChar w:fldCharType="end"/>
            </w:r>
          </w:hyperlink>
        </w:p>
        <w:p w14:paraId="1EA04949" w14:textId="77777777" w:rsidR="00426F07" w:rsidRDefault="00426F07" w:rsidP="00FD043C">
          <w:pPr>
            <w:pStyle w:val="TOC2"/>
            <w:tabs>
              <w:tab w:val="right" w:leader="dot" w:pos="9350"/>
            </w:tabs>
            <w:rPr>
              <w:rFonts w:asciiTheme="minorHAnsi" w:eastAsiaTheme="minorEastAsia" w:hAnsiTheme="minorHAnsi"/>
              <w:noProof/>
              <w:lang w:val="en-GB" w:eastAsia="en-GB"/>
            </w:rPr>
          </w:pPr>
          <w:hyperlink w:anchor="_Toc241486976" w:history="1">
            <w:r w:rsidRPr="00572CEA">
              <w:rPr>
                <w:rStyle w:val="Hyperlink"/>
                <w:noProof/>
              </w:rPr>
              <w:t>2.1 Person-Centred Care</w:t>
            </w:r>
            <w:r>
              <w:rPr>
                <w:noProof/>
                <w:webHidden/>
              </w:rPr>
              <w:tab/>
            </w:r>
            <w:r>
              <w:rPr>
                <w:noProof/>
                <w:webHidden/>
              </w:rPr>
              <w:fldChar w:fldCharType="begin"/>
            </w:r>
            <w:r>
              <w:rPr>
                <w:noProof/>
                <w:webHidden/>
              </w:rPr>
              <w:instrText xml:space="preserve"> PAGEREF _Toc241486976 \h </w:instrText>
            </w:r>
            <w:r>
              <w:rPr>
                <w:noProof/>
                <w:webHidden/>
              </w:rPr>
            </w:r>
            <w:r>
              <w:rPr>
                <w:noProof/>
                <w:webHidden/>
              </w:rPr>
              <w:fldChar w:fldCharType="separate"/>
            </w:r>
            <w:r>
              <w:rPr>
                <w:noProof/>
                <w:webHidden/>
              </w:rPr>
              <w:t>3</w:t>
            </w:r>
            <w:r>
              <w:rPr>
                <w:noProof/>
                <w:webHidden/>
              </w:rPr>
              <w:fldChar w:fldCharType="end"/>
            </w:r>
          </w:hyperlink>
        </w:p>
        <w:p w14:paraId="062838CF" w14:textId="77777777" w:rsidR="00426F07" w:rsidRDefault="00426F07" w:rsidP="00FD043C">
          <w:pPr>
            <w:pStyle w:val="TOC2"/>
            <w:tabs>
              <w:tab w:val="right" w:leader="dot" w:pos="9350"/>
            </w:tabs>
            <w:rPr>
              <w:rFonts w:asciiTheme="minorHAnsi" w:eastAsiaTheme="minorEastAsia" w:hAnsiTheme="minorHAnsi"/>
              <w:noProof/>
              <w:lang w:val="en-GB" w:eastAsia="en-GB"/>
            </w:rPr>
          </w:pPr>
          <w:hyperlink w:anchor="_Toc241486977" w:history="1">
            <w:r w:rsidRPr="00572CEA">
              <w:rPr>
                <w:rStyle w:val="Hyperlink"/>
                <w:noProof/>
              </w:rPr>
              <w:t>2.2 Partnership Working</w:t>
            </w:r>
            <w:r>
              <w:rPr>
                <w:noProof/>
                <w:webHidden/>
              </w:rPr>
              <w:tab/>
            </w:r>
            <w:r>
              <w:rPr>
                <w:noProof/>
                <w:webHidden/>
              </w:rPr>
              <w:fldChar w:fldCharType="begin"/>
            </w:r>
            <w:r>
              <w:rPr>
                <w:noProof/>
                <w:webHidden/>
              </w:rPr>
              <w:instrText xml:space="preserve"> PAGEREF _Toc241486977 \h </w:instrText>
            </w:r>
            <w:r>
              <w:rPr>
                <w:noProof/>
                <w:webHidden/>
              </w:rPr>
            </w:r>
            <w:r>
              <w:rPr>
                <w:noProof/>
                <w:webHidden/>
              </w:rPr>
              <w:fldChar w:fldCharType="separate"/>
            </w:r>
            <w:r>
              <w:rPr>
                <w:noProof/>
                <w:webHidden/>
              </w:rPr>
              <w:t>4</w:t>
            </w:r>
            <w:r>
              <w:rPr>
                <w:noProof/>
                <w:webHidden/>
              </w:rPr>
              <w:fldChar w:fldCharType="end"/>
            </w:r>
          </w:hyperlink>
        </w:p>
        <w:p w14:paraId="50181505" w14:textId="77777777" w:rsidR="00426F07" w:rsidRDefault="00426F07" w:rsidP="00FD043C">
          <w:pPr>
            <w:pStyle w:val="TOC2"/>
            <w:tabs>
              <w:tab w:val="right" w:leader="dot" w:pos="9350"/>
            </w:tabs>
            <w:rPr>
              <w:rFonts w:asciiTheme="minorHAnsi" w:eastAsiaTheme="minorEastAsia" w:hAnsiTheme="minorHAnsi"/>
              <w:noProof/>
              <w:lang w:val="en-GB" w:eastAsia="en-GB"/>
            </w:rPr>
          </w:pPr>
          <w:hyperlink w:anchor="_Toc241486978" w:history="1">
            <w:r w:rsidRPr="00572CEA">
              <w:rPr>
                <w:rStyle w:val="Hyperlink"/>
                <w:noProof/>
              </w:rPr>
              <w:t>2.3 Ethics in Health and Social Care</w:t>
            </w:r>
            <w:r>
              <w:rPr>
                <w:noProof/>
                <w:webHidden/>
              </w:rPr>
              <w:tab/>
            </w:r>
            <w:r>
              <w:rPr>
                <w:noProof/>
                <w:webHidden/>
              </w:rPr>
              <w:fldChar w:fldCharType="begin"/>
            </w:r>
            <w:r>
              <w:rPr>
                <w:noProof/>
                <w:webHidden/>
              </w:rPr>
              <w:instrText xml:space="preserve"> PAGEREF _Toc241486978 \h </w:instrText>
            </w:r>
            <w:r>
              <w:rPr>
                <w:noProof/>
                <w:webHidden/>
              </w:rPr>
            </w:r>
            <w:r>
              <w:rPr>
                <w:noProof/>
                <w:webHidden/>
              </w:rPr>
              <w:fldChar w:fldCharType="separate"/>
            </w:r>
            <w:r>
              <w:rPr>
                <w:noProof/>
                <w:webHidden/>
              </w:rPr>
              <w:t>4</w:t>
            </w:r>
            <w:r>
              <w:rPr>
                <w:noProof/>
                <w:webHidden/>
              </w:rPr>
              <w:fldChar w:fldCharType="end"/>
            </w:r>
          </w:hyperlink>
        </w:p>
        <w:p w14:paraId="46EB4705" w14:textId="77777777" w:rsidR="00426F07" w:rsidRDefault="00426F07" w:rsidP="00FD043C">
          <w:pPr>
            <w:pStyle w:val="TOC1"/>
            <w:tabs>
              <w:tab w:val="right" w:leader="dot" w:pos="9350"/>
            </w:tabs>
            <w:rPr>
              <w:rFonts w:asciiTheme="minorHAnsi" w:eastAsiaTheme="minorEastAsia" w:hAnsiTheme="minorHAnsi"/>
              <w:noProof/>
              <w:lang w:val="en-GB" w:eastAsia="en-GB"/>
            </w:rPr>
          </w:pPr>
          <w:hyperlink w:anchor="_Toc241486979" w:history="1">
            <w:r w:rsidRPr="00572CEA">
              <w:rPr>
                <w:rStyle w:val="Hyperlink"/>
                <w:noProof/>
              </w:rPr>
              <w:t>3. Task 2: Practical Application to Mrs C’s Case</w:t>
            </w:r>
            <w:r>
              <w:rPr>
                <w:noProof/>
                <w:webHidden/>
              </w:rPr>
              <w:tab/>
            </w:r>
            <w:r>
              <w:rPr>
                <w:noProof/>
                <w:webHidden/>
              </w:rPr>
              <w:fldChar w:fldCharType="begin"/>
            </w:r>
            <w:r>
              <w:rPr>
                <w:noProof/>
                <w:webHidden/>
              </w:rPr>
              <w:instrText xml:space="preserve"> PAGEREF _Toc241486979 \h </w:instrText>
            </w:r>
            <w:r>
              <w:rPr>
                <w:noProof/>
                <w:webHidden/>
              </w:rPr>
            </w:r>
            <w:r>
              <w:rPr>
                <w:noProof/>
                <w:webHidden/>
              </w:rPr>
              <w:fldChar w:fldCharType="separate"/>
            </w:r>
            <w:r>
              <w:rPr>
                <w:noProof/>
                <w:webHidden/>
              </w:rPr>
              <w:t>5</w:t>
            </w:r>
            <w:r>
              <w:rPr>
                <w:noProof/>
                <w:webHidden/>
              </w:rPr>
              <w:fldChar w:fldCharType="end"/>
            </w:r>
          </w:hyperlink>
        </w:p>
        <w:p w14:paraId="4B105B5D" w14:textId="77777777" w:rsidR="00426F07" w:rsidRDefault="00426F07" w:rsidP="00FD043C">
          <w:pPr>
            <w:pStyle w:val="TOC2"/>
            <w:tabs>
              <w:tab w:val="right" w:leader="dot" w:pos="9350"/>
            </w:tabs>
            <w:rPr>
              <w:rFonts w:asciiTheme="minorHAnsi" w:eastAsiaTheme="minorEastAsia" w:hAnsiTheme="minorHAnsi"/>
              <w:noProof/>
              <w:lang w:val="en-GB" w:eastAsia="en-GB"/>
            </w:rPr>
          </w:pPr>
          <w:hyperlink w:anchor="_Toc241486980" w:history="1">
            <w:r w:rsidRPr="00572CEA">
              <w:rPr>
                <w:rStyle w:val="Hyperlink"/>
                <w:noProof/>
              </w:rPr>
              <w:t>3.1 Person-Centred Care in Practice</w:t>
            </w:r>
            <w:r>
              <w:rPr>
                <w:noProof/>
                <w:webHidden/>
              </w:rPr>
              <w:tab/>
            </w:r>
            <w:r>
              <w:rPr>
                <w:noProof/>
                <w:webHidden/>
              </w:rPr>
              <w:fldChar w:fldCharType="begin"/>
            </w:r>
            <w:r>
              <w:rPr>
                <w:noProof/>
                <w:webHidden/>
              </w:rPr>
              <w:instrText xml:space="preserve"> PAGEREF _Toc241486980 \h </w:instrText>
            </w:r>
            <w:r>
              <w:rPr>
                <w:noProof/>
                <w:webHidden/>
              </w:rPr>
            </w:r>
            <w:r>
              <w:rPr>
                <w:noProof/>
                <w:webHidden/>
              </w:rPr>
              <w:fldChar w:fldCharType="separate"/>
            </w:r>
            <w:r>
              <w:rPr>
                <w:noProof/>
                <w:webHidden/>
              </w:rPr>
              <w:t>5</w:t>
            </w:r>
            <w:r>
              <w:rPr>
                <w:noProof/>
                <w:webHidden/>
              </w:rPr>
              <w:fldChar w:fldCharType="end"/>
            </w:r>
          </w:hyperlink>
        </w:p>
        <w:p w14:paraId="4D8DE2BD" w14:textId="77777777" w:rsidR="00426F07" w:rsidRDefault="00426F07" w:rsidP="00FD043C">
          <w:pPr>
            <w:pStyle w:val="TOC2"/>
            <w:tabs>
              <w:tab w:val="right" w:leader="dot" w:pos="9350"/>
            </w:tabs>
            <w:rPr>
              <w:rFonts w:asciiTheme="minorHAnsi" w:eastAsiaTheme="minorEastAsia" w:hAnsiTheme="minorHAnsi"/>
              <w:noProof/>
              <w:lang w:val="en-GB" w:eastAsia="en-GB"/>
            </w:rPr>
          </w:pPr>
          <w:hyperlink w:anchor="_Toc241486981" w:history="1">
            <w:r w:rsidRPr="00572CEA">
              <w:rPr>
                <w:rStyle w:val="Hyperlink"/>
                <w:noProof/>
              </w:rPr>
              <w:t>3.2 Partnership Working in Practice</w:t>
            </w:r>
            <w:r>
              <w:rPr>
                <w:noProof/>
                <w:webHidden/>
              </w:rPr>
              <w:tab/>
            </w:r>
            <w:r>
              <w:rPr>
                <w:noProof/>
                <w:webHidden/>
              </w:rPr>
              <w:fldChar w:fldCharType="begin"/>
            </w:r>
            <w:r>
              <w:rPr>
                <w:noProof/>
                <w:webHidden/>
              </w:rPr>
              <w:instrText xml:space="preserve"> PAGEREF _Toc241486981 \h </w:instrText>
            </w:r>
            <w:r>
              <w:rPr>
                <w:noProof/>
                <w:webHidden/>
              </w:rPr>
            </w:r>
            <w:r>
              <w:rPr>
                <w:noProof/>
                <w:webHidden/>
              </w:rPr>
              <w:fldChar w:fldCharType="separate"/>
            </w:r>
            <w:r>
              <w:rPr>
                <w:noProof/>
                <w:webHidden/>
              </w:rPr>
              <w:t>6</w:t>
            </w:r>
            <w:r>
              <w:rPr>
                <w:noProof/>
                <w:webHidden/>
              </w:rPr>
              <w:fldChar w:fldCharType="end"/>
            </w:r>
          </w:hyperlink>
        </w:p>
        <w:p w14:paraId="57405256" w14:textId="77777777" w:rsidR="00426F07" w:rsidRDefault="00426F07" w:rsidP="00FD043C">
          <w:pPr>
            <w:pStyle w:val="TOC2"/>
            <w:tabs>
              <w:tab w:val="right" w:leader="dot" w:pos="9350"/>
            </w:tabs>
            <w:rPr>
              <w:rFonts w:asciiTheme="minorHAnsi" w:eastAsiaTheme="minorEastAsia" w:hAnsiTheme="minorHAnsi"/>
              <w:noProof/>
              <w:lang w:val="en-GB" w:eastAsia="en-GB"/>
            </w:rPr>
          </w:pPr>
          <w:hyperlink w:anchor="_Toc241486982" w:history="1">
            <w:r w:rsidRPr="00572CEA">
              <w:rPr>
                <w:rStyle w:val="Hyperlink"/>
                <w:noProof/>
              </w:rPr>
              <w:t>3.3 Ethical Practice, Impact and Challenges</w:t>
            </w:r>
            <w:r>
              <w:rPr>
                <w:noProof/>
                <w:webHidden/>
              </w:rPr>
              <w:tab/>
            </w:r>
            <w:r>
              <w:rPr>
                <w:noProof/>
                <w:webHidden/>
              </w:rPr>
              <w:fldChar w:fldCharType="begin"/>
            </w:r>
            <w:r>
              <w:rPr>
                <w:noProof/>
                <w:webHidden/>
              </w:rPr>
              <w:instrText xml:space="preserve"> PAGEREF _Toc241486982 \h </w:instrText>
            </w:r>
            <w:r>
              <w:rPr>
                <w:noProof/>
                <w:webHidden/>
              </w:rPr>
            </w:r>
            <w:r>
              <w:rPr>
                <w:noProof/>
                <w:webHidden/>
              </w:rPr>
              <w:fldChar w:fldCharType="separate"/>
            </w:r>
            <w:r>
              <w:rPr>
                <w:noProof/>
                <w:webHidden/>
              </w:rPr>
              <w:t>6</w:t>
            </w:r>
            <w:r>
              <w:rPr>
                <w:noProof/>
                <w:webHidden/>
              </w:rPr>
              <w:fldChar w:fldCharType="end"/>
            </w:r>
          </w:hyperlink>
        </w:p>
        <w:p w14:paraId="59A399BD" w14:textId="77777777" w:rsidR="00426F07" w:rsidRDefault="00426F07" w:rsidP="00FD043C">
          <w:pPr>
            <w:pStyle w:val="TOC1"/>
            <w:tabs>
              <w:tab w:val="right" w:leader="dot" w:pos="9350"/>
            </w:tabs>
            <w:rPr>
              <w:rFonts w:asciiTheme="minorHAnsi" w:eastAsiaTheme="minorEastAsia" w:hAnsiTheme="minorHAnsi"/>
              <w:noProof/>
              <w:lang w:val="en-GB" w:eastAsia="en-GB"/>
            </w:rPr>
          </w:pPr>
          <w:hyperlink w:anchor="_Toc241486983" w:history="1">
            <w:r w:rsidRPr="00572CEA">
              <w:rPr>
                <w:rStyle w:val="Hyperlink"/>
                <w:noProof/>
              </w:rPr>
              <w:t>4. Task 3: Self-Reflection using Gibbs’ Reflective Cycle</w:t>
            </w:r>
            <w:r>
              <w:rPr>
                <w:noProof/>
                <w:webHidden/>
              </w:rPr>
              <w:tab/>
            </w:r>
            <w:r>
              <w:rPr>
                <w:noProof/>
                <w:webHidden/>
              </w:rPr>
              <w:fldChar w:fldCharType="begin"/>
            </w:r>
            <w:r>
              <w:rPr>
                <w:noProof/>
                <w:webHidden/>
              </w:rPr>
              <w:instrText xml:space="preserve"> PAGEREF _Toc241486983 \h </w:instrText>
            </w:r>
            <w:r>
              <w:rPr>
                <w:noProof/>
                <w:webHidden/>
              </w:rPr>
            </w:r>
            <w:r>
              <w:rPr>
                <w:noProof/>
                <w:webHidden/>
              </w:rPr>
              <w:fldChar w:fldCharType="separate"/>
            </w:r>
            <w:r>
              <w:rPr>
                <w:noProof/>
                <w:webHidden/>
              </w:rPr>
              <w:t>7</w:t>
            </w:r>
            <w:r>
              <w:rPr>
                <w:noProof/>
                <w:webHidden/>
              </w:rPr>
              <w:fldChar w:fldCharType="end"/>
            </w:r>
          </w:hyperlink>
        </w:p>
        <w:p w14:paraId="744DC219" w14:textId="77777777" w:rsidR="00426F07" w:rsidRDefault="00426F07" w:rsidP="00FD043C">
          <w:pPr>
            <w:pStyle w:val="TOC2"/>
            <w:tabs>
              <w:tab w:val="right" w:leader="dot" w:pos="9350"/>
            </w:tabs>
            <w:rPr>
              <w:rFonts w:asciiTheme="minorHAnsi" w:eastAsiaTheme="minorEastAsia" w:hAnsiTheme="minorHAnsi"/>
              <w:noProof/>
              <w:lang w:val="en-GB" w:eastAsia="en-GB"/>
            </w:rPr>
          </w:pPr>
          <w:hyperlink w:anchor="_Toc241486984" w:history="1">
            <w:r w:rsidRPr="00572CEA">
              <w:rPr>
                <w:rStyle w:val="Hyperlink"/>
                <w:noProof/>
              </w:rPr>
              <w:t>4.1 Description and Feelings</w:t>
            </w:r>
            <w:r>
              <w:rPr>
                <w:noProof/>
                <w:webHidden/>
              </w:rPr>
              <w:tab/>
            </w:r>
            <w:r>
              <w:rPr>
                <w:noProof/>
                <w:webHidden/>
              </w:rPr>
              <w:fldChar w:fldCharType="begin"/>
            </w:r>
            <w:r>
              <w:rPr>
                <w:noProof/>
                <w:webHidden/>
              </w:rPr>
              <w:instrText xml:space="preserve"> PAGEREF _Toc241486984 \h </w:instrText>
            </w:r>
            <w:r>
              <w:rPr>
                <w:noProof/>
                <w:webHidden/>
              </w:rPr>
            </w:r>
            <w:r>
              <w:rPr>
                <w:noProof/>
                <w:webHidden/>
              </w:rPr>
              <w:fldChar w:fldCharType="separate"/>
            </w:r>
            <w:r>
              <w:rPr>
                <w:noProof/>
                <w:webHidden/>
              </w:rPr>
              <w:t>7</w:t>
            </w:r>
            <w:r>
              <w:rPr>
                <w:noProof/>
                <w:webHidden/>
              </w:rPr>
              <w:fldChar w:fldCharType="end"/>
            </w:r>
          </w:hyperlink>
        </w:p>
        <w:p w14:paraId="661C1C23" w14:textId="77777777" w:rsidR="00426F07" w:rsidRDefault="00426F07" w:rsidP="00FD043C">
          <w:pPr>
            <w:pStyle w:val="TOC2"/>
            <w:tabs>
              <w:tab w:val="right" w:leader="dot" w:pos="9350"/>
            </w:tabs>
            <w:rPr>
              <w:rFonts w:asciiTheme="minorHAnsi" w:eastAsiaTheme="minorEastAsia" w:hAnsiTheme="minorHAnsi"/>
              <w:noProof/>
              <w:lang w:val="en-GB" w:eastAsia="en-GB"/>
            </w:rPr>
          </w:pPr>
          <w:hyperlink w:anchor="_Toc241486985" w:history="1">
            <w:r w:rsidRPr="00572CEA">
              <w:rPr>
                <w:rStyle w:val="Hyperlink"/>
                <w:noProof/>
              </w:rPr>
              <w:t>4.2 Evaluation and Analysis</w:t>
            </w:r>
            <w:r>
              <w:rPr>
                <w:noProof/>
                <w:webHidden/>
              </w:rPr>
              <w:tab/>
            </w:r>
            <w:r>
              <w:rPr>
                <w:noProof/>
                <w:webHidden/>
              </w:rPr>
              <w:fldChar w:fldCharType="begin"/>
            </w:r>
            <w:r>
              <w:rPr>
                <w:noProof/>
                <w:webHidden/>
              </w:rPr>
              <w:instrText xml:space="preserve"> PAGEREF _Toc241486985 \h </w:instrText>
            </w:r>
            <w:r>
              <w:rPr>
                <w:noProof/>
                <w:webHidden/>
              </w:rPr>
            </w:r>
            <w:r>
              <w:rPr>
                <w:noProof/>
                <w:webHidden/>
              </w:rPr>
              <w:fldChar w:fldCharType="separate"/>
            </w:r>
            <w:r>
              <w:rPr>
                <w:noProof/>
                <w:webHidden/>
              </w:rPr>
              <w:t>7</w:t>
            </w:r>
            <w:r>
              <w:rPr>
                <w:noProof/>
                <w:webHidden/>
              </w:rPr>
              <w:fldChar w:fldCharType="end"/>
            </w:r>
          </w:hyperlink>
        </w:p>
        <w:p w14:paraId="5F70497F" w14:textId="77777777" w:rsidR="00426F07" w:rsidRDefault="00426F07" w:rsidP="00FD043C">
          <w:pPr>
            <w:pStyle w:val="TOC2"/>
            <w:tabs>
              <w:tab w:val="right" w:leader="dot" w:pos="9350"/>
            </w:tabs>
            <w:rPr>
              <w:rFonts w:asciiTheme="minorHAnsi" w:eastAsiaTheme="minorEastAsia" w:hAnsiTheme="minorHAnsi"/>
              <w:noProof/>
              <w:lang w:val="en-GB" w:eastAsia="en-GB"/>
            </w:rPr>
          </w:pPr>
          <w:hyperlink w:anchor="_Toc241486986" w:history="1">
            <w:r w:rsidRPr="00572CEA">
              <w:rPr>
                <w:rStyle w:val="Hyperlink"/>
                <w:noProof/>
              </w:rPr>
              <w:t>4.3 Conclusion and Action Plan</w:t>
            </w:r>
            <w:r>
              <w:rPr>
                <w:noProof/>
                <w:webHidden/>
              </w:rPr>
              <w:tab/>
            </w:r>
            <w:r>
              <w:rPr>
                <w:noProof/>
                <w:webHidden/>
              </w:rPr>
              <w:fldChar w:fldCharType="begin"/>
            </w:r>
            <w:r>
              <w:rPr>
                <w:noProof/>
                <w:webHidden/>
              </w:rPr>
              <w:instrText xml:space="preserve"> PAGEREF _Toc241486986 \h </w:instrText>
            </w:r>
            <w:r>
              <w:rPr>
                <w:noProof/>
                <w:webHidden/>
              </w:rPr>
            </w:r>
            <w:r>
              <w:rPr>
                <w:noProof/>
                <w:webHidden/>
              </w:rPr>
              <w:fldChar w:fldCharType="separate"/>
            </w:r>
            <w:r>
              <w:rPr>
                <w:noProof/>
                <w:webHidden/>
              </w:rPr>
              <w:t>8</w:t>
            </w:r>
            <w:r>
              <w:rPr>
                <w:noProof/>
                <w:webHidden/>
              </w:rPr>
              <w:fldChar w:fldCharType="end"/>
            </w:r>
          </w:hyperlink>
        </w:p>
        <w:p w14:paraId="71C084B8" w14:textId="77777777" w:rsidR="00426F07" w:rsidRDefault="00426F07" w:rsidP="00FD043C">
          <w:pPr>
            <w:pStyle w:val="TOC1"/>
            <w:tabs>
              <w:tab w:val="right" w:leader="dot" w:pos="9350"/>
            </w:tabs>
            <w:rPr>
              <w:rFonts w:asciiTheme="minorHAnsi" w:eastAsiaTheme="minorEastAsia" w:hAnsiTheme="minorHAnsi"/>
              <w:noProof/>
              <w:lang w:val="en-GB" w:eastAsia="en-GB"/>
            </w:rPr>
          </w:pPr>
          <w:hyperlink w:anchor="_Toc241486987" w:history="1">
            <w:r w:rsidRPr="00572CEA">
              <w:rPr>
                <w:rStyle w:val="Hyperlink"/>
                <w:noProof/>
              </w:rPr>
              <w:t>5. Conclusion</w:t>
            </w:r>
            <w:r>
              <w:rPr>
                <w:noProof/>
                <w:webHidden/>
              </w:rPr>
              <w:tab/>
            </w:r>
            <w:r>
              <w:rPr>
                <w:noProof/>
                <w:webHidden/>
              </w:rPr>
              <w:fldChar w:fldCharType="begin"/>
            </w:r>
            <w:r>
              <w:rPr>
                <w:noProof/>
                <w:webHidden/>
              </w:rPr>
              <w:instrText xml:space="preserve"> PAGEREF _Toc241486987 \h </w:instrText>
            </w:r>
            <w:r>
              <w:rPr>
                <w:noProof/>
                <w:webHidden/>
              </w:rPr>
            </w:r>
            <w:r>
              <w:rPr>
                <w:noProof/>
                <w:webHidden/>
              </w:rPr>
              <w:fldChar w:fldCharType="separate"/>
            </w:r>
            <w:r>
              <w:rPr>
                <w:noProof/>
                <w:webHidden/>
              </w:rPr>
              <w:t>9</w:t>
            </w:r>
            <w:r>
              <w:rPr>
                <w:noProof/>
                <w:webHidden/>
              </w:rPr>
              <w:fldChar w:fldCharType="end"/>
            </w:r>
          </w:hyperlink>
        </w:p>
        <w:p w14:paraId="01B08327" w14:textId="77777777" w:rsidR="00426F07" w:rsidRDefault="00426F07" w:rsidP="00FD043C">
          <w:pPr>
            <w:pStyle w:val="TOC1"/>
            <w:tabs>
              <w:tab w:val="right" w:leader="dot" w:pos="9350"/>
            </w:tabs>
            <w:rPr>
              <w:rFonts w:asciiTheme="minorHAnsi" w:eastAsiaTheme="minorEastAsia" w:hAnsiTheme="minorHAnsi"/>
              <w:noProof/>
              <w:lang w:val="en-GB" w:eastAsia="en-GB"/>
            </w:rPr>
          </w:pPr>
          <w:hyperlink w:anchor="_Toc241486988" w:history="1">
            <w:r w:rsidRPr="00572CEA">
              <w:rPr>
                <w:rStyle w:val="Hyperlink"/>
                <w:noProof/>
              </w:rPr>
              <w:t>References</w:t>
            </w:r>
            <w:r>
              <w:rPr>
                <w:noProof/>
                <w:webHidden/>
              </w:rPr>
              <w:tab/>
            </w:r>
            <w:r>
              <w:rPr>
                <w:noProof/>
                <w:webHidden/>
              </w:rPr>
              <w:fldChar w:fldCharType="begin"/>
            </w:r>
            <w:r>
              <w:rPr>
                <w:noProof/>
                <w:webHidden/>
              </w:rPr>
              <w:instrText xml:space="preserve"> PAGEREF _Toc241486988 \h </w:instrText>
            </w:r>
            <w:r>
              <w:rPr>
                <w:noProof/>
                <w:webHidden/>
              </w:rPr>
            </w:r>
            <w:r>
              <w:rPr>
                <w:noProof/>
                <w:webHidden/>
              </w:rPr>
              <w:fldChar w:fldCharType="separate"/>
            </w:r>
            <w:r>
              <w:rPr>
                <w:noProof/>
                <w:webHidden/>
              </w:rPr>
              <w:t>10</w:t>
            </w:r>
            <w:r>
              <w:rPr>
                <w:noProof/>
                <w:webHidden/>
              </w:rPr>
              <w:fldChar w:fldCharType="end"/>
            </w:r>
          </w:hyperlink>
        </w:p>
        <w:p w14:paraId="6BA42FD4" w14:textId="77777777" w:rsidR="00426F07" w:rsidRDefault="00426F07" w:rsidP="00FD043C">
          <w:r>
            <w:rPr>
              <w:b/>
              <w:bCs/>
              <w:noProof/>
            </w:rPr>
            <w:fldChar w:fldCharType="end"/>
          </w:r>
        </w:p>
      </w:sdtContent>
    </w:sdt>
    <w:p w14:paraId="14CBCEDB" w14:textId="77777777" w:rsidR="00426F07" w:rsidRPr="00426F07" w:rsidRDefault="00426F07" w:rsidP="00FD043C">
      <w:pPr>
        <w:pStyle w:val="TableofFigures"/>
        <w:tabs>
          <w:tab w:val="right" w:leader="dot" w:pos="9350"/>
        </w:tabs>
        <w:rPr>
          <w:b/>
        </w:rPr>
      </w:pPr>
      <w:r w:rsidRPr="00426F07">
        <w:rPr>
          <w:b/>
        </w:rPr>
        <w:t xml:space="preserve">List of Tables </w:t>
      </w:r>
    </w:p>
    <w:p w14:paraId="69CB751B" w14:textId="77777777" w:rsidR="00426F07" w:rsidRDefault="00426F07" w:rsidP="00FD043C">
      <w:pPr>
        <w:pStyle w:val="TableofFigures"/>
        <w:tabs>
          <w:tab w:val="right" w:leader="dot" w:pos="9350"/>
        </w:tabs>
        <w:rPr>
          <w:noProof/>
        </w:rPr>
      </w:pPr>
      <w:r>
        <w:fldChar w:fldCharType="begin"/>
      </w:r>
      <w:r>
        <w:instrText xml:space="preserve"> TOC \h \z \c "Table" </w:instrText>
      </w:r>
      <w:r>
        <w:fldChar w:fldCharType="separate"/>
      </w:r>
      <w:hyperlink w:anchor="_Toc241486927" w:history="1">
        <w:r w:rsidRPr="003C50B0">
          <w:rPr>
            <w:rStyle w:val="Hyperlink"/>
            <w:noProof/>
          </w:rPr>
          <w:t>Table 1: Critical synthesis of the three principles</w:t>
        </w:r>
        <w:r>
          <w:rPr>
            <w:noProof/>
            <w:webHidden/>
          </w:rPr>
          <w:tab/>
        </w:r>
        <w:r>
          <w:rPr>
            <w:noProof/>
            <w:webHidden/>
          </w:rPr>
          <w:fldChar w:fldCharType="begin"/>
        </w:r>
        <w:r>
          <w:rPr>
            <w:noProof/>
            <w:webHidden/>
          </w:rPr>
          <w:instrText xml:space="preserve"> PAGEREF _Toc241486927 \h </w:instrText>
        </w:r>
        <w:r>
          <w:rPr>
            <w:noProof/>
            <w:webHidden/>
          </w:rPr>
        </w:r>
        <w:r>
          <w:rPr>
            <w:noProof/>
            <w:webHidden/>
          </w:rPr>
          <w:fldChar w:fldCharType="separate"/>
        </w:r>
        <w:r>
          <w:rPr>
            <w:noProof/>
            <w:webHidden/>
          </w:rPr>
          <w:t>5</w:t>
        </w:r>
        <w:r>
          <w:rPr>
            <w:noProof/>
            <w:webHidden/>
          </w:rPr>
          <w:fldChar w:fldCharType="end"/>
        </w:r>
      </w:hyperlink>
    </w:p>
    <w:p w14:paraId="3D588CF0" w14:textId="77777777" w:rsidR="00426F07" w:rsidRDefault="00426F07" w:rsidP="00FD043C">
      <w:pPr>
        <w:pStyle w:val="TableofFigures"/>
        <w:tabs>
          <w:tab w:val="right" w:leader="dot" w:pos="9350"/>
        </w:tabs>
        <w:rPr>
          <w:noProof/>
        </w:rPr>
      </w:pPr>
      <w:hyperlink w:anchor="_Toc241486928" w:history="1">
        <w:r w:rsidRPr="003C50B0">
          <w:rPr>
            <w:rStyle w:val="Hyperlink"/>
            <w:noProof/>
          </w:rPr>
          <w:t>Table 2: Professional development action plan</w:t>
        </w:r>
        <w:r>
          <w:rPr>
            <w:noProof/>
            <w:webHidden/>
          </w:rPr>
          <w:tab/>
        </w:r>
        <w:r>
          <w:rPr>
            <w:noProof/>
            <w:webHidden/>
          </w:rPr>
          <w:fldChar w:fldCharType="begin"/>
        </w:r>
        <w:r>
          <w:rPr>
            <w:noProof/>
            <w:webHidden/>
          </w:rPr>
          <w:instrText xml:space="preserve"> PAGEREF _Toc241486928 \h </w:instrText>
        </w:r>
        <w:r>
          <w:rPr>
            <w:noProof/>
            <w:webHidden/>
          </w:rPr>
        </w:r>
        <w:r>
          <w:rPr>
            <w:noProof/>
            <w:webHidden/>
          </w:rPr>
          <w:fldChar w:fldCharType="separate"/>
        </w:r>
        <w:r>
          <w:rPr>
            <w:noProof/>
            <w:webHidden/>
          </w:rPr>
          <w:t>8</w:t>
        </w:r>
        <w:r>
          <w:rPr>
            <w:noProof/>
            <w:webHidden/>
          </w:rPr>
          <w:fldChar w:fldCharType="end"/>
        </w:r>
      </w:hyperlink>
    </w:p>
    <w:p w14:paraId="09239DE5" w14:textId="77777777" w:rsidR="00F33B50" w:rsidRDefault="00426F07" w:rsidP="00FD043C">
      <w:r>
        <w:fldChar w:fldCharType="end"/>
      </w:r>
      <w:r w:rsidR="005A56EA">
        <w:br w:type="page"/>
      </w:r>
    </w:p>
    <w:p w14:paraId="366D1157" w14:textId="77777777" w:rsidR="00F33B50" w:rsidRPr="00426F07" w:rsidRDefault="005A56EA" w:rsidP="00FD043C">
      <w:pPr>
        <w:pStyle w:val="Heading1"/>
      </w:pPr>
      <w:bookmarkStart w:id="0" w:name="_Toc241486974"/>
      <w:r w:rsidRPr="00426F07">
        <w:t>1. Introduction</w:t>
      </w:r>
      <w:bookmarkEnd w:id="0"/>
    </w:p>
    <w:p w14:paraId="113F0476" w14:textId="77777777" w:rsidR="00426F07" w:rsidRDefault="00D4548D" w:rsidP="00FD043C">
      <w:r w:rsidRPr="00D4548D">
        <w:t>The quality of health and social care now hinges upon the ability to consider the person beyond the diagnosis, the integration of knowledge across organisational boundaries and making judgements where preferences, risk and professional responsibilities clash. Person-centred care, partnership and ethics are hence inextricably linked and not unrelated concepts. A mixed-method development study of person-centred integrated care has shown that chronic disease management is compromised by having health services oriented to a specific condition rather than to the person (Raaijmakers et al., 2023).</w:t>
      </w:r>
      <w:r>
        <w:t xml:space="preserve"> </w:t>
      </w:r>
      <w:r w:rsidRPr="00D4548D">
        <w:t xml:space="preserve">The present paper critically discusses these principles, discusses their application via the case of Mrs. C and reflects upon their significance in professional practice. </w:t>
      </w:r>
      <w:r w:rsidR="008D7DCC" w:rsidRPr="008D7DCC">
        <w:t>The analysis considers such factors as shared decision making, multidisciplinary approach, autonomy, beneficen</w:t>
      </w:r>
      <w:r w:rsidR="008944E5">
        <w:t>ce, non-maleficence and justice</w:t>
      </w:r>
      <w:r w:rsidR="008D7DCC" w:rsidRPr="008D7DCC">
        <w:t xml:space="preserve"> and legal regulations in the UK and contemporary research evidence.</w:t>
      </w:r>
      <w:r w:rsidR="008D7DCC">
        <w:t xml:space="preserve"> </w:t>
      </w:r>
    </w:p>
    <w:p w14:paraId="399ACBC7" w14:textId="77777777" w:rsidR="00F33B50" w:rsidRPr="00426F07" w:rsidRDefault="005A56EA" w:rsidP="00FD043C">
      <w:pPr>
        <w:pStyle w:val="Heading1"/>
      </w:pPr>
      <w:bookmarkStart w:id="1" w:name="_Toc241486975"/>
      <w:r w:rsidRPr="00426F07">
        <w:t>2. Task 1: Critical Reflection on the Importance of Health and Social Care Principles</w:t>
      </w:r>
      <w:bookmarkEnd w:id="1"/>
    </w:p>
    <w:p w14:paraId="028871E1" w14:textId="77777777" w:rsidR="00F33B50" w:rsidRPr="00426F07" w:rsidRDefault="005A56EA" w:rsidP="00FD043C">
      <w:pPr>
        <w:pStyle w:val="Heading2"/>
      </w:pPr>
      <w:bookmarkStart w:id="2" w:name="_Toc241486976"/>
      <w:r w:rsidRPr="00426F07">
        <w:t>2.1 Person-Centred Care</w:t>
      </w:r>
      <w:bookmarkEnd w:id="2"/>
    </w:p>
    <w:p w14:paraId="47857D62" w14:textId="77777777" w:rsidR="00211797" w:rsidRDefault="006D7BFE" w:rsidP="00FD043C">
      <w:r>
        <w:t>Person-centered care recognis</w:t>
      </w:r>
      <w:r w:rsidR="00211797" w:rsidRPr="00211797">
        <w:t>es individuals as active stakeholders whose preferences, values, goals, and circumstances need to be considered when making decisions regarding treatment. The research confirms that shared decision-making and patient-centered communication go hand-in-hand, and satisfaction is higher in cases where both are present (Siebinga et al., 2022). This relates to the importance of wellbe</w:t>
      </w:r>
      <w:r>
        <w:t>ing, choice and control emphasis</w:t>
      </w:r>
      <w:r w:rsidR="00211797" w:rsidRPr="00211797">
        <w:t>ed in the Care Act 2014</w:t>
      </w:r>
      <w:r w:rsidR="003E18F0" w:rsidRPr="003E18F0">
        <w:t xml:space="preserve"> (GOV.UK, 2014)</w:t>
      </w:r>
      <w:r w:rsidR="00211797" w:rsidRPr="00211797">
        <w:t>. Nevertheless, one should not look at person-centered care with a rose-tinted perspective. Tian et al. (2024) discovered that good physician communication increased patients' satisfaction but did not necessarily increase their involvement, whereas trust did.</w:t>
      </w:r>
    </w:p>
    <w:p w14:paraId="6727FEBB" w14:textId="77777777" w:rsidR="00F33B50" w:rsidRPr="00426F07" w:rsidRDefault="005A56EA" w:rsidP="00FD043C">
      <w:pPr>
        <w:pStyle w:val="Heading2"/>
      </w:pPr>
      <w:bookmarkStart w:id="3" w:name="_Toc241486977"/>
      <w:r w:rsidRPr="00426F07">
        <w:t>2.2 Partnership Working</w:t>
      </w:r>
      <w:bookmarkEnd w:id="3"/>
    </w:p>
    <w:p w14:paraId="04642C85" w14:textId="77777777" w:rsidR="00211797" w:rsidRDefault="00211797" w:rsidP="00FD043C">
      <w:r w:rsidRPr="00211797">
        <w:t xml:space="preserve">Partner working involves collaboration between health and social care professionals, voluntary and community organisations, service users and, where appropriate, families. Its main value lies in combining different forms of expertise while reducing duplication, fragmented care and conflicting practices. Douglas et al. (2022), through observations of 28 multidisciplinary team meetings across 11 English teams, found that effective coordination depended on active processes such as information sharing, problem solving, decision-making and task allocation. </w:t>
      </w:r>
      <w:r w:rsidR="008D7DCC" w:rsidRPr="008D7DCC">
        <w:t>This means that the partnership is a process in itself, not just a gathering of professionals.</w:t>
      </w:r>
      <w:r w:rsidR="008D7DCC">
        <w:t xml:space="preserve"> </w:t>
      </w:r>
      <w:r w:rsidRPr="00211797">
        <w:t>The Health and Care Act 2022 further strengthened integration through statutory integrated care systems</w:t>
      </w:r>
      <w:r w:rsidR="003E18F0" w:rsidRPr="003E18F0">
        <w:t xml:space="preserve"> (GOV.UK, 2022)</w:t>
      </w:r>
      <w:r w:rsidRPr="00211797">
        <w:t>. However, structural integration does not automatically produce effective collaboration. Alderwick et al. (2024) identified persistent cultural, conceptual and capacity barriers across three English integrated care systems. Therefore, partnership should be assessed through continuity, shared accountability and improved service-user outcomes rather than organisational participation alone.</w:t>
      </w:r>
    </w:p>
    <w:p w14:paraId="120CA2F7" w14:textId="77777777" w:rsidR="00F33B50" w:rsidRPr="00426F07" w:rsidRDefault="005A56EA" w:rsidP="00FD043C">
      <w:pPr>
        <w:pStyle w:val="Heading2"/>
      </w:pPr>
      <w:bookmarkStart w:id="4" w:name="_Toc241486978"/>
      <w:r w:rsidRPr="00426F07">
        <w:t>2.3 Ethics in Health and Social Care</w:t>
      </w:r>
      <w:bookmarkEnd w:id="4"/>
    </w:p>
    <w:p w14:paraId="09D49D80" w14:textId="77777777" w:rsidR="008D7DCC" w:rsidRDefault="00D4548D" w:rsidP="00FD043C">
      <w:r w:rsidRPr="00D4548D">
        <w:t>The principle of ethics is fundamental to providing guidance on how care must be provided when there is conflict between legitimate interests. The principle of autonomy involves making an informed decision; beneficence means that the actions undertaken must promote wellbeing; non-maleficence involves taking action that avoids excessive harm; and finally, justice involves equality in distribution of resources. There may be conflict between these ethical principles. The client may want an action that is risky from the clinical point of view.</w:t>
      </w:r>
      <w:r w:rsidR="005A56EA">
        <w:t xml:space="preserve"> </w:t>
      </w:r>
      <w:r w:rsidRPr="00D4548D">
        <w:t xml:space="preserve">Surveys have revealed that some individuals, especially those who are less educated or chronically ill, tend to opt for a more passive approach to decision making, provided the decision is done correctly through shared decision making (Birkeland et al., 2023). In ethical person-centered practice, it becomes important to consider the extent of the person’s involvement in the process instead of forcing participation, which could become yet another norm of the profession. </w:t>
      </w:r>
      <w:r w:rsidR="008D7DCC" w:rsidRPr="008D7DCC">
        <w:t>Issues relating to the balance between confidentiality and collaboration can occur when information must be exchanged to deliver safe care.</w:t>
      </w:r>
    </w:p>
    <w:p w14:paraId="3CAADAB8" w14:textId="77777777" w:rsidR="00426F07" w:rsidRPr="00426F07" w:rsidRDefault="00426F07" w:rsidP="00FD043C">
      <w:pPr>
        <w:pStyle w:val="Caption"/>
        <w:spacing w:line="360" w:lineRule="auto"/>
        <w:rPr>
          <w:sz w:val="22"/>
          <w:szCs w:val="22"/>
        </w:rPr>
      </w:pPr>
      <w:bookmarkStart w:id="5" w:name="_Toc241486927"/>
      <w:r w:rsidRPr="00426F07">
        <w:rPr>
          <w:sz w:val="22"/>
          <w:szCs w:val="22"/>
        </w:rPr>
        <w:t xml:space="preserve">Table </w:t>
      </w:r>
      <w:r w:rsidRPr="00426F07">
        <w:rPr>
          <w:sz w:val="22"/>
          <w:szCs w:val="22"/>
        </w:rPr>
        <w:fldChar w:fldCharType="begin"/>
      </w:r>
      <w:r w:rsidRPr="00426F07">
        <w:rPr>
          <w:sz w:val="22"/>
          <w:szCs w:val="22"/>
        </w:rPr>
        <w:instrText xml:space="preserve"> SEQ Table \* ARABIC </w:instrText>
      </w:r>
      <w:r w:rsidRPr="00426F07">
        <w:rPr>
          <w:sz w:val="22"/>
          <w:szCs w:val="22"/>
        </w:rPr>
        <w:fldChar w:fldCharType="separate"/>
      </w:r>
      <w:r w:rsidRPr="00426F07">
        <w:rPr>
          <w:noProof/>
          <w:sz w:val="22"/>
          <w:szCs w:val="22"/>
        </w:rPr>
        <w:t>1</w:t>
      </w:r>
      <w:r w:rsidRPr="00426F07">
        <w:rPr>
          <w:sz w:val="22"/>
          <w:szCs w:val="22"/>
        </w:rPr>
        <w:fldChar w:fldCharType="end"/>
      </w:r>
      <w:r w:rsidRPr="00426F07">
        <w:rPr>
          <w:sz w:val="22"/>
          <w:szCs w:val="22"/>
        </w:rPr>
        <w:t>: Critical synthesis of the three principles</w:t>
      </w:r>
      <w:bookmarkEnd w:id="5"/>
    </w:p>
    <w:tbl>
      <w:tblPr>
        <w:tblStyle w:val="TableGrid"/>
        <w:tblW w:w="0" w:type="auto"/>
        <w:jc w:val="center"/>
        <w:tblLook w:val="04A0" w:firstRow="1" w:lastRow="0" w:firstColumn="1" w:lastColumn="0" w:noHBand="0" w:noVBand="1"/>
      </w:tblPr>
      <w:tblGrid>
        <w:gridCol w:w="2337"/>
        <w:gridCol w:w="2337"/>
        <w:gridCol w:w="2338"/>
        <w:gridCol w:w="2338"/>
      </w:tblGrid>
      <w:tr w:rsidR="00F33B50" w:rsidRPr="00426F07" w14:paraId="5F1C2BF7" w14:textId="77777777" w:rsidTr="00426F07">
        <w:trPr>
          <w:jc w:val="center"/>
        </w:trPr>
        <w:tc>
          <w:tcPr>
            <w:tcW w:w="2337" w:type="dxa"/>
            <w:vAlign w:val="center"/>
          </w:tcPr>
          <w:p w14:paraId="0195868F" w14:textId="77777777" w:rsidR="00F33B50" w:rsidRPr="00426F07" w:rsidRDefault="005A56EA" w:rsidP="00FD043C">
            <w:r w:rsidRPr="00426F07">
              <w:t>Principle</w:t>
            </w:r>
          </w:p>
        </w:tc>
        <w:tc>
          <w:tcPr>
            <w:tcW w:w="2337" w:type="dxa"/>
            <w:vAlign w:val="center"/>
          </w:tcPr>
          <w:p w14:paraId="6057DAE3" w14:textId="77777777" w:rsidR="00F33B50" w:rsidRPr="00426F07" w:rsidRDefault="005A56EA" w:rsidP="00FD043C">
            <w:r w:rsidRPr="00426F07">
              <w:t>Primary contribution</w:t>
            </w:r>
          </w:p>
        </w:tc>
        <w:tc>
          <w:tcPr>
            <w:tcW w:w="2338" w:type="dxa"/>
            <w:vAlign w:val="center"/>
          </w:tcPr>
          <w:p w14:paraId="2575267C" w14:textId="77777777" w:rsidR="00F33B50" w:rsidRPr="00426F07" w:rsidRDefault="005A56EA" w:rsidP="00FD043C">
            <w:r w:rsidRPr="00426F07">
              <w:t>Critical limitation</w:t>
            </w:r>
          </w:p>
        </w:tc>
        <w:tc>
          <w:tcPr>
            <w:tcW w:w="2338" w:type="dxa"/>
            <w:vAlign w:val="center"/>
          </w:tcPr>
          <w:p w14:paraId="1A523732" w14:textId="77777777" w:rsidR="00F33B50" w:rsidRPr="00426F07" w:rsidRDefault="005A56EA" w:rsidP="00FD043C">
            <w:r w:rsidRPr="00426F07">
              <w:t>Distinction-level judgement</w:t>
            </w:r>
          </w:p>
        </w:tc>
      </w:tr>
      <w:tr w:rsidR="00F33B50" w:rsidRPr="00426F07" w14:paraId="0B1C3E8D" w14:textId="77777777" w:rsidTr="00426F07">
        <w:trPr>
          <w:jc w:val="center"/>
        </w:trPr>
        <w:tc>
          <w:tcPr>
            <w:tcW w:w="2337" w:type="dxa"/>
            <w:vAlign w:val="center"/>
          </w:tcPr>
          <w:p w14:paraId="56CF826A" w14:textId="77777777" w:rsidR="00F33B50" w:rsidRPr="00426F07" w:rsidRDefault="005A56EA" w:rsidP="00FD043C">
            <w:r w:rsidRPr="00426F07">
              <w:t>Person-centred care</w:t>
            </w:r>
          </w:p>
        </w:tc>
        <w:tc>
          <w:tcPr>
            <w:tcW w:w="2337" w:type="dxa"/>
            <w:vAlign w:val="center"/>
          </w:tcPr>
          <w:p w14:paraId="71CAF49F" w14:textId="77777777" w:rsidR="00F33B50" w:rsidRPr="00426F07" w:rsidRDefault="005A56EA" w:rsidP="00FD043C">
            <w:r w:rsidRPr="00426F07">
              <w:t>Choice, dignity, individual goals and participation</w:t>
            </w:r>
          </w:p>
        </w:tc>
        <w:tc>
          <w:tcPr>
            <w:tcW w:w="2338" w:type="dxa"/>
            <w:vAlign w:val="center"/>
          </w:tcPr>
          <w:p w14:paraId="121768FB" w14:textId="77777777" w:rsidR="00F33B50" w:rsidRPr="00426F07" w:rsidRDefault="005A56EA" w:rsidP="00FD043C">
            <w:r w:rsidRPr="00426F07">
              <w:t>Choice may be symbolic where information, capacity or power is unequal</w:t>
            </w:r>
          </w:p>
        </w:tc>
        <w:tc>
          <w:tcPr>
            <w:tcW w:w="2338" w:type="dxa"/>
            <w:vAlign w:val="center"/>
          </w:tcPr>
          <w:p w14:paraId="27232A58" w14:textId="77777777" w:rsidR="00F33B50" w:rsidRPr="00426F07" w:rsidRDefault="005A56EA" w:rsidP="00FD043C">
            <w:r w:rsidRPr="00426F07">
              <w:t>Judge quality by meaningful involvement, not the existence of options</w:t>
            </w:r>
          </w:p>
        </w:tc>
      </w:tr>
      <w:tr w:rsidR="00F33B50" w:rsidRPr="00426F07" w14:paraId="7537E533" w14:textId="77777777" w:rsidTr="00426F07">
        <w:trPr>
          <w:jc w:val="center"/>
        </w:trPr>
        <w:tc>
          <w:tcPr>
            <w:tcW w:w="2337" w:type="dxa"/>
            <w:vAlign w:val="center"/>
          </w:tcPr>
          <w:p w14:paraId="55984CC3" w14:textId="77777777" w:rsidR="00F33B50" w:rsidRPr="00426F07" w:rsidRDefault="005A56EA" w:rsidP="00FD043C">
            <w:r w:rsidRPr="00426F07">
              <w:t>Partnership working</w:t>
            </w:r>
          </w:p>
        </w:tc>
        <w:tc>
          <w:tcPr>
            <w:tcW w:w="2337" w:type="dxa"/>
            <w:vAlign w:val="center"/>
          </w:tcPr>
          <w:p w14:paraId="4EC5AEC1" w14:textId="77777777" w:rsidR="00F33B50" w:rsidRPr="00426F07" w:rsidRDefault="005A56EA" w:rsidP="00FD043C">
            <w:r w:rsidRPr="00426F07">
              <w:t>Continuity, combined expertise and coordinated action</w:t>
            </w:r>
          </w:p>
        </w:tc>
        <w:tc>
          <w:tcPr>
            <w:tcW w:w="2338" w:type="dxa"/>
            <w:vAlign w:val="center"/>
          </w:tcPr>
          <w:p w14:paraId="10CDFAC2" w14:textId="77777777" w:rsidR="00F33B50" w:rsidRPr="00426F07" w:rsidRDefault="005A56EA" w:rsidP="00FD043C">
            <w:r w:rsidRPr="00426F07">
              <w:t>Structural integration may coexist with weak communication or unclear accountability</w:t>
            </w:r>
          </w:p>
        </w:tc>
        <w:tc>
          <w:tcPr>
            <w:tcW w:w="2338" w:type="dxa"/>
            <w:vAlign w:val="center"/>
          </w:tcPr>
          <w:p w14:paraId="49199362" w14:textId="77777777" w:rsidR="00F33B50" w:rsidRPr="00426F07" w:rsidRDefault="005A56EA" w:rsidP="00FD043C">
            <w:r w:rsidRPr="00426F07">
              <w:t>Judge partnership by coordination and outcomes, not organisational form</w:t>
            </w:r>
          </w:p>
        </w:tc>
      </w:tr>
      <w:tr w:rsidR="00F33B50" w:rsidRPr="00426F07" w14:paraId="16E1BF8C" w14:textId="77777777" w:rsidTr="00426F07">
        <w:trPr>
          <w:jc w:val="center"/>
        </w:trPr>
        <w:tc>
          <w:tcPr>
            <w:tcW w:w="2337" w:type="dxa"/>
            <w:vAlign w:val="center"/>
          </w:tcPr>
          <w:p w14:paraId="7C60C41E" w14:textId="77777777" w:rsidR="00F33B50" w:rsidRPr="00426F07" w:rsidRDefault="005A56EA" w:rsidP="00FD043C">
            <w:r w:rsidRPr="00426F07">
              <w:t>Ethical practice</w:t>
            </w:r>
          </w:p>
        </w:tc>
        <w:tc>
          <w:tcPr>
            <w:tcW w:w="2337" w:type="dxa"/>
            <w:vAlign w:val="center"/>
          </w:tcPr>
          <w:p w14:paraId="2750B700" w14:textId="77777777" w:rsidR="00F33B50" w:rsidRPr="00426F07" w:rsidRDefault="005A56EA" w:rsidP="00FD043C">
            <w:r w:rsidRPr="00426F07">
              <w:t>Justifies decisions through autonomy, benefit, harm avoidance and fairness</w:t>
            </w:r>
          </w:p>
        </w:tc>
        <w:tc>
          <w:tcPr>
            <w:tcW w:w="2338" w:type="dxa"/>
            <w:vAlign w:val="center"/>
          </w:tcPr>
          <w:p w14:paraId="5E893777" w14:textId="77777777" w:rsidR="00F33B50" w:rsidRPr="00426F07" w:rsidRDefault="005A56EA" w:rsidP="00FD043C">
            <w:r w:rsidRPr="00426F07">
              <w:t>Principles frequently conflict in real practice</w:t>
            </w:r>
          </w:p>
        </w:tc>
        <w:tc>
          <w:tcPr>
            <w:tcW w:w="2338" w:type="dxa"/>
            <w:vAlign w:val="center"/>
          </w:tcPr>
          <w:p w14:paraId="5121C079" w14:textId="77777777" w:rsidR="00F33B50" w:rsidRPr="00426F07" w:rsidRDefault="005A56EA" w:rsidP="00FD043C">
            <w:r w:rsidRPr="00426F07">
              <w:t>Use contextual, proportionate reasoning rather than mechanical rule application</w:t>
            </w:r>
          </w:p>
        </w:tc>
      </w:tr>
    </w:tbl>
    <w:p w14:paraId="6D7E0C50" w14:textId="77777777" w:rsidR="00F33B50" w:rsidRDefault="00F33B50" w:rsidP="00FD043C">
      <w:pPr>
        <w:spacing w:after="80"/>
      </w:pPr>
    </w:p>
    <w:p w14:paraId="17AB4A95" w14:textId="77777777" w:rsidR="00F33B50" w:rsidRPr="00426F07" w:rsidRDefault="005A56EA" w:rsidP="00FD043C">
      <w:pPr>
        <w:pStyle w:val="Heading1"/>
      </w:pPr>
      <w:bookmarkStart w:id="6" w:name="_Toc241486979"/>
      <w:r w:rsidRPr="00426F07">
        <w:t>3. Task 2: Practical Application to Mrs C’s Case</w:t>
      </w:r>
      <w:bookmarkEnd w:id="6"/>
    </w:p>
    <w:p w14:paraId="2158F0CD" w14:textId="77777777" w:rsidR="00D4548D" w:rsidRDefault="00D4548D" w:rsidP="00FD043C">
      <w:r w:rsidRPr="00D4548D">
        <w:t>Personalised Care Mrs C is a widowed woman who suffers from chronic obstructive pulmonary disease and metastatic lung cancer. This lady’s situation needs a decision regarding symptom management, palliative care, the need for further admission into hospital, resuscitation, among others. This particular situation</w:t>
      </w:r>
      <w:r w:rsidR="006D7BFE">
        <w:t xml:space="preserve"> offers an example of personalis</w:t>
      </w:r>
      <w:r w:rsidRPr="00D4548D">
        <w:t>ed care that incorporates different aspects of health care including primary, community, acute, and specialty care based</w:t>
      </w:r>
      <w:r>
        <w:t xml:space="preserve"> on what is important for Mrs C </w:t>
      </w:r>
      <w:r w:rsidR="005A56EA">
        <w:t>(NHS England, n.d.).</w:t>
      </w:r>
    </w:p>
    <w:p w14:paraId="6C1AA490" w14:textId="77777777" w:rsidR="00F33B50" w:rsidRPr="00426F07" w:rsidRDefault="005A56EA" w:rsidP="00FD043C">
      <w:pPr>
        <w:pStyle w:val="Heading2"/>
      </w:pPr>
      <w:bookmarkStart w:id="7" w:name="_Toc241486980"/>
      <w:r w:rsidRPr="00426F07">
        <w:t>3.1 Person-Centred Care in Practice</w:t>
      </w:r>
      <w:bookmarkEnd w:id="7"/>
    </w:p>
    <w:p w14:paraId="55281C13" w14:textId="77777777" w:rsidR="00D4548D" w:rsidRDefault="00D4548D" w:rsidP="00FD043C">
      <w:r w:rsidRPr="00D4548D">
        <w:t xml:space="preserve">The person-centredness is shown through discussion of Mrs C’s preferences regarding treatment, admission </w:t>
      </w:r>
      <w:r w:rsidR="006D7BFE">
        <w:t>and resuscitation and personalis</w:t>
      </w:r>
      <w:r w:rsidRPr="00D4548D">
        <w:t>ed management of symptoms and lifestyle. The quantitative research supports the significance of a structured approach to shared decision-making: out of 304 patients, 92.4% were satisfied with the process, 82.2% were satisfied with their knowledge acquisition and 79.6% thought that it helped them to make an appropriate decision, anxiety decreased significantly from 3.78 to 3.37 (p&lt;0.001) (Chen et al., 2023). Translating the results to Mrs C’s situation needs some caution as the research was single-centre and disease-specific. Thus, the correct inference from the evidence would be that shared decision-making can promote understanding and confidence through appropriate support of the deliberation. Mrs C’s care is person-centred when the information is adjusted to her and her preferences affect the decision.</w:t>
      </w:r>
    </w:p>
    <w:p w14:paraId="7EC9F72A" w14:textId="77777777" w:rsidR="00F33B50" w:rsidRDefault="005A56EA" w:rsidP="00FD043C">
      <w:pPr>
        <w:pStyle w:val="Heading2"/>
      </w:pPr>
      <w:bookmarkStart w:id="8" w:name="_Toc241486981"/>
      <w:r>
        <w:t>3.2 Partnership Working in Practice</w:t>
      </w:r>
      <w:bookmarkEnd w:id="8"/>
    </w:p>
    <w:p w14:paraId="251C0689" w14:textId="77777777" w:rsidR="00C73267" w:rsidRDefault="00C73267" w:rsidP="00FD043C">
      <w:r w:rsidRPr="00C73267">
        <w:t>Mrs C’s decision-making is effective only when her decisions are communicated and respected well amongst all the professionals who have to work together for her. The partnership model would require the coordination of her GP, community nursing teams, respiratory, oncology and palliative care teams along with out-of-hours services and appropriate involvement of families. There is evidence of an integrated primary care cluster covering more than 74,000 individuals, which has done over 2,500 multidisciplinary reviews, with a reported improvement of 80% in the self-rated wellbeing of users of wellbeing connectors, and 20% reduction in GP contacts after MDT discussion (Withers et al., 2024). Even though these results show effectiveness of coordinated care, causality cannot be claimed since service redesign included several interventions.</w:t>
      </w:r>
    </w:p>
    <w:p w14:paraId="3F338E69" w14:textId="77777777" w:rsidR="00F33B50" w:rsidRDefault="005A56EA" w:rsidP="00FD043C">
      <w:pPr>
        <w:pStyle w:val="Heading2"/>
      </w:pPr>
      <w:bookmarkStart w:id="9" w:name="_Toc241486982"/>
      <w:r>
        <w:t>3.3 Ethical Practice, Impact and Challenges</w:t>
      </w:r>
      <w:bookmarkEnd w:id="9"/>
    </w:p>
    <w:p w14:paraId="37EB276A" w14:textId="77777777" w:rsidR="00D4548D" w:rsidRDefault="00C73267" w:rsidP="00FD043C">
      <w:r w:rsidRPr="00C73267">
        <w:t xml:space="preserve">This is reflected in Mrs C’s case, which involves important ethical dilemmas. Respect for autonomy entails exploring preferences regarding resuscitation and treatment without coercing the patient, while beneficence and non-maleficence entail clarifying potential advantages, burdens, and risks. Justice also entails providing equal access to services for all regardless of diagnosis and setting. Studies on cancer decision-making show that discussions concerning values are not neutral as the way the choices are formulated affects preferences (Gurp et al., 2024). It is clearly applicable to Mrs C's situation. </w:t>
      </w:r>
      <w:r w:rsidR="00BB26F3" w:rsidRPr="00BB26F3">
        <w:t>At the systems level too, integration has been hard to achieve.</w:t>
      </w:r>
      <w:r w:rsidR="00BB26F3">
        <w:t xml:space="preserve"> </w:t>
      </w:r>
      <w:r w:rsidRPr="00C73267">
        <w:t>The evaluation of the English Vanguard initiative, which entailed expenditure of £389 million and benefited approximately five million people, revealed inconsistent reductions in emergency admissions and decreasing gains after the end of the programme (Wattal et al., 2024).</w:t>
      </w:r>
    </w:p>
    <w:p w14:paraId="5353DC1B" w14:textId="77777777" w:rsidR="00C73267" w:rsidRDefault="00C73267" w:rsidP="00FD043C"/>
    <w:p w14:paraId="532FE667" w14:textId="77777777" w:rsidR="00F33B50" w:rsidRDefault="005A56EA" w:rsidP="00FD043C">
      <w:pPr>
        <w:pStyle w:val="Heading1"/>
      </w:pPr>
      <w:bookmarkStart w:id="10" w:name="_Toc241486983"/>
      <w:r>
        <w:t>4. Task 3: Self-Reflection using Gibbs’ Reflective Cycle</w:t>
      </w:r>
      <w:bookmarkEnd w:id="10"/>
    </w:p>
    <w:p w14:paraId="6FA6DB27" w14:textId="77777777" w:rsidR="00D4548D" w:rsidRDefault="00D4548D" w:rsidP="00FD043C">
      <w:r w:rsidRPr="00D4548D">
        <w:t xml:space="preserve">The reflection that follows is based on Gibbs’ model of reflection which includes six stages: description, feeling, evaluation, analysis, conclusion, and action planning. </w:t>
      </w:r>
      <w:r w:rsidR="008D7DCC" w:rsidRPr="008D7DCC">
        <w:t>Reflective assessment is more realistic and credible when it involves an experience that was actually encountered in the workplace.</w:t>
      </w:r>
      <w:r w:rsidR="008D7DCC">
        <w:t xml:space="preserve"> </w:t>
      </w:r>
      <w:r w:rsidRPr="00D4548D">
        <w:t>The scenario used in this paper is an anonymous one, and revolves around the service user who refused to have his personal care provided due to the fact that he wanted to do it by himself.</w:t>
      </w:r>
    </w:p>
    <w:p w14:paraId="6F3249EC" w14:textId="77777777" w:rsidR="00F33B50" w:rsidRDefault="005A56EA" w:rsidP="00FD043C">
      <w:pPr>
        <w:pStyle w:val="Heading2"/>
      </w:pPr>
      <w:bookmarkStart w:id="11" w:name="_Toc241486984"/>
      <w:r>
        <w:t>4.1 Description and Feelings</w:t>
      </w:r>
      <w:bookmarkEnd w:id="11"/>
    </w:p>
    <w:p w14:paraId="774ACC01" w14:textId="77777777" w:rsidR="00C73267" w:rsidRDefault="00C73267" w:rsidP="00FD043C">
      <w:r w:rsidRPr="00C73267">
        <w:t>When assisting an adult patient during one of my shifts, he refused personal care during the stipulated period and demanded that the care be given later in the day. Initially, it concerned me that this change in schedule may impact on other tasks, and may also result in additional risks due to fatigue of the individual in the aftern</w:t>
      </w:r>
      <w:r w:rsidR="00F668EB">
        <w:t>oon. Nevertheless, I also realis</w:t>
      </w:r>
      <w:r w:rsidRPr="00C73267">
        <w:t>ed that the individual has the ability to make decisions about their care. Hence, insistence on the original schedule may have been more convenient for the institution rather than respecting his rights. I presented the patient with various possibilities and consequences of the decision and let him make an informed decision. While initially, it was unclear what was the best solution, this situation allowed me to think about the concept of professionalism. I understood that it is my responsibility not to tell the individual when the care should happen but rather assist in making the decision.</w:t>
      </w:r>
    </w:p>
    <w:p w14:paraId="0B814A83" w14:textId="77777777" w:rsidR="00F33B50" w:rsidRDefault="005A56EA" w:rsidP="00FD043C">
      <w:pPr>
        <w:pStyle w:val="Heading2"/>
      </w:pPr>
      <w:bookmarkStart w:id="12" w:name="_Toc241486985"/>
      <w:r>
        <w:t>4.2 Evaluation and Analysis</w:t>
      </w:r>
      <w:bookmarkEnd w:id="12"/>
    </w:p>
    <w:p w14:paraId="7A1438B6" w14:textId="77777777" w:rsidR="00C73267" w:rsidRDefault="00C73267" w:rsidP="00FD043C">
      <w:r w:rsidRPr="00C73267">
        <w:t xml:space="preserve">The following are some of the ways the interaction went well. First of all, I listened intently to the individual while also making sure I did not dictate my method as the only possible way. </w:t>
      </w:r>
      <w:r w:rsidR="00BB26F3" w:rsidRPr="00BB26F3">
        <w:t>This demonstrates my appreciation of autonomy and person-centered care in which the individual plays an active role in decisions made about themselves.</w:t>
      </w:r>
      <w:r w:rsidR="00BB26F3">
        <w:t xml:space="preserve"> </w:t>
      </w:r>
      <w:r w:rsidRPr="00C73267">
        <w:t>Secondly, I informed my colleague about the new plan, reducing chances of misunderstanding and thus continuity of care. However, upon further refl</w:t>
      </w:r>
      <w:r w:rsidR="00F668EB">
        <w:t>ection on the scenario, I realis</w:t>
      </w:r>
      <w:r w:rsidRPr="00C73267">
        <w:t>e that there was more that I could have done to improve on the situation by investigating the reasons why the individual had made such a choice. Such a choice could be influenced by personal discomfort, fatigue, cultural practices, previous negative experiences, anxiety or the need to be in control of their healthcare. Hence, it was not enough to just accept the decision made and leave it at that for fully informed and collaborative decision-making. Studies show that involvement in shared decision-making varies depe</w:t>
      </w:r>
      <w:r w:rsidR="00F668EB">
        <w:t>nding on the stage of hospitalis</w:t>
      </w:r>
      <w:r w:rsidRPr="00C73267">
        <w:t>a</w:t>
      </w:r>
      <w:r>
        <w:t>tion and the individual patient (Drummond et al., 2023).</w:t>
      </w:r>
    </w:p>
    <w:p w14:paraId="74D09600" w14:textId="77777777" w:rsidR="00C73267" w:rsidRDefault="00C73267" w:rsidP="00FD043C">
      <w:r>
        <w:t>Another important aspect of the interaction was partnership since respect for the person’s choices involves cooperation and effective communication between the care team members. If the information is not shared effectively, the person may be constantly asked questions and receive conflicting advice, which can result in confusion, frustrations and unnecessary anxiety. This shows that person-centred care involves not only interpersonal respectful communication but also effective information exchange and coordination of professionals.</w:t>
      </w:r>
    </w:p>
    <w:p w14:paraId="01176FD2" w14:textId="77777777" w:rsidR="00C73267" w:rsidRDefault="00C73267" w:rsidP="00FD043C">
      <w:r>
        <w:t>When considering the situation from the perspective of ethics, there was a conflict between different principles. On the one hand, autonomy allowed the person to speak about their preferences related to the moment and manner of the procedure. On the other hand, beneficence and non-maleficence called for consideration of any possible dangers of the delay or change of the treatment. According to Pieterse et al. (2023), in shared decision-making professionals should show such characteristics as humility, honesty, flexibility, curiosity and professionalism. Therefore, my actions were ethically justified since I showed respect for the person’s choice and maintained cooperation with other colleagues. However, being professionally curious could allow me to better understand the reasons for the choice and estimate possible dangers.</w:t>
      </w:r>
    </w:p>
    <w:p w14:paraId="7B297B77" w14:textId="77777777" w:rsidR="00F33B50" w:rsidRDefault="005A56EA" w:rsidP="00FD043C">
      <w:pPr>
        <w:pStyle w:val="Heading2"/>
      </w:pPr>
      <w:bookmarkStart w:id="13" w:name="_Toc241486986"/>
      <w:r>
        <w:t>4.3 Conclusion and Action Plan</w:t>
      </w:r>
      <w:bookmarkEnd w:id="13"/>
    </w:p>
    <w:p w14:paraId="01727C92" w14:textId="77777777" w:rsidR="00C73267" w:rsidRDefault="008F3224" w:rsidP="00FD043C">
      <w:pPr>
        <w:spacing w:after="60"/>
      </w:pPr>
      <w:r w:rsidRPr="008F3224">
        <w:t>This experience reinforced the idea that not only is care all about getting things done, but also about negotiating care while ensuring</w:t>
      </w:r>
      <w:r w:rsidR="008944E5">
        <w:t xml:space="preserve"> safety, dignity and autonomy</w:t>
      </w:r>
      <w:r w:rsidRPr="008F3224">
        <w:t xml:space="preserve">. The main skills that I demonstrated were respect for the client's preferences, clear communication, documentation of important data, and participation of other team members. At the same time, the experience revealed certain areas where there is still some work to be done in the professional sphere. First, I have to develop a better understanding of how individual preferences can be investigated, second – discuss risks in an appropriate manner, not being too authoritative, and third – make reflective notes after such ethical decision making. In order to do this, I am going to use supervision meetings for discussions of those issues which are connected with the dilemma of autonomy and risk, complete CPD in shared decision making and person-centred communication, as well as receive feedback on the quality of handovers. </w:t>
      </w:r>
      <w:r w:rsidR="00BB26F3" w:rsidRPr="00BB26F3">
        <w:t xml:space="preserve">In addition, I will investigate the policy of organisations in regards to the Mental Capacity Act 2005 and the Care Act 2014 </w:t>
      </w:r>
      <w:r w:rsidR="003E18F0" w:rsidRPr="003E18F0">
        <w:t>(Department of Health, 2005)</w:t>
      </w:r>
      <w:r w:rsidR="008D7DCC" w:rsidRPr="008D7DCC">
        <w:t>.</w:t>
      </w:r>
    </w:p>
    <w:p w14:paraId="2021A11E" w14:textId="77777777" w:rsidR="008F3224" w:rsidRDefault="008F3224" w:rsidP="00FD043C">
      <w:pPr>
        <w:spacing w:after="60"/>
      </w:pPr>
    </w:p>
    <w:p w14:paraId="452EB897" w14:textId="77777777" w:rsidR="00426F07" w:rsidRPr="00426F07" w:rsidRDefault="00426F07" w:rsidP="00FD043C">
      <w:pPr>
        <w:pStyle w:val="Caption"/>
        <w:spacing w:line="360" w:lineRule="auto"/>
        <w:rPr>
          <w:sz w:val="22"/>
          <w:szCs w:val="22"/>
        </w:rPr>
      </w:pPr>
      <w:bookmarkStart w:id="14" w:name="_Toc241486928"/>
      <w:r w:rsidRPr="00426F07">
        <w:rPr>
          <w:sz w:val="22"/>
          <w:szCs w:val="22"/>
        </w:rPr>
        <w:t xml:space="preserve">Table </w:t>
      </w:r>
      <w:r w:rsidRPr="00426F07">
        <w:rPr>
          <w:sz w:val="22"/>
          <w:szCs w:val="22"/>
        </w:rPr>
        <w:fldChar w:fldCharType="begin"/>
      </w:r>
      <w:r w:rsidRPr="00426F07">
        <w:rPr>
          <w:sz w:val="22"/>
          <w:szCs w:val="22"/>
        </w:rPr>
        <w:instrText xml:space="preserve"> SEQ Table \* ARABIC </w:instrText>
      </w:r>
      <w:r w:rsidRPr="00426F07">
        <w:rPr>
          <w:sz w:val="22"/>
          <w:szCs w:val="22"/>
        </w:rPr>
        <w:fldChar w:fldCharType="separate"/>
      </w:r>
      <w:r w:rsidRPr="00426F07">
        <w:rPr>
          <w:noProof/>
          <w:sz w:val="22"/>
          <w:szCs w:val="22"/>
        </w:rPr>
        <w:t>2</w:t>
      </w:r>
      <w:r w:rsidRPr="00426F07">
        <w:rPr>
          <w:sz w:val="22"/>
          <w:szCs w:val="22"/>
        </w:rPr>
        <w:fldChar w:fldCharType="end"/>
      </w:r>
      <w:r w:rsidR="008F3224">
        <w:rPr>
          <w:sz w:val="22"/>
          <w:szCs w:val="22"/>
        </w:rPr>
        <w:t>: Professional Development Action P</w:t>
      </w:r>
      <w:r w:rsidRPr="00426F07">
        <w:rPr>
          <w:sz w:val="22"/>
          <w:szCs w:val="22"/>
        </w:rPr>
        <w:t>lan</w:t>
      </w:r>
      <w:bookmarkEnd w:id="14"/>
    </w:p>
    <w:tbl>
      <w:tblPr>
        <w:tblStyle w:val="TableGrid"/>
        <w:tblW w:w="0" w:type="auto"/>
        <w:jc w:val="center"/>
        <w:tblLook w:val="04A0" w:firstRow="1" w:lastRow="0" w:firstColumn="1" w:lastColumn="0" w:noHBand="0" w:noVBand="1"/>
      </w:tblPr>
      <w:tblGrid>
        <w:gridCol w:w="2065"/>
        <w:gridCol w:w="2700"/>
        <w:gridCol w:w="1980"/>
        <w:gridCol w:w="2605"/>
      </w:tblGrid>
      <w:tr w:rsidR="00F33B50" w14:paraId="49D8419D" w14:textId="77777777" w:rsidTr="00426F07">
        <w:trPr>
          <w:jc w:val="center"/>
        </w:trPr>
        <w:tc>
          <w:tcPr>
            <w:tcW w:w="2065" w:type="dxa"/>
            <w:vAlign w:val="center"/>
          </w:tcPr>
          <w:p w14:paraId="2C6C6325" w14:textId="77777777" w:rsidR="00F33B50" w:rsidRPr="00426F07" w:rsidRDefault="005A56EA" w:rsidP="00FD043C">
            <w:pPr>
              <w:spacing w:after="0"/>
              <w:rPr>
                <w:b/>
              </w:rPr>
            </w:pPr>
            <w:r w:rsidRPr="00426F07">
              <w:rPr>
                <w:b/>
              </w:rPr>
              <w:t>Development priority</w:t>
            </w:r>
          </w:p>
        </w:tc>
        <w:tc>
          <w:tcPr>
            <w:tcW w:w="2700" w:type="dxa"/>
            <w:vAlign w:val="center"/>
          </w:tcPr>
          <w:p w14:paraId="55243BFC" w14:textId="77777777" w:rsidR="00F33B50" w:rsidRPr="00426F07" w:rsidRDefault="005A56EA" w:rsidP="00FD043C">
            <w:pPr>
              <w:spacing w:after="0"/>
              <w:rPr>
                <w:b/>
              </w:rPr>
            </w:pPr>
            <w:r w:rsidRPr="00426F07">
              <w:rPr>
                <w:b/>
              </w:rPr>
              <w:t>Specific action</w:t>
            </w:r>
          </w:p>
        </w:tc>
        <w:tc>
          <w:tcPr>
            <w:tcW w:w="1980" w:type="dxa"/>
            <w:vAlign w:val="center"/>
          </w:tcPr>
          <w:p w14:paraId="6A1E1F91" w14:textId="77777777" w:rsidR="00F33B50" w:rsidRPr="00426F07" w:rsidRDefault="005A56EA" w:rsidP="00FD043C">
            <w:pPr>
              <w:spacing w:after="0"/>
              <w:rPr>
                <w:b/>
              </w:rPr>
            </w:pPr>
            <w:r w:rsidRPr="00426F07">
              <w:rPr>
                <w:b/>
              </w:rPr>
              <w:t>Timescale</w:t>
            </w:r>
          </w:p>
        </w:tc>
        <w:tc>
          <w:tcPr>
            <w:tcW w:w="2605" w:type="dxa"/>
            <w:vAlign w:val="center"/>
          </w:tcPr>
          <w:p w14:paraId="20ADE288" w14:textId="77777777" w:rsidR="00F33B50" w:rsidRPr="00426F07" w:rsidRDefault="005A56EA" w:rsidP="00FD043C">
            <w:pPr>
              <w:spacing w:after="0"/>
              <w:rPr>
                <w:b/>
              </w:rPr>
            </w:pPr>
            <w:r w:rsidRPr="00426F07">
              <w:rPr>
                <w:b/>
              </w:rPr>
              <w:t>Evidence of improvement</w:t>
            </w:r>
          </w:p>
        </w:tc>
      </w:tr>
      <w:tr w:rsidR="00F33B50" w14:paraId="7066B657" w14:textId="77777777" w:rsidTr="00426F07">
        <w:trPr>
          <w:jc w:val="center"/>
        </w:trPr>
        <w:tc>
          <w:tcPr>
            <w:tcW w:w="2065" w:type="dxa"/>
            <w:vAlign w:val="center"/>
          </w:tcPr>
          <w:p w14:paraId="085A0572" w14:textId="77777777" w:rsidR="00F33B50" w:rsidRPr="00426F07" w:rsidRDefault="005A56EA" w:rsidP="00FD043C">
            <w:pPr>
              <w:spacing w:after="0"/>
            </w:pPr>
            <w:r w:rsidRPr="00426F07">
              <w:t>Shared decision-making</w:t>
            </w:r>
          </w:p>
        </w:tc>
        <w:tc>
          <w:tcPr>
            <w:tcW w:w="2700" w:type="dxa"/>
            <w:vAlign w:val="center"/>
          </w:tcPr>
          <w:p w14:paraId="008F9EFD" w14:textId="77777777" w:rsidR="00F33B50" w:rsidRPr="00426F07" w:rsidRDefault="005A56EA" w:rsidP="00FD043C">
            <w:pPr>
              <w:spacing w:after="0"/>
            </w:pPr>
            <w:r w:rsidRPr="00426F07">
              <w:t>Complete CPD on consent, preference elicitation and risk communication</w:t>
            </w:r>
          </w:p>
        </w:tc>
        <w:tc>
          <w:tcPr>
            <w:tcW w:w="1980" w:type="dxa"/>
            <w:vAlign w:val="center"/>
          </w:tcPr>
          <w:p w14:paraId="20D308B5" w14:textId="77777777" w:rsidR="00F33B50" w:rsidRPr="00426F07" w:rsidRDefault="005A56EA" w:rsidP="00FD043C">
            <w:pPr>
              <w:spacing w:after="0"/>
            </w:pPr>
            <w:r w:rsidRPr="00426F07">
              <w:t>Within 3 months</w:t>
            </w:r>
          </w:p>
        </w:tc>
        <w:tc>
          <w:tcPr>
            <w:tcW w:w="2605" w:type="dxa"/>
            <w:vAlign w:val="center"/>
          </w:tcPr>
          <w:p w14:paraId="5B01D574" w14:textId="77777777" w:rsidR="00F33B50" w:rsidRPr="00426F07" w:rsidRDefault="005A56EA" w:rsidP="00FD043C">
            <w:pPr>
              <w:spacing w:after="0"/>
            </w:pPr>
            <w:r w:rsidRPr="00426F07">
              <w:t>Supervision feedback shows clearer service-user involvement</w:t>
            </w:r>
          </w:p>
        </w:tc>
      </w:tr>
      <w:tr w:rsidR="00F33B50" w14:paraId="7711D117" w14:textId="77777777" w:rsidTr="00426F07">
        <w:trPr>
          <w:jc w:val="center"/>
        </w:trPr>
        <w:tc>
          <w:tcPr>
            <w:tcW w:w="2065" w:type="dxa"/>
            <w:vAlign w:val="center"/>
          </w:tcPr>
          <w:p w14:paraId="2F6E1F1E" w14:textId="77777777" w:rsidR="00F33B50" w:rsidRPr="00426F07" w:rsidRDefault="005A56EA" w:rsidP="00FD043C">
            <w:pPr>
              <w:spacing w:after="0"/>
            </w:pPr>
            <w:r w:rsidRPr="00426F07">
              <w:t>Partnership working</w:t>
            </w:r>
          </w:p>
        </w:tc>
        <w:tc>
          <w:tcPr>
            <w:tcW w:w="2700" w:type="dxa"/>
            <w:vAlign w:val="center"/>
          </w:tcPr>
          <w:p w14:paraId="2EAC90F3" w14:textId="77777777" w:rsidR="00F33B50" w:rsidRPr="00426F07" w:rsidRDefault="005A56EA" w:rsidP="00FD043C">
            <w:pPr>
              <w:spacing w:after="0"/>
            </w:pPr>
            <w:r w:rsidRPr="00426F07">
              <w:t>Use structured handovers and request peer feedback on clarity</w:t>
            </w:r>
          </w:p>
        </w:tc>
        <w:tc>
          <w:tcPr>
            <w:tcW w:w="1980" w:type="dxa"/>
            <w:vAlign w:val="center"/>
          </w:tcPr>
          <w:p w14:paraId="2D4185F5" w14:textId="77777777" w:rsidR="00F33B50" w:rsidRPr="00426F07" w:rsidRDefault="005A56EA" w:rsidP="00FD043C">
            <w:pPr>
              <w:spacing w:after="0"/>
            </w:pPr>
            <w:r w:rsidRPr="00426F07">
              <w:t>Ongoing; review monthly</w:t>
            </w:r>
          </w:p>
        </w:tc>
        <w:tc>
          <w:tcPr>
            <w:tcW w:w="2605" w:type="dxa"/>
            <w:vAlign w:val="center"/>
          </w:tcPr>
          <w:p w14:paraId="45BCCD03" w14:textId="77777777" w:rsidR="00F33B50" w:rsidRPr="00426F07" w:rsidRDefault="005A56EA" w:rsidP="00FD043C">
            <w:pPr>
              <w:spacing w:after="0"/>
            </w:pPr>
            <w:r w:rsidRPr="00426F07">
              <w:t>Fewer omissions and clearer continuity across shifts</w:t>
            </w:r>
          </w:p>
        </w:tc>
      </w:tr>
      <w:tr w:rsidR="00F33B50" w14:paraId="447AE7B0" w14:textId="77777777" w:rsidTr="00426F07">
        <w:trPr>
          <w:jc w:val="center"/>
        </w:trPr>
        <w:tc>
          <w:tcPr>
            <w:tcW w:w="2065" w:type="dxa"/>
            <w:vAlign w:val="center"/>
          </w:tcPr>
          <w:p w14:paraId="018F59DE" w14:textId="77777777" w:rsidR="00F33B50" w:rsidRPr="00426F07" w:rsidRDefault="005A56EA" w:rsidP="00FD043C">
            <w:pPr>
              <w:spacing w:after="0"/>
            </w:pPr>
            <w:r w:rsidRPr="00426F07">
              <w:t>Ethical reasoning</w:t>
            </w:r>
          </w:p>
        </w:tc>
        <w:tc>
          <w:tcPr>
            <w:tcW w:w="2700" w:type="dxa"/>
            <w:vAlign w:val="center"/>
          </w:tcPr>
          <w:p w14:paraId="73774C86" w14:textId="77777777" w:rsidR="00F33B50" w:rsidRPr="00426F07" w:rsidRDefault="005A56EA" w:rsidP="00FD043C">
            <w:pPr>
              <w:spacing w:after="0"/>
            </w:pPr>
            <w:r w:rsidRPr="00426F07">
              <w:t>Discuss one complex case in reflective supervision each month</w:t>
            </w:r>
          </w:p>
        </w:tc>
        <w:tc>
          <w:tcPr>
            <w:tcW w:w="1980" w:type="dxa"/>
            <w:vAlign w:val="center"/>
          </w:tcPr>
          <w:p w14:paraId="42BF9755" w14:textId="77777777" w:rsidR="00F33B50" w:rsidRPr="00426F07" w:rsidRDefault="005A56EA" w:rsidP="00FD043C">
            <w:pPr>
              <w:spacing w:after="0"/>
            </w:pPr>
            <w:r w:rsidRPr="00426F07">
              <w:t>Monthly for 6 months</w:t>
            </w:r>
          </w:p>
        </w:tc>
        <w:tc>
          <w:tcPr>
            <w:tcW w:w="2605" w:type="dxa"/>
            <w:vAlign w:val="center"/>
          </w:tcPr>
          <w:p w14:paraId="4B1D776A" w14:textId="77777777" w:rsidR="00F33B50" w:rsidRPr="00426F07" w:rsidRDefault="005A56EA" w:rsidP="00FD043C">
            <w:pPr>
              <w:spacing w:after="0"/>
            </w:pPr>
            <w:r w:rsidRPr="00426F07">
              <w:t>Stronger justification using autonomy, benefit, harm and proportionality</w:t>
            </w:r>
          </w:p>
        </w:tc>
      </w:tr>
      <w:tr w:rsidR="00F33B50" w14:paraId="2CD9AEF4" w14:textId="77777777" w:rsidTr="00426F07">
        <w:trPr>
          <w:jc w:val="center"/>
        </w:trPr>
        <w:tc>
          <w:tcPr>
            <w:tcW w:w="2065" w:type="dxa"/>
            <w:vAlign w:val="center"/>
          </w:tcPr>
          <w:p w14:paraId="3A171E09" w14:textId="77777777" w:rsidR="00F33B50" w:rsidRPr="00426F07" w:rsidRDefault="005A56EA" w:rsidP="00FD043C">
            <w:pPr>
              <w:spacing w:after="0"/>
            </w:pPr>
            <w:r w:rsidRPr="00426F07">
              <w:t>Policy knowledge</w:t>
            </w:r>
          </w:p>
        </w:tc>
        <w:tc>
          <w:tcPr>
            <w:tcW w:w="2700" w:type="dxa"/>
            <w:vAlign w:val="center"/>
          </w:tcPr>
          <w:p w14:paraId="23E8039B" w14:textId="77777777" w:rsidR="00F33B50" w:rsidRPr="00426F07" w:rsidRDefault="005A56EA" w:rsidP="00FD043C">
            <w:pPr>
              <w:spacing w:after="0"/>
            </w:pPr>
            <w:r w:rsidRPr="00426F07">
              <w:t>Review key organisational procedures and relevant UK legislation</w:t>
            </w:r>
          </w:p>
        </w:tc>
        <w:tc>
          <w:tcPr>
            <w:tcW w:w="1980" w:type="dxa"/>
            <w:vAlign w:val="center"/>
          </w:tcPr>
          <w:p w14:paraId="16DF1DF7" w14:textId="77777777" w:rsidR="00F33B50" w:rsidRPr="00426F07" w:rsidRDefault="005A56EA" w:rsidP="00FD043C">
            <w:pPr>
              <w:spacing w:after="0"/>
            </w:pPr>
            <w:r w:rsidRPr="00426F07">
              <w:t>Within 8 weeks</w:t>
            </w:r>
          </w:p>
        </w:tc>
        <w:tc>
          <w:tcPr>
            <w:tcW w:w="2605" w:type="dxa"/>
            <w:vAlign w:val="center"/>
          </w:tcPr>
          <w:p w14:paraId="088D393E" w14:textId="77777777" w:rsidR="00F33B50" w:rsidRPr="00426F07" w:rsidRDefault="005A56EA" w:rsidP="00FD043C">
            <w:pPr>
              <w:spacing w:after="0"/>
            </w:pPr>
            <w:r w:rsidRPr="00426F07">
              <w:t>Greater confidence linking decisions to policy and legal duties</w:t>
            </w:r>
          </w:p>
        </w:tc>
      </w:tr>
    </w:tbl>
    <w:p w14:paraId="36199FA8" w14:textId="77777777" w:rsidR="00426F07" w:rsidRDefault="00426F07" w:rsidP="00FD043C">
      <w:pPr>
        <w:pStyle w:val="Heading1"/>
      </w:pPr>
    </w:p>
    <w:p w14:paraId="100EC1C8" w14:textId="77777777" w:rsidR="00F33B50" w:rsidRDefault="005A56EA" w:rsidP="00FD043C">
      <w:pPr>
        <w:pStyle w:val="Heading1"/>
      </w:pPr>
      <w:bookmarkStart w:id="15" w:name="_Toc241486987"/>
      <w:r>
        <w:t>5. Conclusion</w:t>
      </w:r>
      <w:bookmarkEnd w:id="15"/>
    </w:p>
    <w:p w14:paraId="212CCFA7" w14:textId="77777777" w:rsidR="00D4548D" w:rsidRPr="00D4548D" w:rsidRDefault="00D4548D" w:rsidP="00FD043C">
      <w:r w:rsidRPr="00D4548D">
        <w:t>Person-centred care, partnership and ethical practice are all interdependent bases of high quality health and social care. Person-centred care is about the needs of the individual taking precedence, partnership is the vehicle by which those needs can be coordinated within the system, and ethical practice is the thinking which will be required to make sense of conflicting needs, risks and professional responsibilities. This case of Mrs C illustrates how advance and palliative decisions only come into play if they can be communicated effectively across settings and with the backing of organisational resources. From this reflection, it is clear that professional competence is not about just doing the task: it is about listening, judiciously managing risk, communicating effectively and being willing to review your own competence.</w:t>
      </w:r>
    </w:p>
    <w:p w14:paraId="4F2703C5" w14:textId="77777777" w:rsidR="00426F07" w:rsidRDefault="00426F07" w:rsidP="00FD043C">
      <w:pPr>
        <w:spacing w:after="200"/>
        <w:jc w:val="left"/>
        <w:rPr>
          <w:rFonts w:asciiTheme="majorHAnsi" w:eastAsiaTheme="majorEastAsia" w:hAnsiTheme="majorHAnsi" w:cstheme="majorBidi"/>
          <w:b/>
          <w:bCs/>
          <w:sz w:val="28"/>
          <w:szCs w:val="28"/>
        </w:rPr>
      </w:pPr>
      <w:r>
        <w:br w:type="page"/>
      </w:r>
    </w:p>
    <w:p w14:paraId="26C88F0F" w14:textId="77777777" w:rsidR="00F33B50" w:rsidRDefault="00426F07" w:rsidP="00FD043C">
      <w:pPr>
        <w:pStyle w:val="Heading1"/>
      </w:pPr>
      <w:bookmarkStart w:id="16" w:name="_Toc241486988"/>
      <w:r>
        <w:t>References</w:t>
      </w:r>
      <w:bookmarkEnd w:id="16"/>
    </w:p>
    <w:p w14:paraId="7724FAE7" w14:textId="77777777" w:rsidR="003E18F0" w:rsidRDefault="003E18F0" w:rsidP="00FD043C">
      <w:pPr>
        <w:pStyle w:val="NormalWeb"/>
        <w:spacing w:before="0" w:beforeAutospacing="0" w:after="240" w:afterAutospacing="0" w:line="360" w:lineRule="auto"/>
        <w:ind w:left="720" w:hanging="720"/>
        <w:jc w:val="both"/>
        <w:rPr>
          <w:rFonts w:ascii="Arial" w:hAnsi="Arial" w:cs="Arial"/>
          <w:sz w:val="22"/>
          <w:szCs w:val="22"/>
        </w:rPr>
      </w:pPr>
      <w:r>
        <w:rPr>
          <w:rFonts w:ascii="Arial" w:hAnsi="Arial" w:cs="Arial"/>
          <w:sz w:val="22"/>
          <w:szCs w:val="22"/>
        </w:rPr>
        <w:t xml:space="preserve">Alderwick, H., Hutchings, A. and Mays, N. (2024). Cross-sector collaboration to reduce health inequalities: A qualitative study of local collaboration between health care, social services, and other sectors under health system reforms in England. </w:t>
      </w:r>
      <w:r>
        <w:rPr>
          <w:rFonts w:ascii="Arial" w:hAnsi="Arial" w:cs="Arial"/>
          <w:i/>
          <w:iCs/>
          <w:sz w:val="22"/>
          <w:szCs w:val="22"/>
        </w:rPr>
        <w:t>BMC Public Health</w:t>
      </w:r>
      <w:r>
        <w:rPr>
          <w:rFonts w:ascii="Arial" w:hAnsi="Arial" w:cs="Arial"/>
          <w:sz w:val="22"/>
          <w:szCs w:val="22"/>
        </w:rPr>
        <w:t xml:space="preserve">, [online] 24(1), pp.1–19. Available at: </w:t>
      </w:r>
      <w:hyperlink r:id="rId8" w:history="1">
        <w:r w:rsidRPr="00D92C55">
          <w:rPr>
            <w:rStyle w:val="Hyperlink"/>
            <w:rFonts w:ascii="Arial" w:hAnsi="Arial" w:cs="Arial"/>
            <w:sz w:val="22"/>
            <w:szCs w:val="22"/>
          </w:rPr>
          <w:t>https://bmcpublichealth.biomedcentral.com/articles/10.1186/s12889-024-20089-5</w:t>
        </w:r>
      </w:hyperlink>
      <w:r>
        <w:rPr>
          <w:rFonts w:ascii="Arial" w:hAnsi="Arial" w:cs="Arial"/>
          <w:sz w:val="22"/>
          <w:szCs w:val="22"/>
        </w:rPr>
        <w:t xml:space="preserve"> </w:t>
      </w:r>
    </w:p>
    <w:p w14:paraId="60BA628E" w14:textId="77777777" w:rsidR="003E18F0" w:rsidRDefault="003E18F0" w:rsidP="00FD043C">
      <w:pPr>
        <w:pStyle w:val="NormalWeb"/>
        <w:spacing w:before="0" w:beforeAutospacing="0" w:after="240" w:afterAutospacing="0" w:line="360" w:lineRule="auto"/>
        <w:ind w:left="720" w:hanging="720"/>
        <w:jc w:val="both"/>
        <w:rPr>
          <w:rFonts w:ascii="Arial" w:hAnsi="Arial" w:cs="Arial"/>
          <w:sz w:val="22"/>
          <w:szCs w:val="22"/>
        </w:rPr>
      </w:pPr>
      <w:r>
        <w:rPr>
          <w:rFonts w:ascii="Arial" w:hAnsi="Arial" w:cs="Arial"/>
          <w:sz w:val="22"/>
          <w:szCs w:val="22"/>
        </w:rPr>
        <w:t xml:space="preserve">Birkeland, S., Bismark, M., Barry, M.J. and Möller, S. (2023). ‘My doctor should decide’ – predictors for healthcare users’ stated preferences regarding medical decision-making. </w:t>
      </w:r>
      <w:r>
        <w:rPr>
          <w:rFonts w:ascii="Arial" w:hAnsi="Arial" w:cs="Arial"/>
          <w:i/>
          <w:iCs/>
          <w:sz w:val="22"/>
          <w:szCs w:val="22"/>
        </w:rPr>
        <w:t>Patient Education and Counseling</w:t>
      </w:r>
      <w:r>
        <w:rPr>
          <w:rFonts w:ascii="Arial" w:hAnsi="Arial" w:cs="Arial"/>
          <w:sz w:val="22"/>
          <w:szCs w:val="22"/>
        </w:rPr>
        <w:t xml:space="preserve">, [online] 114, p.107825. </w:t>
      </w:r>
      <w:hyperlink r:id="rId9" w:history="1">
        <w:r w:rsidRPr="00D92C55">
          <w:rPr>
            <w:rStyle w:val="Hyperlink"/>
            <w:rFonts w:ascii="Arial" w:hAnsi="Arial" w:cs="Arial"/>
            <w:sz w:val="22"/>
            <w:szCs w:val="22"/>
          </w:rPr>
          <w:t>https://doi.org/10.1016/j.pec.2023.107825</w:t>
        </w:r>
      </w:hyperlink>
      <w:r>
        <w:rPr>
          <w:rFonts w:ascii="Arial" w:hAnsi="Arial" w:cs="Arial"/>
          <w:sz w:val="22"/>
          <w:szCs w:val="22"/>
        </w:rPr>
        <w:t xml:space="preserve">.   </w:t>
      </w:r>
    </w:p>
    <w:p w14:paraId="6963DE57" w14:textId="77777777" w:rsidR="003E18F0" w:rsidRDefault="003E18F0" w:rsidP="00FD043C">
      <w:pPr>
        <w:pStyle w:val="NormalWeb"/>
        <w:spacing w:before="0" w:beforeAutospacing="0" w:after="240" w:afterAutospacing="0" w:line="360" w:lineRule="auto"/>
        <w:ind w:left="720" w:hanging="720"/>
        <w:jc w:val="both"/>
        <w:rPr>
          <w:rFonts w:ascii="Arial" w:hAnsi="Arial" w:cs="Arial"/>
          <w:sz w:val="22"/>
          <w:szCs w:val="22"/>
        </w:rPr>
      </w:pPr>
      <w:r>
        <w:rPr>
          <w:rFonts w:ascii="Arial" w:hAnsi="Arial" w:cs="Arial"/>
          <w:sz w:val="22"/>
          <w:szCs w:val="22"/>
        </w:rPr>
        <w:t xml:space="preserve">Chen, J.-C., Tsai, S.-F. and Liu, S.-A. (2023). A retrospective study of differences in patients’ anxiety and satisfaction between paper-based and computer-based tools for “shared decision-making.” </w:t>
      </w:r>
      <w:r>
        <w:rPr>
          <w:rFonts w:ascii="Arial" w:hAnsi="Arial" w:cs="Arial"/>
          <w:i/>
          <w:iCs/>
          <w:sz w:val="22"/>
          <w:szCs w:val="22"/>
        </w:rPr>
        <w:t>Scientific Reports</w:t>
      </w:r>
      <w:r>
        <w:rPr>
          <w:rFonts w:ascii="Arial" w:hAnsi="Arial" w:cs="Arial"/>
          <w:sz w:val="22"/>
          <w:szCs w:val="22"/>
        </w:rPr>
        <w:t xml:space="preserve">, [online] 13(1), p.5187. </w:t>
      </w:r>
      <w:hyperlink r:id="rId10" w:history="1">
        <w:r w:rsidRPr="00D92C55">
          <w:rPr>
            <w:rStyle w:val="Hyperlink"/>
            <w:rFonts w:ascii="Arial" w:hAnsi="Arial" w:cs="Arial"/>
            <w:sz w:val="22"/>
            <w:szCs w:val="22"/>
          </w:rPr>
          <w:t>https://doi.org/10.1038/s41598-023-32448-0</w:t>
        </w:r>
      </w:hyperlink>
      <w:r>
        <w:rPr>
          <w:rFonts w:ascii="Arial" w:hAnsi="Arial" w:cs="Arial"/>
          <w:sz w:val="22"/>
          <w:szCs w:val="22"/>
        </w:rPr>
        <w:t xml:space="preserve">. </w:t>
      </w:r>
    </w:p>
    <w:p w14:paraId="37559A01" w14:textId="77777777" w:rsidR="003E18F0" w:rsidRDefault="003E18F0" w:rsidP="00FD043C">
      <w:pPr>
        <w:pStyle w:val="NormalWeb"/>
        <w:spacing w:before="0" w:beforeAutospacing="0" w:after="240" w:afterAutospacing="0" w:line="360" w:lineRule="auto"/>
        <w:ind w:left="720" w:hanging="720"/>
        <w:jc w:val="both"/>
        <w:rPr>
          <w:rFonts w:ascii="Arial" w:hAnsi="Arial" w:cs="Arial"/>
          <w:sz w:val="22"/>
          <w:szCs w:val="22"/>
        </w:rPr>
      </w:pPr>
      <w:r>
        <w:rPr>
          <w:rFonts w:ascii="Arial" w:hAnsi="Arial" w:cs="Arial"/>
          <w:sz w:val="22"/>
          <w:szCs w:val="22"/>
        </w:rPr>
        <w:t xml:space="preserve">Department of Health (2005). </w:t>
      </w:r>
      <w:r>
        <w:rPr>
          <w:rFonts w:ascii="Arial" w:hAnsi="Arial" w:cs="Arial"/>
          <w:i/>
          <w:iCs/>
          <w:sz w:val="22"/>
          <w:szCs w:val="22"/>
        </w:rPr>
        <w:t>Mental capacity act 2005</w:t>
      </w:r>
      <w:r>
        <w:rPr>
          <w:rFonts w:ascii="Arial" w:hAnsi="Arial" w:cs="Arial"/>
          <w:sz w:val="22"/>
          <w:szCs w:val="22"/>
        </w:rPr>
        <w:t xml:space="preserve">. [online] Available at: </w:t>
      </w:r>
      <w:hyperlink r:id="rId11" w:history="1">
        <w:r w:rsidRPr="00D92C55">
          <w:rPr>
            <w:rStyle w:val="Hyperlink"/>
            <w:rFonts w:ascii="Arial" w:hAnsi="Arial" w:cs="Arial"/>
            <w:sz w:val="22"/>
            <w:szCs w:val="22"/>
          </w:rPr>
          <w:t>https://www.legislation.gov.uk/ukpga/2005/9/pdfs/ukpga_20050009_en.pdf</w:t>
        </w:r>
      </w:hyperlink>
      <w:r>
        <w:rPr>
          <w:rFonts w:ascii="Arial" w:hAnsi="Arial" w:cs="Arial"/>
          <w:sz w:val="22"/>
          <w:szCs w:val="22"/>
        </w:rPr>
        <w:t xml:space="preserve"> </w:t>
      </w:r>
    </w:p>
    <w:p w14:paraId="6A01EF81" w14:textId="77777777" w:rsidR="003E18F0" w:rsidRDefault="003E18F0" w:rsidP="00FD043C">
      <w:pPr>
        <w:pStyle w:val="NormalWeb"/>
        <w:spacing w:before="0" w:beforeAutospacing="0" w:after="240" w:afterAutospacing="0" w:line="360" w:lineRule="auto"/>
        <w:ind w:left="720" w:hanging="720"/>
        <w:jc w:val="both"/>
        <w:rPr>
          <w:rFonts w:ascii="Arial" w:hAnsi="Arial" w:cs="Arial"/>
          <w:sz w:val="22"/>
          <w:szCs w:val="22"/>
        </w:rPr>
      </w:pPr>
      <w:r>
        <w:rPr>
          <w:rFonts w:ascii="Arial" w:hAnsi="Arial" w:cs="Arial"/>
          <w:sz w:val="22"/>
          <w:szCs w:val="22"/>
        </w:rPr>
        <w:t xml:space="preserve">Douglas, N., Mays, N., Al-Haboubi, M., Manacorda, T., Thana, L., Wistow, G. and Durand, M.A. (2022). Observations of community-based multidisciplinary team meetings in health and social care for older people with long term conditions in England. </w:t>
      </w:r>
      <w:r>
        <w:rPr>
          <w:rFonts w:ascii="Arial" w:hAnsi="Arial" w:cs="Arial"/>
          <w:i/>
          <w:iCs/>
          <w:sz w:val="22"/>
          <w:szCs w:val="22"/>
        </w:rPr>
        <w:t>BMC Health Services Research</w:t>
      </w:r>
      <w:r>
        <w:rPr>
          <w:rFonts w:ascii="Arial" w:hAnsi="Arial" w:cs="Arial"/>
          <w:sz w:val="22"/>
          <w:szCs w:val="22"/>
        </w:rPr>
        <w:t xml:space="preserve">, [online] 22(1). </w:t>
      </w:r>
      <w:hyperlink r:id="rId12" w:history="1">
        <w:r w:rsidRPr="00D92C55">
          <w:rPr>
            <w:rStyle w:val="Hyperlink"/>
            <w:rFonts w:ascii="Arial" w:hAnsi="Arial" w:cs="Arial"/>
            <w:sz w:val="22"/>
            <w:szCs w:val="22"/>
          </w:rPr>
          <w:t>https://doi.org/10.1186/s12913-022-07971-x</w:t>
        </w:r>
      </w:hyperlink>
      <w:r>
        <w:rPr>
          <w:rFonts w:ascii="Arial" w:hAnsi="Arial" w:cs="Arial"/>
          <w:sz w:val="22"/>
          <w:szCs w:val="22"/>
        </w:rPr>
        <w:t xml:space="preserve">. </w:t>
      </w:r>
    </w:p>
    <w:p w14:paraId="674E0B37" w14:textId="77777777" w:rsidR="003E18F0" w:rsidRDefault="003E18F0" w:rsidP="00FD043C">
      <w:pPr>
        <w:pStyle w:val="NormalWeb"/>
        <w:spacing w:before="0" w:beforeAutospacing="0" w:after="240" w:afterAutospacing="0" w:line="360" w:lineRule="auto"/>
        <w:ind w:left="720" w:hanging="720"/>
        <w:jc w:val="both"/>
        <w:rPr>
          <w:rFonts w:ascii="Arial" w:hAnsi="Arial" w:cs="Arial"/>
          <w:sz w:val="22"/>
          <w:szCs w:val="22"/>
        </w:rPr>
      </w:pPr>
      <w:r>
        <w:rPr>
          <w:rFonts w:ascii="Arial" w:hAnsi="Arial" w:cs="Arial"/>
          <w:sz w:val="22"/>
          <w:szCs w:val="22"/>
        </w:rPr>
        <w:t xml:space="preserve">Drummond, L., Guiney, S., Connolly, D., Foley, C., O’Connor, L., O’Carroll, T., Flynn, R. and Rohde, D. (2023). Experiences of shared decision making in acute hospitals: A mixed methods secondary analysis of the Irish national inpatient experience survey. </w:t>
      </w:r>
      <w:r>
        <w:rPr>
          <w:rFonts w:ascii="Arial" w:hAnsi="Arial" w:cs="Arial"/>
          <w:i/>
          <w:iCs/>
          <w:sz w:val="22"/>
          <w:szCs w:val="22"/>
        </w:rPr>
        <w:t>Patient Education and Counseling</w:t>
      </w:r>
      <w:r>
        <w:rPr>
          <w:rFonts w:ascii="Arial" w:hAnsi="Arial" w:cs="Arial"/>
          <w:sz w:val="22"/>
          <w:szCs w:val="22"/>
        </w:rPr>
        <w:t xml:space="preserve">, [online] 113, p.107755. </w:t>
      </w:r>
      <w:hyperlink r:id="rId13" w:history="1">
        <w:r w:rsidRPr="00D92C55">
          <w:rPr>
            <w:rStyle w:val="Hyperlink"/>
            <w:rFonts w:ascii="Arial" w:hAnsi="Arial" w:cs="Arial"/>
            <w:sz w:val="22"/>
            <w:szCs w:val="22"/>
          </w:rPr>
          <w:t>https://doi.org/10.1016/j.pec.2023.107755</w:t>
        </w:r>
      </w:hyperlink>
      <w:r>
        <w:rPr>
          <w:rFonts w:ascii="Arial" w:hAnsi="Arial" w:cs="Arial"/>
          <w:sz w:val="22"/>
          <w:szCs w:val="22"/>
        </w:rPr>
        <w:t xml:space="preserve">. </w:t>
      </w:r>
    </w:p>
    <w:p w14:paraId="381137A4" w14:textId="77777777" w:rsidR="003E18F0" w:rsidRDefault="003E18F0" w:rsidP="00FD043C">
      <w:pPr>
        <w:pStyle w:val="NormalWeb"/>
        <w:spacing w:before="0" w:beforeAutospacing="0" w:after="240" w:afterAutospacing="0" w:line="360" w:lineRule="auto"/>
        <w:ind w:left="720" w:hanging="720"/>
        <w:jc w:val="both"/>
        <w:rPr>
          <w:rFonts w:ascii="Arial" w:hAnsi="Arial" w:cs="Arial"/>
          <w:sz w:val="22"/>
          <w:szCs w:val="22"/>
        </w:rPr>
      </w:pPr>
      <w:r>
        <w:rPr>
          <w:rFonts w:ascii="Arial" w:hAnsi="Arial" w:cs="Arial"/>
          <w:sz w:val="22"/>
          <w:szCs w:val="22"/>
        </w:rPr>
        <w:t xml:space="preserve">GOV.UK (2014). </w:t>
      </w:r>
      <w:r>
        <w:rPr>
          <w:rFonts w:ascii="Arial" w:hAnsi="Arial" w:cs="Arial"/>
          <w:i/>
          <w:iCs/>
          <w:sz w:val="22"/>
          <w:szCs w:val="22"/>
        </w:rPr>
        <w:t>Care act 2014 (c. 23)</w:t>
      </w:r>
      <w:r>
        <w:rPr>
          <w:rFonts w:ascii="Arial" w:hAnsi="Arial" w:cs="Arial"/>
          <w:sz w:val="22"/>
          <w:szCs w:val="22"/>
        </w:rPr>
        <w:t xml:space="preserve">. [online] Legislation.gov.uk. Available at: </w:t>
      </w:r>
      <w:hyperlink r:id="rId14" w:history="1">
        <w:r w:rsidRPr="00D92C55">
          <w:rPr>
            <w:rStyle w:val="Hyperlink"/>
            <w:rFonts w:ascii="Arial" w:hAnsi="Arial" w:cs="Arial"/>
            <w:sz w:val="22"/>
            <w:szCs w:val="22"/>
          </w:rPr>
          <w:t>https://www.legislation.gov.uk/ukpga/2014/23/data.xht?wrap=true</w:t>
        </w:r>
      </w:hyperlink>
      <w:r>
        <w:rPr>
          <w:rFonts w:ascii="Arial" w:hAnsi="Arial" w:cs="Arial"/>
          <w:sz w:val="22"/>
          <w:szCs w:val="22"/>
        </w:rPr>
        <w:t xml:space="preserve"> </w:t>
      </w:r>
    </w:p>
    <w:p w14:paraId="07904F52" w14:textId="77777777" w:rsidR="003E18F0" w:rsidRDefault="003E18F0" w:rsidP="00FD043C">
      <w:pPr>
        <w:pStyle w:val="NormalWeb"/>
        <w:spacing w:before="0" w:beforeAutospacing="0" w:after="240" w:afterAutospacing="0" w:line="360" w:lineRule="auto"/>
        <w:ind w:left="720" w:hanging="720"/>
        <w:jc w:val="both"/>
        <w:rPr>
          <w:rFonts w:ascii="Arial" w:hAnsi="Arial" w:cs="Arial"/>
          <w:sz w:val="22"/>
          <w:szCs w:val="22"/>
        </w:rPr>
      </w:pPr>
      <w:r>
        <w:rPr>
          <w:rFonts w:ascii="Arial" w:hAnsi="Arial" w:cs="Arial"/>
          <w:sz w:val="22"/>
          <w:szCs w:val="22"/>
        </w:rPr>
        <w:t xml:space="preserve">GOV.UK (2022). </w:t>
      </w:r>
      <w:r>
        <w:rPr>
          <w:rFonts w:ascii="Arial" w:hAnsi="Arial" w:cs="Arial"/>
          <w:i/>
          <w:iCs/>
          <w:sz w:val="22"/>
          <w:szCs w:val="22"/>
        </w:rPr>
        <w:t>Health and care act 2022</w:t>
      </w:r>
      <w:r>
        <w:rPr>
          <w:rFonts w:ascii="Arial" w:hAnsi="Arial" w:cs="Arial"/>
          <w:sz w:val="22"/>
          <w:szCs w:val="22"/>
        </w:rPr>
        <w:t xml:space="preserve">. [online] Legislation.gov.uk. Available at: </w:t>
      </w:r>
      <w:hyperlink r:id="rId15" w:history="1">
        <w:r w:rsidRPr="00D92C55">
          <w:rPr>
            <w:rStyle w:val="Hyperlink"/>
            <w:rFonts w:ascii="Arial" w:hAnsi="Arial" w:cs="Arial"/>
            <w:sz w:val="22"/>
            <w:szCs w:val="22"/>
          </w:rPr>
          <w:t>https://www.legislation.gov.uk/id/ukpga/2022/31</w:t>
        </w:r>
      </w:hyperlink>
      <w:r>
        <w:rPr>
          <w:rFonts w:ascii="Arial" w:hAnsi="Arial" w:cs="Arial"/>
          <w:sz w:val="22"/>
          <w:szCs w:val="22"/>
        </w:rPr>
        <w:t xml:space="preserve"> </w:t>
      </w:r>
    </w:p>
    <w:p w14:paraId="463FADDE" w14:textId="77777777" w:rsidR="003E18F0" w:rsidRDefault="003E18F0" w:rsidP="00FD043C">
      <w:pPr>
        <w:pStyle w:val="NormalWeb"/>
        <w:spacing w:before="0" w:beforeAutospacing="0" w:after="240" w:afterAutospacing="0" w:line="360" w:lineRule="auto"/>
        <w:ind w:left="720" w:hanging="720"/>
        <w:jc w:val="both"/>
        <w:rPr>
          <w:rFonts w:ascii="Arial" w:hAnsi="Arial" w:cs="Arial"/>
          <w:sz w:val="22"/>
          <w:szCs w:val="22"/>
        </w:rPr>
      </w:pPr>
      <w:r>
        <w:rPr>
          <w:rFonts w:ascii="Arial" w:hAnsi="Arial" w:cs="Arial"/>
          <w:sz w:val="22"/>
          <w:szCs w:val="22"/>
        </w:rPr>
        <w:t xml:space="preserve">Gurp, van, G.G, L., Stoel, N., C.D, C., C.M, J. and Jeroen Hasselaar (2023). Accentuating patient values in shared decision-making: A mixed methods development of an online value clarification tool and communication training in the context of early phase clinical cancer trials. </w:t>
      </w:r>
      <w:r>
        <w:rPr>
          <w:rFonts w:ascii="Arial" w:hAnsi="Arial" w:cs="Arial"/>
          <w:i/>
          <w:iCs/>
          <w:sz w:val="22"/>
          <w:szCs w:val="22"/>
        </w:rPr>
        <w:t>Patient Education and Counseling</w:t>
      </w:r>
      <w:r>
        <w:rPr>
          <w:rFonts w:ascii="Arial" w:hAnsi="Arial" w:cs="Arial"/>
          <w:sz w:val="22"/>
          <w:szCs w:val="22"/>
        </w:rPr>
        <w:t xml:space="preserve">, 119, pp.108075–108075. </w:t>
      </w:r>
      <w:hyperlink r:id="rId16" w:history="1">
        <w:r w:rsidRPr="00D92C55">
          <w:rPr>
            <w:rStyle w:val="Hyperlink"/>
            <w:rFonts w:ascii="Arial" w:hAnsi="Arial" w:cs="Arial"/>
            <w:sz w:val="22"/>
            <w:szCs w:val="22"/>
          </w:rPr>
          <w:t>https://doi.org/10.1016/j.pec.2023.108075</w:t>
        </w:r>
      </w:hyperlink>
      <w:r>
        <w:rPr>
          <w:rFonts w:ascii="Arial" w:hAnsi="Arial" w:cs="Arial"/>
          <w:sz w:val="22"/>
          <w:szCs w:val="22"/>
        </w:rPr>
        <w:t xml:space="preserve">. </w:t>
      </w:r>
    </w:p>
    <w:p w14:paraId="13FDF684" w14:textId="77777777" w:rsidR="003E18F0" w:rsidRDefault="003E18F0" w:rsidP="00FD043C">
      <w:pPr>
        <w:pStyle w:val="NormalWeb"/>
        <w:spacing w:before="0" w:beforeAutospacing="0" w:after="240" w:afterAutospacing="0" w:line="360" w:lineRule="auto"/>
        <w:ind w:left="720" w:hanging="720"/>
        <w:jc w:val="both"/>
        <w:rPr>
          <w:rFonts w:ascii="Arial" w:hAnsi="Arial" w:cs="Arial"/>
          <w:sz w:val="22"/>
          <w:szCs w:val="22"/>
        </w:rPr>
      </w:pPr>
      <w:r>
        <w:rPr>
          <w:rFonts w:ascii="Arial" w:hAnsi="Arial" w:cs="Arial"/>
          <w:sz w:val="22"/>
          <w:szCs w:val="22"/>
        </w:rPr>
        <w:t xml:space="preserve">NHS England (n.d.). </w:t>
      </w:r>
      <w:r>
        <w:rPr>
          <w:rFonts w:ascii="Arial" w:hAnsi="Arial" w:cs="Arial"/>
          <w:i/>
          <w:iCs/>
          <w:sz w:val="22"/>
          <w:szCs w:val="22"/>
        </w:rPr>
        <w:t>NHS England » mrs C’s story</w:t>
      </w:r>
      <w:r>
        <w:rPr>
          <w:rFonts w:ascii="Arial" w:hAnsi="Arial" w:cs="Arial"/>
          <w:sz w:val="22"/>
          <w:szCs w:val="22"/>
        </w:rPr>
        <w:t xml:space="preserve">. [online] www.england.nhs.uk. Available at: </w:t>
      </w:r>
      <w:hyperlink r:id="rId17" w:history="1">
        <w:r w:rsidRPr="00D92C55">
          <w:rPr>
            <w:rStyle w:val="Hyperlink"/>
            <w:rFonts w:ascii="Arial" w:hAnsi="Arial" w:cs="Arial"/>
            <w:sz w:val="22"/>
            <w:szCs w:val="22"/>
          </w:rPr>
          <w:t>https://www.england.nhs.uk/personalisedcare/comprehensive-model/case-studies/mrs-cs-story/</w:t>
        </w:r>
      </w:hyperlink>
      <w:r>
        <w:rPr>
          <w:rFonts w:ascii="Arial" w:hAnsi="Arial" w:cs="Arial"/>
          <w:sz w:val="22"/>
          <w:szCs w:val="22"/>
        </w:rPr>
        <w:t xml:space="preserve"> </w:t>
      </w:r>
    </w:p>
    <w:p w14:paraId="10E6E9C4" w14:textId="77777777" w:rsidR="003E18F0" w:rsidRDefault="003E18F0" w:rsidP="00FD043C">
      <w:pPr>
        <w:pStyle w:val="NormalWeb"/>
        <w:spacing w:before="0" w:beforeAutospacing="0" w:after="240" w:afterAutospacing="0" w:line="360" w:lineRule="auto"/>
        <w:ind w:left="720" w:hanging="720"/>
        <w:jc w:val="both"/>
        <w:rPr>
          <w:rFonts w:ascii="Arial" w:hAnsi="Arial" w:cs="Arial"/>
          <w:sz w:val="22"/>
          <w:szCs w:val="22"/>
        </w:rPr>
      </w:pPr>
      <w:r>
        <w:rPr>
          <w:rFonts w:ascii="Arial" w:hAnsi="Arial" w:cs="Arial"/>
          <w:sz w:val="22"/>
          <w:szCs w:val="22"/>
        </w:rPr>
        <w:t xml:space="preserve">Pieterse, A.H., Gulbrandsen, P., Ofstad, E.H. and Menichetti, J. (2023). What does shared decision making ask from doctors? Uncovering suppressed qualities that could improve person-centered care. </w:t>
      </w:r>
      <w:r>
        <w:rPr>
          <w:rFonts w:ascii="Arial" w:hAnsi="Arial" w:cs="Arial"/>
          <w:i/>
          <w:iCs/>
          <w:sz w:val="22"/>
          <w:szCs w:val="22"/>
        </w:rPr>
        <w:t>Patient Education and Counseling</w:t>
      </w:r>
      <w:r>
        <w:rPr>
          <w:rFonts w:ascii="Arial" w:hAnsi="Arial" w:cs="Arial"/>
          <w:sz w:val="22"/>
          <w:szCs w:val="22"/>
        </w:rPr>
        <w:t xml:space="preserve">, [online] 114, p.107801. </w:t>
      </w:r>
      <w:hyperlink r:id="rId18" w:history="1">
        <w:r w:rsidRPr="00D92C55">
          <w:rPr>
            <w:rStyle w:val="Hyperlink"/>
            <w:rFonts w:ascii="Arial" w:hAnsi="Arial" w:cs="Arial"/>
            <w:sz w:val="22"/>
            <w:szCs w:val="22"/>
          </w:rPr>
          <w:t>https://doi.org/10.1016/j.pec.2023.107801</w:t>
        </w:r>
      </w:hyperlink>
      <w:r>
        <w:rPr>
          <w:rFonts w:ascii="Arial" w:hAnsi="Arial" w:cs="Arial"/>
          <w:sz w:val="22"/>
          <w:szCs w:val="22"/>
        </w:rPr>
        <w:t xml:space="preserve">. </w:t>
      </w:r>
    </w:p>
    <w:p w14:paraId="05A2C672" w14:textId="77777777" w:rsidR="003E18F0" w:rsidRDefault="003E18F0" w:rsidP="00FD043C">
      <w:pPr>
        <w:pStyle w:val="NormalWeb"/>
        <w:spacing w:before="0" w:beforeAutospacing="0" w:after="240" w:afterAutospacing="0" w:line="360" w:lineRule="auto"/>
        <w:ind w:left="720" w:hanging="720"/>
        <w:jc w:val="both"/>
        <w:rPr>
          <w:rFonts w:ascii="Arial" w:hAnsi="Arial" w:cs="Arial"/>
          <w:sz w:val="22"/>
          <w:szCs w:val="22"/>
        </w:rPr>
      </w:pPr>
      <w:r>
        <w:rPr>
          <w:rFonts w:ascii="Arial" w:hAnsi="Arial" w:cs="Arial"/>
          <w:sz w:val="22"/>
          <w:szCs w:val="22"/>
        </w:rPr>
        <w:t xml:space="preserve">Raaijmakers, L.H.A., Schermer, T.R., Wijnen, M., van Bommel, H.E., Michielsen, L., Boone, F., Vercoulen, J.H. and Bischoff, E.W.M.A. (2023). Development of a person-centred integrated care approach for chronic disease management in Dutch primary care: A mixed-method study. </w:t>
      </w:r>
      <w:r>
        <w:rPr>
          <w:rFonts w:ascii="Arial" w:hAnsi="Arial" w:cs="Arial"/>
          <w:i/>
          <w:iCs/>
          <w:sz w:val="22"/>
          <w:szCs w:val="22"/>
        </w:rPr>
        <w:t>International Journal of Environmental Research and Public Health</w:t>
      </w:r>
      <w:r>
        <w:rPr>
          <w:rFonts w:ascii="Arial" w:hAnsi="Arial" w:cs="Arial"/>
          <w:sz w:val="22"/>
          <w:szCs w:val="22"/>
        </w:rPr>
        <w:t xml:space="preserve">, 20(5), p.3824. </w:t>
      </w:r>
      <w:hyperlink r:id="rId19" w:history="1">
        <w:r w:rsidRPr="00D92C55">
          <w:rPr>
            <w:rStyle w:val="Hyperlink"/>
            <w:rFonts w:ascii="Arial" w:hAnsi="Arial" w:cs="Arial"/>
            <w:sz w:val="22"/>
            <w:szCs w:val="22"/>
          </w:rPr>
          <w:t>https://doi.org/10.3390/ijerph20053824</w:t>
        </w:r>
      </w:hyperlink>
      <w:r>
        <w:rPr>
          <w:rFonts w:ascii="Arial" w:hAnsi="Arial" w:cs="Arial"/>
          <w:sz w:val="22"/>
          <w:szCs w:val="22"/>
        </w:rPr>
        <w:t xml:space="preserve">. </w:t>
      </w:r>
    </w:p>
    <w:p w14:paraId="50A3A668" w14:textId="77777777" w:rsidR="003E18F0" w:rsidRDefault="003E18F0" w:rsidP="00FD043C">
      <w:pPr>
        <w:pStyle w:val="NormalWeb"/>
        <w:spacing w:before="0" w:beforeAutospacing="0" w:after="240" w:afterAutospacing="0" w:line="360" w:lineRule="auto"/>
        <w:ind w:left="720" w:hanging="720"/>
        <w:jc w:val="both"/>
        <w:rPr>
          <w:rFonts w:ascii="Arial" w:hAnsi="Arial" w:cs="Arial"/>
          <w:sz w:val="22"/>
          <w:szCs w:val="22"/>
        </w:rPr>
      </w:pPr>
      <w:r>
        <w:rPr>
          <w:rFonts w:ascii="Arial" w:hAnsi="Arial" w:cs="Arial"/>
          <w:sz w:val="22"/>
          <w:szCs w:val="22"/>
        </w:rPr>
        <w:t xml:space="preserve">Siebinga, V.Y., Driever, E.M., Stiggelbout, A.M. and Brand, P.L.P. (2022). Shared decision making, patient-centered communication and patient satisfaction – a cross-sectional analysis. </w:t>
      </w:r>
      <w:r>
        <w:rPr>
          <w:rFonts w:ascii="Arial" w:hAnsi="Arial" w:cs="Arial"/>
          <w:i/>
          <w:iCs/>
          <w:sz w:val="22"/>
          <w:szCs w:val="22"/>
        </w:rPr>
        <w:t>Patient Education and Counseling</w:t>
      </w:r>
      <w:r>
        <w:rPr>
          <w:rFonts w:ascii="Arial" w:hAnsi="Arial" w:cs="Arial"/>
          <w:sz w:val="22"/>
          <w:szCs w:val="22"/>
        </w:rPr>
        <w:t xml:space="preserve">, 105(7), pp.2145–2150. </w:t>
      </w:r>
      <w:hyperlink r:id="rId20" w:history="1">
        <w:r w:rsidRPr="00D92C55">
          <w:rPr>
            <w:rStyle w:val="Hyperlink"/>
            <w:rFonts w:ascii="Arial" w:hAnsi="Arial" w:cs="Arial"/>
            <w:sz w:val="22"/>
            <w:szCs w:val="22"/>
          </w:rPr>
          <w:t>https://doi.org/10.1016/j.pec.2022.03.012</w:t>
        </w:r>
      </w:hyperlink>
      <w:r>
        <w:rPr>
          <w:rFonts w:ascii="Arial" w:hAnsi="Arial" w:cs="Arial"/>
          <w:sz w:val="22"/>
          <w:szCs w:val="22"/>
        </w:rPr>
        <w:t xml:space="preserve">. </w:t>
      </w:r>
    </w:p>
    <w:p w14:paraId="3133B6F4" w14:textId="77777777" w:rsidR="003E18F0" w:rsidRDefault="003E18F0" w:rsidP="00FD043C">
      <w:pPr>
        <w:pStyle w:val="NormalWeb"/>
        <w:spacing w:before="0" w:beforeAutospacing="0" w:after="240" w:afterAutospacing="0" w:line="360" w:lineRule="auto"/>
        <w:ind w:left="720" w:hanging="720"/>
        <w:jc w:val="both"/>
        <w:rPr>
          <w:rFonts w:ascii="Arial" w:hAnsi="Arial" w:cs="Arial"/>
          <w:sz w:val="22"/>
          <w:szCs w:val="22"/>
        </w:rPr>
      </w:pPr>
      <w:r>
        <w:rPr>
          <w:rFonts w:ascii="Arial" w:hAnsi="Arial" w:cs="Arial"/>
          <w:sz w:val="22"/>
          <w:szCs w:val="22"/>
        </w:rPr>
        <w:t xml:space="preserve">Tian, C.Y., Wong, E.L.-Y., Qiu, H., Zhao, S., Wang, K., Cheung, A.W.-L. and Yeoh, E.-K. (2024). Patient experience and satisfaction with shared decision-making: A cross-sectional study among outpatients. </w:t>
      </w:r>
      <w:r>
        <w:rPr>
          <w:rFonts w:ascii="Arial" w:hAnsi="Arial" w:cs="Arial"/>
          <w:i/>
          <w:iCs/>
          <w:sz w:val="22"/>
          <w:szCs w:val="22"/>
        </w:rPr>
        <w:t>Patient Education and Counseling</w:t>
      </w:r>
      <w:r>
        <w:rPr>
          <w:rFonts w:ascii="Arial" w:hAnsi="Arial" w:cs="Arial"/>
          <w:sz w:val="22"/>
          <w:szCs w:val="22"/>
        </w:rPr>
        <w:t xml:space="preserve">, [online] 129, p.108410. </w:t>
      </w:r>
      <w:hyperlink r:id="rId21" w:history="1">
        <w:r w:rsidRPr="00D92C55">
          <w:rPr>
            <w:rStyle w:val="Hyperlink"/>
            <w:rFonts w:ascii="Arial" w:hAnsi="Arial" w:cs="Arial"/>
            <w:sz w:val="22"/>
            <w:szCs w:val="22"/>
          </w:rPr>
          <w:t>https://doi.org/10.1016/j.pec.2024.108410</w:t>
        </w:r>
      </w:hyperlink>
      <w:r>
        <w:rPr>
          <w:rFonts w:ascii="Arial" w:hAnsi="Arial" w:cs="Arial"/>
          <w:sz w:val="22"/>
          <w:szCs w:val="22"/>
        </w:rPr>
        <w:t xml:space="preserve">. </w:t>
      </w:r>
    </w:p>
    <w:p w14:paraId="27FE79F2" w14:textId="77777777" w:rsidR="003E18F0" w:rsidRDefault="003E18F0" w:rsidP="00FD043C">
      <w:pPr>
        <w:pStyle w:val="NormalWeb"/>
        <w:spacing w:before="0" w:beforeAutospacing="0" w:after="240" w:afterAutospacing="0" w:line="360" w:lineRule="auto"/>
        <w:ind w:left="720" w:hanging="720"/>
        <w:jc w:val="both"/>
        <w:rPr>
          <w:rFonts w:ascii="Arial" w:hAnsi="Arial" w:cs="Arial"/>
          <w:sz w:val="22"/>
          <w:szCs w:val="22"/>
        </w:rPr>
      </w:pPr>
      <w:r>
        <w:rPr>
          <w:rFonts w:ascii="Arial" w:hAnsi="Arial" w:cs="Arial"/>
          <w:sz w:val="22"/>
          <w:szCs w:val="22"/>
        </w:rPr>
        <w:t xml:space="preserve">Wattal, V., Checkland, K., Sutton, M. and Morciano, M. (2024). What remains after the money ends? Evidence on whether admission reductions continued following the largest health and social care integration programme in England. </w:t>
      </w:r>
      <w:r>
        <w:rPr>
          <w:rFonts w:ascii="Arial" w:hAnsi="Arial" w:cs="Arial"/>
          <w:i/>
          <w:iCs/>
          <w:sz w:val="22"/>
          <w:szCs w:val="22"/>
        </w:rPr>
        <w:t>The European Journal of Health Economics</w:t>
      </w:r>
      <w:r>
        <w:rPr>
          <w:rFonts w:ascii="Arial" w:hAnsi="Arial" w:cs="Arial"/>
          <w:sz w:val="22"/>
          <w:szCs w:val="22"/>
        </w:rPr>
        <w:t xml:space="preserve">, 25(9), pp.1485–1504. </w:t>
      </w:r>
      <w:hyperlink r:id="rId22" w:history="1">
        <w:r w:rsidRPr="00D92C55">
          <w:rPr>
            <w:rStyle w:val="Hyperlink"/>
            <w:rFonts w:ascii="Arial" w:hAnsi="Arial" w:cs="Arial"/>
            <w:sz w:val="22"/>
            <w:szCs w:val="22"/>
          </w:rPr>
          <w:t>https://doi.org/10.1007/s10198-024-01676-0</w:t>
        </w:r>
      </w:hyperlink>
      <w:r>
        <w:rPr>
          <w:rFonts w:ascii="Arial" w:hAnsi="Arial" w:cs="Arial"/>
          <w:sz w:val="22"/>
          <w:szCs w:val="22"/>
        </w:rPr>
        <w:t xml:space="preserve">. </w:t>
      </w:r>
    </w:p>
    <w:p w14:paraId="68990171" w14:textId="77777777" w:rsidR="003E18F0" w:rsidRDefault="003E18F0" w:rsidP="00FD043C">
      <w:pPr>
        <w:pStyle w:val="NormalWeb"/>
        <w:spacing w:before="0" w:beforeAutospacing="0" w:after="240" w:afterAutospacing="0" w:line="360" w:lineRule="auto"/>
        <w:ind w:left="720" w:hanging="720"/>
        <w:jc w:val="both"/>
        <w:rPr>
          <w:rFonts w:ascii="Arial" w:hAnsi="Arial" w:cs="Arial"/>
          <w:sz w:val="22"/>
          <w:szCs w:val="22"/>
        </w:rPr>
      </w:pPr>
      <w:r>
        <w:rPr>
          <w:rFonts w:ascii="Arial" w:hAnsi="Arial" w:cs="Arial"/>
          <w:sz w:val="22"/>
          <w:szCs w:val="22"/>
        </w:rPr>
        <w:t xml:space="preserve">Withers, K., Pardy, K., Topham, L., Lee, R., Ghanghro, A., Cryer, H. and Williams, H. (2024). A long way from frome: Improving connections between patients, local services and communities to reduce emergency admissions. </w:t>
      </w:r>
      <w:r>
        <w:rPr>
          <w:rFonts w:ascii="Arial" w:hAnsi="Arial" w:cs="Arial"/>
          <w:i/>
          <w:iCs/>
          <w:sz w:val="22"/>
          <w:szCs w:val="22"/>
        </w:rPr>
        <w:t>BMC Primary Care</w:t>
      </w:r>
      <w:r>
        <w:rPr>
          <w:rFonts w:ascii="Arial" w:hAnsi="Arial" w:cs="Arial"/>
          <w:sz w:val="22"/>
          <w:szCs w:val="22"/>
        </w:rPr>
        <w:t xml:space="preserve">, 25(1). </w:t>
      </w:r>
      <w:hyperlink r:id="rId23" w:history="1">
        <w:r w:rsidRPr="00D92C55">
          <w:rPr>
            <w:rStyle w:val="Hyperlink"/>
            <w:rFonts w:ascii="Arial" w:hAnsi="Arial" w:cs="Arial"/>
            <w:sz w:val="22"/>
            <w:szCs w:val="22"/>
          </w:rPr>
          <w:t>https://doi.org/10.1186/s12875-024-02557-4</w:t>
        </w:r>
      </w:hyperlink>
      <w:r>
        <w:rPr>
          <w:rFonts w:ascii="Arial" w:hAnsi="Arial" w:cs="Arial"/>
          <w:sz w:val="22"/>
          <w:szCs w:val="22"/>
        </w:rPr>
        <w:t xml:space="preserve">. </w:t>
      </w:r>
    </w:p>
    <w:p w14:paraId="50D945A9" w14:textId="77777777" w:rsidR="003E18F0" w:rsidRPr="003E18F0" w:rsidRDefault="003E18F0" w:rsidP="00FD043C"/>
    <w:sectPr w:rsidR="003E18F0" w:rsidRPr="003E18F0" w:rsidSect="00034616">
      <w:footerReference w:type="default" r:id="rId24"/>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87876" w14:textId="77777777" w:rsidR="00D81974" w:rsidRDefault="00D81974">
      <w:pPr>
        <w:spacing w:after="0" w:line="240" w:lineRule="auto"/>
      </w:pPr>
      <w:r>
        <w:separator/>
      </w:r>
    </w:p>
  </w:endnote>
  <w:endnote w:type="continuationSeparator" w:id="0">
    <w:p w14:paraId="24F62AE3" w14:textId="77777777" w:rsidR="00D81974" w:rsidRDefault="00D81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ACFF"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CEEDD" w14:textId="77777777" w:rsidR="00F33B50" w:rsidRDefault="005A56EA">
    <w:pPr>
      <w:pStyle w:val="Footer"/>
      <w:jc w:val="center"/>
    </w:pPr>
    <w:r>
      <w:t xml:space="preserve"> </w:t>
    </w:r>
    <w:r>
      <w:fldChar w:fldCharType="begin"/>
    </w:r>
    <w:r>
      <w:instrText xml:space="preserve"> PAGE </w:instrText>
    </w:r>
    <w:r>
      <w:fldChar w:fldCharType="separate"/>
    </w:r>
    <w:r w:rsidR="0054573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0526B" w14:textId="77777777" w:rsidR="00D81974" w:rsidRDefault="00D81974">
      <w:pPr>
        <w:spacing w:after="0" w:line="240" w:lineRule="auto"/>
      </w:pPr>
      <w:r>
        <w:separator/>
      </w:r>
    </w:p>
  </w:footnote>
  <w:footnote w:type="continuationSeparator" w:id="0">
    <w:p w14:paraId="310DF41F" w14:textId="77777777" w:rsidR="00D81974" w:rsidRDefault="00D819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8546291">
    <w:abstractNumId w:val="8"/>
  </w:num>
  <w:num w:numId="2" w16cid:durableId="1379280978">
    <w:abstractNumId w:val="6"/>
  </w:num>
  <w:num w:numId="3" w16cid:durableId="1293554146">
    <w:abstractNumId w:val="5"/>
  </w:num>
  <w:num w:numId="4" w16cid:durableId="1493987337">
    <w:abstractNumId w:val="4"/>
  </w:num>
  <w:num w:numId="5" w16cid:durableId="1574971959">
    <w:abstractNumId w:val="7"/>
  </w:num>
  <w:num w:numId="6" w16cid:durableId="158010830">
    <w:abstractNumId w:val="3"/>
  </w:num>
  <w:num w:numId="7" w16cid:durableId="331488699">
    <w:abstractNumId w:val="2"/>
  </w:num>
  <w:num w:numId="8" w16cid:durableId="762141972">
    <w:abstractNumId w:val="1"/>
  </w:num>
  <w:num w:numId="9" w16cid:durableId="354771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jUwNTM0NTKwNDI3MTJW0lEKTi0uzszPAykwqgUA0RcMuCwAAAA="/>
  </w:docVars>
  <w:rsids>
    <w:rsidRoot w:val="00B47730"/>
    <w:rsid w:val="00034616"/>
    <w:rsid w:val="0006063C"/>
    <w:rsid w:val="0015074B"/>
    <w:rsid w:val="00157BB9"/>
    <w:rsid w:val="001D75CE"/>
    <w:rsid w:val="00211797"/>
    <w:rsid w:val="00293EB4"/>
    <w:rsid w:val="0029639D"/>
    <w:rsid w:val="00326F90"/>
    <w:rsid w:val="003B703E"/>
    <w:rsid w:val="003E18F0"/>
    <w:rsid w:val="00426F07"/>
    <w:rsid w:val="00465475"/>
    <w:rsid w:val="005109B3"/>
    <w:rsid w:val="00545736"/>
    <w:rsid w:val="005A56EA"/>
    <w:rsid w:val="00676C63"/>
    <w:rsid w:val="006D7BFE"/>
    <w:rsid w:val="00722898"/>
    <w:rsid w:val="00775A56"/>
    <w:rsid w:val="00874FD0"/>
    <w:rsid w:val="008944E5"/>
    <w:rsid w:val="008D7DCC"/>
    <w:rsid w:val="008F3224"/>
    <w:rsid w:val="00935155"/>
    <w:rsid w:val="009E4C9D"/>
    <w:rsid w:val="00AA1D8D"/>
    <w:rsid w:val="00AC6F6A"/>
    <w:rsid w:val="00B21C0E"/>
    <w:rsid w:val="00B47730"/>
    <w:rsid w:val="00BB26F3"/>
    <w:rsid w:val="00C73267"/>
    <w:rsid w:val="00CB0664"/>
    <w:rsid w:val="00CB18BE"/>
    <w:rsid w:val="00D4548D"/>
    <w:rsid w:val="00D81974"/>
    <w:rsid w:val="00DB37D5"/>
    <w:rsid w:val="00EC3C31"/>
    <w:rsid w:val="00F33B50"/>
    <w:rsid w:val="00F668EB"/>
    <w:rsid w:val="00FC693F"/>
    <w:rsid w:val="00FD04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B3FA4D"/>
  <w14:defaultImageDpi w14:val="300"/>
  <w15:docId w15:val="{BFA6292B-9D78-408C-87A7-5D9D1B46C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Arial" w:eastAsia="Arial" w:hAnsi="Arial"/>
    </w:rPr>
  </w:style>
  <w:style w:type="paragraph" w:styleId="Heading1">
    <w:name w:val="heading 1"/>
    <w:basedOn w:val="Normal"/>
    <w:next w:val="Normal"/>
    <w:link w:val="Heading1Char"/>
    <w:uiPriority w:val="9"/>
    <w:qFormat/>
    <w:rsid w:val="00426F07"/>
    <w:pPr>
      <w:keepNext/>
      <w:keepLines/>
      <w:spacing w:before="200"/>
      <w:outlineLvl w:val="0"/>
    </w:pPr>
    <w:rPr>
      <w:rFonts w:eastAsiaTheme="majorEastAsia" w:cs="Arial"/>
      <w:b/>
      <w:bCs/>
    </w:rPr>
  </w:style>
  <w:style w:type="paragraph" w:styleId="Heading2">
    <w:name w:val="heading 2"/>
    <w:basedOn w:val="Normal"/>
    <w:next w:val="Normal"/>
    <w:link w:val="Heading2Char"/>
    <w:uiPriority w:val="9"/>
    <w:unhideWhenUsed/>
    <w:qFormat/>
    <w:rsid w:val="00426F07"/>
    <w:pPr>
      <w:keepNext/>
      <w:keepLines/>
      <w:spacing w:before="200"/>
      <w:outlineLvl w:val="1"/>
    </w:pPr>
    <w:rPr>
      <w:rFonts w:eastAsiaTheme="majorEastAsia" w:cs="Arial"/>
      <w:bCs/>
      <w:u w:val="single"/>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26F07"/>
    <w:rPr>
      <w:rFonts w:ascii="Arial" w:eastAsiaTheme="majorEastAsia" w:hAnsi="Arial" w:cs="Arial"/>
      <w:b/>
      <w:bCs/>
    </w:rPr>
  </w:style>
  <w:style w:type="character" w:customStyle="1" w:styleId="Heading2Char">
    <w:name w:val="Heading 2 Char"/>
    <w:basedOn w:val="DefaultParagraphFont"/>
    <w:link w:val="Heading2"/>
    <w:uiPriority w:val="9"/>
    <w:rsid w:val="00426F07"/>
    <w:rPr>
      <w:rFonts w:ascii="Arial" w:eastAsiaTheme="majorEastAsia" w:hAnsi="Arial" w:cs="Arial"/>
      <w:bCs/>
      <w:u w:val="single"/>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426F07"/>
    <w:pPr>
      <w:keepNext/>
      <w:spacing w:line="240" w:lineRule="auto"/>
    </w:pPr>
    <w:rPr>
      <w:bCs/>
      <w:sz w:val="24"/>
      <w:szCs w:val="24"/>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Custom">
    <w:name w:val="Caption Custom"/>
    <w:pPr>
      <w:spacing w:before="120" w:after="80"/>
      <w:jc w:val="center"/>
    </w:pPr>
    <w:rPr>
      <w:rFonts w:ascii="Arial" w:eastAsia="Arial" w:hAnsi="Arial"/>
      <w:b/>
      <w:sz w:val="20"/>
    </w:rPr>
  </w:style>
  <w:style w:type="paragraph" w:styleId="TableofFigures">
    <w:name w:val="table of figures"/>
    <w:basedOn w:val="Normal"/>
    <w:next w:val="Normal"/>
    <w:uiPriority w:val="99"/>
    <w:unhideWhenUsed/>
    <w:rsid w:val="00426F07"/>
    <w:pPr>
      <w:spacing w:after="0"/>
    </w:pPr>
  </w:style>
  <w:style w:type="character" w:styleId="Hyperlink">
    <w:name w:val="Hyperlink"/>
    <w:basedOn w:val="DefaultParagraphFont"/>
    <w:uiPriority w:val="99"/>
    <w:unhideWhenUsed/>
    <w:rsid w:val="00426F07"/>
    <w:rPr>
      <w:color w:val="0000FF" w:themeColor="hyperlink"/>
      <w:u w:val="single"/>
    </w:rPr>
  </w:style>
  <w:style w:type="paragraph" w:styleId="TOC1">
    <w:name w:val="toc 1"/>
    <w:basedOn w:val="Normal"/>
    <w:next w:val="Normal"/>
    <w:autoRedefine/>
    <w:uiPriority w:val="39"/>
    <w:unhideWhenUsed/>
    <w:rsid w:val="00426F07"/>
    <w:pPr>
      <w:spacing w:after="100"/>
    </w:pPr>
  </w:style>
  <w:style w:type="paragraph" w:styleId="TOC2">
    <w:name w:val="toc 2"/>
    <w:basedOn w:val="Normal"/>
    <w:next w:val="Normal"/>
    <w:autoRedefine/>
    <w:uiPriority w:val="39"/>
    <w:unhideWhenUsed/>
    <w:rsid w:val="00426F07"/>
    <w:pPr>
      <w:spacing w:after="100"/>
      <w:ind w:left="220"/>
    </w:pPr>
  </w:style>
  <w:style w:type="paragraph" w:styleId="NormalWeb">
    <w:name w:val="Normal (Web)"/>
    <w:basedOn w:val="Normal"/>
    <w:uiPriority w:val="99"/>
    <w:semiHidden/>
    <w:unhideWhenUsed/>
    <w:rsid w:val="003E18F0"/>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811892">
      <w:bodyDiv w:val="1"/>
      <w:marLeft w:val="0"/>
      <w:marRight w:val="0"/>
      <w:marTop w:val="0"/>
      <w:marBottom w:val="0"/>
      <w:divBdr>
        <w:top w:val="none" w:sz="0" w:space="0" w:color="auto"/>
        <w:left w:val="none" w:sz="0" w:space="0" w:color="auto"/>
        <w:bottom w:val="none" w:sz="0" w:space="0" w:color="auto"/>
        <w:right w:val="none" w:sz="0" w:space="0" w:color="auto"/>
      </w:divBdr>
      <w:divsChild>
        <w:div w:id="95247495">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bmcpublichealth.biomedcentral.com/articles/10.1186/s12889-024-20089-5" TargetMode="External" /><Relationship Id="rId13" Type="http://schemas.openxmlformats.org/officeDocument/2006/relationships/hyperlink" Target="https://doi.org/10.1016/j.pec.2023.107755" TargetMode="External" /><Relationship Id="rId18" Type="http://schemas.openxmlformats.org/officeDocument/2006/relationships/hyperlink" Target="https://doi.org/10.1016/j.pec.2023.107801" TargetMode="External"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doi.org/10.1016/j.pec.2024.108410" TargetMode="External" /><Relationship Id="rId7" Type="http://schemas.openxmlformats.org/officeDocument/2006/relationships/endnotes" Target="endnotes.xml" /><Relationship Id="rId12" Type="http://schemas.openxmlformats.org/officeDocument/2006/relationships/hyperlink" Target="https://doi.org/10.1186/s12913-022-07971-x" TargetMode="External" /><Relationship Id="rId17" Type="http://schemas.openxmlformats.org/officeDocument/2006/relationships/hyperlink" Target="https://www.england.nhs.uk/personalisedcare/comprehensive-model/case-studies/mrs-cs-story/" TargetMode="External"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doi.org/10.1016/j.pec.2023.108075" TargetMode="External" /><Relationship Id="rId20" Type="http://schemas.openxmlformats.org/officeDocument/2006/relationships/hyperlink" Target="https://doi.org/10.1016/j.pec.2022.03.012"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legislation.gov.uk/ukpga/2005/9/pdfs/ukpga_20050009_en.pdf" TargetMode="External"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s://www.legislation.gov.uk/id/ukpga/2022/31" TargetMode="External" /><Relationship Id="rId23" Type="http://schemas.openxmlformats.org/officeDocument/2006/relationships/hyperlink" Target="https://doi.org/10.1186/s12875-024-02557-4" TargetMode="External" /><Relationship Id="rId10" Type="http://schemas.openxmlformats.org/officeDocument/2006/relationships/hyperlink" Target="https://doi.org/10.1038/s41598-023-32448-0" TargetMode="External" /><Relationship Id="rId19" Type="http://schemas.openxmlformats.org/officeDocument/2006/relationships/hyperlink" Target="https://doi.org/10.3390/ijerph20053824" TargetMode="External" /><Relationship Id="rId4" Type="http://schemas.openxmlformats.org/officeDocument/2006/relationships/settings" Target="settings.xml" /><Relationship Id="rId9" Type="http://schemas.openxmlformats.org/officeDocument/2006/relationships/hyperlink" Target="https://doi.org/10.1016/j.pec.2023.107825" TargetMode="External" /><Relationship Id="rId14" Type="http://schemas.openxmlformats.org/officeDocument/2006/relationships/hyperlink" Target="https://www.legislation.gov.uk/ukpga/2014/23/data.xht?wrap=true" TargetMode="External" /><Relationship Id="rId22" Type="http://schemas.openxmlformats.org/officeDocument/2006/relationships/hyperlink" Target="https://doi.org/10.1007/s10198-024-01676-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92D8F-E313-47C6-BBE7-18BFB76ACFD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3442</Words>
  <Characters>19621</Characters>
  <Application>Microsoft Office Word</Application>
  <DocSecurity>0</DocSecurity>
  <Lines>163</Lines>
  <Paragraphs>46</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1. Introduction</vt:lpstr>
      <vt:lpstr>2. Task 1: Critical Reflection on the Importance of Health and Social Care Princ</vt:lpstr>
      <vt:lpstr>    2.1 Person-Centred Care</vt:lpstr>
      <vt:lpstr>    2.2 Partnership Working</vt:lpstr>
      <vt:lpstr>    2.3 Ethics in Health and Social Care</vt:lpstr>
      <vt:lpstr>3. Task 2: Practical Application to Mrs C’s Case</vt:lpstr>
      <vt:lpstr>    3.1 Person-Centred Care in Practice</vt:lpstr>
      <vt:lpstr>    3.2 Partnership Working in Practice</vt:lpstr>
      <vt:lpstr>    3.3 Ethical Practice, Impact and Challenges</vt:lpstr>
      <vt:lpstr>4. Task 3: Self-Reflection using Gibbs’ Reflective Cycle</vt:lpstr>
      <vt:lpstr>    4.1 Description and Feelings</vt:lpstr>
      <vt:lpstr>    4.2 Evaluation and Analysis</vt:lpstr>
      <vt:lpstr>    4.3 Conclusion and Action Plan</vt:lpstr>
      <vt:lpstr/>
      <vt:lpstr>5. Conclusion</vt:lpstr>
      <vt:lpstr>References</vt:lpstr>
    </vt:vector>
  </TitlesOfParts>
  <Manager/>
  <Company/>
  <LinksUpToDate>false</LinksUpToDate>
  <CharactersWithSpaces>23017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Safa khan</cp:lastModifiedBy>
  <cp:revision>2</cp:revision>
  <dcterms:created xsi:type="dcterms:W3CDTF">2026-10-21T08:50:00Z</dcterms:created>
  <dcterms:modified xsi:type="dcterms:W3CDTF">2026-10-21T08:50:00Z</dcterms:modified>
  <cp:category/>
</cp:coreProperties>
</file>