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c="http://schemas.openxmlformats.org/drawingml/2006/chart" mc:Ignorable="w14 w15 w16se w16cid w16 w16cex w16sdtdh wp14">
  <w:body>
    <w:p w:rsidR="00844C49" w:rsidP="00844C49" w:rsidRDefault="00844C49" w14:paraId="5BAEFC82" w14:textId="77777777">
      <w:pPr>
        <w:jc w:val="center"/>
        <w:rPr>
          <w:b/>
          <w:sz w:val="32"/>
        </w:rPr>
      </w:pPr>
    </w:p>
    <w:p w:rsidR="00844C49" w:rsidP="00844C49" w:rsidRDefault="00844C49" w14:paraId="6319FA9D" w14:textId="77777777">
      <w:pPr>
        <w:jc w:val="center"/>
        <w:rPr>
          <w:b/>
          <w:sz w:val="32"/>
        </w:rPr>
      </w:pPr>
    </w:p>
    <w:p w:rsidR="00844C49" w:rsidP="00844C49" w:rsidRDefault="00844C49" w14:paraId="76B04EBF" w14:textId="77777777">
      <w:pPr>
        <w:jc w:val="center"/>
        <w:rPr>
          <w:b/>
          <w:sz w:val="32"/>
        </w:rPr>
      </w:pPr>
    </w:p>
    <w:p w:rsidR="00844C49" w:rsidP="00844C49" w:rsidRDefault="00844C49" w14:paraId="64C9DCF0" w14:textId="77777777">
      <w:pPr>
        <w:jc w:val="center"/>
        <w:rPr>
          <w:b/>
          <w:sz w:val="32"/>
        </w:rPr>
      </w:pPr>
    </w:p>
    <w:p w:rsidR="00844C49" w:rsidP="00844C49" w:rsidRDefault="00844C49" w14:paraId="2F2DBE3A" w14:textId="77777777">
      <w:pPr>
        <w:jc w:val="center"/>
        <w:rPr>
          <w:b/>
          <w:sz w:val="32"/>
        </w:rPr>
      </w:pPr>
    </w:p>
    <w:p w:rsidR="00844C49" w:rsidP="00844C49" w:rsidRDefault="00844C49" w14:paraId="08E78526" w14:textId="77777777">
      <w:pPr>
        <w:jc w:val="center"/>
        <w:rPr>
          <w:b/>
          <w:sz w:val="32"/>
        </w:rPr>
      </w:pPr>
    </w:p>
    <w:p w:rsidR="00844C49" w:rsidP="00844C49" w:rsidRDefault="00844C49" w14:paraId="34EBC09F" w14:textId="77777777">
      <w:pPr>
        <w:jc w:val="center"/>
        <w:rPr>
          <w:b/>
          <w:sz w:val="32"/>
        </w:rPr>
      </w:pPr>
    </w:p>
    <w:p w:rsidR="00844C49" w:rsidP="00844C49" w:rsidRDefault="00844C49" w14:paraId="534967FB" w14:textId="77777777">
      <w:pPr>
        <w:jc w:val="center"/>
        <w:rPr>
          <w:b/>
          <w:sz w:val="32"/>
        </w:rPr>
      </w:pPr>
      <w:r>
        <w:rPr>
          <w:b/>
          <w:sz w:val="32"/>
        </w:rPr>
        <w:t>Level 5</w:t>
      </w:r>
    </w:p>
    <w:p w:rsidR="00F878AD" w:rsidP="00844C49" w:rsidRDefault="00F12208" w14:paraId="4226E851" w14:textId="77777777">
      <w:pPr>
        <w:jc w:val="center"/>
        <w:rPr>
          <w:b/>
          <w:sz w:val="32"/>
        </w:rPr>
      </w:pPr>
      <w:r w:rsidRPr="651321F7" w:rsidR="00F12208">
        <w:rPr>
          <w:b w:val="1"/>
          <w:bCs w:val="1"/>
          <w:sz w:val="32"/>
          <w:szCs w:val="32"/>
        </w:rPr>
        <w:t>Financial Management for the Hotel Industry</w:t>
      </w:r>
    </w:p>
    <w:p w:rsidR="651321F7" w:rsidP="651321F7" w:rsidRDefault="651321F7" w14:paraId="22C49BBC" w14:textId="4576D382">
      <w:pPr>
        <w:pStyle w:val="Normal"/>
        <w:jc w:val="center"/>
        <w:rPr>
          <w:b w:val="1"/>
          <w:bCs w:val="1"/>
          <w:sz w:val="32"/>
          <w:szCs w:val="32"/>
        </w:rPr>
      </w:pPr>
    </w:p>
    <w:p w:rsidR="00BA66F6" w:rsidP="00844C49" w:rsidRDefault="00BA66F6" w14:paraId="5C52F11B" w14:textId="77777777">
      <w:pPr>
        <w:jc w:val="center"/>
        <w:rPr>
          <w:b/>
          <w:sz w:val="32"/>
        </w:rPr>
      </w:pPr>
    </w:p>
    <w:p w:rsidR="003A7D6C" w:rsidP="003A7D6C" w:rsidRDefault="003A7D6C" w14:paraId="3E1C6549" w14:textId="2628A990">
      <w:pPr>
        <w:jc w:val="center"/>
        <w:rPr>
          <w:b/>
          <w:sz w:val="32"/>
        </w:rPr>
      </w:pPr>
      <w:proofErr w:type="spellStart"/>
      <w:r>
        <w:rPr>
          <w:b/>
          <w:sz w:val="32"/>
        </w:rPr>
        <w:t>Nadeige</w:t>
      </w:r>
      <w:proofErr w:type="spellEnd"/>
      <w:r>
        <w:rPr>
          <w:b/>
          <w:sz w:val="32"/>
        </w:rPr>
        <w:t xml:space="preserve"> Lewis 212642</w:t>
      </w:r>
      <w:r w:rsidR="00BA66F6">
        <w:rPr>
          <w:b/>
          <w:sz w:val="32"/>
        </w:rPr>
        <w:t>7</w:t>
      </w:r>
    </w:p>
    <w:p w:rsidR="00BA66F6" w:rsidP="003A7D6C" w:rsidRDefault="00BA66F6" w14:paraId="232D4144" w14:textId="55125A17">
      <w:pPr>
        <w:jc w:val="center"/>
        <w:rPr>
          <w:b/>
          <w:sz w:val="32"/>
        </w:rPr>
      </w:pPr>
      <w:r>
        <w:rPr>
          <w:b/>
          <w:sz w:val="32"/>
        </w:rPr>
        <w:t xml:space="preserve">Tristan Hawkins </w:t>
      </w:r>
    </w:p>
    <w:p w:rsidR="009A4230" w:rsidP="003A7D6C" w:rsidRDefault="009A4230" w14:paraId="3DD77BF6" w14:textId="31E0642E">
      <w:pPr>
        <w:jc w:val="center"/>
        <w:rPr>
          <w:b/>
          <w:sz w:val="32"/>
        </w:rPr>
      </w:pPr>
      <w:r>
        <w:rPr>
          <w:b/>
          <w:sz w:val="32"/>
        </w:rPr>
        <w:t xml:space="preserve">BMIH5007 </w:t>
      </w:r>
    </w:p>
    <w:p w:rsidRPr="00844C49" w:rsidR="00DE11F0" w:rsidP="003A7D6C" w:rsidRDefault="00DE11F0" w14:paraId="62B75969" w14:textId="77777777">
      <w:pPr>
        <w:jc w:val="center"/>
        <w:rPr>
          <w:b/>
          <w:sz w:val="32"/>
        </w:rPr>
      </w:pPr>
    </w:p>
    <w:p w:rsidR="00F878AD" w:rsidRDefault="00F878AD" w14:paraId="69AB46FC" w14:textId="77777777">
      <w:pPr>
        <w:spacing w:line="259" w:lineRule="auto"/>
        <w:jc w:val="left"/>
      </w:pPr>
      <w:r>
        <w:br w:type="page"/>
      </w:r>
    </w:p>
    <w:sdt>
      <w:sdtPr>
        <w:rPr>
          <w:rFonts w:ascii="Arial" w:hAnsi="Arial" w:eastAsiaTheme="minorHAnsi" w:cstheme="minorBidi"/>
          <w:color w:val="auto"/>
          <w:sz w:val="24"/>
          <w:szCs w:val="22"/>
        </w:rPr>
        <w:id w:val="1460765252"/>
        <w:docPartObj>
          <w:docPartGallery w:val="Table of Contents"/>
          <w:docPartUnique/>
        </w:docPartObj>
      </w:sdtPr>
      <w:sdtEndPr>
        <w:rPr>
          <w:b/>
          <w:bCs/>
          <w:noProof/>
        </w:rPr>
      </w:sdtEndPr>
      <w:sdtContent>
        <w:p w:rsidRPr="00B24346" w:rsidR="00844C49" w:rsidRDefault="00844C49" w14:paraId="6ACF3066" w14:textId="77777777">
          <w:pPr>
            <w:pStyle w:val="TOCHeading"/>
            <w:rPr>
              <w:b/>
              <w:color w:val="auto"/>
            </w:rPr>
          </w:pPr>
          <w:r w:rsidRPr="00B24346">
            <w:rPr>
              <w:b/>
              <w:color w:val="auto"/>
            </w:rPr>
            <w:t>Contents</w:t>
          </w:r>
        </w:p>
        <w:p w:rsidR="001248B5" w:rsidRDefault="00844C49" w14:paraId="2980A6C0" w14:textId="77777777">
          <w:pPr>
            <w:pStyle w:val="TOC1"/>
            <w:tabs>
              <w:tab w:val="right" w:leader="dot" w:pos="9350"/>
            </w:tabs>
            <w:rPr>
              <w:rFonts w:asciiTheme="minorHAnsi" w:hAnsiTheme="minorHAnsi" w:eastAsiaTheme="minorEastAsia"/>
              <w:noProof/>
              <w:sz w:val="22"/>
            </w:rPr>
          </w:pPr>
          <w:r>
            <w:fldChar w:fldCharType="begin"/>
          </w:r>
          <w:r>
            <w:instrText xml:space="preserve"> TOC \o "1-3" \h \z \u </w:instrText>
          </w:r>
          <w:r>
            <w:fldChar w:fldCharType="separate"/>
          </w:r>
          <w:hyperlink w:history="1" w:anchor="_Toc157042893">
            <w:r w:rsidRPr="001370A4" w:rsidR="001248B5">
              <w:rPr>
                <w:rStyle w:val="Hyperlink"/>
                <w:noProof/>
              </w:rPr>
              <w:t>Introduction</w:t>
            </w:r>
            <w:r w:rsidR="001248B5">
              <w:rPr>
                <w:noProof/>
                <w:webHidden/>
              </w:rPr>
              <w:tab/>
            </w:r>
            <w:r w:rsidR="001248B5">
              <w:rPr>
                <w:noProof/>
                <w:webHidden/>
              </w:rPr>
              <w:fldChar w:fldCharType="begin"/>
            </w:r>
            <w:r w:rsidR="001248B5">
              <w:rPr>
                <w:noProof/>
                <w:webHidden/>
              </w:rPr>
              <w:instrText xml:space="preserve"> PAGEREF _Toc157042893 \h </w:instrText>
            </w:r>
            <w:r w:rsidR="001248B5">
              <w:rPr>
                <w:noProof/>
                <w:webHidden/>
              </w:rPr>
            </w:r>
            <w:r w:rsidR="001248B5">
              <w:rPr>
                <w:noProof/>
                <w:webHidden/>
              </w:rPr>
              <w:fldChar w:fldCharType="separate"/>
            </w:r>
            <w:r w:rsidR="001248B5">
              <w:rPr>
                <w:noProof/>
                <w:webHidden/>
              </w:rPr>
              <w:t>3</w:t>
            </w:r>
            <w:r w:rsidR="001248B5">
              <w:rPr>
                <w:noProof/>
                <w:webHidden/>
              </w:rPr>
              <w:fldChar w:fldCharType="end"/>
            </w:r>
          </w:hyperlink>
        </w:p>
        <w:p w:rsidR="001248B5" w:rsidRDefault="004D76D1" w14:paraId="4789EA97" w14:textId="77777777">
          <w:pPr>
            <w:pStyle w:val="TOC1"/>
            <w:tabs>
              <w:tab w:val="right" w:leader="dot" w:pos="9350"/>
            </w:tabs>
            <w:rPr>
              <w:rFonts w:asciiTheme="minorHAnsi" w:hAnsiTheme="minorHAnsi" w:eastAsiaTheme="minorEastAsia"/>
              <w:noProof/>
              <w:sz w:val="22"/>
            </w:rPr>
          </w:pPr>
          <w:hyperlink w:history="1" w:anchor="_Toc157042894">
            <w:r w:rsidRPr="001370A4" w:rsidR="001248B5">
              <w:rPr>
                <w:rStyle w:val="Hyperlink"/>
                <w:noProof/>
              </w:rPr>
              <w:t>About Mandarin Oriental and Premier Inn</w:t>
            </w:r>
            <w:r w:rsidR="001248B5">
              <w:rPr>
                <w:noProof/>
                <w:webHidden/>
              </w:rPr>
              <w:tab/>
            </w:r>
            <w:r w:rsidR="001248B5">
              <w:rPr>
                <w:noProof/>
                <w:webHidden/>
              </w:rPr>
              <w:fldChar w:fldCharType="begin"/>
            </w:r>
            <w:r w:rsidR="001248B5">
              <w:rPr>
                <w:noProof/>
                <w:webHidden/>
              </w:rPr>
              <w:instrText xml:space="preserve"> PAGEREF _Toc157042894 \h </w:instrText>
            </w:r>
            <w:r w:rsidR="001248B5">
              <w:rPr>
                <w:noProof/>
                <w:webHidden/>
              </w:rPr>
            </w:r>
            <w:r w:rsidR="001248B5">
              <w:rPr>
                <w:noProof/>
                <w:webHidden/>
              </w:rPr>
              <w:fldChar w:fldCharType="separate"/>
            </w:r>
            <w:r w:rsidR="001248B5">
              <w:rPr>
                <w:noProof/>
                <w:webHidden/>
              </w:rPr>
              <w:t>4</w:t>
            </w:r>
            <w:r w:rsidR="001248B5">
              <w:rPr>
                <w:noProof/>
                <w:webHidden/>
              </w:rPr>
              <w:fldChar w:fldCharType="end"/>
            </w:r>
          </w:hyperlink>
        </w:p>
        <w:p w:rsidR="001248B5" w:rsidRDefault="004D76D1" w14:paraId="10F990B4" w14:textId="77777777">
          <w:pPr>
            <w:pStyle w:val="TOC1"/>
            <w:tabs>
              <w:tab w:val="right" w:leader="dot" w:pos="9350"/>
            </w:tabs>
            <w:rPr>
              <w:rFonts w:asciiTheme="minorHAnsi" w:hAnsiTheme="minorHAnsi" w:eastAsiaTheme="minorEastAsia"/>
              <w:noProof/>
              <w:sz w:val="22"/>
            </w:rPr>
          </w:pPr>
          <w:hyperlink w:history="1" w:anchor="_Toc157042895">
            <w:r w:rsidRPr="001370A4" w:rsidR="001248B5">
              <w:rPr>
                <w:rStyle w:val="Hyperlink"/>
                <w:noProof/>
              </w:rPr>
              <w:t>Financial Management and Performance of Mandarin Oriental</w:t>
            </w:r>
            <w:r w:rsidR="001248B5">
              <w:rPr>
                <w:noProof/>
                <w:webHidden/>
              </w:rPr>
              <w:tab/>
            </w:r>
            <w:r w:rsidR="001248B5">
              <w:rPr>
                <w:noProof/>
                <w:webHidden/>
              </w:rPr>
              <w:fldChar w:fldCharType="begin"/>
            </w:r>
            <w:r w:rsidR="001248B5">
              <w:rPr>
                <w:noProof/>
                <w:webHidden/>
              </w:rPr>
              <w:instrText xml:space="preserve"> PAGEREF _Toc157042895 \h </w:instrText>
            </w:r>
            <w:r w:rsidR="001248B5">
              <w:rPr>
                <w:noProof/>
                <w:webHidden/>
              </w:rPr>
            </w:r>
            <w:r w:rsidR="001248B5">
              <w:rPr>
                <w:noProof/>
                <w:webHidden/>
              </w:rPr>
              <w:fldChar w:fldCharType="separate"/>
            </w:r>
            <w:r w:rsidR="001248B5">
              <w:rPr>
                <w:noProof/>
                <w:webHidden/>
              </w:rPr>
              <w:t>5</w:t>
            </w:r>
            <w:r w:rsidR="001248B5">
              <w:rPr>
                <w:noProof/>
                <w:webHidden/>
              </w:rPr>
              <w:fldChar w:fldCharType="end"/>
            </w:r>
          </w:hyperlink>
        </w:p>
        <w:p w:rsidR="001248B5" w:rsidRDefault="004D76D1" w14:paraId="513107CE" w14:textId="77777777">
          <w:pPr>
            <w:pStyle w:val="TOC2"/>
            <w:tabs>
              <w:tab w:val="right" w:leader="dot" w:pos="9350"/>
            </w:tabs>
            <w:rPr>
              <w:rFonts w:asciiTheme="minorHAnsi" w:hAnsiTheme="minorHAnsi" w:eastAsiaTheme="minorEastAsia"/>
              <w:noProof/>
              <w:sz w:val="22"/>
            </w:rPr>
          </w:pPr>
          <w:hyperlink w:history="1" w:anchor="_Toc157042896">
            <w:r w:rsidRPr="001370A4" w:rsidR="001248B5">
              <w:rPr>
                <w:rStyle w:val="Hyperlink"/>
                <w:noProof/>
              </w:rPr>
              <w:t>Total Revenue</w:t>
            </w:r>
            <w:r w:rsidR="001248B5">
              <w:rPr>
                <w:noProof/>
                <w:webHidden/>
              </w:rPr>
              <w:tab/>
            </w:r>
            <w:r w:rsidR="001248B5">
              <w:rPr>
                <w:noProof/>
                <w:webHidden/>
              </w:rPr>
              <w:fldChar w:fldCharType="begin"/>
            </w:r>
            <w:r w:rsidR="001248B5">
              <w:rPr>
                <w:noProof/>
                <w:webHidden/>
              </w:rPr>
              <w:instrText xml:space="preserve"> PAGEREF _Toc157042896 \h </w:instrText>
            </w:r>
            <w:r w:rsidR="001248B5">
              <w:rPr>
                <w:noProof/>
                <w:webHidden/>
              </w:rPr>
            </w:r>
            <w:r w:rsidR="001248B5">
              <w:rPr>
                <w:noProof/>
                <w:webHidden/>
              </w:rPr>
              <w:fldChar w:fldCharType="separate"/>
            </w:r>
            <w:r w:rsidR="001248B5">
              <w:rPr>
                <w:noProof/>
                <w:webHidden/>
              </w:rPr>
              <w:t>5</w:t>
            </w:r>
            <w:r w:rsidR="001248B5">
              <w:rPr>
                <w:noProof/>
                <w:webHidden/>
              </w:rPr>
              <w:fldChar w:fldCharType="end"/>
            </w:r>
          </w:hyperlink>
        </w:p>
        <w:p w:rsidR="001248B5" w:rsidRDefault="004D76D1" w14:paraId="61054F70" w14:textId="77777777">
          <w:pPr>
            <w:pStyle w:val="TOC2"/>
            <w:tabs>
              <w:tab w:val="right" w:leader="dot" w:pos="9350"/>
            </w:tabs>
            <w:rPr>
              <w:rFonts w:asciiTheme="minorHAnsi" w:hAnsiTheme="minorHAnsi" w:eastAsiaTheme="minorEastAsia"/>
              <w:noProof/>
              <w:sz w:val="22"/>
            </w:rPr>
          </w:pPr>
          <w:hyperlink w:history="1" w:anchor="_Toc157042897">
            <w:r w:rsidRPr="001370A4" w:rsidR="001248B5">
              <w:rPr>
                <w:rStyle w:val="Hyperlink"/>
                <w:noProof/>
              </w:rPr>
              <w:t>Market Position</w:t>
            </w:r>
            <w:r w:rsidR="001248B5">
              <w:rPr>
                <w:noProof/>
                <w:webHidden/>
              </w:rPr>
              <w:tab/>
            </w:r>
            <w:r w:rsidR="001248B5">
              <w:rPr>
                <w:noProof/>
                <w:webHidden/>
              </w:rPr>
              <w:fldChar w:fldCharType="begin"/>
            </w:r>
            <w:r w:rsidR="001248B5">
              <w:rPr>
                <w:noProof/>
                <w:webHidden/>
              </w:rPr>
              <w:instrText xml:space="preserve"> PAGEREF _Toc157042897 \h </w:instrText>
            </w:r>
            <w:r w:rsidR="001248B5">
              <w:rPr>
                <w:noProof/>
                <w:webHidden/>
              </w:rPr>
            </w:r>
            <w:r w:rsidR="001248B5">
              <w:rPr>
                <w:noProof/>
                <w:webHidden/>
              </w:rPr>
              <w:fldChar w:fldCharType="separate"/>
            </w:r>
            <w:r w:rsidR="001248B5">
              <w:rPr>
                <w:noProof/>
                <w:webHidden/>
              </w:rPr>
              <w:t>6</w:t>
            </w:r>
            <w:r w:rsidR="001248B5">
              <w:rPr>
                <w:noProof/>
                <w:webHidden/>
              </w:rPr>
              <w:fldChar w:fldCharType="end"/>
            </w:r>
          </w:hyperlink>
        </w:p>
        <w:p w:rsidR="001248B5" w:rsidRDefault="004D76D1" w14:paraId="23C56138" w14:textId="77777777">
          <w:pPr>
            <w:pStyle w:val="TOC2"/>
            <w:tabs>
              <w:tab w:val="right" w:leader="dot" w:pos="9350"/>
            </w:tabs>
            <w:rPr>
              <w:rFonts w:asciiTheme="minorHAnsi" w:hAnsiTheme="minorHAnsi" w:eastAsiaTheme="minorEastAsia"/>
              <w:noProof/>
              <w:sz w:val="22"/>
            </w:rPr>
          </w:pPr>
          <w:hyperlink w:history="1" w:anchor="_Toc157042898">
            <w:r w:rsidRPr="001370A4" w:rsidR="001248B5">
              <w:rPr>
                <w:rStyle w:val="Hyperlink"/>
                <w:noProof/>
              </w:rPr>
              <w:t>Growth Potential</w:t>
            </w:r>
            <w:r w:rsidR="001248B5">
              <w:rPr>
                <w:noProof/>
                <w:webHidden/>
              </w:rPr>
              <w:tab/>
            </w:r>
            <w:r w:rsidR="001248B5">
              <w:rPr>
                <w:noProof/>
                <w:webHidden/>
              </w:rPr>
              <w:fldChar w:fldCharType="begin"/>
            </w:r>
            <w:r w:rsidR="001248B5">
              <w:rPr>
                <w:noProof/>
                <w:webHidden/>
              </w:rPr>
              <w:instrText xml:space="preserve"> PAGEREF _Toc157042898 \h </w:instrText>
            </w:r>
            <w:r w:rsidR="001248B5">
              <w:rPr>
                <w:noProof/>
                <w:webHidden/>
              </w:rPr>
            </w:r>
            <w:r w:rsidR="001248B5">
              <w:rPr>
                <w:noProof/>
                <w:webHidden/>
              </w:rPr>
              <w:fldChar w:fldCharType="separate"/>
            </w:r>
            <w:r w:rsidR="001248B5">
              <w:rPr>
                <w:noProof/>
                <w:webHidden/>
              </w:rPr>
              <w:t>6</w:t>
            </w:r>
            <w:r w:rsidR="001248B5">
              <w:rPr>
                <w:noProof/>
                <w:webHidden/>
              </w:rPr>
              <w:fldChar w:fldCharType="end"/>
            </w:r>
          </w:hyperlink>
        </w:p>
        <w:p w:rsidR="001248B5" w:rsidRDefault="004D76D1" w14:paraId="662F598A" w14:textId="77777777">
          <w:pPr>
            <w:pStyle w:val="TOC2"/>
            <w:tabs>
              <w:tab w:val="right" w:leader="dot" w:pos="9350"/>
            </w:tabs>
            <w:rPr>
              <w:rFonts w:asciiTheme="minorHAnsi" w:hAnsiTheme="minorHAnsi" w:eastAsiaTheme="minorEastAsia"/>
              <w:noProof/>
              <w:sz w:val="22"/>
            </w:rPr>
          </w:pPr>
          <w:hyperlink w:history="1" w:anchor="_Toc157042899">
            <w:r w:rsidRPr="001370A4" w:rsidR="001248B5">
              <w:rPr>
                <w:rStyle w:val="Hyperlink"/>
                <w:noProof/>
              </w:rPr>
              <w:t>Financial Commitment to CSR</w:t>
            </w:r>
            <w:r w:rsidR="001248B5">
              <w:rPr>
                <w:noProof/>
                <w:webHidden/>
              </w:rPr>
              <w:tab/>
            </w:r>
            <w:r w:rsidR="001248B5">
              <w:rPr>
                <w:noProof/>
                <w:webHidden/>
              </w:rPr>
              <w:fldChar w:fldCharType="begin"/>
            </w:r>
            <w:r w:rsidR="001248B5">
              <w:rPr>
                <w:noProof/>
                <w:webHidden/>
              </w:rPr>
              <w:instrText xml:space="preserve"> PAGEREF _Toc157042899 \h </w:instrText>
            </w:r>
            <w:r w:rsidR="001248B5">
              <w:rPr>
                <w:noProof/>
                <w:webHidden/>
              </w:rPr>
            </w:r>
            <w:r w:rsidR="001248B5">
              <w:rPr>
                <w:noProof/>
                <w:webHidden/>
              </w:rPr>
              <w:fldChar w:fldCharType="separate"/>
            </w:r>
            <w:r w:rsidR="001248B5">
              <w:rPr>
                <w:noProof/>
                <w:webHidden/>
              </w:rPr>
              <w:t>7</w:t>
            </w:r>
            <w:r w:rsidR="001248B5">
              <w:rPr>
                <w:noProof/>
                <w:webHidden/>
              </w:rPr>
              <w:fldChar w:fldCharType="end"/>
            </w:r>
          </w:hyperlink>
        </w:p>
        <w:p w:rsidR="001248B5" w:rsidRDefault="004D76D1" w14:paraId="418AE5D0" w14:textId="77777777">
          <w:pPr>
            <w:pStyle w:val="TOC1"/>
            <w:tabs>
              <w:tab w:val="right" w:leader="dot" w:pos="9350"/>
            </w:tabs>
            <w:rPr>
              <w:rFonts w:asciiTheme="minorHAnsi" w:hAnsiTheme="minorHAnsi" w:eastAsiaTheme="minorEastAsia"/>
              <w:noProof/>
              <w:sz w:val="22"/>
            </w:rPr>
          </w:pPr>
          <w:hyperlink w:history="1" w:anchor="_Toc157042900">
            <w:r w:rsidRPr="001370A4" w:rsidR="001248B5">
              <w:rPr>
                <w:rStyle w:val="Hyperlink"/>
                <w:noProof/>
              </w:rPr>
              <w:t>Financial Management and Performance of Premier Inn</w:t>
            </w:r>
            <w:r w:rsidR="001248B5">
              <w:rPr>
                <w:noProof/>
                <w:webHidden/>
              </w:rPr>
              <w:tab/>
            </w:r>
            <w:r w:rsidR="001248B5">
              <w:rPr>
                <w:noProof/>
                <w:webHidden/>
              </w:rPr>
              <w:fldChar w:fldCharType="begin"/>
            </w:r>
            <w:r w:rsidR="001248B5">
              <w:rPr>
                <w:noProof/>
                <w:webHidden/>
              </w:rPr>
              <w:instrText xml:space="preserve"> PAGEREF _Toc157042900 \h </w:instrText>
            </w:r>
            <w:r w:rsidR="001248B5">
              <w:rPr>
                <w:noProof/>
                <w:webHidden/>
              </w:rPr>
            </w:r>
            <w:r w:rsidR="001248B5">
              <w:rPr>
                <w:noProof/>
                <w:webHidden/>
              </w:rPr>
              <w:fldChar w:fldCharType="separate"/>
            </w:r>
            <w:r w:rsidR="001248B5">
              <w:rPr>
                <w:noProof/>
                <w:webHidden/>
              </w:rPr>
              <w:t>9</w:t>
            </w:r>
            <w:r w:rsidR="001248B5">
              <w:rPr>
                <w:noProof/>
                <w:webHidden/>
              </w:rPr>
              <w:fldChar w:fldCharType="end"/>
            </w:r>
          </w:hyperlink>
        </w:p>
        <w:p w:rsidR="001248B5" w:rsidRDefault="004D76D1" w14:paraId="089F3EDF" w14:textId="77777777">
          <w:pPr>
            <w:pStyle w:val="TOC2"/>
            <w:tabs>
              <w:tab w:val="right" w:leader="dot" w:pos="9350"/>
            </w:tabs>
            <w:rPr>
              <w:rFonts w:asciiTheme="minorHAnsi" w:hAnsiTheme="minorHAnsi" w:eastAsiaTheme="minorEastAsia"/>
              <w:noProof/>
              <w:sz w:val="22"/>
            </w:rPr>
          </w:pPr>
          <w:hyperlink w:history="1" w:anchor="_Toc157042901">
            <w:r w:rsidRPr="001370A4" w:rsidR="001248B5">
              <w:rPr>
                <w:rStyle w:val="Hyperlink"/>
                <w:noProof/>
              </w:rPr>
              <w:t>Total Revenue</w:t>
            </w:r>
            <w:r w:rsidR="001248B5">
              <w:rPr>
                <w:noProof/>
                <w:webHidden/>
              </w:rPr>
              <w:tab/>
            </w:r>
            <w:r w:rsidR="001248B5">
              <w:rPr>
                <w:noProof/>
                <w:webHidden/>
              </w:rPr>
              <w:fldChar w:fldCharType="begin"/>
            </w:r>
            <w:r w:rsidR="001248B5">
              <w:rPr>
                <w:noProof/>
                <w:webHidden/>
              </w:rPr>
              <w:instrText xml:space="preserve"> PAGEREF _Toc157042901 \h </w:instrText>
            </w:r>
            <w:r w:rsidR="001248B5">
              <w:rPr>
                <w:noProof/>
                <w:webHidden/>
              </w:rPr>
            </w:r>
            <w:r w:rsidR="001248B5">
              <w:rPr>
                <w:noProof/>
                <w:webHidden/>
              </w:rPr>
              <w:fldChar w:fldCharType="separate"/>
            </w:r>
            <w:r w:rsidR="001248B5">
              <w:rPr>
                <w:noProof/>
                <w:webHidden/>
              </w:rPr>
              <w:t>9</w:t>
            </w:r>
            <w:r w:rsidR="001248B5">
              <w:rPr>
                <w:noProof/>
                <w:webHidden/>
              </w:rPr>
              <w:fldChar w:fldCharType="end"/>
            </w:r>
          </w:hyperlink>
        </w:p>
        <w:p w:rsidR="001248B5" w:rsidRDefault="004D76D1" w14:paraId="603BB079" w14:textId="77777777">
          <w:pPr>
            <w:pStyle w:val="TOC2"/>
            <w:tabs>
              <w:tab w:val="right" w:leader="dot" w:pos="9350"/>
            </w:tabs>
            <w:rPr>
              <w:rFonts w:asciiTheme="minorHAnsi" w:hAnsiTheme="minorHAnsi" w:eastAsiaTheme="minorEastAsia"/>
              <w:noProof/>
              <w:sz w:val="22"/>
            </w:rPr>
          </w:pPr>
          <w:hyperlink w:history="1" w:anchor="_Toc157042902">
            <w:r w:rsidRPr="001370A4" w:rsidR="001248B5">
              <w:rPr>
                <w:rStyle w:val="Hyperlink"/>
                <w:noProof/>
              </w:rPr>
              <w:t>Market Position</w:t>
            </w:r>
            <w:r w:rsidR="001248B5">
              <w:rPr>
                <w:noProof/>
                <w:webHidden/>
              </w:rPr>
              <w:tab/>
            </w:r>
            <w:r w:rsidR="001248B5">
              <w:rPr>
                <w:noProof/>
                <w:webHidden/>
              </w:rPr>
              <w:fldChar w:fldCharType="begin"/>
            </w:r>
            <w:r w:rsidR="001248B5">
              <w:rPr>
                <w:noProof/>
                <w:webHidden/>
              </w:rPr>
              <w:instrText xml:space="preserve"> PAGEREF _Toc157042902 \h </w:instrText>
            </w:r>
            <w:r w:rsidR="001248B5">
              <w:rPr>
                <w:noProof/>
                <w:webHidden/>
              </w:rPr>
            </w:r>
            <w:r w:rsidR="001248B5">
              <w:rPr>
                <w:noProof/>
                <w:webHidden/>
              </w:rPr>
              <w:fldChar w:fldCharType="separate"/>
            </w:r>
            <w:r w:rsidR="001248B5">
              <w:rPr>
                <w:noProof/>
                <w:webHidden/>
              </w:rPr>
              <w:t>10</w:t>
            </w:r>
            <w:r w:rsidR="001248B5">
              <w:rPr>
                <w:noProof/>
                <w:webHidden/>
              </w:rPr>
              <w:fldChar w:fldCharType="end"/>
            </w:r>
          </w:hyperlink>
        </w:p>
        <w:p w:rsidR="001248B5" w:rsidRDefault="004D76D1" w14:paraId="6CEE0C63" w14:textId="77777777">
          <w:pPr>
            <w:pStyle w:val="TOC2"/>
            <w:tabs>
              <w:tab w:val="right" w:leader="dot" w:pos="9350"/>
            </w:tabs>
            <w:rPr>
              <w:rFonts w:asciiTheme="minorHAnsi" w:hAnsiTheme="minorHAnsi" w:eastAsiaTheme="minorEastAsia"/>
              <w:noProof/>
              <w:sz w:val="22"/>
            </w:rPr>
          </w:pPr>
          <w:hyperlink w:history="1" w:anchor="_Toc157042903">
            <w:r w:rsidRPr="001370A4" w:rsidR="001248B5">
              <w:rPr>
                <w:rStyle w:val="Hyperlink"/>
                <w:noProof/>
              </w:rPr>
              <w:t>Growth Potential</w:t>
            </w:r>
            <w:r w:rsidR="001248B5">
              <w:rPr>
                <w:noProof/>
                <w:webHidden/>
              </w:rPr>
              <w:tab/>
            </w:r>
            <w:r w:rsidR="001248B5">
              <w:rPr>
                <w:noProof/>
                <w:webHidden/>
              </w:rPr>
              <w:fldChar w:fldCharType="begin"/>
            </w:r>
            <w:r w:rsidR="001248B5">
              <w:rPr>
                <w:noProof/>
                <w:webHidden/>
              </w:rPr>
              <w:instrText xml:space="preserve"> PAGEREF _Toc157042903 \h </w:instrText>
            </w:r>
            <w:r w:rsidR="001248B5">
              <w:rPr>
                <w:noProof/>
                <w:webHidden/>
              </w:rPr>
            </w:r>
            <w:r w:rsidR="001248B5">
              <w:rPr>
                <w:noProof/>
                <w:webHidden/>
              </w:rPr>
              <w:fldChar w:fldCharType="separate"/>
            </w:r>
            <w:r w:rsidR="001248B5">
              <w:rPr>
                <w:noProof/>
                <w:webHidden/>
              </w:rPr>
              <w:t>10</w:t>
            </w:r>
            <w:r w:rsidR="001248B5">
              <w:rPr>
                <w:noProof/>
                <w:webHidden/>
              </w:rPr>
              <w:fldChar w:fldCharType="end"/>
            </w:r>
          </w:hyperlink>
        </w:p>
        <w:p w:rsidR="001248B5" w:rsidRDefault="004D76D1" w14:paraId="035E2A87" w14:textId="77777777">
          <w:pPr>
            <w:pStyle w:val="TOC2"/>
            <w:tabs>
              <w:tab w:val="right" w:leader="dot" w:pos="9350"/>
            </w:tabs>
            <w:rPr>
              <w:rFonts w:asciiTheme="minorHAnsi" w:hAnsiTheme="minorHAnsi" w:eastAsiaTheme="minorEastAsia"/>
              <w:noProof/>
              <w:sz w:val="22"/>
            </w:rPr>
          </w:pPr>
          <w:hyperlink w:history="1" w:anchor="_Toc157042904">
            <w:r w:rsidRPr="001370A4" w:rsidR="001248B5">
              <w:rPr>
                <w:rStyle w:val="Hyperlink"/>
                <w:noProof/>
              </w:rPr>
              <w:t>Financial Commitment to CSR</w:t>
            </w:r>
            <w:r w:rsidR="001248B5">
              <w:rPr>
                <w:noProof/>
                <w:webHidden/>
              </w:rPr>
              <w:tab/>
            </w:r>
            <w:r w:rsidR="001248B5">
              <w:rPr>
                <w:noProof/>
                <w:webHidden/>
              </w:rPr>
              <w:fldChar w:fldCharType="begin"/>
            </w:r>
            <w:r w:rsidR="001248B5">
              <w:rPr>
                <w:noProof/>
                <w:webHidden/>
              </w:rPr>
              <w:instrText xml:space="preserve"> PAGEREF _Toc157042904 \h </w:instrText>
            </w:r>
            <w:r w:rsidR="001248B5">
              <w:rPr>
                <w:noProof/>
                <w:webHidden/>
              </w:rPr>
            </w:r>
            <w:r w:rsidR="001248B5">
              <w:rPr>
                <w:noProof/>
                <w:webHidden/>
              </w:rPr>
              <w:fldChar w:fldCharType="separate"/>
            </w:r>
            <w:r w:rsidR="001248B5">
              <w:rPr>
                <w:noProof/>
                <w:webHidden/>
              </w:rPr>
              <w:t>10</w:t>
            </w:r>
            <w:r w:rsidR="001248B5">
              <w:rPr>
                <w:noProof/>
                <w:webHidden/>
              </w:rPr>
              <w:fldChar w:fldCharType="end"/>
            </w:r>
          </w:hyperlink>
        </w:p>
        <w:p w:rsidR="001248B5" w:rsidRDefault="004D76D1" w14:paraId="4E923A8F" w14:textId="77777777">
          <w:pPr>
            <w:pStyle w:val="TOC1"/>
            <w:tabs>
              <w:tab w:val="right" w:leader="dot" w:pos="9350"/>
            </w:tabs>
            <w:rPr>
              <w:rFonts w:asciiTheme="minorHAnsi" w:hAnsiTheme="minorHAnsi" w:eastAsiaTheme="minorEastAsia"/>
              <w:noProof/>
              <w:sz w:val="22"/>
            </w:rPr>
          </w:pPr>
          <w:hyperlink w:history="1" w:anchor="_Toc157042905">
            <w:r w:rsidRPr="001370A4" w:rsidR="001248B5">
              <w:rPr>
                <w:rStyle w:val="Hyperlink"/>
                <w:noProof/>
              </w:rPr>
              <w:t>Comparison of Financials</w:t>
            </w:r>
            <w:r w:rsidR="001248B5">
              <w:rPr>
                <w:noProof/>
                <w:webHidden/>
              </w:rPr>
              <w:tab/>
            </w:r>
            <w:r w:rsidR="001248B5">
              <w:rPr>
                <w:noProof/>
                <w:webHidden/>
              </w:rPr>
              <w:fldChar w:fldCharType="begin"/>
            </w:r>
            <w:r w:rsidR="001248B5">
              <w:rPr>
                <w:noProof/>
                <w:webHidden/>
              </w:rPr>
              <w:instrText xml:space="preserve"> PAGEREF _Toc157042905 \h </w:instrText>
            </w:r>
            <w:r w:rsidR="001248B5">
              <w:rPr>
                <w:noProof/>
                <w:webHidden/>
              </w:rPr>
            </w:r>
            <w:r w:rsidR="001248B5">
              <w:rPr>
                <w:noProof/>
                <w:webHidden/>
              </w:rPr>
              <w:fldChar w:fldCharType="separate"/>
            </w:r>
            <w:r w:rsidR="001248B5">
              <w:rPr>
                <w:noProof/>
                <w:webHidden/>
              </w:rPr>
              <w:t>12</w:t>
            </w:r>
            <w:r w:rsidR="001248B5">
              <w:rPr>
                <w:noProof/>
                <w:webHidden/>
              </w:rPr>
              <w:fldChar w:fldCharType="end"/>
            </w:r>
          </w:hyperlink>
        </w:p>
        <w:p w:rsidR="001248B5" w:rsidRDefault="004D76D1" w14:paraId="5ADD5EA8" w14:textId="77777777">
          <w:pPr>
            <w:pStyle w:val="TOC1"/>
            <w:tabs>
              <w:tab w:val="right" w:leader="dot" w:pos="9350"/>
            </w:tabs>
            <w:rPr>
              <w:rFonts w:asciiTheme="minorHAnsi" w:hAnsiTheme="minorHAnsi" w:eastAsiaTheme="minorEastAsia"/>
              <w:noProof/>
              <w:sz w:val="22"/>
            </w:rPr>
          </w:pPr>
          <w:hyperlink w:history="1" w:anchor="_Toc157042906">
            <w:r w:rsidRPr="001370A4" w:rsidR="001248B5">
              <w:rPr>
                <w:rStyle w:val="Hyperlink"/>
                <w:noProof/>
              </w:rPr>
              <w:t>Conclusion</w:t>
            </w:r>
            <w:r w:rsidR="001248B5">
              <w:rPr>
                <w:noProof/>
                <w:webHidden/>
              </w:rPr>
              <w:tab/>
            </w:r>
            <w:r w:rsidR="001248B5">
              <w:rPr>
                <w:noProof/>
                <w:webHidden/>
              </w:rPr>
              <w:fldChar w:fldCharType="begin"/>
            </w:r>
            <w:r w:rsidR="001248B5">
              <w:rPr>
                <w:noProof/>
                <w:webHidden/>
              </w:rPr>
              <w:instrText xml:space="preserve"> PAGEREF _Toc157042906 \h </w:instrText>
            </w:r>
            <w:r w:rsidR="001248B5">
              <w:rPr>
                <w:noProof/>
                <w:webHidden/>
              </w:rPr>
            </w:r>
            <w:r w:rsidR="001248B5">
              <w:rPr>
                <w:noProof/>
                <w:webHidden/>
              </w:rPr>
              <w:fldChar w:fldCharType="separate"/>
            </w:r>
            <w:r w:rsidR="001248B5">
              <w:rPr>
                <w:noProof/>
                <w:webHidden/>
              </w:rPr>
              <w:t>14</w:t>
            </w:r>
            <w:r w:rsidR="001248B5">
              <w:rPr>
                <w:noProof/>
                <w:webHidden/>
              </w:rPr>
              <w:fldChar w:fldCharType="end"/>
            </w:r>
          </w:hyperlink>
        </w:p>
        <w:p w:rsidR="001248B5" w:rsidRDefault="004D76D1" w14:paraId="798543A5" w14:textId="77777777">
          <w:pPr>
            <w:pStyle w:val="TOC1"/>
            <w:tabs>
              <w:tab w:val="right" w:leader="dot" w:pos="9350"/>
            </w:tabs>
            <w:rPr>
              <w:rFonts w:asciiTheme="minorHAnsi" w:hAnsiTheme="minorHAnsi" w:eastAsiaTheme="minorEastAsia"/>
              <w:noProof/>
              <w:sz w:val="22"/>
            </w:rPr>
          </w:pPr>
          <w:hyperlink w:history="1" w:anchor="_Toc157042907">
            <w:r w:rsidRPr="001370A4" w:rsidR="001248B5">
              <w:rPr>
                <w:rStyle w:val="Hyperlink"/>
                <w:noProof/>
              </w:rPr>
              <w:t>References</w:t>
            </w:r>
            <w:r w:rsidR="001248B5">
              <w:rPr>
                <w:noProof/>
                <w:webHidden/>
              </w:rPr>
              <w:tab/>
            </w:r>
            <w:r w:rsidR="001248B5">
              <w:rPr>
                <w:noProof/>
                <w:webHidden/>
              </w:rPr>
              <w:fldChar w:fldCharType="begin"/>
            </w:r>
            <w:r w:rsidR="001248B5">
              <w:rPr>
                <w:noProof/>
                <w:webHidden/>
              </w:rPr>
              <w:instrText xml:space="preserve"> PAGEREF _Toc157042907 \h </w:instrText>
            </w:r>
            <w:r w:rsidR="001248B5">
              <w:rPr>
                <w:noProof/>
                <w:webHidden/>
              </w:rPr>
            </w:r>
            <w:r w:rsidR="001248B5">
              <w:rPr>
                <w:noProof/>
                <w:webHidden/>
              </w:rPr>
              <w:fldChar w:fldCharType="separate"/>
            </w:r>
            <w:r w:rsidR="001248B5">
              <w:rPr>
                <w:noProof/>
                <w:webHidden/>
              </w:rPr>
              <w:t>15</w:t>
            </w:r>
            <w:r w:rsidR="001248B5">
              <w:rPr>
                <w:noProof/>
                <w:webHidden/>
              </w:rPr>
              <w:fldChar w:fldCharType="end"/>
            </w:r>
          </w:hyperlink>
        </w:p>
        <w:p w:rsidR="00844C49" w:rsidRDefault="00844C49" w14:paraId="0881115F" w14:textId="77777777">
          <w:r>
            <w:rPr>
              <w:b/>
              <w:bCs/>
              <w:noProof/>
            </w:rPr>
            <w:fldChar w:fldCharType="end"/>
          </w:r>
        </w:p>
      </w:sdtContent>
    </w:sdt>
    <w:p w:rsidR="00F878AD" w:rsidRDefault="00F878AD" w14:paraId="5A8429E0" w14:textId="77777777"/>
    <w:p w:rsidR="00F878AD" w:rsidRDefault="00F878AD" w14:paraId="1B475157" w14:textId="77777777">
      <w:pPr>
        <w:spacing w:line="259" w:lineRule="auto"/>
        <w:jc w:val="left"/>
      </w:pPr>
      <w:r>
        <w:br w:type="page"/>
      </w:r>
    </w:p>
    <w:p w:rsidR="00F878AD" w:rsidP="00844C49" w:rsidRDefault="00F878AD" w14:paraId="1A083DB7" w14:textId="77777777">
      <w:pPr>
        <w:pStyle w:val="Heading1"/>
      </w:pPr>
      <w:bookmarkStart w:name="_Toc157042893" w:id="0"/>
      <w:r>
        <w:t>Introduction</w:t>
      </w:r>
      <w:bookmarkEnd w:id="0"/>
    </w:p>
    <w:p w:rsidR="00F878AD" w:rsidP="006A0D0D" w:rsidRDefault="00AC62E0" w14:paraId="4934576B" w14:textId="77777777">
      <w:r>
        <w:t>Hospitality and tourism</w:t>
      </w:r>
      <w:r w:rsidR="006A0D0D">
        <w:t xml:space="preserve"> ha</w:t>
      </w:r>
      <w:r w:rsidR="00D8172C">
        <w:t>ve</w:t>
      </w:r>
      <w:r w:rsidR="006A0D0D">
        <w:t xml:space="preserve"> a diverse market base all over the world. Mandarin </w:t>
      </w:r>
      <w:r w:rsidR="00D8172C">
        <w:t>O</w:t>
      </w:r>
      <w:r w:rsidR="006A0D0D">
        <w:t>riental</w:t>
      </w:r>
      <w:r w:rsidR="00336030">
        <w:t xml:space="preserve"> is a multinational 5-star hotel chain that offers quality services to high-end customers. conversely, Premier Inn is an economy</w:t>
      </w:r>
      <w:r w:rsidR="00D8172C">
        <w:t>-</w:t>
      </w:r>
      <w:r w:rsidR="00336030">
        <w:t xml:space="preserve">class hotel chain that offers affordable hotel services to frugal customers. the report contains </w:t>
      </w:r>
      <w:r w:rsidR="00D8172C">
        <w:t>a</w:t>
      </w:r>
      <w:r w:rsidR="00336030">
        <w:t xml:space="preserve"> comparison of Mandarin Oriental Hotel Group and Premier Inn in terms of financials. The assessment of comparison includes the key areas, such as, total revenue, market position, growth potential and financial commitment to CSR</w:t>
      </w:r>
      <w:r w:rsidR="00AF6DC9">
        <w:t xml:space="preserve"> (Jagels, 2007)</w:t>
      </w:r>
      <w:r w:rsidR="00336030">
        <w:t xml:space="preserve">. </w:t>
      </w:r>
      <w:r w:rsidR="002A7B0A">
        <w:t>An</w:t>
      </w:r>
      <w:r w:rsidR="002A7B0A">
        <w:rPr>
          <w:rFonts w:cs="Arial"/>
          <w:color w:val="312A29"/>
          <w:spacing w:val="-7"/>
        </w:rPr>
        <w:t xml:space="preserve"> in-depth analysis and comparison of these two hotel players in </w:t>
      </w:r>
      <w:r w:rsidR="00D8172C">
        <w:rPr>
          <w:rFonts w:cs="Arial"/>
          <w:color w:val="312A29"/>
          <w:spacing w:val="-7"/>
        </w:rPr>
        <w:t xml:space="preserve">the </w:t>
      </w:r>
      <w:r w:rsidR="002A7B0A">
        <w:rPr>
          <w:rFonts w:cs="Arial"/>
          <w:color w:val="312A29"/>
          <w:spacing w:val="-7"/>
        </w:rPr>
        <w:t xml:space="preserve">hospitality industry are depicted based on the most recent financial statement available on </w:t>
      </w:r>
      <w:r w:rsidR="00D8172C">
        <w:rPr>
          <w:rFonts w:cs="Arial"/>
          <w:color w:val="312A29"/>
          <w:spacing w:val="-7"/>
        </w:rPr>
        <w:t xml:space="preserve">the </w:t>
      </w:r>
      <w:r w:rsidR="002A7B0A">
        <w:rPr>
          <w:rFonts w:cs="Arial"/>
          <w:color w:val="312A29"/>
          <w:spacing w:val="-7"/>
        </w:rPr>
        <w:t>company website, and some related sources mentioned in the referencing section.</w:t>
      </w:r>
      <w:r w:rsidR="00F878AD">
        <w:br w:type="page"/>
      </w:r>
    </w:p>
    <w:p w:rsidR="00F878AD" w:rsidP="00C6194D" w:rsidRDefault="00C6194D" w14:paraId="780A77B6" w14:textId="77777777">
      <w:pPr>
        <w:pStyle w:val="Heading1"/>
      </w:pPr>
      <w:bookmarkStart w:name="_Toc157042894" w:id="1"/>
      <w:r>
        <w:t>About Mandarin Oriental</w:t>
      </w:r>
      <w:r w:rsidR="009A3FC8">
        <w:t xml:space="preserve"> and Premier Inn</w:t>
      </w:r>
      <w:bookmarkEnd w:id="1"/>
    </w:p>
    <w:p w:rsidR="00AD1DEB" w:rsidP="003C0496" w:rsidRDefault="009A3FC8" w14:paraId="449F8B23" w14:textId="77777777">
      <w:pPr>
        <w:rPr>
          <w:rFonts w:cs="Arial"/>
          <w:color w:val="312A29"/>
          <w:spacing w:val="-7"/>
        </w:rPr>
      </w:pPr>
      <w:r>
        <w:t>Mandarin Oriental Hotel Group provides luxurious hospitality services to high-end customers. It</w:t>
      </w:r>
      <w:r w:rsidR="001B4951">
        <w:t xml:space="preserve"> is a multinational </w:t>
      </w:r>
      <w:r w:rsidR="006126BC">
        <w:t xml:space="preserve">5-star </w:t>
      </w:r>
      <w:r w:rsidR="001B4951">
        <w:t>hotel group that</w:t>
      </w:r>
      <w:r>
        <w:t xml:space="preserve"> exp</w:t>
      </w:r>
      <w:r w:rsidR="001B4951">
        <w:t>anded service</w:t>
      </w:r>
      <w:r>
        <w:t xml:space="preserve">s </w:t>
      </w:r>
      <w:r w:rsidR="006126BC">
        <w:t xml:space="preserve">including </w:t>
      </w:r>
      <w:r w:rsidR="001B4951">
        <w:t>fine</w:t>
      </w:r>
      <w:r w:rsidR="00D8172C">
        <w:t>-</w:t>
      </w:r>
      <w:r w:rsidR="001B4951">
        <w:t xml:space="preserve">tuning dining and </w:t>
      </w:r>
      <w:r w:rsidR="00D8172C">
        <w:t xml:space="preserve">a </w:t>
      </w:r>
      <w:r w:rsidR="001B4951">
        <w:t xml:space="preserve">sophisticated spa center and </w:t>
      </w:r>
      <w:r>
        <w:t xml:space="preserve">to more than </w:t>
      </w:r>
      <w:r w:rsidR="00EB1DD2">
        <w:t>2</w:t>
      </w:r>
      <w:r w:rsidR="001B4951">
        <w:t>0 countries al</w:t>
      </w:r>
      <w:r w:rsidR="00D81B8E">
        <w:t xml:space="preserve">l over the world. </w:t>
      </w:r>
      <w:r w:rsidRPr="00D81B8E" w:rsidR="00EB1DD2">
        <w:t xml:space="preserve">The </w:t>
      </w:r>
      <w:r w:rsidR="00D81B8E">
        <w:t xml:space="preserve">hotel group is holding </w:t>
      </w:r>
      <w:r w:rsidRPr="00D81B8E" w:rsidR="00EB1DD2">
        <w:t xml:space="preserve">equity interests </w:t>
      </w:r>
      <w:r w:rsidR="00D8172C">
        <w:t>in</w:t>
      </w:r>
      <w:r w:rsidR="00BB1A3B">
        <w:t xml:space="preserve"> large-scale properties </w:t>
      </w:r>
      <w:r w:rsidR="00D8172C">
        <w:t>at</w:t>
      </w:r>
      <w:r w:rsidR="00D81B8E">
        <w:t xml:space="preserve"> prominent</w:t>
      </w:r>
      <w:r w:rsidR="00BB1A3B">
        <w:t xml:space="preserve"> level</w:t>
      </w:r>
      <w:r w:rsidR="00D8172C">
        <w:t>s</w:t>
      </w:r>
      <w:r w:rsidR="00BB1A3B">
        <w:t xml:space="preserve"> and adjusted net assets at about </w:t>
      </w:r>
      <w:r w:rsidR="00747E8B">
        <w:t>$4.8 billion</w:t>
      </w:r>
      <w:r w:rsidR="00BB1A3B">
        <w:t xml:space="preserve"> </w:t>
      </w:r>
      <w:r w:rsidR="00726AC1">
        <w:t xml:space="preserve">as </w:t>
      </w:r>
      <w:r w:rsidR="00D8172C">
        <w:t>of</w:t>
      </w:r>
      <w:r w:rsidR="00726AC1">
        <w:t xml:space="preserve"> 30</w:t>
      </w:r>
      <w:r w:rsidRPr="00726AC1" w:rsidR="00726AC1">
        <w:rPr>
          <w:vertAlign w:val="superscript"/>
        </w:rPr>
        <w:t>th</w:t>
      </w:r>
      <w:r w:rsidR="00726AC1">
        <w:t xml:space="preserve"> June 2023</w:t>
      </w:r>
      <w:r w:rsidR="00BB1A3B">
        <w:t xml:space="preserve">. </w:t>
      </w:r>
      <w:r w:rsidR="00596942">
        <w:rPr>
          <w:rFonts w:cs="Arial"/>
          <w:color w:val="312A29"/>
          <w:spacing w:val="-7"/>
        </w:rPr>
        <w:t xml:space="preserve">Mandarin Oriental has thoroughly identified the potentiality </w:t>
      </w:r>
      <w:r w:rsidR="00D8172C">
        <w:rPr>
          <w:rFonts w:cs="Arial"/>
          <w:color w:val="312A29"/>
          <w:spacing w:val="-7"/>
        </w:rPr>
        <w:t>for</w:t>
      </w:r>
      <w:r w:rsidR="00596942">
        <w:rPr>
          <w:rFonts w:cs="Arial"/>
          <w:color w:val="312A29"/>
          <w:spacing w:val="-7"/>
        </w:rPr>
        <w:t xml:space="preserve"> growth and took an innovative drive to the growth. </w:t>
      </w:r>
      <w:r w:rsidR="00541204">
        <w:rPr>
          <w:rFonts w:cs="Arial"/>
          <w:color w:val="312A29"/>
          <w:spacing w:val="-7"/>
        </w:rPr>
        <w:t>The company continues its aim of long</w:t>
      </w:r>
      <w:r w:rsidR="00D8172C">
        <w:rPr>
          <w:rFonts w:cs="Arial"/>
          <w:color w:val="312A29"/>
          <w:spacing w:val="-7"/>
        </w:rPr>
        <w:t>-</w:t>
      </w:r>
      <w:r w:rsidR="00541204">
        <w:rPr>
          <w:rFonts w:cs="Arial"/>
          <w:color w:val="312A29"/>
          <w:spacing w:val="-7"/>
        </w:rPr>
        <w:t>term profitably and sustainable shareholder value</w:t>
      </w:r>
      <w:r w:rsidR="00F96B4B">
        <w:rPr>
          <w:rFonts w:cs="Arial"/>
          <w:color w:val="312A29"/>
          <w:spacing w:val="-7"/>
        </w:rPr>
        <w:t xml:space="preserve"> with </w:t>
      </w:r>
      <w:r w:rsidR="00D8172C">
        <w:rPr>
          <w:rFonts w:cs="Arial"/>
          <w:color w:val="312A29"/>
          <w:spacing w:val="-7"/>
        </w:rPr>
        <w:t>a</w:t>
      </w:r>
      <w:r w:rsidR="00F96B4B">
        <w:rPr>
          <w:rFonts w:cs="Arial"/>
          <w:color w:val="312A29"/>
          <w:spacing w:val="-7"/>
        </w:rPr>
        <w:t xml:space="preserve"> focus on </w:t>
      </w:r>
      <w:r w:rsidR="00D8172C">
        <w:rPr>
          <w:rFonts w:cs="Arial"/>
          <w:color w:val="312A29"/>
          <w:spacing w:val="-7"/>
        </w:rPr>
        <w:t xml:space="preserve">a </w:t>
      </w:r>
      <w:r w:rsidR="00F96B4B">
        <w:rPr>
          <w:rFonts w:cs="Arial"/>
          <w:color w:val="312A29"/>
          <w:spacing w:val="-7"/>
        </w:rPr>
        <w:t>prominent governance structure</w:t>
      </w:r>
      <w:r w:rsidR="00541204">
        <w:rPr>
          <w:rFonts w:cs="Arial"/>
          <w:color w:val="312A29"/>
          <w:spacing w:val="-7"/>
        </w:rPr>
        <w:t xml:space="preserve">. </w:t>
      </w:r>
      <w:r w:rsidR="00F96B4B">
        <w:rPr>
          <w:rFonts w:cs="Arial"/>
          <w:color w:val="312A29"/>
          <w:spacing w:val="-7"/>
        </w:rPr>
        <w:t>On the other hand, Premier Inn provides budget</w:t>
      </w:r>
      <w:r w:rsidR="00D8172C">
        <w:rPr>
          <w:rFonts w:cs="Arial"/>
          <w:color w:val="312A29"/>
          <w:spacing w:val="-7"/>
        </w:rPr>
        <w:t>-</w:t>
      </w:r>
      <w:r w:rsidR="00F96B4B">
        <w:rPr>
          <w:rFonts w:cs="Arial"/>
          <w:color w:val="312A29"/>
          <w:spacing w:val="-7"/>
        </w:rPr>
        <w:t xml:space="preserve">friendly hospitality services to cost-effective customers </w:t>
      </w:r>
      <w:r w:rsidR="00D8172C">
        <w:rPr>
          <w:rFonts w:cs="Arial"/>
          <w:color w:val="312A29"/>
          <w:spacing w:val="-7"/>
        </w:rPr>
        <w:t>at</w:t>
      </w:r>
      <w:r w:rsidR="00F96B4B">
        <w:rPr>
          <w:rFonts w:cs="Arial"/>
          <w:color w:val="312A29"/>
          <w:spacing w:val="-7"/>
        </w:rPr>
        <w:t xml:space="preserve"> affordable prices. It usually does not compromise quality services but provide</w:t>
      </w:r>
      <w:r w:rsidR="00D8172C">
        <w:rPr>
          <w:rFonts w:cs="Arial"/>
          <w:color w:val="312A29"/>
          <w:spacing w:val="-7"/>
        </w:rPr>
        <w:t>s</w:t>
      </w:r>
      <w:r w:rsidR="00F96B4B">
        <w:rPr>
          <w:rFonts w:cs="Arial"/>
          <w:color w:val="312A29"/>
          <w:spacing w:val="-7"/>
        </w:rPr>
        <w:t xml:space="preserve"> affordable value to the target customers with modern amenities. S</w:t>
      </w:r>
      <w:r w:rsidR="00D8172C">
        <w:rPr>
          <w:rFonts w:cs="Arial"/>
          <w:color w:val="312A29"/>
          <w:spacing w:val="-7"/>
        </w:rPr>
        <w:t>imilar</w:t>
      </w:r>
      <w:r w:rsidR="00F96B4B">
        <w:rPr>
          <w:rFonts w:cs="Arial"/>
          <w:color w:val="312A29"/>
          <w:spacing w:val="-7"/>
        </w:rPr>
        <w:t xml:space="preserve"> </w:t>
      </w:r>
      <w:r w:rsidR="00D8172C">
        <w:rPr>
          <w:rFonts w:cs="Arial"/>
          <w:color w:val="312A29"/>
          <w:spacing w:val="-7"/>
        </w:rPr>
        <w:t>to</w:t>
      </w:r>
      <w:r w:rsidR="00F96B4B">
        <w:rPr>
          <w:rFonts w:cs="Arial"/>
          <w:color w:val="312A29"/>
          <w:spacing w:val="-7"/>
        </w:rPr>
        <w:t xml:space="preserve"> Mandarin Oriental, Premier Inn expanded its services and resorts abroad </w:t>
      </w:r>
      <w:r w:rsidR="00D8172C">
        <w:rPr>
          <w:rFonts w:cs="Arial"/>
          <w:color w:val="312A29"/>
          <w:spacing w:val="-7"/>
        </w:rPr>
        <w:t>to engage</w:t>
      </w:r>
      <w:r w:rsidR="00F96B4B">
        <w:rPr>
          <w:rFonts w:cs="Arial"/>
          <w:color w:val="312A29"/>
          <w:spacing w:val="-7"/>
        </w:rPr>
        <w:t xml:space="preserve"> more customer base. </w:t>
      </w:r>
      <w:r w:rsidR="003F19B7">
        <w:rPr>
          <w:rFonts w:cs="Arial"/>
          <w:color w:val="312A29"/>
          <w:spacing w:val="-7"/>
        </w:rPr>
        <w:t xml:space="preserve">The company currently holds net </w:t>
      </w:r>
      <w:r w:rsidR="005A3F17">
        <w:rPr>
          <w:rFonts w:cs="Arial"/>
          <w:color w:val="312A29"/>
          <w:spacing w:val="-7"/>
        </w:rPr>
        <w:t>assets at</w:t>
      </w:r>
      <w:r w:rsidR="003F19B7">
        <w:rPr>
          <w:rFonts w:cs="Arial"/>
          <w:color w:val="312A29"/>
          <w:spacing w:val="-7"/>
        </w:rPr>
        <w:t xml:space="preserve"> about </w:t>
      </w:r>
      <w:r w:rsidR="00747E8B">
        <w:rPr>
          <w:rFonts w:cs="Arial"/>
          <w:color w:val="312A29"/>
          <w:spacing w:val="-7"/>
        </w:rPr>
        <w:t>$1.1 billion</w:t>
      </w:r>
      <w:r w:rsidR="003F19B7">
        <w:rPr>
          <w:rFonts w:cs="Arial"/>
          <w:color w:val="312A29"/>
          <w:spacing w:val="-7"/>
        </w:rPr>
        <w:t xml:space="preserve">. </w:t>
      </w:r>
    </w:p>
    <w:p w:rsidR="00C6194D" w:rsidRDefault="00C6194D" w14:paraId="37A987AB" w14:textId="77777777">
      <w:pPr>
        <w:spacing w:line="259" w:lineRule="auto"/>
        <w:jc w:val="left"/>
        <w:rPr>
          <w:rFonts w:eastAsiaTheme="majorEastAsia" w:cstheme="majorBidi"/>
          <w:b/>
          <w:sz w:val="28"/>
          <w:szCs w:val="26"/>
        </w:rPr>
      </w:pPr>
      <w:r>
        <w:br w:type="page"/>
      </w:r>
    </w:p>
    <w:p w:rsidR="00AD1DEB" w:rsidP="00C6194D" w:rsidRDefault="00AD1DEB" w14:paraId="7DC68FAC" w14:textId="77777777">
      <w:pPr>
        <w:pStyle w:val="Heading1"/>
      </w:pPr>
      <w:bookmarkStart w:name="_Toc157042895" w:id="2"/>
      <w:r>
        <w:t xml:space="preserve">Financial </w:t>
      </w:r>
      <w:r w:rsidR="006925A5">
        <w:t>Management and Performance</w:t>
      </w:r>
      <w:r>
        <w:t xml:space="preserve"> of Mandarin Oriental</w:t>
      </w:r>
      <w:bookmarkEnd w:id="2"/>
    </w:p>
    <w:p w:rsidR="00AD1DEB" w:rsidP="00C6194D" w:rsidRDefault="00C6194D" w14:paraId="4582B08C" w14:textId="77777777">
      <w:pPr>
        <w:pStyle w:val="Heading2"/>
      </w:pPr>
      <w:bookmarkStart w:name="_Toc157042896" w:id="3"/>
      <w:r>
        <w:t>Total Revenue</w:t>
      </w:r>
      <w:bookmarkEnd w:id="3"/>
    </w:p>
    <w:p w:rsidR="003A5D92" w:rsidP="00EF201B" w:rsidRDefault="00433515" w14:paraId="41BBB676" w14:textId="77777777">
      <w:pPr>
        <w:jc w:val="center"/>
      </w:pPr>
      <w:r>
        <w:rPr>
          <w:noProof/>
        </w:rPr>
        <w:drawing>
          <wp:inline distT="0" distB="0" distL="0" distR="0" wp14:anchorId="0002FEB9" wp14:editId="0DF2B05D">
            <wp:extent cx="5862955" cy="3633850"/>
            <wp:effectExtent l="0" t="0" r="4445" b="508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564065" w:rsidP="00EF201B" w:rsidRDefault="00564065" w14:paraId="5953B145" w14:textId="77777777">
      <w:pPr>
        <w:jc w:val="center"/>
      </w:pPr>
      <w:r w:rsidRPr="00F725B8">
        <w:rPr>
          <w:b/>
        </w:rPr>
        <w:t>Chart 1:</w:t>
      </w:r>
      <w:r>
        <w:t xml:space="preserve"> Revenue Summary of </w:t>
      </w:r>
      <w:r w:rsidR="00F725B8">
        <w:t>Mandarin Oriental</w:t>
      </w:r>
    </w:p>
    <w:p w:rsidR="00564065" w:rsidP="00EF201B" w:rsidRDefault="00564065" w14:paraId="7AC48D30" w14:textId="77777777">
      <w:pPr>
        <w:jc w:val="center"/>
      </w:pPr>
      <w:r w:rsidRPr="00F725B8">
        <w:rPr>
          <w:b/>
        </w:rPr>
        <w:t>Source:</w:t>
      </w:r>
      <w:r>
        <w:t xml:space="preserve"> Author’s Calculation</w:t>
      </w:r>
    </w:p>
    <w:p w:rsidR="008E7891" w:rsidP="008E7891" w:rsidRDefault="008E7891" w14:paraId="61696492" w14:textId="77777777">
      <w:r>
        <w:t>The above chart shows the amount of combined total revenue, consolidated revenue which is generated from hotels and fees of subsidiaries, EBITDA, and profit/(loss) attributable to the shareholders</w:t>
      </w:r>
      <w:r w:rsidR="00042D6D">
        <w:t xml:space="preserve"> for the last 4 years published in the annual report. The year 2020 was a curse for the hospitality management business due to </w:t>
      </w:r>
      <w:r w:rsidR="00D8172C">
        <w:t xml:space="preserve">the </w:t>
      </w:r>
      <w:r w:rsidR="00042D6D">
        <w:t xml:space="preserve">COVID pandemic and the company could not generate </w:t>
      </w:r>
      <w:r w:rsidR="00D8172C">
        <w:t xml:space="preserve">the </w:t>
      </w:r>
      <w:r w:rsidR="00042D6D">
        <w:t xml:space="preserve">expected level of revenue. Though Mandarin Oriental generated $593 million combined revenue and $183.7 million consolidated revenue in 2020, EBITDA was quite negative as of $74.2 million. Furthermore, </w:t>
      </w:r>
      <w:r w:rsidR="00D8172C">
        <w:t xml:space="preserve">the </w:t>
      </w:r>
      <w:r w:rsidR="00042D6D">
        <w:t>year 2021 was far a recovery for Mandarin Oriental, but the c</w:t>
      </w:r>
      <w:r w:rsidR="00446B75">
        <w:t xml:space="preserve">ompany lost about $68.1 million which is % lower than </w:t>
      </w:r>
      <w:r w:rsidR="00D8172C">
        <w:t xml:space="preserve">the </w:t>
      </w:r>
      <w:r w:rsidR="00446B75">
        <w:t>previous year. However, the company ha</w:t>
      </w:r>
      <w:r w:rsidR="00D8172C">
        <w:t>s</w:t>
      </w:r>
      <w:r w:rsidR="00446B75">
        <w:t xml:space="preserve"> returned to its pre-</w:t>
      </w:r>
      <w:r w:rsidR="00D8172C">
        <w:t>COVID</w:t>
      </w:r>
      <w:r w:rsidR="00446B75">
        <w:t xml:space="preserve"> flow of revenue generation in the last financial year ended </w:t>
      </w:r>
      <w:r w:rsidR="00D8172C">
        <w:t>i</w:t>
      </w:r>
      <w:r w:rsidR="00446B75">
        <w:t xml:space="preserve">n December 2022. The annual report shows $1568.1 million </w:t>
      </w:r>
      <w:r w:rsidR="00D8172C">
        <w:t xml:space="preserve">in </w:t>
      </w:r>
      <w:r w:rsidR="00446B75">
        <w:t xml:space="preserve">combined revenue, $454.1 million </w:t>
      </w:r>
      <w:r w:rsidR="00D8172C">
        <w:t xml:space="preserve">in </w:t>
      </w:r>
      <w:r w:rsidR="00446B75">
        <w:t xml:space="preserve">consolidated revenue, $111.4 million </w:t>
      </w:r>
      <w:r w:rsidR="00D8172C">
        <w:t xml:space="preserve">in </w:t>
      </w:r>
      <w:r w:rsidR="00446B75">
        <w:t xml:space="preserve">EBITDA, and $7.6 million </w:t>
      </w:r>
      <w:r w:rsidR="00D8172C">
        <w:t xml:space="preserve">in </w:t>
      </w:r>
      <w:r w:rsidR="00446B75">
        <w:t>profits attributable to the shareholders.</w:t>
      </w:r>
      <w:r w:rsidR="00C60D79">
        <w:t xml:space="preserve"> Satisfactory total revenue growth </w:t>
      </w:r>
      <w:r w:rsidR="00D8172C">
        <w:t>has been</w:t>
      </w:r>
      <w:r w:rsidR="00C60D79">
        <w:t xml:space="preserve"> apparent to us in recent years. The half</w:t>
      </w:r>
      <w:r w:rsidR="00D8172C">
        <w:t>-</w:t>
      </w:r>
      <w:r w:rsidR="00C60D79">
        <w:t xml:space="preserve">yearly </w:t>
      </w:r>
      <w:r w:rsidR="005D24AB">
        <w:t>unaudited financial report also shows positive vibes to this revenue generation flow</w:t>
      </w:r>
      <w:r w:rsidR="00137832">
        <w:t>.</w:t>
      </w:r>
      <w:r w:rsidR="00410EC6">
        <w:t xml:space="preserve"> There are so many examples of hotels in this industry that still cannot make </w:t>
      </w:r>
      <w:r w:rsidR="00D8172C">
        <w:t xml:space="preserve">a </w:t>
      </w:r>
      <w:r w:rsidR="00410EC6">
        <w:t>recovery from loss, but strong management policy and commitment to quality service made it exceptional. Financial manager’s focus on management business, particularly resort</w:t>
      </w:r>
      <w:r w:rsidR="00D8172C">
        <w:t>s</w:t>
      </w:r>
      <w:r w:rsidR="00410EC6">
        <w:t xml:space="preserve"> and hotels was key to the recovery</w:t>
      </w:r>
      <w:r w:rsidR="00AF6DC9">
        <w:t xml:space="preserve"> (Tranter, et al., 2014)</w:t>
      </w:r>
      <w:r w:rsidR="00410EC6">
        <w:t>.</w:t>
      </w:r>
    </w:p>
    <w:p w:rsidR="006925A5" w:rsidP="00C6194D" w:rsidRDefault="00C6194D" w14:paraId="234411E1" w14:textId="77777777">
      <w:pPr>
        <w:pStyle w:val="Heading2"/>
      </w:pPr>
      <w:bookmarkStart w:name="_Toc157042897" w:id="4"/>
      <w:r>
        <w:t>Market Position</w:t>
      </w:r>
      <w:bookmarkEnd w:id="4"/>
    </w:p>
    <w:p w:rsidR="00747E8B" w:rsidP="003A5D92" w:rsidRDefault="00747E8B" w14:paraId="056E9A3E" w14:textId="77777777">
      <w:r>
        <w:t xml:space="preserve">Mandarin Oriental is one of the </w:t>
      </w:r>
      <w:r w:rsidR="00885EB1">
        <w:t xml:space="preserve">leading </w:t>
      </w:r>
      <w:r>
        <w:t>luxury hospitality management group</w:t>
      </w:r>
      <w:r w:rsidR="00D8172C">
        <w:t>s</w:t>
      </w:r>
      <w:r>
        <w:t xml:space="preserve"> spread worldwide. It holds a long</w:t>
      </w:r>
      <w:r w:rsidR="00D8172C">
        <w:t>-</w:t>
      </w:r>
      <w:r>
        <w:t>term vision of growth by providing not only hotel</w:t>
      </w:r>
      <w:r w:rsidR="00D8172C">
        <w:t>s</w:t>
      </w:r>
      <w:r>
        <w:t xml:space="preserve"> and resorts, also management services. The year 2022 was a year of transition for Mandarin oriental that is expected to drive in </w:t>
      </w:r>
      <w:r w:rsidR="00D8172C">
        <w:t xml:space="preserve">the </w:t>
      </w:r>
      <w:r>
        <w:t>future. There are so many examples of hospitality service providers that still cannot recover from the adverse effect</w:t>
      </w:r>
      <w:r w:rsidR="00D8172C">
        <w:t>s</w:t>
      </w:r>
      <w:r>
        <w:t>, but Mandarin ha</w:t>
      </w:r>
      <w:r w:rsidR="00D8172C">
        <w:t>s</w:t>
      </w:r>
      <w:r>
        <w:t xml:space="preserve"> not only recovered </w:t>
      </w:r>
      <w:r w:rsidR="00D8172C">
        <w:t xml:space="preserve">but </w:t>
      </w:r>
      <w:r>
        <w:t xml:space="preserve">also </w:t>
      </w:r>
      <w:r w:rsidR="009F4B86">
        <w:t>continued its leading position all over the world</w:t>
      </w:r>
      <w:r w:rsidR="00F57379">
        <w:t xml:space="preserve"> </w:t>
      </w:r>
      <w:r w:rsidRPr="00F57379" w:rsidR="00F57379">
        <w:t>(</w:t>
      </w:r>
      <w:proofErr w:type="spellStart"/>
      <w:r w:rsidRPr="00F57379" w:rsidR="00F57379">
        <w:t>Svorcan</w:t>
      </w:r>
      <w:proofErr w:type="spellEnd"/>
      <w:r w:rsidRPr="00F57379" w:rsidR="00F57379">
        <w:t>, 2013)</w:t>
      </w:r>
      <w:r w:rsidR="009F4B86">
        <w:t>. The prominent management team focu</w:t>
      </w:r>
      <w:r w:rsidR="00D8172C">
        <w:t>se</w:t>
      </w:r>
      <w:r w:rsidR="009F4B86">
        <w:t>s on strengthening the brand</w:t>
      </w:r>
      <w:r w:rsidR="003922F1">
        <w:t xml:space="preserve"> and it is planning to open 26 new hotels and residence</w:t>
      </w:r>
      <w:r w:rsidR="00D8172C">
        <w:t>s</w:t>
      </w:r>
      <w:r w:rsidR="003922F1">
        <w:t xml:space="preserve"> in the next few years.</w:t>
      </w:r>
      <w:r w:rsidR="009F4B86">
        <w:t xml:space="preserve"> The company aspires to grow outside the current boundary to a luxury brand</w:t>
      </w:r>
      <w:r w:rsidR="00C96AD3">
        <w:t xml:space="preserve"> for </w:t>
      </w:r>
      <w:r w:rsidR="00D8172C">
        <w:t xml:space="preserve">a </w:t>
      </w:r>
      <w:r w:rsidR="00C96AD3">
        <w:t xml:space="preserve">sustainable market position in the hospitality industry. </w:t>
      </w:r>
      <w:r w:rsidR="006C22F4">
        <w:t>After-covid c</w:t>
      </w:r>
      <w:r w:rsidR="00C96AD3">
        <w:t xml:space="preserve">ompany financials indicate a significant potentiality of management business </w:t>
      </w:r>
      <w:r w:rsidR="006C22F4">
        <w:t>and it is focusing on it to own iconic properties in brand-defining locations</w:t>
      </w:r>
      <w:r w:rsidR="001E014D">
        <w:t xml:space="preserve"> (</w:t>
      </w:r>
      <w:r w:rsidR="001E014D">
        <w:rPr>
          <w:shd w:val="clear" w:color="auto" w:fill="FFFFFF"/>
        </w:rPr>
        <w:t xml:space="preserve">Ball, </w:t>
      </w:r>
      <w:r w:rsidRPr="00AE480F" w:rsidR="001E014D">
        <w:rPr>
          <w:shd w:val="clear" w:color="auto" w:fill="FFFFFF"/>
        </w:rPr>
        <w:t>2021</w:t>
      </w:r>
      <w:r w:rsidR="001E014D">
        <w:rPr>
          <w:shd w:val="clear" w:color="auto" w:fill="FFFFFF"/>
        </w:rPr>
        <w:t>)</w:t>
      </w:r>
      <w:r w:rsidR="006C22F4">
        <w:t>. Thus, it will significantly benefit f</w:t>
      </w:r>
      <w:r w:rsidR="00D8172C">
        <w:t>ro</w:t>
      </w:r>
      <w:r w:rsidR="006C22F4">
        <w:t xml:space="preserve">m operational profitability and capital appreciation, and the review of </w:t>
      </w:r>
      <w:r w:rsidR="00D8172C">
        <w:t xml:space="preserve">the </w:t>
      </w:r>
      <w:r w:rsidR="006C22F4">
        <w:t xml:space="preserve">asset portfolio shows </w:t>
      </w:r>
      <w:r w:rsidR="00D8172C">
        <w:t xml:space="preserve">a </w:t>
      </w:r>
      <w:r w:rsidR="006C22F4">
        <w:t>strong market position.</w:t>
      </w:r>
    </w:p>
    <w:p w:rsidR="006925A5" w:rsidP="00C6194D" w:rsidRDefault="00C6194D" w14:paraId="7F1FE428" w14:textId="77777777">
      <w:pPr>
        <w:pStyle w:val="Heading2"/>
      </w:pPr>
      <w:bookmarkStart w:name="_Toc157042898" w:id="5"/>
      <w:r>
        <w:t>Growth Potential</w:t>
      </w:r>
      <w:bookmarkEnd w:id="5"/>
    </w:p>
    <w:p w:rsidR="000F67A6" w:rsidP="003A5D92" w:rsidRDefault="00C90A3B" w14:paraId="0580D61C" w14:textId="77777777">
      <w:r>
        <w:t xml:space="preserve">London is always a potential hub for </w:t>
      </w:r>
      <w:r w:rsidR="00D8172C">
        <w:t xml:space="preserve">the </w:t>
      </w:r>
      <w:r w:rsidR="007C0B98">
        <w:t>hospitality management business and the management expects to open a new hotel and residence there. Not only that, its plan is to open another 4 hotels and residences in different brand-defining places</w:t>
      </w:r>
      <w:r w:rsidR="002C6B59">
        <w:t xml:space="preserve"> that represent about 7% growth in the asset portfolio</w:t>
      </w:r>
      <w:r w:rsidR="007C0B98">
        <w:t>. The hotel group announced to continue 8 other management contracts with different leading parties as the management found it lucrative</w:t>
      </w:r>
      <w:r w:rsidR="004A30D9">
        <w:t xml:space="preserve"> for sustainable growth</w:t>
      </w:r>
      <w:r w:rsidR="002C6B59">
        <w:t>.</w:t>
      </w:r>
      <w:r w:rsidR="00650B3F">
        <w:t xml:space="preserve"> </w:t>
      </w:r>
      <w:r w:rsidR="00836421">
        <w:t xml:space="preserve">Since the potential for future growth of Mandarin Oriental is significant in this industry, it is apparent that the financial manager is now more focused on </w:t>
      </w:r>
      <w:r w:rsidR="00D8172C">
        <w:t xml:space="preserve">the </w:t>
      </w:r>
      <w:r w:rsidR="00836421">
        <w:t xml:space="preserve">diversity of </w:t>
      </w:r>
      <w:r w:rsidR="00D8172C">
        <w:t xml:space="preserve">the </w:t>
      </w:r>
      <w:r w:rsidR="00836421">
        <w:t>business portfolio</w:t>
      </w:r>
      <w:r w:rsidR="00003957">
        <w:t xml:space="preserve"> </w:t>
      </w:r>
      <w:r w:rsidRPr="00C02A9F" w:rsidR="00003957">
        <w:t>(Jones, et al., 2014)</w:t>
      </w:r>
      <w:r w:rsidR="00836421">
        <w:t xml:space="preserve">. It has </w:t>
      </w:r>
      <w:r w:rsidR="00D8172C">
        <w:t xml:space="preserve">a </w:t>
      </w:r>
      <w:r w:rsidR="00836421">
        <w:t>world-class spa center for ease of life, provides management business service, fine-tuning dining and resorts on the beach.</w:t>
      </w:r>
    </w:p>
    <w:p w:rsidR="003A5D92" w:rsidP="000F67A6" w:rsidRDefault="000F67A6" w14:paraId="3AA2A226" w14:textId="77777777">
      <w:pPr>
        <w:jc w:val="center"/>
      </w:pPr>
      <w:r>
        <w:rPr>
          <w:noProof/>
        </w:rPr>
        <w:drawing>
          <wp:inline distT="0" distB="0" distL="0" distR="0" wp14:anchorId="32649942" wp14:editId="5858467D">
            <wp:extent cx="4371975" cy="2550319"/>
            <wp:effectExtent l="0" t="0" r="9525" b="254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F725B8" w:rsidP="00F725B8" w:rsidRDefault="00F725B8" w14:paraId="0C336B91" w14:textId="77777777">
      <w:pPr>
        <w:jc w:val="center"/>
      </w:pPr>
      <w:r w:rsidRPr="00F725B8">
        <w:rPr>
          <w:b/>
        </w:rPr>
        <w:t xml:space="preserve">Chart </w:t>
      </w:r>
      <w:r>
        <w:rPr>
          <w:b/>
        </w:rPr>
        <w:t>2</w:t>
      </w:r>
      <w:r w:rsidRPr="00F725B8">
        <w:rPr>
          <w:b/>
        </w:rPr>
        <w:t>:</w:t>
      </w:r>
      <w:r>
        <w:t xml:space="preserve"> EBITDA Trend of Mandarin Oriental</w:t>
      </w:r>
    </w:p>
    <w:p w:rsidR="00F725B8" w:rsidP="00F725B8" w:rsidRDefault="00F725B8" w14:paraId="2BB25266" w14:textId="77777777">
      <w:pPr>
        <w:jc w:val="center"/>
      </w:pPr>
      <w:r w:rsidRPr="00F725B8">
        <w:rPr>
          <w:b/>
        </w:rPr>
        <w:t>Source:</w:t>
      </w:r>
      <w:r>
        <w:t xml:space="preserve"> Author’s Calculation</w:t>
      </w:r>
    </w:p>
    <w:p w:rsidR="000F67A6" w:rsidP="000F67A6" w:rsidRDefault="000F67A6" w14:paraId="730FD9C9" w14:textId="77777777">
      <w:r>
        <w:t>Mandarin Oriental is now considering a lot of developmental and expansion projects and in effect the company is not providing dividend</w:t>
      </w:r>
      <w:r w:rsidR="00D8172C">
        <w:t>s</w:t>
      </w:r>
      <w:r>
        <w:t xml:space="preserve"> to the shareholders. </w:t>
      </w:r>
      <w:r w:rsidR="00D27FBB">
        <w:t xml:space="preserve">So, here </w:t>
      </w:r>
      <w:r>
        <w:t>EBITDA is considered as a</w:t>
      </w:r>
      <w:r w:rsidR="00D27FBB">
        <w:t xml:space="preserve">n indicator </w:t>
      </w:r>
      <w:r w:rsidR="00D8172C">
        <w:t>of</w:t>
      </w:r>
      <w:r w:rsidR="00D27FBB">
        <w:t xml:space="preserve"> financial performance and the potential </w:t>
      </w:r>
      <w:r w:rsidR="00D8172C">
        <w:t>for</w:t>
      </w:r>
      <w:r w:rsidR="00D27FBB">
        <w:t xml:space="preserve"> growth</w:t>
      </w:r>
      <w:r w:rsidR="002F3B05">
        <w:t xml:space="preserve"> </w:t>
      </w:r>
      <w:r w:rsidR="00003957">
        <w:t>(</w:t>
      </w:r>
      <w:proofErr w:type="spellStart"/>
      <w:r w:rsidR="00003957">
        <w:t>Guilding</w:t>
      </w:r>
      <w:proofErr w:type="spellEnd"/>
      <w:r w:rsidR="00003957">
        <w:t>, 2014)</w:t>
      </w:r>
      <w:r w:rsidR="00D27FBB">
        <w:t xml:space="preserve">. If we keep </w:t>
      </w:r>
      <w:r w:rsidR="00D8172C">
        <w:t xml:space="preserve">the </w:t>
      </w:r>
      <w:r w:rsidR="00D27FBB">
        <w:t>year</w:t>
      </w:r>
      <w:r w:rsidR="00D8172C">
        <w:t xml:space="preserve"> </w:t>
      </w:r>
      <w:r w:rsidR="00D27FBB">
        <w:t>2020 out of context, EBITDA is constantly growing</w:t>
      </w:r>
      <w:r w:rsidR="00AD26E0">
        <w:t xml:space="preserve"> and facing losses attributable to the shareholders due to </w:t>
      </w:r>
      <w:r w:rsidR="00D8172C">
        <w:t xml:space="preserve">the </w:t>
      </w:r>
      <w:r w:rsidR="00AD26E0">
        <w:t>undertaking of expansion projects</w:t>
      </w:r>
      <w:r w:rsidR="00F21F9E">
        <w:t xml:space="preserve"> as</w:t>
      </w:r>
      <w:r w:rsidR="007E3429">
        <w:t xml:space="preserve"> they are expected to open at the end of 2025</w:t>
      </w:r>
      <w:r w:rsidR="00F21F9E">
        <w:t>.</w:t>
      </w:r>
      <w:r w:rsidR="00650B3F">
        <w:t xml:space="preserve"> After the transition period of </w:t>
      </w:r>
      <w:r w:rsidR="00D8172C">
        <w:t xml:space="preserve">the </w:t>
      </w:r>
      <w:r w:rsidR="00650B3F">
        <w:t>C</w:t>
      </w:r>
      <w:r w:rsidR="00D8172C">
        <w:t>OVID-19</w:t>
      </w:r>
      <w:r w:rsidR="00650B3F">
        <w:t xml:space="preserve"> pandemic, the social trend has changed. People now want to spend more on luxury </w:t>
      </w:r>
      <w:r w:rsidR="00D8172C">
        <w:t>which</w:t>
      </w:r>
      <w:r w:rsidR="00650B3F">
        <w:t xml:space="preserve"> creates demand for innovative value offerings of hospitality service providers</w:t>
      </w:r>
      <w:r w:rsidR="00591212">
        <w:t xml:space="preserve"> (</w:t>
      </w:r>
      <w:r w:rsidR="00591212">
        <w:rPr>
          <w:shd w:val="clear" w:color="auto" w:fill="FFFFFF"/>
        </w:rPr>
        <w:t xml:space="preserve">Ali, et., </w:t>
      </w:r>
      <w:r w:rsidRPr="00AE480F" w:rsidR="00591212">
        <w:rPr>
          <w:shd w:val="clear" w:color="auto" w:fill="FFFFFF"/>
        </w:rPr>
        <w:t>2020</w:t>
      </w:r>
      <w:r w:rsidR="00591212">
        <w:rPr>
          <w:shd w:val="clear" w:color="auto" w:fill="FFFFFF"/>
        </w:rPr>
        <w:t>)</w:t>
      </w:r>
      <w:r w:rsidR="00650B3F">
        <w:t>. As demand increases, the existing company would increase services and new entry occurs</w:t>
      </w:r>
      <w:r w:rsidR="00C02A9F">
        <w:t xml:space="preserve"> (</w:t>
      </w:r>
      <w:r w:rsidR="00C02A9F">
        <w:rPr>
          <w:shd w:val="clear" w:color="auto" w:fill="FFFFFF"/>
        </w:rPr>
        <w:t xml:space="preserve">Tan, et al., </w:t>
      </w:r>
      <w:r w:rsidRPr="00AE480F" w:rsidR="00C02A9F">
        <w:rPr>
          <w:shd w:val="clear" w:color="auto" w:fill="FFFFFF"/>
        </w:rPr>
        <w:t>2018</w:t>
      </w:r>
      <w:r w:rsidR="00C02A9F">
        <w:rPr>
          <w:shd w:val="clear" w:color="auto" w:fill="FFFFFF"/>
        </w:rPr>
        <w:t>)</w:t>
      </w:r>
      <w:r w:rsidR="00650B3F">
        <w:t xml:space="preserve">. It might be </w:t>
      </w:r>
      <w:r w:rsidR="00D8172C">
        <w:t xml:space="preserve">a </w:t>
      </w:r>
      <w:r w:rsidR="00650B3F">
        <w:t xml:space="preserve">potential threat </w:t>
      </w:r>
      <w:r w:rsidR="00D8172C">
        <w:t>to</w:t>
      </w:r>
      <w:r w:rsidR="00650B3F">
        <w:t xml:space="preserve"> Mandarin Oriental, but it will obviously enjoy economies of scale and lead the market.</w:t>
      </w:r>
    </w:p>
    <w:p w:rsidR="006925A5" w:rsidP="00C6194D" w:rsidRDefault="006925A5" w14:paraId="4222DFD7" w14:textId="77777777">
      <w:pPr>
        <w:pStyle w:val="Heading2"/>
      </w:pPr>
      <w:bookmarkStart w:name="_Toc157042899" w:id="6"/>
      <w:r>
        <w:t>Financial Commitment to CSR</w:t>
      </w:r>
      <w:bookmarkEnd w:id="6"/>
    </w:p>
    <w:p w:rsidRPr="00533C07" w:rsidR="00C6194D" w:rsidP="00533C07" w:rsidRDefault="00996841" w14:paraId="4EF223A1" w14:textId="77777777">
      <w:r>
        <w:t xml:space="preserve">Mandarin Oriental centrally believes in ‘acting with responsibility’ </w:t>
      </w:r>
      <w:r w:rsidR="00D8172C">
        <w:t>in</w:t>
      </w:r>
      <w:r>
        <w:t xml:space="preserve"> all its activities. Their approach to</w:t>
      </w:r>
      <w:r w:rsidR="002E2759">
        <w:t xml:space="preserve"> sustainability is more integrated </w:t>
      </w:r>
      <w:r w:rsidR="00D8172C">
        <w:t>in</w:t>
      </w:r>
      <w:r w:rsidR="002E2759">
        <w:t>to the UN Sustainable Development Goals and is committed to the planet, guests, colleagues and communities</w:t>
      </w:r>
      <w:r w:rsidR="00AE480F">
        <w:t xml:space="preserve"> (</w:t>
      </w:r>
      <w:proofErr w:type="spellStart"/>
      <w:r w:rsidR="00AE480F">
        <w:rPr>
          <w:shd w:val="clear" w:color="auto" w:fill="FFFFFF"/>
        </w:rPr>
        <w:t>Roblek</w:t>
      </w:r>
      <w:proofErr w:type="spellEnd"/>
      <w:r w:rsidR="00AE480F">
        <w:rPr>
          <w:shd w:val="clear" w:color="auto" w:fill="FFFFFF"/>
        </w:rPr>
        <w:t xml:space="preserve">, et al., </w:t>
      </w:r>
      <w:r w:rsidRPr="00AE480F" w:rsidR="00AE480F">
        <w:rPr>
          <w:shd w:val="clear" w:color="auto" w:fill="FFFFFF"/>
        </w:rPr>
        <w:t>2016</w:t>
      </w:r>
      <w:r w:rsidR="00AE480F">
        <w:rPr>
          <w:shd w:val="clear" w:color="auto" w:fill="FFFFFF"/>
        </w:rPr>
        <w:t>)</w:t>
      </w:r>
      <w:r w:rsidR="002E2759">
        <w:t xml:space="preserve">. The well-established governance structure of Mandarin oriental ensures sustainability </w:t>
      </w:r>
      <w:r w:rsidR="00D8172C">
        <w:t>for</w:t>
      </w:r>
      <w:r w:rsidR="002E2759">
        <w:t xml:space="preserve"> the champions. The group is very sensitive to the environmental impact and embedded cultural issues. By aligning </w:t>
      </w:r>
      <w:r w:rsidR="00D8172C">
        <w:t xml:space="preserve">with </w:t>
      </w:r>
      <w:r w:rsidR="002E2759">
        <w:t>the goal of SDGs, Mandarin continues eliminating single-use plastics and plastic</w:t>
      </w:r>
      <w:r w:rsidR="00D8172C">
        <w:t>-</w:t>
      </w:r>
      <w:r w:rsidR="002E2759">
        <w:t>free parcel offering</w:t>
      </w:r>
      <w:r w:rsidR="00D8172C">
        <w:t>s</w:t>
      </w:r>
      <w:r w:rsidR="00533C07">
        <w:t xml:space="preserve"> as well as 100% responsible procured food items certified by LRQA</w:t>
      </w:r>
      <w:r w:rsidR="00F57379">
        <w:t xml:space="preserve"> </w:t>
      </w:r>
      <w:r w:rsidRPr="00F57379" w:rsidR="00F57379">
        <w:t>(</w:t>
      </w:r>
      <w:proofErr w:type="spellStart"/>
      <w:r w:rsidRPr="00F57379" w:rsidR="00F57379">
        <w:t>Svorcan</w:t>
      </w:r>
      <w:proofErr w:type="spellEnd"/>
      <w:r w:rsidRPr="00F57379" w:rsidR="00F57379">
        <w:t>, 2013)</w:t>
      </w:r>
      <w:r w:rsidR="00533C07">
        <w:t xml:space="preserve">. As the recent global concern focuses on decarburization, they continue the target of renewable energy consumption by 2030. The energy efficiency project provides insight </w:t>
      </w:r>
      <w:r w:rsidR="00D8172C">
        <w:t>into</w:t>
      </w:r>
      <w:r w:rsidR="00533C07">
        <w:t xml:space="preserve"> approximate savings of $1.2 million per annum.</w:t>
      </w:r>
      <w:r w:rsidR="003A0C2A">
        <w:t xml:space="preserve"> Positive contribution to the local communities is quite satisfactory as it collectively clocks more than 20,000 volunteer hours and donates over </w:t>
      </w:r>
      <w:r w:rsidR="005E6B89">
        <w:t>$1.5 million</w:t>
      </w:r>
      <w:r w:rsidR="003A0C2A">
        <w:t xml:space="preserve"> </w:t>
      </w:r>
      <w:r w:rsidR="00D8172C">
        <w:t xml:space="preserve">in </w:t>
      </w:r>
      <w:r w:rsidR="003A0C2A">
        <w:t xml:space="preserve">support </w:t>
      </w:r>
      <w:r w:rsidR="005E6B89">
        <w:t xml:space="preserve">to the </w:t>
      </w:r>
      <w:r w:rsidR="003A0C2A">
        <w:t>diverse social</w:t>
      </w:r>
      <w:r w:rsidR="005E6B89">
        <w:t xml:space="preserve"> segments</w:t>
      </w:r>
      <w:r w:rsidR="00791A2B">
        <w:t xml:space="preserve"> per annum</w:t>
      </w:r>
      <w:r w:rsidR="005E6B89">
        <w:t>.</w:t>
      </w:r>
      <w:r w:rsidR="00791A2B">
        <w:t xml:space="preserve"> Moreover, it contributes significant amounts </w:t>
      </w:r>
      <w:r w:rsidR="00D8172C">
        <w:t>to</w:t>
      </w:r>
      <w:r w:rsidR="00E5494C">
        <w:t xml:space="preserve"> medical care</w:t>
      </w:r>
      <w:r w:rsidR="00791A2B">
        <w:t>, churches, marginal groups, NGOs</w:t>
      </w:r>
      <w:r w:rsidR="00D8172C">
        <w:t>,</w:t>
      </w:r>
      <w:r w:rsidR="00791A2B">
        <w:t xml:space="preserve"> etc.</w:t>
      </w:r>
      <w:r w:rsidR="00F81425">
        <w:t xml:space="preserve"> (Oriental, 2023).</w:t>
      </w:r>
      <w:r w:rsidR="00C6194D">
        <w:br w:type="page"/>
      </w:r>
    </w:p>
    <w:p w:rsidR="00AD1DEB" w:rsidP="00C6194D" w:rsidRDefault="00AD1DEB" w14:paraId="3A4DC03D" w14:textId="77777777">
      <w:pPr>
        <w:pStyle w:val="Heading1"/>
      </w:pPr>
      <w:bookmarkStart w:name="_Toc157042900" w:id="7"/>
      <w:r>
        <w:t xml:space="preserve">Financial </w:t>
      </w:r>
      <w:r w:rsidR="006925A5">
        <w:t>Management</w:t>
      </w:r>
      <w:r>
        <w:t xml:space="preserve"> </w:t>
      </w:r>
      <w:r w:rsidR="006925A5">
        <w:t xml:space="preserve">and Performance </w:t>
      </w:r>
      <w:r>
        <w:t>of Premier Inn</w:t>
      </w:r>
      <w:bookmarkEnd w:id="7"/>
    </w:p>
    <w:p w:rsidR="006925A5" w:rsidP="00C6194D" w:rsidRDefault="00C6194D" w14:paraId="53D4BB73" w14:textId="77777777">
      <w:pPr>
        <w:pStyle w:val="Heading2"/>
      </w:pPr>
      <w:bookmarkStart w:name="_Toc157042901" w:id="8"/>
      <w:r>
        <w:t>Total Revenue</w:t>
      </w:r>
      <w:bookmarkEnd w:id="8"/>
    </w:p>
    <w:p w:rsidR="003A5D92" w:rsidP="003A5D92" w:rsidRDefault="004D2B0A" w14:paraId="23281C12" w14:textId="77777777">
      <w:r>
        <w:rPr>
          <w:noProof/>
        </w:rPr>
        <w:drawing>
          <wp:inline distT="0" distB="0" distL="0" distR="0" wp14:anchorId="4D9512DF" wp14:editId="6B01D4EB">
            <wp:extent cx="5486400" cy="32004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F725B8" w:rsidP="00F725B8" w:rsidRDefault="00F725B8" w14:paraId="54C9AA97" w14:textId="77777777">
      <w:pPr>
        <w:jc w:val="center"/>
      </w:pPr>
      <w:r w:rsidRPr="00F725B8">
        <w:rPr>
          <w:b/>
        </w:rPr>
        <w:t xml:space="preserve">Chart </w:t>
      </w:r>
      <w:r>
        <w:rPr>
          <w:b/>
        </w:rPr>
        <w:t>3</w:t>
      </w:r>
      <w:r w:rsidRPr="00F725B8">
        <w:rPr>
          <w:b/>
        </w:rPr>
        <w:t>:</w:t>
      </w:r>
      <w:r>
        <w:t xml:space="preserve"> Revenue Summary of Premier Inn</w:t>
      </w:r>
    </w:p>
    <w:p w:rsidR="00F725B8" w:rsidP="00F725B8" w:rsidRDefault="00F725B8" w14:paraId="57A24AB4" w14:textId="77777777">
      <w:pPr>
        <w:jc w:val="center"/>
      </w:pPr>
      <w:r w:rsidRPr="00F725B8">
        <w:rPr>
          <w:b/>
        </w:rPr>
        <w:t>Source:</w:t>
      </w:r>
      <w:r>
        <w:t xml:space="preserve"> Author’s Calculation</w:t>
      </w:r>
    </w:p>
    <w:p w:rsidRPr="003A5D92" w:rsidR="00A07A8B" w:rsidP="003A5D92" w:rsidRDefault="00A07A8B" w14:paraId="0818D228" w14:textId="77777777">
      <w:r>
        <w:t>The above chart shows the statutory revenue, adjusted EBITDA, and statutory profit/loss after tax</w:t>
      </w:r>
      <w:r w:rsidR="00F739BF">
        <w:t xml:space="preserve"> of Premier Inn</w:t>
      </w:r>
      <w:r>
        <w:t xml:space="preserve">. In the graph, </w:t>
      </w:r>
      <w:r w:rsidR="00D8172C">
        <w:t xml:space="preserve">the </w:t>
      </w:r>
      <w:r>
        <w:t>year</w:t>
      </w:r>
      <w:r w:rsidR="00D8172C">
        <w:t xml:space="preserve"> </w:t>
      </w:r>
      <w:r>
        <w:t xml:space="preserve">2021 is intentionally reduced due to </w:t>
      </w:r>
      <w:r w:rsidR="00D8172C">
        <w:t xml:space="preserve">the </w:t>
      </w:r>
      <w:r>
        <w:t>financial outbreak. Premier Inn mainly provides economy services to the UK and Germany mid-scale and economy market</w:t>
      </w:r>
      <w:r w:rsidR="00D8172C">
        <w:t>s</w:t>
      </w:r>
      <w:r>
        <w:t xml:space="preserve">. a significant profit rise </w:t>
      </w:r>
      <w:r w:rsidR="00F739BF">
        <w:t xml:space="preserve">is apparent according to its financial report. It is significant because the increase is above </w:t>
      </w:r>
      <w:r w:rsidR="00D8172C">
        <w:t xml:space="preserve">the </w:t>
      </w:r>
      <w:r w:rsidR="00F739BF">
        <w:t>pre-pandemic level. Most of the revenue generation is from the UK and German market</w:t>
      </w:r>
      <w:r w:rsidR="00D8172C">
        <w:t>s</w:t>
      </w:r>
      <w:r w:rsidR="00F739BF">
        <w:t xml:space="preserve">. The statutory revenue growth considering FY22 is 54% and FY20 is 27% in the last FY. The 2 major revenue sources are accommodation sales and </w:t>
      </w:r>
      <w:r w:rsidR="00C80275">
        <w:t>Food and beverage</w:t>
      </w:r>
      <w:r w:rsidR="00F739BF">
        <w:t xml:space="preserve"> sales. In this FY, the accommodation sales </w:t>
      </w:r>
      <w:r w:rsidR="00C80275">
        <w:t>are</w:t>
      </w:r>
      <w:r w:rsidR="00F739BF">
        <w:t xml:space="preserve"> 55% more than FY22 and 37% more than FY20.</w:t>
      </w:r>
      <w:r w:rsidR="00C80275">
        <w:t xml:space="preserve"> Furthermore, the food and beverage sales rise is 40% from FY22 and </w:t>
      </w:r>
      <w:r w:rsidR="00D8172C">
        <w:t xml:space="preserve">a </w:t>
      </w:r>
      <w:r w:rsidR="00C80275">
        <w:t>4% decrease in the pre-pandemic level. The profit amount is adjusted with property impairment charge</w:t>
      </w:r>
      <w:r w:rsidR="00D8172C">
        <w:t>s</w:t>
      </w:r>
      <w:r w:rsidR="00C80275">
        <w:t>, technological upgrade costs, and property disposals. Premier Inn’s target to the economy customer is the key factor for revenue growth as the number is huge</w:t>
      </w:r>
      <w:r w:rsidR="00585AFC">
        <w:t xml:space="preserve"> (</w:t>
      </w:r>
      <w:proofErr w:type="spellStart"/>
      <w:r w:rsidR="00585AFC">
        <w:t>Guilding</w:t>
      </w:r>
      <w:proofErr w:type="spellEnd"/>
      <w:r w:rsidR="00585AFC">
        <w:t>, 2014)</w:t>
      </w:r>
      <w:r w:rsidR="00C80275">
        <w:t>. However, it is apparent that Premier Inn is constantly growing its revenue trend in the mid-scale and economy market</w:t>
      </w:r>
      <w:r w:rsidR="00D8172C">
        <w:t>s</w:t>
      </w:r>
      <w:r w:rsidR="00C80275">
        <w:t xml:space="preserve"> of the UK and Germany under large-scale competition. </w:t>
      </w:r>
    </w:p>
    <w:p w:rsidR="006925A5" w:rsidP="00C6194D" w:rsidRDefault="00C6194D" w14:paraId="3B42F830" w14:textId="77777777">
      <w:pPr>
        <w:pStyle w:val="Heading2"/>
      </w:pPr>
      <w:bookmarkStart w:name="_Toc157042902" w:id="9"/>
      <w:r>
        <w:t>Market Position</w:t>
      </w:r>
      <w:bookmarkEnd w:id="9"/>
    </w:p>
    <w:p w:rsidR="00D40598" w:rsidP="003A5D92" w:rsidRDefault="00C9684C" w14:paraId="133810FF" w14:textId="77777777">
      <w:r>
        <w:t xml:space="preserve">Premier Inn currently holds around 12% market share </w:t>
      </w:r>
      <w:r w:rsidR="00D40598">
        <w:t>in the UK hotel market</w:t>
      </w:r>
      <w:r w:rsidR="004F3C67">
        <w:t xml:space="preserve"> </w:t>
      </w:r>
      <w:r w:rsidRPr="004F3C67" w:rsidR="004F3C67">
        <w:t>(whitbread.co.uk, 2024)</w:t>
      </w:r>
      <w:r w:rsidR="00D40598">
        <w:t xml:space="preserve">. It is </w:t>
      </w:r>
      <w:r w:rsidR="00D8172C">
        <w:t>the</w:t>
      </w:r>
      <w:r w:rsidR="00D40598">
        <w:t xml:space="preserve"> largest economy hotel chain that offers affordable hospitality services in mostly the UK and Germany. Premier Inn operates more than 800 hotels in the UK and it attracts mainly frugal visitors, family and business travelers. The market segmentation strategy focuses on psychographic segmentation</w:t>
      </w:r>
      <w:r w:rsidR="00D8172C">
        <w:t>,</w:t>
      </w:r>
      <w:r w:rsidR="00D40598">
        <w:t xml:space="preserve"> </w:t>
      </w:r>
      <w:r w:rsidR="00D8172C">
        <w:t>e</w:t>
      </w:r>
      <w:r w:rsidR="00D40598">
        <w:t>specially the value they offer and the way of life</w:t>
      </w:r>
      <w:r w:rsidR="004F3C67">
        <w:t xml:space="preserve"> </w:t>
      </w:r>
      <w:r w:rsidRPr="004F3C67" w:rsidR="004F3C67">
        <w:t>(Al-</w:t>
      </w:r>
      <w:proofErr w:type="spellStart"/>
      <w:r w:rsidRPr="004F3C67" w:rsidR="004F3C67">
        <w:t>Msallam</w:t>
      </w:r>
      <w:proofErr w:type="spellEnd"/>
      <w:r w:rsidRPr="004F3C67" w:rsidR="004F3C67">
        <w:t>, 2015)</w:t>
      </w:r>
      <w:r w:rsidR="00D40598">
        <w:t xml:space="preserve">. </w:t>
      </w:r>
      <w:r w:rsidR="00D8172C">
        <w:t>However,</w:t>
      </w:r>
      <w:r w:rsidR="00D40598">
        <w:t xml:space="preserve"> it does not compromise a reasonable level of quality in services. </w:t>
      </w:r>
      <w:r w:rsidR="003D476F">
        <w:t>Due to the ease of access and affordable prices, the large</w:t>
      </w:r>
      <w:r w:rsidR="00D8172C">
        <w:t>-</w:t>
      </w:r>
      <w:r w:rsidR="003D476F">
        <w:t xml:space="preserve">scale economy customers attract </w:t>
      </w:r>
      <w:r w:rsidR="00AF2F15">
        <w:t xml:space="preserve">the hotel chain and successfully Premier Inn makes it a popular brand in the UK and German market. </w:t>
      </w:r>
    </w:p>
    <w:p w:rsidR="006925A5" w:rsidP="00C6194D" w:rsidRDefault="00C6194D" w14:paraId="68F0CC05" w14:textId="77777777">
      <w:pPr>
        <w:pStyle w:val="Heading2"/>
      </w:pPr>
      <w:bookmarkStart w:name="_Toc157042903" w:id="10"/>
      <w:r>
        <w:t>Growth Potential</w:t>
      </w:r>
      <w:bookmarkEnd w:id="10"/>
    </w:p>
    <w:p w:rsidR="005653F6" w:rsidP="003A5D92" w:rsidRDefault="007747A0" w14:paraId="78CFBD4C" w14:textId="77777777">
      <w:r>
        <w:t>Significant profit uplift is apparent in the financials and the company is necessarily growing in term</w:t>
      </w:r>
      <w:r w:rsidR="00D8172C">
        <w:t>s</w:t>
      </w:r>
      <w:r>
        <w:t xml:space="preserve"> of </w:t>
      </w:r>
      <w:r w:rsidR="006F0A52">
        <w:t xml:space="preserve">revenue and </w:t>
      </w:r>
      <w:r>
        <w:t>profit growth</w:t>
      </w:r>
      <w:r w:rsidR="00514AFB">
        <w:t xml:space="preserve"> in the UK and German hotel markets</w:t>
      </w:r>
      <w:r>
        <w:t xml:space="preserve">. </w:t>
      </w:r>
      <w:r w:rsidR="005653F6">
        <w:t>In spite of having more number of hotels in the UK, the management is confident in Germany as well where it is opening 51 new hotels. It is expected to generate 10-14% long</w:t>
      </w:r>
      <w:r w:rsidR="00D8172C">
        <w:t>-</w:t>
      </w:r>
      <w:r w:rsidR="005653F6">
        <w:t xml:space="preserve">term profit growth. The operating model of Premier Inn suggests considerable opportunities for growth in the economy hotel market. </w:t>
      </w:r>
      <w:r w:rsidR="00CA2912">
        <w:t>Structural decline in the independent hotel industry is another factor for Premier Inn’s growth potential. A great hope is that macroeconomic uncertainties do not lead decline in the indicators</w:t>
      </w:r>
      <w:r w:rsidR="00591212">
        <w:t xml:space="preserve"> (</w:t>
      </w:r>
      <w:r w:rsidR="00591212">
        <w:rPr>
          <w:shd w:val="clear" w:color="auto" w:fill="FFFFFF"/>
        </w:rPr>
        <w:t xml:space="preserve">Ali, et., </w:t>
      </w:r>
      <w:r w:rsidRPr="00AE480F" w:rsidR="00591212">
        <w:rPr>
          <w:shd w:val="clear" w:color="auto" w:fill="FFFFFF"/>
        </w:rPr>
        <w:t>2020</w:t>
      </w:r>
      <w:r w:rsidR="00591212">
        <w:rPr>
          <w:shd w:val="clear" w:color="auto" w:fill="FFFFFF"/>
        </w:rPr>
        <w:t>)</w:t>
      </w:r>
      <w:r w:rsidR="00CA2912">
        <w:t xml:space="preserve">. As Premier Inn already expanded in the German market, its task is to further growth in Germany and other countries. New décor </w:t>
      </w:r>
      <w:r w:rsidR="006472F4">
        <w:t>for room</w:t>
      </w:r>
      <w:r w:rsidR="00D8172C">
        <w:t>s</w:t>
      </w:r>
      <w:r w:rsidR="006472F4">
        <w:t xml:space="preserve"> might be a key factor for attracting the economy guests.</w:t>
      </w:r>
      <w:r w:rsidR="00CA2912">
        <w:t xml:space="preserve"> </w:t>
      </w:r>
      <w:r w:rsidR="006472F4">
        <w:t>Uncertain econom</w:t>
      </w:r>
      <w:r w:rsidR="00D8172C">
        <w:t>ic</w:t>
      </w:r>
      <w:r w:rsidR="006472F4">
        <w:t xml:space="preserve"> geopolitical conflict and lack of technological uses might be a threat </w:t>
      </w:r>
      <w:r w:rsidR="00D8172C">
        <w:t>to</w:t>
      </w:r>
      <w:r w:rsidR="006472F4">
        <w:t xml:space="preserve"> th</w:t>
      </w:r>
      <w:r w:rsidR="00D8172C">
        <w:t>ese</w:t>
      </w:r>
      <w:r w:rsidR="006472F4">
        <w:t xml:space="preserve"> expanded economy hotels. Change</w:t>
      </w:r>
      <w:r w:rsidR="00D8172C">
        <w:t>s</w:t>
      </w:r>
      <w:r w:rsidR="006472F4">
        <w:t xml:space="preserve"> </w:t>
      </w:r>
      <w:r w:rsidR="00D8172C">
        <w:t>in</w:t>
      </w:r>
      <w:r w:rsidR="006472F4">
        <w:t xml:space="preserve"> </w:t>
      </w:r>
      <w:r w:rsidR="00D8172C">
        <w:t xml:space="preserve">the </w:t>
      </w:r>
      <w:r w:rsidR="006472F4">
        <w:t>practice of hotel stays, structural shift</w:t>
      </w:r>
      <w:r w:rsidR="00D8172C">
        <w:t>s</w:t>
      </w:r>
      <w:r w:rsidR="006472F4">
        <w:t xml:space="preserve"> and entry of new players may adversely impact the demand for mid-scale hotels in the UK and Germany</w:t>
      </w:r>
      <w:r w:rsidR="00C02A9F">
        <w:t xml:space="preserve"> (</w:t>
      </w:r>
      <w:r w:rsidR="00C02A9F">
        <w:rPr>
          <w:shd w:val="clear" w:color="auto" w:fill="FFFFFF"/>
        </w:rPr>
        <w:t xml:space="preserve">Tan, et al., </w:t>
      </w:r>
      <w:r w:rsidRPr="00AE480F" w:rsidR="00C02A9F">
        <w:rPr>
          <w:shd w:val="clear" w:color="auto" w:fill="FFFFFF"/>
        </w:rPr>
        <w:t>2018</w:t>
      </w:r>
      <w:r w:rsidR="00C02A9F">
        <w:rPr>
          <w:shd w:val="clear" w:color="auto" w:fill="FFFFFF"/>
        </w:rPr>
        <w:t>)</w:t>
      </w:r>
      <w:r w:rsidR="006472F4">
        <w:t xml:space="preserve">. </w:t>
      </w:r>
    </w:p>
    <w:p w:rsidR="00AD1DEB" w:rsidP="00C6194D" w:rsidRDefault="006925A5" w14:paraId="549DF283" w14:textId="77777777">
      <w:pPr>
        <w:pStyle w:val="Heading2"/>
      </w:pPr>
      <w:bookmarkStart w:name="_Toc157042904" w:id="11"/>
      <w:r>
        <w:t>Financial Commitment to CSR</w:t>
      </w:r>
      <w:bookmarkEnd w:id="11"/>
    </w:p>
    <w:p w:rsidRPr="006A5E77" w:rsidR="00C6194D" w:rsidP="006A5E77" w:rsidRDefault="006A5E77" w14:paraId="4A6D66A1" w14:textId="77777777">
      <w:r>
        <w:t xml:space="preserve">As Premier Inn provides economy services to the mid-scale guests, it uses less amount of energy consumption which is from fossil fuels. The hotel group is more concerned about the impact of their activities on people, </w:t>
      </w:r>
      <w:r w:rsidR="00D8172C">
        <w:t xml:space="preserve">the </w:t>
      </w:r>
      <w:r>
        <w:t>environment, and the local communities they usually deal with</w:t>
      </w:r>
      <w:r w:rsidR="00C02A9F">
        <w:t xml:space="preserve"> </w:t>
      </w:r>
      <w:r w:rsidRPr="00C02A9F" w:rsidR="00C02A9F">
        <w:t>(Jones, et al., 2014)</w:t>
      </w:r>
      <w:r w:rsidRPr="00C02A9F">
        <w:t>.</w:t>
      </w:r>
      <w:r>
        <w:t xml:space="preserve"> Their sustainability program is ESG (Environmental, social and governance) proven. The report confirms their sustainability program, ‘Force for Good’, to make </w:t>
      </w:r>
      <w:r w:rsidR="00D8172C">
        <w:t xml:space="preserve">a </w:t>
      </w:r>
      <w:r>
        <w:t xml:space="preserve">positive impact on the environment and is </w:t>
      </w:r>
      <w:r w:rsidR="00D8172C">
        <w:t>c</w:t>
      </w:r>
      <w:r>
        <w:t xml:space="preserve">ommitted to SBTi </w:t>
      </w:r>
      <w:r w:rsidR="00D8172C">
        <w:t>which</w:t>
      </w:r>
      <w:r>
        <w:t xml:space="preserve"> means a ‘net zero carbon target’ by 2040</w:t>
      </w:r>
      <w:r w:rsidR="00E6257D">
        <w:t xml:space="preserve">. </w:t>
      </w:r>
      <w:r w:rsidR="009327FB">
        <w:t>In the supply chain, its target is to reduce carbon emission</w:t>
      </w:r>
      <w:r w:rsidR="00D8172C">
        <w:t>s</w:t>
      </w:r>
      <w:r w:rsidR="009327FB">
        <w:t xml:space="preserve"> </w:t>
      </w:r>
      <w:r w:rsidR="00D8172C">
        <w:t xml:space="preserve">by </w:t>
      </w:r>
      <w:r w:rsidR="009327FB">
        <w:t>around 50% by 2035 and 64% by 2050. Moreover, the commitment to reach 40% female participation is already achieved with no violence. Last but not least</w:t>
      </w:r>
      <w:r w:rsidR="00D8172C">
        <w:t>,</w:t>
      </w:r>
      <w:r w:rsidR="009327FB">
        <w:t xml:space="preserve"> Premier is committed to £20m fundraising target for patronizing a hospital for street children with </w:t>
      </w:r>
      <w:r w:rsidR="00D8172C">
        <w:t xml:space="preserve">the </w:t>
      </w:r>
      <w:r w:rsidR="009327FB">
        <w:t>partnership. The financial commitment is not mandatory for the hotels, but i</w:t>
      </w:r>
      <w:r w:rsidR="00D8172C">
        <w:t>t</w:t>
      </w:r>
      <w:r w:rsidR="009327FB">
        <w:t xml:space="preserve"> creates a positive vibe to the mid-scale and economy guests that</w:t>
      </w:r>
      <w:r w:rsidR="00146BC5">
        <w:t xml:space="preserve"> eventually increase</w:t>
      </w:r>
      <w:r w:rsidR="00D8172C">
        <w:t>s</w:t>
      </w:r>
      <w:r w:rsidR="00146BC5">
        <w:t xml:space="preserve"> brand familiarity for growth</w:t>
      </w:r>
      <w:r w:rsidR="009327FB">
        <w:t>.</w:t>
      </w:r>
      <w:r w:rsidR="00C6194D">
        <w:br w:type="page"/>
      </w:r>
    </w:p>
    <w:p w:rsidR="00AD1DEB" w:rsidP="00C6194D" w:rsidRDefault="00AD1DEB" w14:paraId="6206FC90" w14:textId="77777777">
      <w:pPr>
        <w:pStyle w:val="Heading1"/>
      </w:pPr>
      <w:bookmarkStart w:name="_Toc157042905" w:id="12"/>
      <w:r>
        <w:t xml:space="preserve">Comparison </w:t>
      </w:r>
      <w:r w:rsidR="004A4E77">
        <w:t xml:space="preserve">of </w:t>
      </w:r>
      <w:r w:rsidR="006925A5">
        <w:t>Financials</w:t>
      </w:r>
      <w:bookmarkEnd w:id="12"/>
    </w:p>
    <w:p w:rsidR="004A4E77" w:rsidP="00D81B8E" w:rsidRDefault="00CF2529" w14:paraId="4114047E" w14:textId="77777777">
      <w:r>
        <w:t xml:space="preserve">Though both Mandarin Oriental and Premier Inn belong to </w:t>
      </w:r>
      <w:r w:rsidR="00D8172C">
        <w:t xml:space="preserve">the </w:t>
      </w:r>
      <w:r>
        <w:t xml:space="preserve">same industry, no one is a direct competitor for </w:t>
      </w:r>
      <w:r w:rsidR="00D8172C">
        <w:t>the</w:t>
      </w:r>
      <w:r>
        <w:t xml:space="preserve"> other due to a single factor, target customer base. Mandarin Oriental is a multinational luxury hotel chain that offers high</w:t>
      </w:r>
      <w:r w:rsidR="00D8172C">
        <w:t>-</w:t>
      </w:r>
      <w:r>
        <w:t xml:space="preserve">end customers quality services. Conversely, Premier Inn offers services to mid-scale and economy customers based </w:t>
      </w:r>
      <w:r w:rsidR="00D8172C">
        <w:t>i</w:t>
      </w:r>
      <w:r>
        <w:t>n England and German</w:t>
      </w:r>
      <w:r w:rsidR="00D8172C">
        <w:t>y</w:t>
      </w:r>
      <w:r>
        <w:t xml:space="preserve">. </w:t>
      </w:r>
      <w:r w:rsidR="0047198D">
        <w:t>Thus, financial uncertainties are not a great risk for Premier Inn</w:t>
      </w:r>
      <w:r w:rsidR="004A4E77">
        <w:t xml:space="preserve"> compared to Mandarin Oriental</w:t>
      </w:r>
      <w:r w:rsidR="00AF6DC9">
        <w:t xml:space="preserve"> (</w:t>
      </w:r>
      <w:r w:rsidR="00AF6DC9">
        <w:rPr>
          <w:shd w:val="clear" w:color="auto" w:fill="FFFFFF"/>
        </w:rPr>
        <w:t>Drury, 2013)</w:t>
      </w:r>
      <w:r w:rsidR="0047198D">
        <w:t xml:space="preserve">. </w:t>
      </w:r>
      <w:r w:rsidR="004A4E77">
        <w:t>The comparison of financials between Mandarin Oriental and Premier Inn is depicted below from different perspectives. Furthermore, the area of recommendations for future growth of financials in specific area</w:t>
      </w:r>
      <w:r w:rsidR="00D8172C">
        <w:t>s</w:t>
      </w:r>
      <w:r w:rsidR="004A4E77">
        <w:t xml:space="preserve"> is shortlisted in the conclusion section.</w:t>
      </w:r>
    </w:p>
    <w:p w:rsidR="004F3E21" w:rsidP="00D81B8E" w:rsidRDefault="004F3E21" w14:paraId="37FD29FE" w14:textId="77777777">
      <w:r w:rsidRPr="004F3E21">
        <w:rPr>
          <w:b/>
        </w:rPr>
        <w:t>Source of Revenue:</w:t>
      </w:r>
      <w:r>
        <w:t xml:space="preserve"> </w:t>
      </w:r>
      <w:r w:rsidR="004A4E77">
        <w:t xml:space="preserve">Both Mandarin Oriental and Premier Inn generate revenue from hotel service and food &amp; beverage. But Mandarin is diversified in </w:t>
      </w:r>
      <w:r w:rsidR="00D8172C">
        <w:t xml:space="preserve">the </w:t>
      </w:r>
      <w:r w:rsidR="004A4E77">
        <w:t>spa, hall room for rent, fine</w:t>
      </w:r>
      <w:r w:rsidR="00D8172C">
        <w:t>-</w:t>
      </w:r>
      <w:r w:rsidR="004A4E77">
        <w:t xml:space="preserve">tuning dining, and management business. </w:t>
      </w:r>
      <w:r w:rsidR="008D3A14">
        <w:t>High-end programs are arranged in the hall room. They provide high-end service and ensure quality value offering</w:t>
      </w:r>
      <w:r w:rsidR="00D8172C">
        <w:t>s</w:t>
      </w:r>
      <w:r w:rsidR="008D3A14">
        <w:t xml:space="preserve"> to the rich guest</w:t>
      </w:r>
      <w:r w:rsidR="00D8172C">
        <w:t>s</w:t>
      </w:r>
      <w:r w:rsidR="008D3A14">
        <w:t>. Due to premium services, the hotel group has to bear large-scale costs for services</w:t>
      </w:r>
      <w:r w:rsidR="00AF6DC9">
        <w:t xml:space="preserve"> (Seal, 2019)</w:t>
      </w:r>
      <w:r w:rsidR="008D3A14">
        <w:t xml:space="preserve">. Their target market is not very sensitive to macroeconomic factors but </w:t>
      </w:r>
      <w:r w:rsidR="00D8172C">
        <w:t xml:space="preserve">to </w:t>
      </w:r>
      <w:r w:rsidR="008D3A14">
        <w:t>some unwanted reasons like pandemic</w:t>
      </w:r>
      <w:r w:rsidR="00D8172C">
        <w:t>s</w:t>
      </w:r>
      <w:r w:rsidR="008D3A14">
        <w:t>, geopo</w:t>
      </w:r>
      <w:r w:rsidR="00AF6DC9">
        <w:t>litical conflicts, strike</w:t>
      </w:r>
      <w:r w:rsidR="00D8172C">
        <w:t>s</w:t>
      </w:r>
      <w:r w:rsidR="00AF6DC9">
        <w:t xml:space="preserve"> etc. P</w:t>
      </w:r>
      <w:r w:rsidR="008D3A14">
        <w:t xml:space="preserve">remier Inn offers mostly accommodation and F&amp;B. Their service model is designed for frugal customers </w:t>
      </w:r>
      <w:r w:rsidR="00D8172C">
        <w:t>who</w:t>
      </w:r>
      <w:r w:rsidR="008D3A14">
        <w:t xml:space="preserve"> </w:t>
      </w:r>
      <w:r w:rsidR="00D8172C">
        <w:t>are</w:t>
      </w:r>
      <w:r w:rsidR="008D3A14">
        <w:t xml:space="preserve"> very sensitive to macroeconomic factors like inflation, interest rate, exchange rate etc. Because their customer base would want to cut costs of living here</w:t>
      </w:r>
      <w:r w:rsidR="00AF6DC9">
        <w:t xml:space="preserve"> (</w:t>
      </w:r>
      <w:proofErr w:type="spellStart"/>
      <w:r w:rsidR="00AF6DC9">
        <w:t>Guilding</w:t>
      </w:r>
      <w:proofErr w:type="spellEnd"/>
      <w:r w:rsidR="00AF6DC9">
        <w:t>, 2014)</w:t>
      </w:r>
      <w:r w:rsidR="008D3A14">
        <w:t xml:space="preserve">. </w:t>
      </w:r>
    </w:p>
    <w:p w:rsidR="0057604D" w:rsidP="00F81425" w:rsidRDefault="004F3E21" w14:paraId="0640D569" w14:textId="77777777">
      <w:r w:rsidRPr="004F3E21">
        <w:rPr>
          <w:b/>
        </w:rPr>
        <w:t>Revenue Growth:</w:t>
      </w:r>
      <w:r>
        <w:t xml:space="preserve"> </w:t>
      </w:r>
      <w:r w:rsidR="00D8172C">
        <w:t>The r</w:t>
      </w:r>
      <w:r>
        <w:t xml:space="preserve">evenue growth trend is more stable in </w:t>
      </w:r>
      <w:r w:rsidR="00D8172C">
        <w:t xml:space="preserve">the </w:t>
      </w:r>
      <w:r>
        <w:t xml:space="preserve">case of Premium Inn compared to Mandarin Oriental. </w:t>
      </w:r>
      <w:r w:rsidR="008D3A14">
        <w:t xml:space="preserve">During </w:t>
      </w:r>
      <w:r w:rsidR="00D8172C">
        <w:t xml:space="preserve">the </w:t>
      </w:r>
      <w:r w:rsidR="008D3A14">
        <w:t>C</w:t>
      </w:r>
      <w:r w:rsidR="00D8172C">
        <w:t>OVID</w:t>
      </w:r>
      <w:r w:rsidR="008D3A14">
        <w:t xml:space="preserve"> pandemic, Mandarin Oriental did not even generate operating profit (EBITDA), rather generate</w:t>
      </w:r>
      <w:r w:rsidR="000F4719">
        <w:t>d</w:t>
      </w:r>
      <w:r w:rsidR="008D3A14">
        <w:t xml:space="preserve"> </w:t>
      </w:r>
      <w:r w:rsidR="00D8172C">
        <w:t xml:space="preserve">a </w:t>
      </w:r>
      <w:r w:rsidR="008D3A14">
        <w:t>$205.9 million loss. The key issue is that fixed costs remain</w:t>
      </w:r>
      <w:r w:rsidR="000F4719">
        <w:t>ed</w:t>
      </w:r>
      <w:r w:rsidR="008D3A14">
        <w:t xml:space="preserve"> comparatively higher than </w:t>
      </w:r>
      <w:r>
        <w:t>economy hotels that consume</w:t>
      </w:r>
      <w:r w:rsidR="000F4719">
        <w:t>d</w:t>
      </w:r>
      <w:r>
        <w:t xml:space="preserve"> </w:t>
      </w:r>
      <w:r w:rsidR="00D8172C">
        <w:t xml:space="preserve">a </w:t>
      </w:r>
      <w:r>
        <w:t xml:space="preserve">high amount </w:t>
      </w:r>
      <w:r w:rsidR="00D8172C">
        <w:t xml:space="preserve">of </w:t>
      </w:r>
      <w:r>
        <w:t>revenue.</w:t>
      </w:r>
      <w:r w:rsidR="000F4719">
        <w:t xml:space="preserve"> </w:t>
      </w:r>
      <w:r w:rsidR="00D8172C">
        <w:t>However,</w:t>
      </w:r>
      <w:r w:rsidR="000F4719">
        <w:t xml:space="preserve"> fixed costs for Premier Inn faced </w:t>
      </w:r>
      <w:r w:rsidR="00D8172C">
        <w:t xml:space="preserve">a </w:t>
      </w:r>
      <w:r w:rsidR="000F4719">
        <w:t>lesser amount</w:t>
      </w:r>
      <w:r w:rsidR="00105B11">
        <w:t xml:space="preserve"> (</w:t>
      </w:r>
      <w:r w:rsidR="00105B11">
        <w:rPr>
          <w:shd w:val="clear" w:color="auto" w:fill="FFFFFF"/>
        </w:rPr>
        <w:t xml:space="preserve">Ali, et., </w:t>
      </w:r>
      <w:r w:rsidRPr="00AE480F" w:rsidR="00105B11">
        <w:rPr>
          <w:shd w:val="clear" w:color="auto" w:fill="FFFFFF"/>
        </w:rPr>
        <w:t>2020</w:t>
      </w:r>
      <w:r w:rsidR="00105B11">
        <w:rPr>
          <w:shd w:val="clear" w:color="auto" w:fill="FFFFFF"/>
        </w:rPr>
        <w:t>)</w:t>
      </w:r>
      <w:r w:rsidR="00F81425">
        <w:t>.</w:t>
      </w:r>
    </w:p>
    <w:p w:rsidR="00A15FA5" w:rsidP="00D81B8E" w:rsidRDefault="0057604D" w14:paraId="0047D259" w14:textId="77777777">
      <w:r w:rsidRPr="0057604D">
        <w:rPr>
          <w:b/>
        </w:rPr>
        <w:t>Expansion Strategy:</w:t>
      </w:r>
      <w:r>
        <w:t xml:space="preserve"> Mandarin Oriental has already undertaken so many developmental projects for expansion and </w:t>
      </w:r>
      <w:r w:rsidR="00CE12EC">
        <w:t xml:space="preserve">is </w:t>
      </w:r>
      <w:r>
        <w:t>creating a monopoly in the multinational hotel industry</w:t>
      </w:r>
      <w:r w:rsidR="00824D46">
        <w:t xml:space="preserve"> </w:t>
      </w:r>
      <w:r w:rsidR="00F81425">
        <w:t xml:space="preserve">(Oriental, 2023). </w:t>
      </w:r>
      <w:r>
        <w:t>If we consider the company’s</w:t>
      </w:r>
      <w:r w:rsidR="00CE12EC">
        <w:t xml:space="preserve"> financials: mandarin reserv</w:t>
      </w:r>
      <w:r w:rsidR="00D8172C">
        <w:t>es</w:t>
      </w:r>
      <w:r w:rsidR="00CE12EC">
        <w:t xml:space="preserve"> a significant amount to investment property. The financials of Premier Inn show no significant amount in expansion. However, the financial manager is now planning to further growth in Germany and other countries. In that case, it may bear some handsome amount of fund</w:t>
      </w:r>
      <w:r w:rsidR="00D8172C">
        <w:t>s</w:t>
      </w:r>
      <w:r w:rsidR="00CE12EC">
        <w:t xml:space="preserve"> that would decrease the cash flow</w:t>
      </w:r>
      <w:r w:rsidR="00906BF7">
        <w:t xml:space="preserve"> </w:t>
      </w:r>
      <w:r w:rsidRPr="004F3C67" w:rsidR="00906BF7">
        <w:t>(Al-</w:t>
      </w:r>
      <w:proofErr w:type="spellStart"/>
      <w:r w:rsidRPr="004F3C67" w:rsidR="00906BF7">
        <w:t>Msallam</w:t>
      </w:r>
      <w:proofErr w:type="spellEnd"/>
      <w:r w:rsidRPr="004F3C67" w:rsidR="00906BF7">
        <w:t>, 2015)</w:t>
      </w:r>
      <w:r w:rsidR="00CE12EC">
        <w:t xml:space="preserve">. </w:t>
      </w:r>
      <w:r w:rsidR="007C386B">
        <w:t xml:space="preserve">However, </w:t>
      </w:r>
      <w:r w:rsidR="00D8172C">
        <w:t>P</w:t>
      </w:r>
      <w:r w:rsidR="007C386B">
        <w:t xml:space="preserve">remier Inn is more focused on geographical expansion, on the other hand, Mandarin </w:t>
      </w:r>
      <w:r w:rsidR="00D8172C">
        <w:t>O</w:t>
      </w:r>
      <w:r w:rsidR="007C386B">
        <w:t>riental is focused on both ge</w:t>
      </w:r>
      <w:r w:rsidR="00A15FA5">
        <w:t>ographical and quality service.</w:t>
      </w:r>
    </w:p>
    <w:p w:rsidR="00BA55AD" w:rsidP="00D81B8E" w:rsidRDefault="00A15FA5" w14:paraId="5E5D5275" w14:textId="77777777">
      <w:r w:rsidRPr="00667915">
        <w:rPr>
          <w:b/>
        </w:rPr>
        <w:t>Dividend per Share:</w:t>
      </w:r>
      <w:r>
        <w:t xml:space="preserve"> Mandarin Oriental is not providing any kind of payment to the shareholders, because it still bears loss attributable to the shareholders</w:t>
      </w:r>
      <w:r w:rsidR="00667915">
        <w:t xml:space="preserve"> and has no positive cash flow</w:t>
      </w:r>
      <w:r>
        <w:t xml:space="preserve">. </w:t>
      </w:r>
      <w:r w:rsidR="00CA6FA5">
        <w:t xml:space="preserve">But Premier Inn is considering </w:t>
      </w:r>
      <w:r w:rsidR="00D8172C">
        <w:t>providing</w:t>
      </w:r>
      <w:r w:rsidR="00CA6FA5">
        <w:t xml:space="preserve"> dividend payment</w:t>
      </w:r>
      <w:r w:rsidR="00D8172C">
        <w:t>s</w:t>
      </w:r>
      <w:r w:rsidR="00CA6FA5">
        <w:t xml:space="preserve"> to the shareholders </w:t>
      </w:r>
      <w:r w:rsidR="00D8172C">
        <w:t xml:space="preserve">of </w:t>
      </w:r>
      <w:r w:rsidR="00CA6FA5">
        <w:t>around 74.2p</w:t>
      </w:r>
      <w:r w:rsidR="001865E8">
        <w:t>, an increase of 114% to the previous FY.</w:t>
      </w:r>
    </w:p>
    <w:p w:rsidR="0007016F" w:rsidP="00D81B8E" w:rsidRDefault="00BA55AD" w14:paraId="3D314033" w14:textId="77777777">
      <w:r w:rsidRPr="006A4B04">
        <w:rPr>
          <w:b/>
        </w:rPr>
        <w:t>Revenue per Available Room:</w:t>
      </w:r>
      <w:r>
        <w:t xml:space="preserve"> </w:t>
      </w:r>
      <w:r w:rsidR="006A4B04">
        <w:t xml:space="preserve">RevPAR usually depends on locations. For example, the rate is higher in Europe and </w:t>
      </w:r>
      <w:r w:rsidR="00D8172C">
        <w:t xml:space="preserve">the </w:t>
      </w:r>
      <w:r w:rsidR="006A4B04">
        <w:t xml:space="preserve">Middle East. According to </w:t>
      </w:r>
      <w:r w:rsidR="00D8172C">
        <w:t xml:space="preserve">a </w:t>
      </w:r>
      <w:r w:rsidR="006A4B04">
        <w:t xml:space="preserve">financial report in 2022, the RevPAR portfolio shows an average </w:t>
      </w:r>
      <w:r w:rsidR="00D8172C">
        <w:t xml:space="preserve">of </w:t>
      </w:r>
      <w:r w:rsidR="006A4B04">
        <w:t>$306. The rate for Asia is lower than the other region</w:t>
      </w:r>
      <w:r w:rsidR="00D8172C">
        <w:t>s</w:t>
      </w:r>
      <w:r w:rsidR="006A4B04">
        <w:t>.</w:t>
      </w:r>
      <w:r w:rsidR="0007016F">
        <w:t xml:space="preserve"> On the other hand, Premier Inn generates revenue per available room around £59.45m in the UK and £37.04m in Germany reported in the latest financial reports.</w:t>
      </w:r>
    </w:p>
    <w:p w:rsidR="00F878AD" w:rsidP="00D81B8E" w:rsidRDefault="00E3199D" w14:paraId="2578C9C2" w14:textId="77777777">
      <w:r w:rsidRPr="00E3199D">
        <w:rPr>
          <w:b/>
        </w:rPr>
        <w:t>Market Position</w:t>
      </w:r>
      <w:r w:rsidRPr="00E3199D" w:rsidR="0007016F">
        <w:rPr>
          <w:b/>
        </w:rPr>
        <w:t xml:space="preserve"> and Financials:</w:t>
      </w:r>
      <w:r w:rsidR="0007016F">
        <w:t xml:space="preserve"> </w:t>
      </w:r>
      <w:r>
        <w:t xml:space="preserve">Mandarin Oriental is enjoying economies of scale and can use it the best. </w:t>
      </w:r>
      <w:r w:rsidR="00D8172C">
        <w:t>A l</w:t>
      </w:r>
      <w:r>
        <w:t xml:space="preserve">arge amount of capital requirement is mandatory for opening a large hotel chain like Mandarin. </w:t>
      </w:r>
      <w:r w:rsidR="00D8172C">
        <w:t>However,</w:t>
      </w:r>
      <w:r>
        <w:t xml:space="preserve"> it is quite easy for a small hotel chain to make </w:t>
      </w:r>
      <w:r w:rsidR="00D8172C">
        <w:t xml:space="preserve">an </w:t>
      </w:r>
      <w:r>
        <w:t>entry in</w:t>
      </w:r>
      <w:r w:rsidR="00D8172C">
        <w:t>to</w:t>
      </w:r>
      <w:r>
        <w:t xml:space="preserve"> this industry</w:t>
      </w:r>
      <w:r w:rsidR="00AF6DC9">
        <w:t xml:space="preserve"> </w:t>
      </w:r>
      <w:r w:rsidRPr="00AF6DC9" w:rsidR="00AF6DC9">
        <w:t>(</w:t>
      </w:r>
      <w:r w:rsidRPr="00AF6DC9" w:rsidR="00AF6DC9">
        <w:rPr>
          <w:shd w:val="clear" w:color="auto" w:fill="FFFFFF"/>
        </w:rPr>
        <w:t>Walker, 2021)</w:t>
      </w:r>
      <w:r w:rsidRPr="00AF6DC9">
        <w:t>.</w:t>
      </w:r>
      <w:r>
        <w:t xml:space="preserve"> Market position is comparatively strong for Mandarin Oriental </w:t>
      </w:r>
      <w:r w:rsidR="00D8172C">
        <w:t>which</w:t>
      </w:r>
      <w:r>
        <w:t xml:space="preserve"> tends to it a leading hotel chain all over the world.</w:t>
      </w:r>
      <w:r w:rsidR="00DC4E97">
        <w:t xml:space="preserve"> It is more focused on digital marketing and large</w:t>
      </w:r>
      <w:r w:rsidR="00D8172C">
        <w:t>-</w:t>
      </w:r>
      <w:r w:rsidR="00DC4E97">
        <w:t>scale CSR as well</w:t>
      </w:r>
      <w:r w:rsidR="004F3C67">
        <w:t xml:space="preserve"> </w:t>
      </w:r>
      <w:r w:rsidRPr="004F3C67" w:rsidR="004F3C67">
        <w:t>(Al-</w:t>
      </w:r>
      <w:proofErr w:type="spellStart"/>
      <w:r w:rsidRPr="004F3C67" w:rsidR="004F3C67">
        <w:t>Msallam</w:t>
      </w:r>
      <w:proofErr w:type="spellEnd"/>
      <w:r w:rsidRPr="004F3C67" w:rsidR="004F3C67">
        <w:t>, 2015)</w:t>
      </w:r>
      <w:r w:rsidR="00DC4E97">
        <w:t xml:space="preserve">. Premier Inn lacks technology that might be a threat </w:t>
      </w:r>
      <w:r w:rsidR="00D8172C">
        <w:t>to</w:t>
      </w:r>
      <w:r w:rsidR="00DC4E97">
        <w:t xml:space="preserve"> existence in the modern world, but their target customer base is an advantage for sustainable growth. </w:t>
      </w:r>
      <w:r w:rsidR="00F878AD">
        <w:br w:type="page"/>
      </w:r>
    </w:p>
    <w:p w:rsidR="00F878AD" w:rsidP="00844C49" w:rsidRDefault="00F878AD" w14:paraId="25E0DA2A" w14:textId="77777777">
      <w:pPr>
        <w:pStyle w:val="Heading1"/>
      </w:pPr>
      <w:bookmarkStart w:name="_Toc157042906" w:id="13"/>
      <w:r>
        <w:t>Conclusion</w:t>
      </w:r>
      <w:bookmarkEnd w:id="13"/>
    </w:p>
    <w:p w:rsidR="00F878AD" w:rsidP="00A11C07" w:rsidRDefault="00D8172C" w14:paraId="3E1E4A0F" w14:textId="77777777">
      <w:r>
        <w:t>The h</w:t>
      </w:r>
      <w:r w:rsidR="00A11C07">
        <w:t xml:space="preserve">otel industry is more aligned </w:t>
      </w:r>
      <w:r>
        <w:t>with</w:t>
      </w:r>
      <w:r w:rsidR="00A11C07">
        <w:t xml:space="preserve"> the cyclical movement of </w:t>
      </w:r>
      <w:r>
        <w:t xml:space="preserve">the </w:t>
      </w:r>
      <w:r w:rsidR="00A11C07">
        <w:t xml:space="preserve">economy. It </w:t>
      </w:r>
      <w:r>
        <w:t>wa</w:t>
      </w:r>
      <w:r w:rsidR="00A11C07">
        <w:t xml:space="preserve">s evident when </w:t>
      </w:r>
      <w:r>
        <w:t xml:space="preserve">the </w:t>
      </w:r>
      <w:r w:rsidR="00A11C07">
        <w:t>C</w:t>
      </w:r>
      <w:r>
        <w:t>OVID</w:t>
      </w:r>
      <w:r w:rsidR="00A11C07">
        <w:t xml:space="preserve"> outbreak spread all over the world and impacted adversely on the economy. </w:t>
      </w:r>
      <w:r w:rsidR="009E2CFE">
        <w:t>Mandarin still cannot recover and t</w:t>
      </w:r>
      <w:r>
        <w:t>ake</w:t>
      </w:r>
      <w:r w:rsidR="009E2CFE">
        <w:t xml:space="preserve"> the flow of revenue generation perfectly, but Premier Inn ha</w:t>
      </w:r>
      <w:r>
        <w:t>s</w:t>
      </w:r>
      <w:r w:rsidR="009E2CFE">
        <w:t xml:space="preserve"> joined the flow of revenue generation process. </w:t>
      </w:r>
      <w:r w:rsidR="00C97605">
        <w:t>Mandarin should now focus on revenue increase to offset the already occurred loss. And give a positive vibe to the market. Mandarin is growing its existing venture in different areas. But before that</w:t>
      </w:r>
      <w:r>
        <w:t>,</w:t>
      </w:r>
      <w:r w:rsidR="00C97605">
        <w:t xml:space="preserve"> it should do feasibility analysis and financial </w:t>
      </w:r>
      <w:r w:rsidR="00B13141">
        <w:t>analysis to recover the initial investment and future growth potential. Furthermore, Mandarin must focus on operational efficiency and offering exceptional quality to keep its superior position in the hotel industry.</w:t>
      </w:r>
      <w:r w:rsidR="00CE32DA">
        <w:t xml:space="preserve"> T</w:t>
      </w:r>
      <w:r>
        <w:t>he t</w:t>
      </w:r>
      <w:r w:rsidR="00CE32DA">
        <w:t xml:space="preserve">arget market for Premier Inn is highly competitive. </w:t>
      </w:r>
      <w:r w:rsidR="00793402">
        <w:t>So efficient use of fund</w:t>
      </w:r>
      <w:r>
        <w:t>s</w:t>
      </w:r>
      <w:r w:rsidR="00793402">
        <w:t xml:space="preserve"> in expansion and diversification is </w:t>
      </w:r>
      <w:r>
        <w:t xml:space="preserve">a </w:t>
      </w:r>
      <w:r w:rsidR="00793402">
        <w:t>must, such as new room expansion, product offering etc.</w:t>
      </w:r>
      <w:r w:rsidR="004C5514">
        <w:t xml:space="preserve"> Scale and estate optimization for Premier Inn might be a key factor for sustainable growth </w:t>
      </w:r>
      <w:r>
        <w:t>in</w:t>
      </w:r>
      <w:r w:rsidR="004C5514">
        <w:t xml:space="preserve"> the highly competitive hotel market.</w:t>
      </w:r>
      <w:r w:rsidR="00F878AD">
        <w:br w:type="page"/>
      </w:r>
    </w:p>
    <w:p w:rsidR="00F878AD" w:rsidP="00844C49" w:rsidRDefault="00F878AD" w14:paraId="2B0C0242" w14:textId="77777777">
      <w:pPr>
        <w:pStyle w:val="Heading1"/>
      </w:pPr>
      <w:bookmarkStart w:name="_Toc157042907" w:id="14"/>
      <w:r>
        <w:t>References</w:t>
      </w:r>
      <w:bookmarkEnd w:id="14"/>
    </w:p>
    <w:p w:rsidRPr="00DE2711" w:rsidR="00F63546" w:rsidP="00DE2711" w:rsidRDefault="00F63546" w14:paraId="06BF6B88" w14:textId="77777777">
      <w:pPr>
        <w:rPr>
          <w:rFonts w:cs="Arial"/>
          <w:szCs w:val="24"/>
        </w:rPr>
      </w:pPr>
      <w:r w:rsidRPr="00DE2711">
        <w:rPr>
          <w:rFonts w:cs="Arial"/>
          <w:szCs w:val="24"/>
        </w:rPr>
        <w:t xml:space="preserve">(2024a) </w:t>
      </w:r>
      <w:r w:rsidRPr="00DE2711">
        <w:rPr>
          <w:rFonts w:cs="Arial"/>
          <w:i/>
          <w:iCs/>
          <w:szCs w:val="24"/>
        </w:rPr>
        <w:t>The economic impact of Premier Inn Hotels - cdn.whitbread.co.uk</w:t>
      </w:r>
      <w:r w:rsidRPr="00DE2711">
        <w:rPr>
          <w:rFonts w:cs="Arial"/>
          <w:szCs w:val="24"/>
        </w:rPr>
        <w:t xml:space="preserve">. Available at: https://cdn.whitbread.co.uk/media/2023/08/The-Economic-Impact-of-Premier-Inn-hotels_2022-study_final.pdf (Accessed: 24 January 2024). </w:t>
      </w:r>
    </w:p>
    <w:p w:rsidRPr="00DE2711" w:rsidR="00F63546" w:rsidP="00DE2711" w:rsidRDefault="00F63546" w14:paraId="788CF3CE" w14:textId="77777777">
      <w:pPr>
        <w:rPr>
          <w:rFonts w:cs="Arial"/>
          <w:szCs w:val="24"/>
          <w:shd w:val="clear" w:color="auto" w:fill="FFFFFF"/>
        </w:rPr>
      </w:pPr>
      <w:r w:rsidRPr="00DE2711">
        <w:rPr>
          <w:rFonts w:cs="Arial"/>
          <w:szCs w:val="24"/>
          <w:shd w:val="clear" w:color="auto" w:fill="FFFFFF"/>
        </w:rPr>
        <w:t>Ali, A., Egan, D., Haynes, N., Holland, C. and Martin, E., (2020). The Future of Hospitality Management Education.</w:t>
      </w:r>
    </w:p>
    <w:p w:rsidRPr="00DE2711" w:rsidR="00F63546" w:rsidP="00DE2711" w:rsidRDefault="00F63546" w14:paraId="527216E7" w14:textId="77777777">
      <w:pPr>
        <w:rPr>
          <w:rFonts w:cs="Arial"/>
          <w:szCs w:val="24"/>
          <w:shd w:val="clear" w:color="auto" w:fill="FFFFFF"/>
        </w:rPr>
      </w:pPr>
      <w:r w:rsidRPr="00DE2711">
        <w:rPr>
          <w:rFonts w:cs="Arial"/>
          <w:color w:val="222222"/>
          <w:szCs w:val="24"/>
          <w:shd w:val="clear" w:color="auto" w:fill="FFFFFF"/>
        </w:rPr>
        <w:t>Al-</w:t>
      </w:r>
      <w:proofErr w:type="spellStart"/>
      <w:r w:rsidRPr="00DE2711">
        <w:rPr>
          <w:rFonts w:cs="Arial"/>
          <w:color w:val="222222"/>
          <w:szCs w:val="24"/>
          <w:shd w:val="clear" w:color="auto" w:fill="FFFFFF"/>
        </w:rPr>
        <w:t>Msallam</w:t>
      </w:r>
      <w:proofErr w:type="spellEnd"/>
      <w:r w:rsidRPr="00DE2711">
        <w:rPr>
          <w:rFonts w:cs="Arial"/>
          <w:color w:val="222222"/>
          <w:szCs w:val="24"/>
          <w:shd w:val="clear" w:color="auto" w:fill="FFFFFF"/>
        </w:rPr>
        <w:t>, S., (2015). Customer satisfaction and brand loyalty in the hotel industry. </w:t>
      </w:r>
      <w:r w:rsidRPr="00DE2711">
        <w:rPr>
          <w:rFonts w:cs="Arial"/>
          <w:i/>
          <w:iCs/>
          <w:color w:val="222222"/>
          <w:szCs w:val="24"/>
          <w:shd w:val="clear" w:color="auto" w:fill="FFFFFF"/>
        </w:rPr>
        <w:t>International Journal of Management Sciences and Business Research</w:t>
      </w:r>
      <w:r w:rsidRPr="00DE2711">
        <w:rPr>
          <w:rFonts w:cs="Arial"/>
          <w:color w:val="222222"/>
          <w:szCs w:val="24"/>
          <w:shd w:val="clear" w:color="auto" w:fill="FFFFFF"/>
        </w:rPr>
        <w:t>, </w:t>
      </w:r>
      <w:r w:rsidRPr="00DE2711">
        <w:rPr>
          <w:rFonts w:cs="Arial"/>
          <w:i/>
          <w:iCs/>
          <w:color w:val="222222"/>
          <w:szCs w:val="24"/>
          <w:shd w:val="clear" w:color="auto" w:fill="FFFFFF"/>
        </w:rPr>
        <w:t>4</w:t>
      </w:r>
      <w:r w:rsidRPr="00DE2711">
        <w:rPr>
          <w:rFonts w:cs="Arial"/>
          <w:color w:val="222222"/>
          <w:szCs w:val="24"/>
          <w:shd w:val="clear" w:color="auto" w:fill="FFFFFF"/>
        </w:rPr>
        <w:t>.</w:t>
      </w:r>
    </w:p>
    <w:p w:rsidRPr="00DE2711" w:rsidR="00F63546" w:rsidP="00DE2711" w:rsidRDefault="00F63546" w14:paraId="7DE57980" w14:textId="77777777">
      <w:pPr>
        <w:rPr>
          <w:rFonts w:cs="Arial"/>
          <w:szCs w:val="24"/>
          <w:shd w:val="clear" w:color="auto" w:fill="FFFFFF"/>
        </w:rPr>
      </w:pPr>
      <w:r w:rsidRPr="00DE2711">
        <w:rPr>
          <w:rFonts w:cs="Arial"/>
          <w:szCs w:val="24"/>
          <w:shd w:val="clear" w:color="auto" w:fill="FFFFFF"/>
        </w:rPr>
        <w:t>Ball, S., (2021). Contemporary Hospitality &amp; Tourism.</w:t>
      </w:r>
    </w:p>
    <w:p w:rsidRPr="00DE2711" w:rsidR="00F63546" w:rsidP="00DE2711" w:rsidRDefault="00F63546" w14:paraId="67731EAE" w14:textId="77777777">
      <w:pPr>
        <w:rPr>
          <w:rFonts w:cs="Arial"/>
          <w:szCs w:val="24"/>
          <w:shd w:val="clear" w:color="auto" w:fill="FFFFFF"/>
        </w:rPr>
      </w:pPr>
      <w:r w:rsidRPr="00DE2711">
        <w:rPr>
          <w:rFonts w:cs="Arial"/>
          <w:szCs w:val="24"/>
          <w:shd w:val="clear" w:color="auto" w:fill="FFFFFF"/>
        </w:rPr>
        <w:t>Drury, C.M., (2013). </w:t>
      </w:r>
      <w:r w:rsidRPr="00DE2711">
        <w:rPr>
          <w:rFonts w:cs="Arial"/>
          <w:i/>
          <w:iCs/>
          <w:szCs w:val="24"/>
          <w:shd w:val="clear" w:color="auto" w:fill="FFFFFF"/>
        </w:rPr>
        <w:t>Management and cost accounting</w:t>
      </w:r>
      <w:r w:rsidRPr="00DE2711">
        <w:rPr>
          <w:rFonts w:cs="Arial"/>
          <w:szCs w:val="24"/>
          <w:shd w:val="clear" w:color="auto" w:fill="FFFFFF"/>
        </w:rPr>
        <w:t>. Springer.</w:t>
      </w:r>
    </w:p>
    <w:p w:rsidRPr="00DE2711" w:rsidR="00F63546" w:rsidP="00DE2711" w:rsidRDefault="00F63546" w14:paraId="466CEABA" w14:textId="77777777">
      <w:pPr>
        <w:rPr>
          <w:rFonts w:cs="Arial"/>
          <w:szCs w:val="24"/>
        </w:rPr>
      </w:pPr>
      <w:r w:rsidRPr="00DE2711">
        <w:rPr>
          <w:rFonts w:cs="Arial"/>
          <w:i/>
          <w:iCs/>
          <w:szCs w:val="24"/>
        </w:rPr>
        <w:t>Financial reports</w:t>
      </w:r>
      <w:r w:rsidRPr="00DE2711">
        <w:rPr>
          <w:rFonts w:cs="Arial"/>
          <w:szCs w:val="24"/>
        </w:rPr>
        <w:t xml:space="preserve"> (2024) </w:t>
      </w:r>
      <w:r w:rsidRPr="00DE2711">
        <w:rPr>
          <w:rFonts w:cs="Arial"/>
          <w:i/>
          <w:iCs/>
          <w:szCs w:val="24"/>
        </w:rPr>
        <w:t>Luxury 5 Star Hotels &amp; Resorts Worldwide</w:t>
      </w:r>
      <w:r w:rsidRPr="00DE2711">
        <w:rPr>
          <w:rFonts w:cs="Arial"/>
          <w:szCs w:val="24"/>
        </w:rPr>
        <w:t xml:space="preserve">. Available at: https://www.mandarinoriental.com/en/investors/financial-reports (Accessed: 25 January 2024). </w:t>
      </w:r>
    </w:p>
    <w:p w:rsidRPr="00DE2711" w:rsidR="00F63546" w:rsidP="00DE2711" w:rsidRDefault="00F63546" w14:paraId="5B75C287" w14:textId="77777777">
      <w:pPr>
        <w:rPr>
          <w:rFonts w:cs="Arial"/>
          <w:szCs w:val="24"/>
        </w:rPr>
      </w:pPr>
      <w:proofErr w:type="spellStart"/>
      <w:r w:rsidRPr="00DE2711">
        <w:rPr>
          <w:rFonts w:cs="Arial"/>
          <w:szCs w:val="24"/>
        </w:rPr>
        <w:t>Guilding</w:t>
      </w:r>
      <w:proofErr w:type="spellEnd"/>
      <w:r w:rsidRPr="00DE2711">
        <w:rPr>
          <w:rFonts w:cs="Arial"/>
          <w:szCs w:val="24"/>
        </w:rPr>
        <w:t>, C (2014) Accounting Essentials for Hospitality Managers, London, Routledge</w:t>
      </w:r>
    </w:p>
    <w:p w:rsidRPr="00DE2711" w:rsidR="00F63546" w:rsidP="00DE2711" w:rsidRDefault="00F63546" w14:paraId="4FB49088" w14:textId="77777777">
      <w:pPr>
        <w:rPr>
          <w:rFonts w:cs="Arial"/>
          <w:szCs w:val="24"/>
        </w:rPr>
      </w:pPr>
      <w:proofErr w:type="spellStart"/>
      <w:r w:rsidRPr="00DE2711">
        <w:rPr>
          <w:rFonts w:cs="Arial"/>
          <w:szCs w:val="24"/>
        </w:rPr>
        <w:t>Jagels,M</w:t>
      </w:r>
      <w:proofErr w:type="spellEnd"/>
      <w:r w:rsidRPr="00DE2711">
        <w:rPr>
          <w:rFonts w:cs="Arial"/>
          <w:szCs w:val="24"/>
        </w:rPr>
        <w:t xml:space="preserve"> (2007) Hospitality Management Accounting, London, Wiley.</w:t>
      </w:r>
    </w:p>
    <w:p w:rsidRPr="00DE2711" w:rsidR="00F63546" w:rsidP="00DE2711" w:rsidRDefault="00F63546" w14:paraId="5D1982ED" w14:textId="77777777">
      <w:pPr>
        <w:rPr>
          <w:rFonts w:cs="Arial"/>
          <w:szCs w:val="24"/>
          <w:shd w:val="clear" w:color="auto" w:fill="FFFFFF"/>
        </w:rPr>
      </w:pPr>
      <w:r w:rsidRPr="00DE2711">
        <w:rPr>
          <w:rFonts w:cs="Arial"/>
          <w:color w:val="222222"/>
          <w:szCs w:val="24"/>
          <w:shd w:val="clear" w:color="auto" w:fill="FFFFFF"/>
        </w:rPr>
        <w:t>Jones, P., Hillier, D. and Comfort, D., (2014). Sustainability in the global hotel industry. </w:t>
      </w:r>
      <w:r w:rsidRPr="00DE2711">
        <w:rPr>
          <w:rFonts w:cs="Arial"/>
          <w:i/>
          <w:iCs/>
          <w:color w:val="222222"/>
          <w:szCs w:val="24"/>
          <w:shd w:val="clear" w:color="auto" w:fill="FFFFFF"/>
        </w:rPr>
        <w:t>International Journal of Contemporary Hospitality Management</w:t>
      </w:r>
      <w:r w:rsidRPr="00DE2711">
        <w:rPr>
          <w:rFonts w:cs="Arial"/>
          <w:color w:val="222222"/>
          <w:szCs w:val="24"/>
          <w:shd w:val="clear" w:color="auto" w:fill="FFFFFF"/>
        </w:rPr>
        <w:t>, </w:t>
      </w:r>
      <w:r w:rsidRPr="00DE2711">
        <w:rPr>
          <w:rFonts w:cs="Arial"/>
          <w:i/>
          <w:iCs/>
          <w:color w:val="222222"/>
          <w:szCs w:val="24"/>
          <w:shd w:val="clear" w:color="auto" w:fill="FFFFFF"/>
        </w:rPr>
        <w:t>26</w:t>
      </w:r>
      <w:r w:rsidRPr="00DE2711">
        <w:rPr>
          <w:rFonts w:cs="Arial"/>
          <w:color w:val="222222"/>
          <w:szCs w:val="24"/>
          <w:shd w:val="clear" w:color="auto" w:fill="FFFFFF"/>
        </w:rPr>
        <w:t>(1), pp.5-17.</w:t>
      </w:r>
    </w:p>
    <w:p w:rsidRPr="00DE2711" w:rsidR="00F63546" w:rsidP="00DE2711" w:rsidRDefault="00F63546" w14:paraId="36C0AFEA" w14:textId="77777777">
      <w:pPr>
        <w:rPr>
          <w:rFonts w:cs="Arial"/>
          <w:szCs w:val="24"/>
        </w:rPr>
      </w:pPr>
      <w:r w:rsidRPr="00DE2711">
        <w:rPr>
          <w:rFonts w:cs="Arial"/>
          <w:i/>
          <w:iCs/>
          <w:szCs w:val="24"/>
        </w:rPr>
        <w:t>Mandarin Oriental Hotel Group</w:t>
      </w:r>
      <w:r w:rsidRPr="00DE2711">
        <w:rPr>
          <w:rFonts w:cs="Arial"/>
          <w:szCs w:val="24"/>
        </w:rPr>
        <w:t xml:space="preserve"> (2024) </w:t>
      </w:r>
      <w:r w:rsidRPr="00DE2711">
        <w:rPr>
          <w:rFonts w:cs="Arial"/>
          <w:i/>
          <w:iCs/>
          <w:szCs w:val="24"/>
        </w:rPr>
        <w:t>Luxury 5 Star Hotels &amp; Resorts Worldwide</w:t>
      </w:r>
      <w:r w:rsidRPr="00DE2711">
        <w:rPr>
          <w:rFonts w:cs="Arial"/>
          <w:szCs w:val="24"/>
        </w:rPr>
        <w:t xml:space="preserve">. Available at: https://www.mandarinoriental.com/en/ (Accessed: 25 January 2024). </w:t>
      </w:r>
    </w:p>
    <w:p w:rsidRPr="00DE2711" w:rsidR="00F63546" w:rsidP="00DE2711" w:rsidRDefault="00F63546" w14:paraId="19297A7A" w14:textId="77777777">
      <w:pPr>
        <w:rPr>
          <w:rFonts w:cs="Arial"/>
          <w:szCs w:val="24"/>
        </w:rPr>
      </w:pPr>
      <w:r w:rsidRPr="00DE2711">
        <w:rPr>
          <w:rFonts w:cs="Arial"/>
          <w:szCs w:val="24"/>
        </w:rPr>
        <w:t xml:space="preserve">Oriental, M. (2023) </w:t>
      </w:r>
      <w:r w:rsidRPr="00DE2711">
        <w:rPr>
          <w:rFonts w:cs="Arial"/>
          <w:i/>
          <w:iCs/>
          <w:szCs w:val="24"/>
        </w:rPr>
        <w:t>Mandarin Oriental publishes 2022 sustainability report</w:t>
      </w:r>
      <w:r w:rsidRPr="00DE2711">
        <w:rPr>
          <w:rFonts w:cs="Arial"/>
          <w:szCs w:val="24"/>
        </w:rPr>
        <w:t xml:space="preserve">, </w:t>
      </w:r>
      <w:r w:rsidRPr="00DE2711">
        <w:rPr>
          <w:rFonts w:cs="Arial"/>
          <w:i/>
          <w:iCs/>
          <w:szCs w:val="24"/>
        </w:rPr>
        <w:t>Hospitality Net</w:t>
      </w:r>
      <w:r w:rsidRPr="00DE2711">
        <w:rPr>
          <w:rFonts w:cs="Arial"/>
          <w:szCs w:val="24"/>
        </w:rPr>
        <w:t xml:space="preserve">. Available at: https://www.hospitalitynet.org/news/4117387.html (Accessed: 25 January 2024). </w:t>
      </w:r>
    </w:p>
    <w:p w:rsidRPr="00DE2711" w:rsidR="00F63546" w:rsidP="00DE2711" w:rsidRDefault="00F63546" w14:paraId="674C6552" w14:textId="77777777">
      <w:pPr>
        <w:rPr>
          <w:rFonts w:cs="Arial"/>
          <w:szCs w:val="24"/>
        </w:rPr>
      </w:pPr>
      <w:r w:rsidRPr="00DE2711">
        <w:rPr>
          <w:rFonts w:cs="Arial"/>
          <w:i/>
          <w:iCs/>
          <w:szCs w:val="24"/>
        </w:rPr>
        <w:t>Our company</w:t>
      </w:r>
      <w:r w:rsidRPr="00DE2711">
        <w:rPr>
          <w:rFonts w:cs="Arial"/>
          <w:szCs w:val="24"/>
        </w:rPr>
        <w:t xml:space="preserve"> (2024) </w:t>
      </w:r>
      <w:r w:rsidRPr="00DE2711">
        <w:rPr>
          <w:rFonts w:cs="Arial"/>
          <w:i/>
          <w:iCs/>
          <w:szCs w:val="24"/>
        </w:rPr>
        <w:t>Overview</w:t>
      </w:r>
      <w:r w:rsidRPr="00DE2711">
        <w:rPr>
          <w:rFonts w:cs="Arial"/>
          <w:szCs w:val="24"/>
        </w:rPr>
        <w:t xml:space="preserve">. Available at: https://www.mandarinoriental.com/en/our-company (Accessed: 25 January 2024). </w:t>
      </w:r>
    </w:p>
    <w:p w:rsidRPr="00DE2711" w:rsidR="00F63546" w:rsidP="00DE2711" w:rsidRDefault="00F63546" w14:paraId="78D7F42B" w14:textId="77777777">
      <w:pPr>
        <w:rPr>
          <w:rFonts w:cs="Arial"/>
          <w:szCs w:val="24"/>
        </w:rPr>
      </w:pPr>
      <w:r w:rsidRPr="00DE2711">
        <w:rPr>
          <w:rFonts w:cs="Arial"/>
          <w:i/>
          <w:iCs/>
          <w:szCs w:val="24"/>
        </w:rPr>
        <w:t>Premier Inn Hotels: Book Direct</w:t>
      </w:r>
      <w:r w:rsidRPr="00DE2711">
        <w:rPr>
          <w:rFonts w:cs="Arial"/>
          <w:szCs w:val="24"/>
        </w:rPr>
        <w:t xml:space="preserve"> (2024) </w:t>
      </w:r>
      <w:r w:rsidRPr="00DE2711">
        <w:rPr>
          <w:rFonts w:cs="Arial"/>
          <w:i/>
          <w:iCs/>
          <w:szCs w:val="24"/>
        </w:rPr>
        <w:t>Premier Inn hotels | Book direct</w:t>
      </w:r>
      <w:r w:rsidRPr="00DE2711">
        <w:rPr>
          <w:rFonts w:cs="Arial"/>
          <w:szCs w:val="24"/>
        </w:rPr>
        <w:t xml:space="preserve">. Available at: https://www.premierinn.com/gb/en/home.html (Accessed: 25 January 2024). </w:t>
      </w:r>
    </w:p>
    <w:p w:rsidRPr="00DE2711" w:rsidR="00F63546" w:rsidP="00DE2711" w:rsidRDefault="00F63546" w14:paraId="0FBF1FB8" w14:textId="77777777">
      <w:pPr>
        <w:rPr>
          <w:rFonts w:cs="Arial"/>
          <w:szCs w:val="24"/>
          <w:shd w:val="clear" w:color="auto" w:fill="FFFFFF"/>
        </w:rPr>
      </w:pPr>
      <w:proofErr w:type="spellStart"/>
      <w:r w:rsidRPr="00DE2711">
        <w:rPr>
          <w:rFonts w:cs="Arial"/>
          <w:szCs w:val="24"/>
          <w:shd w:val="clear" w:color="auto" w:fill="FFFFFF"/>
        </w:rPr>
        <w:t>Roblek</w:t>
      </w:r>
      <w:proofErr w:type="spellEnd"/>
      <w:r w:rsidRPr="00DE2711">
        <w:rPr>
          <w:rFonts w:cs="Arial"/>
          <w:szCs w:val="24"/>
          <w:shd w:val="clear" w:color="auto" w:fill="FFFFFF"/>
        </w:rPr>
        <w:t xml:space="preserve">, V., </w:t>
      </w:r>
      <w:proofErr w:type="spellStart"/>
      <w:r w:rsidRPr="00DE2711">
        <w:rPr>
          <w:rFonts w:cs="Arial"/>
          <w:szCs w:val="24"/>
          <w:shd w:val="clear" w:color="auto" w:fill="FFFFFF"/>
        </w:rPr>
        <w:t>Milenkovska</w:t>
      </w:r>
      <w:proofErr w:type="spellEnd"/>
      <w:r w:rsidRPr="00DE2711">
        <w:rPr>
          <w:rFonts w:cs="Arial"/>
          <w:szCs w:val="24"/>
          <w:shd w:val="clear" w:color="auto" w:fill="FFFFFF"/>
        </w:rPr>
        <w:t>, V. and Milojica, V., (2016). The impact of corporate sustainability in achieving business goals in hotel industry. In </w:t>
      </w:r>
      <w:r w:rsidRPr="00DE2711">
        <w:rPr>
          <w:rFonts w:cs="Arial"/>
          <w:i/>
          <w:iCs/>
          <w:szCs w:val="24"/>
          <w:shd w:val="clear" w:color="auto" w:fill="FFFFFF"/>
        </w:rPr>
        <w:t xml:space="preserve">Faculty of Tourism and Hospitality Management in </w:t>
      </w:r>
      <w:proofErr w:type="spellStart"/>
      <w:r w:rsidRPr="00DE2711">
        <w:rPr>
          <w:rFonts w:cs="Arial"/>
          <w:i/>
          <w:iCs/>
          <w:szCs w:val="24"/>
          <w:shd w:val="clear" w:color="auto" w:fill="FFFFFF"/>
        </w:rPr>
        <w:t>Opatija</w:t>
      </w:r>
      <w:proofErr w:type="spellEnd"/>
      <w:r w:rsidRPr="00DE2711">
        <w:rPr>
          <w:rFonts w:cs="Arial"/>
          <w:i/>
          <w:iCs/>
          <w:szCs w:val="24"/>
          <w:shd w:val="clear" w:color="auto" w:fill="FFFFFF"/>
        </w:rPr>
        <w:t>. Biennial International Congress. Tourism &amp; Hospitality Industry</w:t>
      </w:r>
      <w:r w:rsidRPr="00DE2711">
        <w:rPr>
          <w:rFonts w:cs="Arial"/>
          <w:szCs w:val="24"/>
          <w:shd w:val="clear" w:color="auto" w:fill="FFFFFF"/>
        </w:rPr>
        <w:t> (p. 388). University of Rijeka, Faculty of Tourism &amp; Hospitality Management.</w:t>
      </w:r>
    </w:p>
    <w:p w:rsidRPr="00DE2711" w:rsidR="00F63546" w:rsidP="00DE2711" w:rsidRDefault="00F63546" w14:paraId="32308054" w14:textId="77777777">
      <w:pPr>
        <w:rPr>
          <w:rFonts w:cs="Arial"/>
          <w:szCs w:val="24"/>
        </w:rPr>
      </w:pPr>
      <w:r w:rsidRPr="00DE2711">
        <w:rPr>
          <w:rFonts w:cs="Arial"/>
          <w:i/>
          <w:iCs/>
          <w:szCs w:val="24"/>
        </w:rPr>
        <w:t xml:space="preserve">S </w:t>
      </w:r>
      <w:proofErr w:type="spellStart"/>
      <w:r w:rsidRPr="00DE2711">
        <w:rPr>
          <w:rFonts w:cs="Arial"/>
          <w:i/>
          <w:iCs/>
          <w:szCs w:val="24"/>
        </w:rPr>
        <w:t>gvernance</w:t>
      </w:r>
      <w:proofErr w:type="spellEnd"/>
      <w:r w:rsidRPr="00DE2711">
        <w:rPr>
          <w:rFonts w:cs="Arial"/>
          <w:i/>
          <w:iCs/>
          <w:szCs w:val="24"/>
        </w:rPr>
        <w:t xml:space="preserve"> </w:t>
      </w:r>
      <w:r w:rsidRPr="00DE2711">
        <w:rPr>
          <w:rFonts w:cs="Arial"/>
          <w:szCs w:val="24"/>
        </w:rPr>
        <w:t>(2024)</w:t>
      </w:r>
      <w:r w:rsidRPr="00DE2711">
        <w:rPr>
          <w:rFonts w:cs="Arial"/>
          <w:i/>
          <w:iCs/>
          <w:szCs w:val="24"/>
        </w:rPr>
        <w:t xml:space="preserve"> being a - premier inn</w:t>
      </w:r>
      <w:r w:rsidRPr="00DE2711">
        <w:rPr>
          <w:rFonts w:cs="Arial"/>
          <w:szCs w:val="24"/>
        </w:rPr>
        <w:t xml:space="preserve">. Available at: https://www.premierinn.com/content/dam/pi/websites/desktop/why/force%20for%20good/final-esg-report-2021-2022.pdf (Accessed: 24 January 2024). </w:t>
      </w:r>
    </w:p>
    <w:p w:rsidRPr="00DE2711" w:rsidR="00F63546" w:rsidP="00DE2711" w:rsidRDefault="00F63546" w14:paraId="09B7EFFC" w14:textId="77777777">
      <w:pPr>
        <w:rPr>
          <w:rFonts w:cs="Arial"/>
          <w:szCs w:val="24"/>
        </w:rPr>
      </w:pPr>
      <w:r w:rsidRPr="00DE2711">
        <w:rPr>
          <w:rFonts w:cs="Arial"/>
          <w:szCs w:val="24"/>
        </w:rPr>
        <w:t>Seal W (2019) Management Accounting, London, McGraw Hill</w:t>
      </w:r>
    </w:p>
    <w:p w:rsidRPr="00DE2711" w:rsidR="00F63546" w:rsidP="00DE2711" w:rsidRDefault="00F63546" w14:paraId="707E4560" w14:textId="77777777">
      <w:pPr>
        <w:rPr>
          <w:rFonts w:cs="Arial"/>
          <w:szCs w:val="24"/>
          <w:shd w:val="clear" w:color="auto" w:fill="FFFFFF"/>
        </w:rPr>
      </w:pPr>
      <w:proofErr w:type="spellStart"/>
      <w:r w:rsidRPr="00DE2711">
        <w:rPr>
          <w:rFonts w:cs="Arial"/>
          <w:color w:val="222222"/>
          <w:szCs w:val="24"/>
          <w:shd w:val="clear" w:color="auto" w:fill="FFFFFF"/>
        </w:rPr>
        <w:t>Svorcan</w:t>
      </w:r>
      <w:proofErr w:type="spellEnd"/>
      <w:r w:rsidRPr="00DE2711">
        <w:rPr>
          <w:rFonts w:cs="Arial"/>
          <w:color w:val="222222"/>
          <w:szCs w:val="24"/>
          <w:shd w:val="clear" w:color="auto" w:fill="FFFFFF"/>
        </w:rPr>
        <w:t>, N.M., (2013). Standardization-The Strategic Options of the Modern Hotel Industry. </w:t>
      </w:r>
      <w:proofErr w:type="spellStart"/>
      <w:r w:rsidRPr="00DE2711">
        <w:rPr>
          <w:rFonts w:cs="Arial"/>
          <w:i/>
          <w:iCs/>
          <w:color w:val="222222"/>
          <w:szCs w:val="24"/>
          <w:shd w:val="clear" w:color="auto" w:fill="FFFFFF"/>
        </w:rPr>
        <w:t>Quaestus</w:t>
      </w:r>
      <w:proofErr w:type="spellEnd"/>
      <w:r w:rsidRPr="00DE2711">
        <w:rPr>
          <w:rFonts w:cs="Arial"/>
          <w:i/>
          <w:iCs/>
          <w:color w:val="222222"/>
          <w:szCs w:val="24"/>
          <w:shd w:val="clear" w:color="auto" w:fill="FFFFFF"/>
        </w:rPr>
        <w:t xml:space="preserve"> Multidisciplinary Research Journal</w:t>
      </w:r>
      <w:r w:rsidRPr="00DE2711">
        <w:rPr>
          <w:rFonts w:cs="Arial"/>
          <w:color w:val="222222"/>
          <w:szCs w:val="24"/>
          <w:shd w:val="clear" w:color="auto" w:fill="FFFFFF"/>
        </w:rPr>
        <w:t>, </w:t>
      </w:r>
      <w:r w:rsidRPr="00DE2711">
        <w:rPr>
          <w:rFonts w:cs="Arial"/>
          <w:i/>
          <w:iCs/>
          <w:color w:val="222222"/>
          <w:szCs w:val="24"/>
          <w:shd w:val="clear" w:color="auto" w:fill="FFFFFF"/>
        </w:rPr>
        <w:t>1</w:t>
      </w:r>
      <w:r w:rsidRPr="00DE2711">
        <w:rPr>
          <w:rFonts w:cs="Arial"/>
          <w:color w:val="222222"/>
          <w:szCs w:val="24"/>
          <w:shd w:val="clear" w:color="auto" w:fill="FFFFFF"/>
        </w:rPr>
        <w:t>(2), pp.43-55.</w:t>
      </w:r>
    </w:p>
    <w:p w:rsidRPr="00DE2711" w:rsidR="00F63546" w:rsidP="00DE2711" w:rsidRDefault="00F63546" w14:paraId="373861DF" w14:textId="77777777">
      <w:pPr>
        <w:rPr>
          <w:rFonts w:cs="Arial"/>
          <w:szCs w:val="24"/>
          <w:shd w:val="clear" w:color="auto" w:fill="FFFFFF"/>
        </w:rPr>
      </w:pPr>
      <w:r w:rsidRPr="00DE2711">
        <w:rPr>
          <w:rFonts w:cs="Arial"/>
          <w:szCs w:val="24"/>
          <w:shd w:val="clear" w:color="auto" w:fill="FFFFFF"/>
        </w:rPr>
        <w:t>Tan, L.Y., Lai, J.H., Lee, S. and Chew, W.S., (2018). Analyzing the Relationship between Financial Variables and Market Risk in the Tourism Industry. </w:t>
      </w:r>
      <w:r w:rsidRPr="00DE2711">
        <w:rPr>
          <w:rFonts w:cs="Arial"/>
          <w:i/>
          <w:iCs/>
          <w:szCs w:val="24"/>
          <w:shd w:val="clear" w:color="auto" w:fill="FFFFFF"/>
        </w:rPr>
        <w:t>Available at SSRN 3182242</w:t>
      </w:r>
      <w:r w:rsidRPr="00DE2711">
        <w:rPr>
          <w:rFonts w:cs="Arial"/>
          <w:szCs w:val="24"/>
          <w:shd w:val="clear" w:color="auto" w:fill="FFFFFF"/>
        </w:rPr>
        <w:t>.</w:t>
      </w:r>
    </w:p>
    <w:p w:rsidRPr="00DE2711" w:rsidR="00F63546" w:rsidP="00DE2711" w:rsidRDefault="00F63546" w14:paraId="090F745E" w14:textId="77777777">
      <w:pPr>
        <w:rPr>
          <w:rFonts w:cs="Arial"/>
          <w:szCs w:val="24"/>
        </w:rPr>
      </w:pPr>
      <w:proofErr w:type="spellStart"/>
      <w:r w:rsidRPr="00DE2711">
        <w:rPr>
          <w:rFonts w:cs="Arial"/>
          <w:szCs w:val="24"/>
        </w:rPr>
        <w:t>Tranter,K</w:t>
      </w:r>
      <w:proofErr w:type="spellEnd"/>
      <w:r w:rsidRPr="00DE2711">
        <w:rPr>
          <w:rFonts w:cs="Arial"/>
          <w:szCs w:val="24"/>
        </w:rPr>
        <w:t xml:space="preserve"> Stuart-</w:t>
      </w:r>
      <w:proofErr w:type="spellStart"/>
      <w:r w:rsidRPr="00DE2711">
        <w:rPr>
          <w:rFonts w:cs="Arial"/>
          <w:szCs w:val="24"/>
        </w:rPr>
        <w:t>Hill,T</w:t>
      </w:r>
      <w:proofErr w:type="spellEnd"/>
      <w:r w:rsidRPr="00DE2711">
        <w:rPr>
          <w:rFonts w:cs="Arial"/>
          <w:szCs w:val="24"/>
        </w:rPr>
        <w:t xml:space="preserve">. </w:t>
      </w:r>
      <w:proofErr w:type="spellStart"/>
      <w:r w:rsidRPr="00DE2711">
        <w:rPr>
          <w:rFonts w:cs="Arial"/>
          <w:szCs w:val="24"/>
        </w:rPr>
        <w:t>Parker,J</w:t>
      </w:r>
      <w:proofErr w:type="spellEnd"/>
      <w:r w:rsidRPr="00DE2711">
        <w:rPr>
          <w:rFonts w:cs="Arial"/>
          <w:szCs w:val="24"/>
        </w:rPr>
        <w:t>. (2014) Introduction to Revenue Management for the Hospitality Industry, London, Pearson</w:t>
      </w:r>
    </w:p>
    <w:p w:rsidRPr="00DE2711" w:rsidR="00F63546" w:rsidP="00DE2711" w:rsidRDefault="00F63546" w14:paraId="30EFF126" w14:textId="77777777">
      <w:pPr>
        <w:rPr>
          <w:rFonts w:cs="Arial"/>
          <w:szCs w:val="24"/>
          <w:shd w:val="clear" w:color="auto" w:fill="FFFFFF"/>
        </w:rPr>
      </w:pPr>
      <w:r w:rsidRPr="00DE2711">
        <w:rPr>
          <w:rFonts w:cs="Arial"/>
          <w:szCs w:val="24"/>
          <w:shd w:val="clear" w:color="auto" w:fill="FFFFFF"/>
        </w:rPr>
        <w:t>Walker, J.R., (2021). </w:t>
      </w:r>
      <w:r w:rsidRPr="00DE2711">
        <w:rPr>
          <w:rFonts w:cs="Arial"/>
          <w:i/>
          <w:iCs/>
          <w:szCs w:val="24"/>
          <w:shd w:val="clear" w:color="auto" w:fill="FFFFFF"/>
        </w:rPr>
        <w:t>Introduction to hospitality</w:t>
      </w:r>
      <w:r w:rsidRPr="00DE2711">
        <w:rPr>
          <w:rFonts w:cs="Arial"/>
          <w:szCs w:val="24"/>
          <w:shd w:val="clear" w:color="auto" w:fill="FFFFFF"/>
        </w:rPr>
        <w:t>. Pearson.</w:t>
      </w:r>
    </w:p>
    <w:sectPr w:rsidRPr="00DE2711" w:rsidR="00F63546">
      <w:footerReference w:type="default" r:id="rId11"/>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6F03A3" w:rsidP="00844C49" w:rsidRDefault="006F03A3" w14:paraId="14C2202A" w14:textId="77777777">
      <w:pPr>
        <w:spacing w:after="0" w:line="240" w:lineRule="auto"/>
      </w:pPr>
      <w:r>
        <w:separator/>
      </w:r>
    </w:p>
  </w:endnote>
  <w:endnote w:type="continuationSeparator" w:id="0">
    <w:p w:rsidR="006F03A3" w:rsidP="00844C49" w:rsidRDefault="006F03A3" w14:paraId="41471E8A"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32830553"/>
      <w:docPartObj>
        <w:docPartGallery w:val="Page Numbers (Bottom of Page)"/>
        <w:docPartUnique/>
      </w:docPartObj>
    </w:sdtPr>
    <w:sdtEndPr>
      <w:rPr>
        <w:noProof/>
      </w:rPr>
    </w:sdtEndPr>
    <w:sdtContent>
      <w:p w:rsidR="003C0496" w:rsidRDefault="003C0496" w14:paraId="1EC61F8C" w14:textId="77777777">
        <w:pPr>
          <w:pStyle w:val="Footer"/>
          <w:jc w:val="center"/>
        </w:pPr>
        <w:r>
          <w:fldChar w:fldCharType="begin"/>
        </w:r>
        <w:r>
          <w:instrText xml:space="preserve"> PAGE   \* MERGEFORMAT </w:instrText>
        </w:r>
        <w:r>
          <w:fldChar w:fldCharType="separate"/>
        </w:r>
        <w:r w:rsidR="001248B5">
          <w:rPr>
            <w:noProof/>
          </w:rPr>
          <w:t>2</w:t>
        </w:r>
        <w:r>
          <w:rPr>
            <w:noProof/>
          </w:rPr>
          <w:fldChar w:fldCharType="end"/>
        </w:r>
      </w:p>
    </w:sdtContent>
  </w:sdt>
  <w:p w:rsidR="003C0496" w:rsidRDefault="003C0496" w14:paraId="31B50E09"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6F03A3" w:rsidP="00844C49" w:rsidRDefault="006F03A3" w14:paraId="25CE3614" w14:textId="77777777">
      <w:pPr>
        <w:spacing w:after="0" w:line="240" w:lineRule="auto"/>
      </w:pPr>
      <w:r>
        <w:separator/>
      </w:r>
    </w:p>
  </w:footnote>
  <w:footnote w:type="continuationSeparator" w:id="0">
    <w:p w:rsidR="006F03A3" w:rsidP="00844C49" w:rsidRDefault="006F03A3" w14:paraId="7F8A4717"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A833BD5"/>
    <w:multiLevelType w:val="hybridMultilevel"/>
    <w:tmpl w:val="D4068450"/>
    <w:lvl w:ilvl="0" w:tplc="B30A1B1C">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6287315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proofState w:spelling="clean" w:grammar="dirty"/>
  <w:revisionView w:inkAnnotations="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TAzMDQxMTI2sTA0MjBV0lEKTi0uzszPAykwrAUAw97VEiwAAAA="/>
  </w:docVars>
  <w:rsids>
    <w:rsidRoot w:val="001D7631"/>
    <w:rsid w:val="00003957"/>
    <w:rsid w:val="00042D6D"/>
    <w:rsid w:val="0007016F"/>
    <w:rsid w:val="0008770E"/>
    <w:rsid w:val="000973D8"/>
    <w:rsid w:val="000C6C3C"/>
    <w:rsid w:val="000F4719"/>
    <w:rsid w:val="000F67A6"/>
    <w:rsid w:val="00105B11"/>
    <w:rsid w:val="001248B5"/>
    <w:rsid w:val="00137832"/>
    <w:rsid w:val="00146BC5"/>
    <w:rsid w:val="00155755"/>
    <w:rsid w:val="001865E8"/>
    <w:rsid w:val="001B4951"/>
    <w:rsid w:val="001C7D00"/>
    <w:rsid w:val="001D7631"/>
    <w:rsid w:val="001E014D"/>
    <w:rsid w:val="0020309F"/>
    <w:rsid w:val="002A7B0A"/>
    <w:rsid w:val="002C6B59"/>
    <w:rsid w:val="002E2759"/>
    <w:rsid w:val="002E6E6E"/>
    <w:rsid w:val="002F3B05"/>
    <w:rsid w:val="00336030"/>
    <w:rsid w:val="003922F1"/>
    <w:rsid w:val="003A0C2A"/>
    <w:rsid w:val="003A5D92"/>
    <w:rsid w:val="003A7D6C"/>
    <w:rsid w:val="003C0496"/>
    <w:rsid w:val="003D476F"/>
    <w:rsid w:val="003F19B7"/>
    <w:rsid w:val="00410EC6"/>
    <w:rsid w:val="0043329E"/>
    <w:rsid w:val="00433515"/>
    <w:rsid w:val="00446B75"/>
    <w:rsid w:val="0047198D"/>
    <w:rsid w:val="004A30D9"/>
    <w:rsid w:val="004A4E77"/>
    <w:rsid w:val="004C5514"/>
    <w:rsid w:val="004D2B0A"/>
    <w:rsid w:val="004D76D1"/>
    <w:rsid w:val="004F3C67"/>
    <w:rsid w:val="004F3E21"/>
    <w:rsid w:val="00514AFB"/>
    <w:rsid w:val="00533C07"/>
    <w:rsid w:val="00533CDA"/>
    <w:rsid w:val="00541204"/>
    <w:rsid w:val="00554B46"/>
    <w:rsid w:val="00564065"/>
    <w:rsid w:val="005653F6"/>
    <w:rsid w:val="0057604D"/>
    <w:rsid w:val="00585AFC"/>
    <w:rsid w:val="00590881"/>
    <w:rsid w:val="00591212"/>
    <w:rsid w:val="00596942"/>
    <w:rsid w:val="005A3F17"/>
    <w:rsid w:val="005D24AB"/>
    <w:rsid w:val="005E6B89"/>
    <w:rsid w:val="006126BC"/>
    <w:rsid w:val="00620809"/>
    <w:rsid w:val="0062234D"/>
    <w:rsid w:val="006472F4"/>
    <w:rsid w:val="00650B3F"/>
    <w:rsid w:val="00667915"/>
    <w:rsid w:val="0068697A"/>
    <w:rsid w:val="006925A5"/>
    <w:rsid w:val="006A0D0D"/>
    <w:rsid w:val="006A1FC1"/>
    <w:rsid w:val="006A4B04"/>
    <w:rsid w:val="006A5E77"/>
    <w:rsid w:val="006C22F4"/>
    <w:rsid w:val="006F03A3"/>
    <w:rsid w:val="006F0A52"/>
    <w:rsid w:val="00717B63"/>
    <w:rsid w:val="00726AC1"/>
    <w:rsid w:val="00747E8B"/>
    <w:rsid w:val="007747A0"/>
    <w:rsid w:val="00791A2B"/>
    <w:rsid w:val="00793402"/>
    <w:rsid w:val="007C0B98"/>
    <w:rsid w:val="007C386B"/>
    <w:rsid w:val="007E3429"/>
    <w:rsid w:val="00824D46"/>
    <w:rsid w:val="00836421"/>
    <w:rsid w:val="00844C49"/>
    <w:rsid w:val="00846A3F"/>
    <w:rsid w:val="00877407"/>
    <w:rsid w:val="00885EB1"/>
    <w:rsid w:val="008A5C85"/>
    <w:rsid w:val="008B6B32"/>
    <w:rsid w:val="008D3A14"/>
    <w:rsid w:val="008E7891"/>
    <w:rsid w:val="00906BF7"/>
    <w:rsid w:val="009327FB"/>
    <w:rsid w:val="00947528"/>
    <w:rsid w:val="00996841"/>
    <w:rsid w:val="009A3FC8"/>
    <w:rsid w:val="009A4230"/>
    <w:rsid w:val="009E2CFE"/>
    <w:rsid w:val="009F4B86"/>
    <w:rsid w:val="00A07A8B"/>
    <w:rsid w:val="00A11C07"/>
    <w:rsid w:val="00A15FA5"/>
    <w:rsid w:val="00AB7A29"/>
    <w:rsid w:val="00AC62E0"/>
    <w:rsid w:val="00AD1DEB"/>
    <w:rsid w:val="00AD26E0"/>
    <w:rsid w:val="00AE480F"/>
    <w:rsid w:val="00AF2F15"/>
    <w:rsid w:val="00AF6DC9"/>
    <w:rsid w:val="00B13141"/>
    <w:rsid w:val="00B24346"/>
    <w:rsid w:val="00BA55AD"/>
    <w:rsid w:val="00BA66F6"/>
    <w:rsid w:val="00BB1A3B"/>
    <w:rsid w:val="00C02A9F"/>
    <w:rsid w:val="00C60D79"/>
    <w:rsid w:val="00C6194D"/>
    <w:rsid w:val="00C80275"/>
    <w:rsid w:val="00C90A3B"/>
    <w:rsid w:val="00C9684C"/>
    <w:rsid w:val="00C96AD3"/>
    <w:rsid w:val="00C97605"/>
    <w:rsid w:val="00CA2912"/>
    <w:rsid w:val="00CA6FA5"/>
    <w:rsid w:val="00CB2426"/>
    <w:rsid w:val="00CD3CA8"/>
    <w:rsid w:val="00CE12EC"/>
    <w:rsid w:val="00CE32DA"/>
    <w:rsid w:val="00CF2529"/>
    <w:rsid w:val="00D27FBB"/>
    <w:rsid w:val="00D34186"/>
    <w:rsid w:val="00D40598"/>
    <w:rsid w:val="00D653B3"/>
    <w:rsid w:val="00D8172C"/>
    <w:rsid w:val="00D81B8E"/>
    <w:rsid w:val="00D879CC"/>
    <w:rsid w:val="00DC4E97"/>
    <w:rsid w:val="00DE11F0"/>
    <w:rsid w:val="00DE2711"/>
    <w:rsid w:val="00E16255"/>
    <w:rsid w:val="00E3199D"/>
    <w:rsid w:val="00E40B02"/>
    <w:rsid w:val="00E5494C"/>
    <w:rsid w:val="00E6082B"/>
    <w:rsid w:val="00E6257D"/>
    <w:rsid w:val="00EB1DD2"/>
    <w:rsid w:val="00EF201B"/>
    <w:rsid w:val="00F12208"/>
    <w:rsid w:val="00F21F9E"/>
    <w:rsid w:val="00F42131"/>
    <w:rsid w:val="00F57379"/>
    <w:rsid w:val="00F63546"/>
    <w:rsid w:val="00F725B8"/>
    <w:rsid w:val="00F739BF"/>
    <w:rsid w:val="00F81425"/>
    <w:rsid w:val="00F878AD"/>
    <w:rsid w:val="00F96B4B"/>
    <w:rsid w:val="651321F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FD01B4"/>
  <w15:chartTrackingRefBased/>
  <w15:docId w15:val="{56771B92-0FE7-453F-AB37-3F2F0CA103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9A3FC8"/>
    <w:pPr>
      <w:spacing w:line="360" w:lineRule="auto"/>
      <w:jc w:val="both"/>
    </w:pPr>
    <w:rPr>
      <w:rFonts w:ascii="Arial" w:hAnsi="Arial"/>
      <w:sz w:val="24"/>
    </w:rPr>
  </w:style>
  <w:style w:type="paragraph" w:styleId="Heading1">
    <w:name w:val="heading 1"/>
    <w:basedOn w:val="Normal"/>
    <w:next w:val="Normal"/>
    <w:link w:val="Heading1Char"/>
    <w:uiPriority w:val="9"/>
    <w:qFormat/>
    <w:rsid w:val="009A3FC8"/>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C6194D"/>
    <w:pPr>
      <w:keepNext/>
      <w:keepLines/>
      <w:spacing w:before="40" w:after="0"/>
      <w:outlineLvl w:val="1"/>
    </w:pPr>
    <w:rPr>
      <w:rFonts w:eastAsiaTheme="majorEastAsia" w:cstheme="majorBidi"/>
      <w:b/>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9A3FC8"/>
    <w:rPr>
      <w:rFonts w:ascii="Arial" w:hAnsi="Arial" w:eastAsiaTheme="majorEastAsia" w:cstheme="majorBidi"/>
      <w:b/>
      <w:sz w:val="32"/>
      <w:szCs w:val="32"/>
    </w:rPr>
  </w:style>
  <w:style w:type="character" w:styleId="Heading2Char" w:customStyle="1">
    <w:name w:val="Heading 2 Char"/>
    <w:basedOn w:val="DefaultParagraphFont"/>
    <w:link w:val="Heading2"/>
    <w:uiPriority w:val="9"/>
    <w:rsid w:val="00C6194D"/>
    <w:rPr>
      <w:rFonts w:ascii="Arial" w:hAnsi="Arial" w:eastAsiaTheme="majorEastAsia" w:cstheme="majorBidi"/>
      <w:b/>
      <w:sz w:val="26"/>
      <w:szCs w:val="26"/>
    </w:rPr>
  </w:style>
  <w:style w:type="paragraph" w:styleId="Header">
    <w:name w:val="header"/>
    <w:basedOn w:val="Normal"/>
    <w:link w:val="HeaderChar"/>
    <w:uiPriority w:val="99"/>
    <w:unhideWhenUsed/>
    <w:rsid w:val="00844C49"/>
    <w:pPr>
      <w:tabs>
        <w:tab w:val="center" w:pos="4680"/>
        <w:tab w:val="right" w:pos="9360"/>
      </w:tabs>
      <w:spacing w:after="0" w:line="240" w:lineRule="auto"/>
    </w:pPr>
  </w:style>
  <w:style w:type="character" w:styleId="HeaderChar" w:customStyle="1">
    <w:name w:val="Header Char"/>
    <w:basedOn w:val="DefaultParagraphFont"/>
    <w:link w:val="Header"/>
    <w:uiPriority w:val="99"/>
    <w:rsid w:val="00844C49"/>
    <w:rPr>
      <w:rFonts w:ascii="Arial" w:hAnsi="Arial"/>
      <w:sz w:val="24"/>
    </w:rPr>
  </w:style>
  <w:style w:type="paragraph" w:styleId="Footer">
    <w:name w:val="footer"/>
    <w:basedOn w:val="Normal"/>
    <w:link w:val="FooterChar"/>
    <w:uiPriority w:val="99"/>
    <w:unhideWhenUsed/>
    <w:rsid w:val="00844C49"/>
    <w:pPr>
      <w:tabs>
        <w:tab w:val="center" w:pos="4680"/>
        <w:tab w:val="right" w:pos="9360"/>
      </w:tabs>
      <w:spacing w:after="0" w:line="240" w:lineRule="auto"/>
    </w:pPr>
  </w:style>
  <w:style w:type="character" w:styleId="FooterChar" w:customStyle="1">
    <w:name w:val="Footer Char"/>
    <w:basedOn w:val="DefaultParagraphFont"/>
    <w:link w:val="Footer"/>
    <w:uiPriority w:val="99"/>
    <w:rsid w:val="00844C49"/>
    <w:rPr>
      <w:rFonts w:ascii="Arial" w:hAnsi="Arial"/>
      <w:sz w:val="24"/>
    </w:rPr>
  </w:style>
  <w:style w:type="paragraph" w:styleId="TOCHeading">
    <w:name w:val="TOC Heading"/>
    <w:basedOn w:val="Heading1"/>
    <w:next w:val="Normal"/>
    <w:uiPriority w:val="39"/>
    <w:unhideWhenUsed/>
    <w:qFormat/>
    <w:rsid w:val="00844C49"/>
    <w:pPr>
      <w:spacing w:line="259" w:lineRule="auto"/>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844C49"/>
    <w:pPr>
      <w:spacing w:after="100"/>
    </w:pPr>
  </w:style>
  <w:style w:type="paragraph" w:styleId="TOC2">
    <w:name w:val="toc 2"/>
    <w:basedOn w:val="Normal"/>
    <w:next w:val="Normal"/>
    <w:autoRedefine/>
    <w:uiPriority w:val="39"/>
    <w:unhideWhenUsed/>
    <w:rsid w:val="00844C49"/>
    <w:pPr>
      <w:spacing w:after="100"/>
      <w:ind w:left="240"/>
    </w:pPr>
  </w:style>
  <w:style w:type="character" w:styleId="Hyperlink">
    <w:name w:val="Hyperlink"/>
    <w:basedOn w:val="DefaultParagraphFont"/>
    <w:uiPriority w:val="99"/>
    <w:unhideWhenUsed/>
    <w:rsid w:val="00844C49"/>
    <w:rPr>
      <w:color w:val="0563C1" w:themeColor="hyperlink"/>
      <w:u w:val="single"/>
    </w:rPr>
  </w:style>
  <w:style w:type="table" w:styleId="TableGrid">
    <w:name w:val="Table Grid"/>
    <w:basedOn w:val="TableNormal"/>
    <w:uiPriority w:val="39"/>
    <w:rsid w:val="00BA55AD"/>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NormalWeb">
    <w:name w:val="Normal (Web)"/>
    <w:basedOn w:val="Normal"/>
    <w:uiPriority w:val="99"/>
    <w:unhideWhenUsed/>
    <w:rsid w:val="00947528"/>
    <w:pPr>
      <w:spacing w:before="100" w:beforeAutospacing="1" w:after="100" w:afterAutospacing="1" w:line="240" w:lineRule="auto"/>
      <w:jc w:val="left"/>
    </w:pPr>
    <w:rPr>
      <w:rFonts w:ascii="Times New Roman" w:hAnsi="Times New Roman" w:eastAsia="Times New Roman" w:cs="Times New Roman"/>
      <w:szCs w:val="24"/>
    </w:rPr>
  </w:style>
  <w:style w:type="paragraph" w:styleId="ListParagraph">
    <w:name w:val="List Paragraph"/>
    <w:basedOn w:val="Normal"/>
    <w:uiPriority w:val="34"/>
    <w:qFormat/>
    <w:rsid w:val="00AE480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5751799">
      <w:bodyDiv w:val="1"/>
      <w:marLeft w:val="0"/>
      <w:marRight w:val="0"/>
      <w:marTop w:val="0"/>
      <w:marBottom w:val="0"/>
      <w:divBdr>
        <w:top w:val="none" w:sz="0" w:space="0" w:color="auto"/>
        <w:left w:val="none" w:sz="0" w:space="0" w:color="auto"/>
        <w:bottom w:val="none" w:sz="0" w:space="0" w:color="auto"/>
        <w:right w:val="none" w:sz="0" w:space="0" w:color="auto"/>
      </w:divBdr>
    </w:div>
    <w:div w:id="838615079">
      <w:bodyDiv w:val="1"/>
      <w:marLeft w:val="0"/>
      <w:marRight w:val="0"/>
      <w:marTop w:val="0"/>
      <w:marBottom w:val="0"/>
      <w:divBdr>
        <w:top w:val="none" w:sz="0" w:space="0" w:color="auto"/>
        <w:left w:val="none" w:sz="0" w:space="0" w:color="auto"/>
        <w:bottom w:val="none" w:sz="0" w:space="0" w:color="auto"/>
        <w:right w:val="none" w:sz="0" w:space="0" w:color="auto"/>
      </w:divBdr>
    </w:div>
    <w:div w:id="929004847">
      <w:bodyDiv w:val="1"/>
      <w:marLeft w:val="0"/>
      <w:marRight w:val="0"/>
      <w:marTop w:val="0"/>
      <w:marBottom w:val="0"/>
      <w:divBdr>
        <w:top w:val="none" w:sz="0" w:space="0" w:color="auto"/>
        <w:left w:val="none" w:sz="0" w:space="0" w:color="auto"/>
        <w:bottom w:val="none" w:sz="0" w:space="0" w:color="auto"/>
        <w:right w:val="none" w:sz="0" w:space="0" w:color="auto"/>
      </w:divBdr>
    </w:div>
    <w:div w:id="1027948619">
      <w:bodyDiv w:val="1"/>
      <w:marLeft w:val="0"/>
      <w:marRight w:val="0"/>
      <w:marTop w:val="0"/>
      <w:marBottom w:val="0"/>
      <w:divBdr>
        <w:top w:val="none" w:sz="0" w:space="0" w:color="auto"/>
        <w:left w:val="none" w:sz="0" w:space="0" w:color="auto"/>
        <w:bottom w:val="none" w:sz="0" w:space="0" w:color="auto"/>
        <w:right w:val="none" w:sz="0" w:space="0" w:color="auto"/>
      </w:divBdr>
    </w:div>
    <w:div w:id="1217933870">
      <w:bodyDiv w:val="1"/>
      <w:marLeft w:val="0"/>
      <w:marRight w:val="0"/>
      <w:marTop w:val="0"/>
      <w:marBottom w:val="0"/>
      <w:divBdr>
        <w:top w:val="none" w:sz="0" w:space="0" w:color="auto"/>
        <w:left w:val="none" w:sz="0" w:space="0" w:color="auto"/>
        <w:bottom w:val="none" w:sz="0" w:space="0" w:color="auto"/>
        <w:right w:val="none" w:sz="0" w:space="0" w:color="auto"/>
      </w:divBdr>
    </w:div>
    <w:div w:id="1513841519">
      <w:bodyDiv w:val="1"/>
      <w:marLeft w:val="0"/>
      <w:marRight w:val="0"/>
      <w:marTop w:val="0"/>
      <w:marBottom w:val="0"/>
      <w:divBdr>
        <w:top w:val="none" w:sz="0" w:space="0" w:color="auto"/>
        <w:left w:val="none" w:sz="0" w:space="0" w:color="auto"/>
        <w:bottom w:val="none" w:sz="0" w:space="0" w:color="auto"/>
        <w:right w:val="none" w:sz="0" w:space="0" w:color="auto"/>
      </w:divBdr>
    </w:div>
    <w:div w:id="1697542731">
      <w:bodyDiv w:val="1"/>
      <w:marLeft w:val="0"/>
      <w:marRight w:val="0"/>
      <w:marTop w:val="0"/>
      <w:marBottom w:val="0"/>
      <w:divBdr>
        <w:top w:val="none" w:sz="0" w:space="0" w:color="auto"/>
        <w:left w:val="none" w:sz="0" w:space="0" w:color="auto"/>
        <w:bottom w:val="none" w:sz="0" w:space="0" w:color="auto"/>
        <w:right w:val="none" w:sz="0" w:space="0" w:color="auto"/>
      </w:divBdr>
    </w:div>
    <w:div w:id="21005202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chart" Target="charts/chart1.xml" Id="rId8" /><Relationship Type="http://schemas.openxmlformats.org/officeDocument/2006/relationships/theme" Target="theme/theme1.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fontTable" Target="fontTable.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oter" Target="footer1.xml" Id="rId11" /><Relationship Type="http://schemas.openxmlformats.org/officeDocument/2006/relationships/webSettings" Target="webSettings.xml" Id="rId5" /><Relationship Type="http://schemas.openxmlformats.org/officeDocument/2006/relationships/chart" Target="charts/chart3.xml" Id="rId10" /><Relationship Type="http://schemas.openxmlformats.org/officeDocument/2006/relationships/settings" Target="settings.xml" Id="rId4" /><Relationship Type="http://schemas.openxmlformats.org/officeDocument/2006/relationships/chart" Target="charts/chart2.xml" Id="rId9" /></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 /><Relationship Id="rId2" Type="http://schemas.microsoft.com/office/2011/relationships/chartColorStyle" Target="colors1.xml" /><Relationship Id="rId1" Type="http://schemas.microsoft.com/office/2011/relationships/chartStyle" Target="style1.xml" /></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 /><Relationship Id="rId2" Type="http://schemas.microsoft.com/office/2011/relationships/chartColorStyle" Target="colors2.xml" /><Relationship Id="rId1" Type="http://schemas.microsoft.com/office/2011/relationships/chartStyle" Target="style2.xml" /></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 /><Relationship Id="rId2" Type="http://schemas.microsoft.com/office/2011/relationships/chartColorStyle" Target="colors3.xml" /><Relationship Id="rId1" Type="http://schemas.microsoft.com/office/2011/relationships/chartStyle" Target="style3.xml" /></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40" b="1" i="0" u="none" strike="noStrike" kern="1200" spc="0" baseline="0">
                <a:solidFill>
                  <a:schemeClr val="tx1">
                    <a:lumMod val="65000"/>
                    <a:lumOff val="35000"/>
                  </a:schemeClr>
                </a:solidFill>
                <a:latin typeface="+mn-lt"/>
                <a:ea typeface="+mn-ea"/>
                <a:cs typeface="+mn-cs"/>
              </a:defRPr>
            </a:pPr>
            <a:r>
              <a:rPr lang="en-US" b="1"/>
              <a:t>Revenue Summary</a:t>
            </a:r>
          </a:p>
        </c:rich>
      </c:tx>
      <c:overlay val="0"/>
      <c:spPr>
        <a:noFill/>
        <a:ln>
          <a:noFill/>
        </a:ln>
        <a:effectLst/>
      </c:spPr>
      <c:txPr>
        <a:bodyPr rot="0" spcFirstLastPara="1" vertOverflow="ellipsis" vert="horz" wrap="square" anchor="ctr" anchorCtr="1"/>
        <a:lstStyle/>
        <a:p>
          <a:pPr>
            <a:defRPr sz="1440" b="1"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6.2060002166143179E-2"/>
          <c:y val="0.1033730841316978"/>
          <c:w val="0.74935506071597002"/>
          <c:h val="0.83021656983544656"/>
        </c:manualLayout>
      </c:layout>
      <c:barChart>
        <c:barDir val="col"/>
        <c:grouping val="clustered"/>
        <c:varyColors val="0"/>
        <c:ser>
          <c:idx val="0"/>
          <c:order val="0"/>
          <c:tx>
            <c:strRef>
              <c:f>Sheet1!$B$1</c:f>
              <c:strCache>
                <c:ptCount val="1"/>
                <c:pt idx="0">
                  <c:v>Total Revenue</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12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Sheet1!$A$2:$A$5</c:f>
              <c:numCache>
                <c:formatCode>General</c:formatCode>
                <c:ptCount val="4"/>
                <c:pt idx="0">
                  <c:v>2022</c:v>
                </c:pt>
                <c:pt idx="1">
                  <c:v>2021</c:v>
                </c:pt>
                <c:pt idx="2">
                  <c:v>2020</c:v>
                </c:pt>
                <c:pt idx="3">
                  <c:v>2019</c:v>
                </c:pt>
              </c:numCache>
            </c:numRef>
          </c:cat>
          <c:val>
            <c:numRef>
              <c:f>Sheet1!$B$2:$B$5</c:f>
              <c:numCache>
                <c:formatCode>General</c:formatCode>
                <c:ptCount val="4"/>
                <c:pt idx="0">
                  <c:v>1568.1</c:v>
                </c:pt>
                <c:pt idx="1">
                  <c:v>1053.5</c:v>
                </c:pt>
                <c:pt idx="2">
                  <c:v>593</c:v>
                </c:pt>
                <c:pt idx="3">
                  <c:v>1325.1</c:v>
                </c:pt>
              </c:numCache>
            </c:numRef>
          </c:val>
          <c:extLst>
            <c:ext xmlns:c16="http://schemas.microsoft.com/office/drawing/2014/chart" uri="{C3380CC4-5D6E-409C-BE32-E72D297353CC}">
              <c16:uniqueId val="{00000000-7D8F-4D9F-9326-5B7258E2C4AE}"/>
            </c:ext>
          </c:extLst>
        </c:ser>
        <c:ser>
          <c:idx val="1"/>
          <c:order val="1"/>
          <c:tx>
            <c:strRef>
              <c:f>Sheet1!$C$1</c:f>
              <c:strCache>
                <c:ptCount val="1"/>
                <c:pt idx="0">
                  <c:v>Revenue</c:v>
                </c:pt>
              </c:strCache>
            </c:strRef>
          </c:tx>
          <c:spPr>
            <a:solidFill>
              <a:schemeClr val="accent2"/>
            </a:solidFill>
            <a:ln>
              <a:noFill/>
            </a:ln>
            <a:effectLst/>
          </c:spPr>
          <c:invertIfNegative val="0"/>
          <c:dLbls>
            <c:dLbl>
              <c:idx val="0"/>
              <c:layout>
                <c:manualLayout>
                  <c:x val="1.7329145456514674E-2"/>
                  <c:y val="0"/>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11-7D8F-4D9F-9326-5B7258E2C4AE}"/>
                </c:ext>
              </c:extLst>
            </c:dLbl>
            <c:dLbl>
              <c:idx val="1"/>
              <c:layout>
                <c:manualLayout>
                  <c:x val="1.0830715910321672E-2"/>
                  <c:y val="0"/>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F-7D8F-4D9F-9326-5B7258E2C4AE}"/>
                </c:ext>
              </c:extLst>
            </c:dLbl>
            <c:dLbl>
              <c:idx val="2"/>
              <c:layout>
                <c:manualLayout>
                  <c:x val="1.7329145456514674E-2"/>
                  <c:y val="0"/>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E-7D8F-4D9F-9326-5B7258E2C4AE}"/>
                </c:ext>
              </c:extLst>
            </c:dLbl>
            <c:dLbl>
              <c:idx val="3"/>
              <c:layout>
                <c:manualLayout>
                  <c:x val="1.5163002274450341E-2"/>
                  <c:y val="-6.407941820184827E-17"/>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D-7D8F-4D9F-9326-5B7258E2C4AE}"/>
                </c:ext>
              </c:extLst>
            </c:dLbl>
            <c:spPr>
              <a:noFill/>
              <a:ln>
                <a:noFill/>
              </a:ln>
              <a:effectLst/>
            </c:spPr>
            <c:txPr>
              <a:bodyPr rot="0" spcFirstLastPara="1" vertOverflow="ellipsis" vert="horz" wrap="square" lIns="38100" tIns="19050" rIns="38100" bIns="19050" anchor="ctr" anchorCtr="1">
                <a:spAutoFit/>
              </a:bodyPr>
              <a:lstStyle/>
              <a:p>
                <a:pPr>
                  <a:defRPr sz="12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Sheet1!$A$2:$A$5</c:f>
              <c:numCache>
                <c:formatCode>General</c:formatCode>
                <c:ptCount val="4"/>
                <c:pt idx="0">
                  <c:v>2022</c:v>
                </c:pt>
                <c:pt idx="1">
                  <c:v>2021</c:v>
                </c:pt>
                <c:pt idx="2">
                  <c:v>2020</c:v>
                </c:pt>
                <c:pt idx="3">
                  <c:v>2019</c:v>
                </c:pt>
              </c:numCache>
            </c:numRef>
          </c:cat>
          <c:val>
            <c:numRef>
              <c:f>Sheet1!$C$2:$C$5</c:f>
              <c:numCache>
                <c:formatCode>General</c:formatCode>
                <c:ptCount val="4"/>
                <c:pt idx="0">
                  <c:v>454.1</c:v>
                </c:pt>
                <c:pt idx="1">
                  <c:v>316.89999999999998</c:v>
                </c:pt>
                <c:pt idx="2">
                  <c:v>183.7</c:v>
                </c:pt>
                <c:pt idx="3">
                  <c:v>566.5</c:v>
                </c:pt>
              </c:numCache>
            </c:numRef>
          </c:val>
          <c:extLst>
            <c:ext xmlns:c16="http://schemas.microsoft.com/office/drawing/2014/chart" uri="{C3380CC4-5D6E-409C-BE32-E72D297353CC}">
              <c16:uniqueId val="{00000003-7D8F-4D9F-9326-5B7258E2C4AE}"/>
            </c:ext>
          </c:extLst>
        </c:ser>
        <c:ser>
          <c:idx val="2"/>
          <c:order val="2"/>
          <c:tx>
            <c:strRef>
              <c:f>Sheet1!$D$1</c:f>
              <c:strCache>
                <c:ptCount val="1"/>
                <c:pt idx="0">
                  <c:v>EBITDA</c:v>
                </c:pt>
              </c:strCache>
            </c:strRef>
          </c:tx>
          <c:spPr>
            <a:solidFill>
              <a:schemeClr val="accent3"/>
            </a:solidFill>
            <a:ln>
              <a:noFill/>
            </a:ln>
            <a:effectLst/>
          </c:spPr>
          <c:invertIfNegative val="0"/>
          <c:dLbls>
            <c:dLbl>
              <c:idx val="0"/>
              <c:layout>
                <c:manualLayout>
                  <c:x val="1.7329145456514695E-2"/>
                  <c:y val="0"/>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10-7D8F-4D9F-9326-5B7258E2C4AE}"/>
                </c:ext>
              </c:extLst>
            </c:dLbl>
            <c:dLbl>
              <c:idx val="2"/>
              <c:layout>
                <c:manualLayout>
                  <c:x val="4.3322863641286685E-3"/>
                  <c:y val="9.0877866061918777E-2"/>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A-7D8F-4D9F-9326-5B7258E2C4AE}"/>
                </c:ext>
              </c:extLst>
            </c:dLbl>
            <c:dLbl>
              <c:idx val="3"/>
              <c:layout>
                <c:manualLayout>
                  <c:x val="1.0830715910321594E-2"/>
                  <c:y val="0"/>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C-7D8F-4D9F-9326-5B7258E2C4AE}"/>
                </c:ext>
              </c:extLst>
            </c:dLbl>
            <c:spPr>
              <a:noFill/>
              <a:ln>
                <a:noFill/>
              </a:ln>
              <a:effectLst/>
            </c:spPr>
            <c:txPr>
              <a:bodyPr rot="0" spcFirstLastPara="1" vertOverflow="ellipsis" vert="horz" wrap="square" lIns="38100" tIns="19050" rIns="38100" bIns="19050" anchor="ctr" anchorCtr="1">
                <a:spAutoFit/>
              </a:bodyPr>
              <a:lstStyle/>
              <a:p>
                <a:pPr>
                  <a:defRPr sz="12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Sheet1!$A$2:$A$5</c:f>
              <c:numCache>
                <c:formatCode>General</c:formatCode>
                <c:ptCount val="4"/>
                <c:pt idx="0">
                  <c:v>2022</c:v>
                </c:pt>
                <c:pt idx="1">
                  <c:v>2021</c:v>
                </c:pt>
                <c:pt idx="2">
                  <c:v>2020</c:v>
                </c:pt>
                <c:pt idx="3">
                  <c:v>2019</c:v>
                </c:pt>
              </c:numCache>
            </c:numRef>
          </c:cat>
          <c:val>
            <c:numRef>
              <c:f>Sheet1!$D$2:$D$5</c:f>
              <c:numCache>
                <c:formatCode>General</c:formatCode>
                <c:ptCount val="4"/>
                <c:pt idx="0">
                  <c:v>111.4</c:v>
                </c:pt>
                <c:pt idx="1">
                  <c:v>40.700000000000003</c:v>
                </c:pt>
                <c:pt idx="2">
                  <c:v>-74.2</c:v>
                </c:pt>
                <c:pt idx="3">
                  <c:v>154.5</c:v>
                </c:pt>
              </c:numCache>
            </c:numRef>
          </c:val>
          <c:extLst>
            <c:ext xmlns:c16="http://schemas.microsoft.com/office/drawing/2014/chart" uri="{C3380CC4-5D6E-409C-BE32-E72D297353CC}">
              <c16:uniqueId val="{00000008-7D8F-4D9F-9326-5B7258E2C4AE}"/>
            </c:ext>
          </c:extLst>
        </c:ser>
        <c:ser>
          <c:idx val="3"/>
          <c:order val="3"/>
          <c:tx>
            <c:strRef>
              <c:f>Sheet1!$E$1</c:f>
              <c:strCache>
                <c:ptCount val="1"/>
                <c:pt idx="0">
                  <c:v>Profit/Loss</c:v>
                </c:pt>
              </c:strCache>
            </c:strRef>
          </c:tx>
          <c:spPr>
            <a:solidFill>
              <a:schemeClr val="accent4"/>
            </a:solidFill>
            <a:ln>
              <a:noFill/>
            </a:ln>
            <a:effectLst/>
          </c:spPr>
          <c:invertIfNegative val="0"/>
          <c:dLbls>
            <c:dLbl>
              <c:idx val="1"/>
              <c:layout>
                <c:manualLayout>
                  <c:x val="1.2996859092385927E-2"/>
                  <c:y val="1.2815883640369654E-16"/>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12-7D8F-4D9F-9326-5B7258E2C4AE}"/>
                </c:ext>
              </c:extLst>
            </c:dLbl>
            <c:dLbl>
              <c:idx val="3"/>
              <c:layout>
                <c:manualLayout>
                  <c:x val="6.4984295461929242E-3"/>
                  <c:y val="0"/>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B-7D8F-4D9F-9326-5B7258E2C4AE}"/>
                </c:ext>
              </c:extLst>
            </c:dLbl>
            <c:spPr>
              <a:noFill/>
              <a:ln>
                <a:noFill/>
              </a:ln>
              <a:effectLst/>
            </c:spPr>
            <c:txPr>
              <a:bodyPr rot="0" spcFirstLastPara="1" vertOverflow="ellipsis" vert="horz" wrap="square" lIns="38100" tIns="19050" rIns="38100" bIns="19050" anchor="ctr" anchorCtr="1">
                <a:spAutoFit/>
              </a:bodyPr>
              <a:lstStyle/>
              <a:p>
                <a:pPr>
                  <a:defRPr sz="12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Sheet1!$A$2:$A$5</c:f>
              <c:numCache>
                <c:formatCode>General</c:formatCode>
                <c:ptCount val="4"/>
                <c:pt idx="0">
                  <c:v>2022</c:v>
                </c:pt>
                <c:pt idx="1">
                  <c:v>2021</c:v>
                </c:pt>
                <c:pt idx="2">
                  <c:v>2020</c:v>
                </c:pt>
                <c:pt idx="3">
                  <c:v>2019</c:v>
                </c:pt>
              </c:numCache>
            </c:numRef>
          </c:cat>
          <c:val>
            <c:numRef>
              <c:f>Sheet1!$E$2:$E$5</c:f>
              <c:numCache>
                <c:formatCode>General</c:formatCode>
                <c:ptCount val="4"/>
                <c:pt idx="0">
                  <c:v>7.6</c:v>
                </c:pt>
                <c:pt idx="1">
                  <c:v>-68.099999999999994</c:v>
                </c:pt>
                <c:pt idx="2">
                  <c:v>-205.9</c:v>
                </c:pt>
                <c:pt idx="3">
                  <c:v>41.2</c:v>
                </c:pt>
              </c:numCache>
            </c:numRef>
          </c:val>
          <c:extLst>
            <c:ext xmlns:c16="http://schemas.microsoft.com/office/drawing/2014/chart" uri="{C3380CC4-5D6E-409C-BE32-E72D297353CC}">
              <c16:uniqueId val="{00000009-7D8F-4D9F-9326-5B7258E2C4AE}"/>
            </c:ext>
          </c:extLst>
        </c:ser>
        <c:dLbls>
          <c:dLblPos val="outEnd"/>
          <c:showLegendKey val="0"/>
          <c:showVal val="1"/>
          <c:showCatName val="0"/>
          <c:showSerName val="0"/>
          <c:showPercent val="0"/>
          <c:showBubbleSize val="0"/>
        </c:dLbls>
        <c:gapWidth val="219"/>
        <c:overlap val="-27"/>
        <c:axId val="174563663"/>
        <c:axId val="174566991"/>
      </c:barChart>
      <c:catAx>
        <c:axId val="174563663"/>
        <c:scaling>
          <c:orientation val="minMax"/>
        </c:scaling>
        <c:delete val="0"/>
        <c:axPos val="b"/>
        <c:title>
          <c:tx>
            <c:rich>
              <a:bodyPr rot="0" spcFirstLastPara="1" vertOverflow="ellipsis" vert="horz" wrap="square" anchor="ctr" anchorCtr="1"/>
              <a:lstStyle/>
              <a:p>
                <a:pPr>
                  <a:defRPr sz="1200" b="1" i="0" u="none" strike="noStrike" kern="1200" baseline="0">
                    <a:solidFill>
                      <a:schemeClr val="tx1">
                        <a:lumMod val="65000"/>
                        <a:lumOff val="35000"/>
                      </a:schemeClr>
                    </a:solidFill>
                    <a:latin typeface="+mn-lt"/>
                    <a:ea typeface="+mn-ea"/>
                    <a:cs typeface="+mn-cs"/>
                  </a:defRPr>
                </a:pPr>
                <a:r>
                  <a:rPr lang="en-US" b="1"/>
                  <a:t>Year</a:t>
                </a:r>
              </a:p>
            </c:rich>
          </c:tx>
          <c:overlay val="0"/>
          <c:spPr>
            <a:noFill/>
            <a:ln>
              <a:noFill/>
            </a:ln>
            <a:effectLst/>
          </c:spPr>
          <c:txPr>
            <a:bodyPr rot="0" spcFirstLastPara="1" vertOverflow="ellipsis" vert="horz" wrap="square" anchor="ctr" anchorCtr="1"/>
            <a:lstStyle/>
            <a:p>
              <a:pPr>
                <a:defRPr sz="1200" b="1"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200" b="0" i="0" u="none" strike="noStrike" kern="1200" baseline="0">
                <a:solidFill>
                  <a:schemeClr val="tx1">
                    <a:lumMod val="65000"/>
                    <a:lumOff val="35000"/>
                  </a:schemeClr>
                </a:solidFill>
                <a:latin typeface="+mn-lt"/>
                <a:ea typeface="+mn-ea"/>
                <a:cs typeface="+mn-cs"/>
              </a:defRPr>
            </a:pPr>
            <a:endParaRPr lang="en-US"/>
          </a:p>
        </c:txPr>
        <c:crossAx val="174566991"/>
        <c:crosses val="autoZero"/>
        <c:auto val="1"/>
        <c:lblAlgn val="ctr"/>
        <c:lblOffset val="100"/>
        <c:noMultiLvlLbl val="0"/>
      </c:catAx>
      <c:valAx>
        <c:axId val="174566991"/>
        <c:scaling>
          <c:orientation val="minMax"/>
        </c:scaling>
        <c:delete val="1"/>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200" b="1" i="0" u="none" strike="noStrike" kern="1200" baseline="0">
                    <a:solidFill>
                      <a:schemeClr val="tx1">
                        <a:lumMod val="65000"/>
                        <a:lumOff val="35000"/>
                      </a:schemeClr>
                    </a:solidFill>
                    <a:latin typeface="+mn-lt"/>
                    <a:ea typeface="+mn-ea"/>
                    <a:cs typeface="+mn-cs"/>
                  </a:defRPr>
                </a:pPr>
                <a:r>
                  <a:rPr lang="en-US" b="1"/>
                  <a:t>US$m</a:t>
                </a:r>
              </a:p>
            </c:rich>
          </c:tx>
          <c:layout>
            <c:manualLayout>
              <c:xMode val="edge"/>
              <c:yMode val="edge"/>
              <c:x val="1.2996859092386006E-2"/>
              <c:y val="0.45671107784019133"/>
            </c:manualLayout>
          </c:layout>
          <c:overlay val="0"/>
          <c:spPr>
            <a:noFill/>
            <a:ln>
              <a:noFill/>
            </a:ln>
            <a:effectLst/>
          </c:spPr>
          <c:txPr>
            <a:bodyPr rot="-5400000" spcFirstLastPara="1" vertOverflow="ellipsis" vert="horz" wrap="square" anchor="ctr" anchorCtr="1"/>
            <a:lstStyle/>
            <a:p>
              <a:pPr>
                <a:defRPr sz="1200" b="1"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crossAx val="174563663"/>
        <c:crosses val="autoZero"/>
        <c:crossBetween val="between"/>
      </c:valAx>
      <c:spPr>
        <a:noFill/>
        <a:ln>
          <a:noFill/>
        </a:ln>
        <a:effectLst/>
      </c:spPr>
    </c:plotArea>
    <c:legend>
      <c:legendPos val="r"/>
      <c:layout>
        <c:manualLayout>
          <c:xMode val="edge"/>
          <c:yMode val="edge"/>
          <c:x val="0.80491663333592023"/>
          <c:y val="0.40311217651446141"/>
          <c:w val="0.19075108029995114"/>
          <c:h val="0.28666261177331864"/>
        </c:manualLayout>
      </c:layout>
      <c:overlay val="0"/>
      <c:spPr>
        <a:noFill/>
        <a:ln>
          <a:noFill/>
        </a:ln>
        <a:effectLst/>
      </c:spPr>
      <c:txPr>
        <a:bodyPr rot="0" spcFirstLastPara="1" vertOverflow="ellipsis" vert="horz" wrap="square" anchor="ctr" anchorCtr="1"/>
        <a:lstStyle/>
        <a:p>
          <a:pPr>
            <a:defRPr sz="12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sz="1200"/>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40" b="1" i="0" u="none" strike="noStrike" kern="1200" spc="0" baseline="0">
                <a:solidFill>
                  <a:schemeClr val="tx1">
                    <a:lumMod val="65000"/>
                    <a:lumOff val="35000"/>
                  </a:schemeClr>
                </a:solidFill>
                <a:latin typeface="+mn-lt"/>
                <a:ea typeface="+mn-ea"/>
                <a:cs typeface="+mn-cs"/>
              </a:defRPr>
            </a:pPr>
            <a:r>
              <a:rPr lang="en-US" b="1"/>
              <a:t>EBITDA Trend</a:t>
            </a:r>
          </a:p>
        </c:rich>
      </c:tx>
      <c:overlay val="0"/>
      <c:spPr>
        <a:noFill/>
        <a:ln>
          <a:noFill/>
        </a:ln>
        <a:effectLst/>
      </c:spPr>
      <c:txPr>
        <a:bodyPr rot="0" spcFirstLastPara="1" vertOverflow="ellipsis" vert="horz" wrap="square" anchor="ctr" anchorCtr="1"/>
        <a:lstStyle/>
        <a:p>
          <a:pPr>
            <a:defRPr sz="1440" b="1"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EBITDA</c:v>
                </c:pt>
              </c:strCache>
            </c:strRef>
          </c:tx>
          <c:spPr>
            <a:ln w="28575" cap="rnd">
              <a:solidFill>
                <a:schemeClr val="accent1"/>
              </a:solidFill>
              <a:round/>
            </a:ln>
            <a:effectLst/>
          </c:spPr>
          <c:marker>
            <c:symbol val="none"/>
          </c:marker>
          <c:dLbls>
            <c:dLbl>
              <c:idx val="1"/>
              <c:layout>
                <c:manualLayout>
                  <c:x val="-6.0922352026258154E-2"/>
                  <c:y val="4.3202387301188944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69F4-4B24-A6AF-CA73431FA6BC}"/>
                </c:ext>
              </c:extLst>
            </c:dLbl>
            <c:spPr>
              <a:noFill/>
              <a:ln>
                <a:noFill/>
              </a:ln>
              <a:effectLst/>
            </c:spPr>
            <c:txPr>
              <a:bodyPr rot="0" spcFirstLastPara="1" vertOverflow="ellipsis" vert="horz" wrap="square" anchor="ctr" anchorCtr="1"/>
              <a:lstStyle/>
              <a:p>
                <a:pPr>
                  <a:defRPr sz="12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Sheet1!$A$2:$A$5</c:f>
              <c:numCache>
                <c:formatCode>General</c:formatCode>
                <c:ptCount val="4"/>
                <c:pt idx="0">
                  <c:v>2019</c:v>
                </c:pt>
                <c:pt idx="1">
                  <c:v>2020</c:v>
                </c:pt>
                <c:pt idx="2">
                  <c:v>2021</c:v>
                </c:pt>
                <c:pt idx="3">
                  <c:v>2022</c:v>
                </c:pt>
              </c:numCache>
            </c:numRef>
          </c:cat>
          <c:val>
            <c:numRef>
              <c:f>Sheet1!$B$2:$B$5</c:f>
              <c:numCache>
                <c:formatCode>General</c:formatCode>
                <c:ptCount val="4"/>
                <c:pt idx="0">
                  <c:v>154.5</c:v>
                </c:pt>
                <c:pt idx="1">
                  <c:v>-74.2</c:v>
                </c:pt>
                <c:pt idx="2">
                  <c:v>40.700000000000003</c:v>
                </c:pt>
                <c:pt idx="3">
                  <c:v>111.4</c:v>
                </c:pt>
              </c:numCache>
            </c:numRef>
          </c:val>
          <c:smooth val="0"/>
          <c:extLst>
            <c:ext xmlns:c16="http://schemas.microsoft.com/office/drawing/2014/chart" uri="{C3380CC4-5D6E-409C-BE32-E72D297353CC}">
              <c16:uniqueId val="{00000000-69F4-4B24-A6AF-CA73431FA6BC}"/>
            </c:ext>
          </c:extLst>
        </c:ser>
        <c:dLbls>
          <c:dLblPos val="t"/>
          <c:showLegendKey val="0"/>
          <c:showVal val="1"/>
          <c:showCatName val="0"/>
          <c:showSerName val="0"/>
          <c:showPercent val="0"/>
          <c:showBubbleSize val="0"/>
        </c:dLbls>
        <c:smooth val="0"/>
        <c:axId val="245068335"/>
        <c:axId val="245067503"/>
      </c:lineChart>
      <c:catAx>
        <c:axId val="245068335"/>
        <c:scaling>
          <c:orientation val="minMax"/>
        </c:scaling>
        <c:delete val="0"/>
        <c:axPos val="b"/>
        <c:title>
          <c:tx>
            <c:rich>
              <a:bodyPr rot="0" spcFirstLastPara="1" vertOverflow="ellipsis" vert="horz" wrap="square" anchor="ctr" anchorCtr="1"/>
              <a:lstStyle/>
              <a:p>
                <a:pPr>
                  <a:defRPr sz="1200" b="1" i="0" u="none" strike="noStrike" kern="1200" baseline="0">
                    <a:solidFill>
                      <a:schemeClr val="tx1">
                        <a:lumMod val="65000"/>
                        <a:lumOff val="35000"/>
                      </a:schemeClr>
                    </a:solidFill>
                    <a:latin typeface="+mn-lt"/>
                    <a:ea typeface="+mn-ea"/>
                    <a:cs typeface="+mn-cs"/>
                  </a:defRPr>
                </a:pPr>
                <a:r>
                  <a:rPr lang="en-US" b="1"/>
                  <a:t>Year</a:t>
                </a:r>
              </a:p>
            </c:rich>
          </c:tx>
          <c:layout>
            <c:manualLayout>
              <c:xMode val="edge"/>
              <c:yMode val="edge"/>
              <c:x val="0.43188558946471567"/>
              <c:y val="0.88222111553784865"/>
            </c:manualLayout>
          </c:layout>
          <c:overlay val="0"/>
          <c:spPr>
            <a:noFill/>
            <a:ln>
              <a:noFill/>
            </a:ln>
            <a:effectLst/>
          </c:spPr>
          <c:txPr>
            <a:bodyPr rot="0" spcFirstLastPara="1" vertOverflow="ellipsis" vert="horz" wrap="square" anchor="ctr" anchorCtr="1"/>
            <a:lstStyle/>
            <a:p>
              <a:pPr>
                <a:defRPr sz="1200" b="1"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200" b="0" i="0" u="none" strike="noStrike" kern="1200" baseline="0">
                <a:solidFill>
                  <a:schemeClr val="tx1">
                    <a:lumMod val="65000"/>
                    <a:lumOff val="35000"/>
                  </a:schemeClr>
                </a:solidFill>
                <a:latin typeface="+mn-lt"/>
                <a:ea typeface="+mn-ea"/>
                <a:cs typeface="+mn-cs"/>
              </a:defRPr>
            </a:pPr>
            <a:endParaRPr lang="en-US"/>
          </a:p>
        </c:txPr>
        <c:crossAx val="245067503"/>
        <c:crosses val="autoZero"/>
        <c:auto val="1"/>
        <c:lblAlgn val="ctr"/>
        <c:lblOffset val="100"/>
        <c:noMultiLvlLbl val="0"/>
      </c:catAx>
      <c:valAx>
        <c:axId val="245067503"/>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200" b="1" i="0" u="none" strike="noStrike" kern="1200" baseline="0">
                    <a:solidFill>
                      <a:schemeClr val="tx1">
                        <a:lumMod val="65000"/>
                        <a:lumOff val="35000"/>
                      </a:schemeClr>
                    </a:solidFill>
                    <a:latin typeface="+mn-lt"/>
                    <a:ea typeface="+mn-ea"/>
                    <a:cs typeface="+mn-cs"/>
                  </a:defRPr>
                </a:pPr>
                <a:r>
                  <a:rPr lang="en-US" b="1"/>
                  <a:t>US$m</a:t>
                </a:r>
              </a:p>
            </c:rich>
          </c:tx>
          <c:layout>
            <c:manualLayout>
              <c:xMode val="edge"/>
              <c:yMode val="edge"/>
              <c:x val="1.7429193899782137E-2"/>
              <c:y val="0.43751254823226776"/>
            </c:manualLayout>
          </c:layout>
          <c:overlay val="0"/>
          <c:spPr>
            <a:noFill/>
            <a:ln>
              <a:noFill/>
            </a:ln>
            <a:effectLst/>
          </c:spPr>
          <c:txPr>
            <a:bodyPr rot="-5400000" spcFirstLastPara="1" vertOverflow="ellipsis" vert="horz" wrap="square" anchor="ctr" anchorCtr="1"/>
            <a:lstStyle/>
            <a:p>
              <a:pPr>
                <a:defRPr sz="1200" b="1"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200" b="0" i="0" u="none" strike="noStrike" kern="1200" baseline="0">
                <a:solidFill>
                  <a:schemeClr val="tx1">
                    <a:lumMod val="65000"/>
                    <a:lumOff val="35000"/>
                  </a:schemeClr>
                </a:solidFill>
                <a:latin typeface="+mn-lt"/>
                <a:ea typeface="+mn-ea"/>
                <a:cs typeface="+mn-cs"/>
              </a:defRPr>
            </a:pPr>
            <a:endParaRPr lang="en-US"/>
          </a:p>
        </c:txPr>
        <c:crossAx val="245068335"/>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12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sz="1200"/>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40" b="1" i="0" u="none" strike="noStrike" kern="1200" spc="0" baseline="0">
                <a:solidFill>
                  <a:schemeClr val="tx1">
                    <a:lumMod val="65000"/>
                    <a:lumOff val="35000"/>
                  </a:schemeClr>
                </a:solidFill>
                <a:latin typeface="+mn-lt"/>
                <a:ea typeface="+mn-ea"/>
                <a:cs typeface="+mn-cs"/>
              </a:defRPr>
            </a:pPr>
            <a:r>
              <a:rPr lang="en-US" b="1"/>
              <a:t>Revenue Summary</a:t>
            </a:r>
          </a:p>
        </c:rich>
      </c:tx>
      <c:overlay val="0"/>
      <c:spPr>
        <a:noFill/>
        <a:ln>
          <a:noFill/>
        </a:ln>
        <a:effectLst/>
      </c:spPr>
      <c:txPr>
        <a:bodyPr rot="0" spcFirstLastPara="1" vertOverflow="ellipsis" vert="horz" wrap="square" anchor="ctr" anchorCtr="1"/>
        <a:lstStyle/>
        <a:p>
          <a:pPr>
            <a:defRPr sz="1440" b="1"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Revenue</c:v>
                </c:pt>
              </c:strCache>
            </c:strRef>
          </c:tx>
          <c:spPr>
            <a:solidFill>
              <a:schemeClr val="accent1"/>
            </a:solidFill>
            <a:ln>
              <a:noFill/>
            </a:ln>
            <a:effectLst/>
          </c:spPr>
          <c:invertIfNegative val="0"/>
          <c:cat>
            <c:strRef>
              <c:f>Sheet1!$A$2:$A$4</c:f>
              <c:strCache>
                <c:ptCount val="3"/>
                <c:pt idx="0">
                  <c:v>FY23</c:v>
                </c:pt>
                <c:pt idx="1">
                  <c:v>FY22</c:v>
                </c:pt>
                <c:pt idx="2">
                  <c:v>FY20</c:v>
                </c:pt>
              </c:strCache>
            </c:strRef>
          </c:cat>
          <c:val>
            <c:numRef>
              <c:f>Sheet1!$B$2:$B$4</c:f>
              <c:numCache>
                <c:formatCode>General</c:formatCode>
                <c:ptCount val="3"/>
                <c:pt idx="0">
                  <c:v>2866</c:v>
                </c:pt>
                <c:pt idx="1">
                  <c:v>1859</c:v>
                </c:pt>
                <c:pt idx="2">
                  <c:v>2262</c:v>
                </c:pt>
              </c:numCache>
            </c:numRef>
          </c:val>
          <c:extLst>
            <c:ext xmlns:c16="http://schemas.microsoft.com/office/drawing/2014/chart" uri="{C3380CC4-5D6E-409C-BE32-E72D297353CC}">
              <c16:uniqueId val="{00000000-9DD5-4EDB-A299-B9C649D1C0DA}"/>
            </c:ext>
          </c:extLst>
        </c:ser>
        <c:ser>
          <c:idx val="1"/>
          <c:order val="1"/>
          <c:tx>
            <c:strRef>
              <c:f>Sheet1!$C$1</c:f>
              <c:strCache>
                <c:ptCount val="1"/>
                <c:pt idx="0">
                  <c:v>EBITDA</c:v>
                </c:pt>
              </c:strCache>
            </c:strRef>
          </c:tx>
          <c:spPr>
            <a:solidFill>
              <a:schemeClr val="accent2"/>
            </a:solidFill>
            <a:ln>
              <a:noFill/>
            </a:ln>
            <a:effectLst/>
          </c:spPr>
          <c:invertIfNegative val="0"/>
          <c:cat>
            <c:strRef>
              <c:f>Sheet1!$A$2:$A$4</c:f>
              <c:strCache>
                <c:ptCount val="3"/>
                <c:pt idx="0">
                  <c:v>FY23</c:v>
                </c:pt>
                <c:pt idx="1">
                  <c:v>FY22</c:v>
                </c:pt>
                <c:pt idx="2">
                  <c:v>FY20</c:v>
                </c:pt>
              </c:strCache>
            </c:strRef>
          </c:cat>
          <c:val>
            <c:numRef>
              <c:f>Sheet1!$C$2:$C$4</c:f>
              <c:numCache>
                <c:formatCode>General</c:formatCode>
                <c:ptCount val="3"/>
                <c:pt idx="0">
                  <c:v>969</c:v>
                </c:pt>
                <c:pt idx="1">
                  <c:v>516</c:v>
                </c:pt>
                <c:pt idx="2">
                  <c:v>822</c:v>
                </c:pt>
              </c:numCache>
            </c:numRef>
          </c:val>
          <c:extLst>
            <c:ext xmlns:c16="http://schemas.microsoft.com/office/drawing/2014/chart" uri="{C3380CC4-5D6E-409C-BE32-E72D297353CC}">
              <c16:uniqueId val="{00000001-9DD5-4EDB-A299-B9C649D1C0DA}"/>
            </c:ext>
          </c:extLst>
        </c:ser>
        <c:ser>
          <c:idx val="2"/>
          <c:order val="2"/>
          <c:tx>
            <c:strRef>
              <c:f>Sheet1!$D$1</c:f>
              <c:strCache>
                <c:ptCount val="1"/>
                <c:pt idx="0">
                  <c:v>Profit/Loss</c:v>
                </c:pt>
              </c:strCache>
            </c:strRef>
          </c:tx>
          <c:spPr>
            <a:solidFill>
              <a:schemeClr val="accent3"/>
            </a:solidFill>
            <a:ln>
              <a:noFill/>
            </a:ln>
            <a:effectLst/>
          </c:spPr>
          <c:invertIfNegative val="0"/>
          <c:cat>
            <c:strRef>
              <c:f>Sheet1!$A$2:$A$4</c:f>
              <c:strCache>
                <c:ptCount val="3"/>
                <c:pt idx="0">
                  <c:v>FY23</c:v>
                </c:pt>
                <c:pt idx="1">
                  <c:v>FY22</c:v>
                </c:pt>
                <c:pt idx="2">
                  <c:v>FY20</c:v>
                </c:pt>
              </c:strCache>
            </c:strRef>
          </c:cat>
          <c:val>
            <c:numRef>
              <c:f>Sheet1!$D$2:$D$4</c:f>
              <c:numCache>
                <c:formatCode>General</c:formatCode>
                <c:ptCount val="3"/>
                <c:pt idx="0">
                  <c:v>305</c:v>
                </c:pt>
                <c:pt idx="1">
                  <c:v>47</c:v>
                </c:pt>
                <c:pt idx="2">
                  <c:v>238</c:v>
                </c:pt>
              </c:numCache>
            </c:numRef>
          </c:val>
          <c:extLst>
            <c:ext xmlns:c16="http://schemas.microsoft.com/office/drawing/2014/chart" uri="{C3380CC4-5D6E-409C-BE32-E72D297353CC}">
              <c16:uniqueId val="{00000002-9DD5-4EDB-A299-B9C649D1C0DA}"/>
            </c:ext>
          </c:extLst>
        </c:ser>
        <c:dLbls>
          <c:showLegendKey val="0"/>
          <c:showVal val="0"/>
          <c:showCatName val="0"/>
          <c:showSerName val="0"/>
          <c:showPercent val="0"/>
          <c:showBubbleSize val="0"/>
        </c:dLbls>
        <c:gapWidth val="219"/>
        <c:overlap val="-27"/>
        <c:axId val="239242911"/>
        <c:axId val="239241247"/>
      </c:barChart>
      <c:catAx>
        <c:axId val="23924291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200" b="1" i="0" u="none" strike="noStrike" kern="1200" baseline="0">
                <a:solidFill>
                  <a:schemeClr val="tx1">
                    <a:lumMod val="65000"/>
                    <a:lumOff val="35000"/>
                  </a:schemeClr>
                </a:solidFill>
                <a:latin typeface="+mn-lt"/>
                <a:ea typeface="+mn-ea"/>
                <a:cs typeface="+mn-cs"/>
              </a:defRPr>
            </a:pPr>
            <a:endParaRPr lang="en-US"/>
          </a:p>
        </c:txPr>
        <c:crossAx val="239241247"/>
        <c:crosses val="autoZero"/>
        <c:auto val="1"/>
        <c:lblAlgn val="ctr"/>
        <c:lblOffset val="100"/>
        <c:noMultiLvlLbl val="0"/>
      </c:catAx>
      <c:valAx>
        <c:axId val="23924124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200" b="1" i="0" u="none" strike="noStrike" kern="1200" baseline="0">
                    <a:solidFill>
                      <a:schemeClr val="tx1">
                        <a:lumMod val="65000"/>
                        <a:lumOff val="35000"/>
                      </a:schemeClr>
                    </a:solidFill>
                    <a:latin typeface="+mn-lt"/>
                    <a:ea typeface="+mn-ea"/>
                    <a:cs typeface="+mn-cs"/>
                  </a:defRPr>
                </a:pPr>
                <a:r>
                  <a:rPr lang="en-US" b="1"/>
                  <a:t>US$m</a:t>
                </a:r>
              </a:p>
            </c:rich>
          </c:tx>
          <c:overlay val="0"/>
          <c:spPr>
            <a:noFill/>
            <a:ln>
              <a:noFill/>
            </a:ln>
            <a:effectLst/>
          </c:spPr>
          <c:txPr>
            <a:bodyPr rot="-5400000" spcFirstLastPara="1" vertOverflow="ellipsis" vert="horz" wrap="square" anchor="ctr" anchorCtr="1"/>
            <a:lstStyle/>
            <a:p>
              <a:pPr>
                <a:defRPr sz="1200" b="1"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200" b="0" i="0" u="none" strike="noStrike" kern="1200" baseline="0">
                <a:solidFill>
                  <a:schemeClr val="tx1">
                    <a:lumMod val="65000"/>
                    <a:lumOff val="35000"/>
                  </a:schemeClr>
                </a:solidFill>
                <a:latin typeface="+mn-lt"/>
                <a:ea typeface="+mn-ea"/>
                <a:cs typeface="+mn-cs"/>
              </a:defRPr>
            </a:pPr>
            <a:endParaRPr lang="en-US"/>
          </a:p>
        </c:txPr>
        <c:crossAx val="23924291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12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sz="1200"/>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2C2A49-EE83-41D5-AF7A-133F58CF267A}">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None</dc:creator>
  <keywords/>
  <dc:description/>
  <lastModifiedBy>Nadeige Lewis (2126427)</lastModifiedBy>
  <revision>3</revision>
  <dcterms:created xsi:type="dcterms:W3CDTF">2024-02-14T00:41:00.0000000Z</dcterms:created>
  <dcterms:modified xsi:type="dcterms:W3CDTF">2024-02-14T01:14:59.2978630Z</dcterms:modified>
</coreProperties>
</file>