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02D64" w:rsidRDefault="00F02D64" w:rsidP="00F02D64">
      <w:pPr>
        <w:pStyle w:val="Heading1"/>
      </w:pPr>
      <w:r>
        <w:t xml:space="preserve">                                           </w:t>
      </w:r>
      <w:r>
        <w:rPr>
          <w:noProof/>
        </w:rPr>
        <w:drawing>
          <wp:inline distT="0" distB="0" distL="0" distR="0">
            <wp:extent cx="1845564" cy="1200150"/>
            <wp:effectExtent l="19050" t="0" r="2286" b="0"/>
            <wp:docPr id="3" name="Picture 2" descr="WhatsApp Image 2023-04-04 at 18.44.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3-04-04 at 18.44.43.jpg"/>
                    <pic:cNvPicPr/>
                  </pic:nvPicPr>
                  <pic:blipFill>
                    <a:blip r:embed="rId8"/>
                    <a:stretch>
                      <a:fillRect/>
                    </a:stretch>
                  </pic:blipFill>
                  <pic:spPr>
                    <a:xfrm>
                      <a:off x="0" y="0"/>
                      <a:ext cx="1847550" cy="1201441"/>
                    </a:xfrm>
                    <a:prstGeom prst="rect">
                      <a:avLst/>
                    </a:prstGeom>
                  </pic:spPr>
                </pic:pic>
              </a:graphicData>
            </a:graphic>
          </wp:inline>
        </w:drawing>
      </w:r>
    </w:p>
    <w:p w:rsidR="00F02D64" w:rsidRPr="00666FE1" w:rsidRDefault="00F02D64" w:rsidP="00F02D64">
      <w:pPr>
        <w:pStyle w:val="Heading7"/>
        <w:rPr>
          <w:b/>
          <w:sz w:val="32"/>
          <w:szCs w:val="32"/>
        </w:rPr>
      </w:pPr>
      <w:r w:rsidRPr="00666FE1">
        <w:rPr>
          <w:b/>
          <w:sz w:val="32"/>
          <w:szCs w:val="32"/>
        </w:rPr>
        <w:t xml:space="preserve">                            </w:t>
      </w:r>
      <w:r>
        <w:rPr>
          <w:b/>
          <w:sz w:val="32"/>
          <w:szCs w:val="32"/>
        </w:rPr>
        <w:t xml:space="preserve">International </w:t>
      </w:r>
      <w:r w:rsidRPr="00666FE1">
        <w:rPr>
          <w:b/>
          <w:sz w:val="32"/>
          <w:szCs w:val="32"/>
        </w:rPr>
        <w:t>Marketing Management LCMB7006</w:t>
      </w:r>
    </w:p>
    <w:p w:rsidR="00F02D64" w:rsidRPr="00666FE1" w:rsidRDefault="00F02D64" w:rsidP="00F02D64">
      <w:pPr>
        <w:pStyle w:val="Heading7"/>
        <w:tabs>
          <w:tab w:val="left" w:pos="6186"/>
        </w:tabs>
        <w:rPr>
          <w:b/>
          <w:sz w:val="32"/>
          <w:szCs w:val="32"/>
        </w:rPr>
      </w:pPr>
      <w:r w:rsidRPr="00666FE1">
        <w:rPr>
          <w:b/>
          <w:sz w:val="32"/>
          <w:szCs w:val="32"/>
        </w:rPr>
        <w:t xml:space="preserve">                        MBA – Masters in Business Administration</w:t>
      </w:r>
      <w:r w:rsidRPr="00666FE1">
        <w:rPr>
          <w:b/>
          <w:sz w:val="32"/>
          <w:szCs w:val="32"/>
        </w:rPr>
        <w:tab/>
      </w:r>
    </w:p>
    <w:p w:rsidR="00F02D64" w:rsidRDefault="00F02D64" w:rsidP="00F02D64">
      <w:pPr>
        <w:pStyle w:val="Heading7"/>
        <w:tabs>
          <w:tab w:val="left" w:pos="6186"/>
        </w:tabs>
        <w:rPr>
          <w:b/>
          <w:sz w:val="28"/>
          <w:szCs w:val="28"/>
        </w:rPr>
      </w:pPr>
    </w:p>
    <w:p w:rsidR="00F02D64" w:rsidRDefault="00F02D64" w:rsidP="00F02D64"/>
    <w:p w:rsidR="00F02D64" w:rsidRPr="00666FE1" w:rsidRDefault="00F02D64" w:rsidP="00F02D64"/>
    <w:p w:rsidR="00F02D64" w:rsidRPr="00666FE1" w:rsidRDefault="00F02D64" w:rsidP="00F02D64">
      <w:pPr>
        <w:pStyle w:val="Heading7"/>
        <w:tabs>
          <w:tab w:val="left" w:pos="6186"/>
        </w:tabs>
        <w:rPr>
          <w:b/>
          <w:sz w:val="32"/>
          <w:szCs w:val="32"/>
        </w:rPr>
      </w:pPr>
      <w:r w:rsidRPr="00BE6581">
        <w:rPr>
          <w:b/>
          <w:sz w:val="28"/>
          <w:szCs w:val="28"/>
        </w:rPr>
        <w:t xml:space="preserve">Name of Student – </w:t>
      </w:r>
      <w:r>
        <w:rPr>
          <w:b/>
          <w:sz w:val="28"/>
          <w:szCs w:val="28"/>
        </w:rPr>
        <w:t>Akashdeep</w:t>
      </w:r>
    </w:p>
    <w:p w:rsidR="00F02D64" w:rsidRDefault="00F02D64" w:rsidP="00F02D64">
      <w:pPr>
        <w:pStyle w:val="Heading7"/>
        <w:rPr>
          <w:b/>
          <w:sz w:val="28"/>
          <w:szCs w:val="28"/>
        </w:rPr>
      </w:pPr>
      <w:r w:rsidRPr="00BE6581">
        <w:rPr>
          <w:b/>
          <w:sz w:val="28"/>
          <w:szCs w:val="28"/>
        </w:rPr>
        <w:t xml:space="preserve">Student Id </w:t>
      </w:r>
      <w:r>
        <w:rPr>
          <w:b/>
          <w:sz w:val="28"/>
          <w:szCs w:val="28"/>
        </w:rPr>
        <w:t>–</w:t>
      </w:r>
      <w:r w:rsidRPr="00BE6581">
        <w:rPr>
          <w:b/>
          <w:sz w:val="28"/>
          <w:szCs w:val="28"/>
        </w:rPr>
        <w:t xml:space="preserve"> </w:t>
      </w:r>
      <w:r>
        <w:rPr>
          <w:b/>
          <w:sz w:val="28"/>
          <w:szCs w:val="28"/>
        </w:rPr>
        <w:t>2223250</w:t>
      </w:r>
    </w:p>
    <w:p w:rsidR="00F02D64" w:rsidRPr="00BE6581" w:rsidRDefault="00F02D64" w:rsidP="00F02D64">
      <w:pPr>
        <w:pStyle w:val="Heading7"/>
        <w:rPr>
          <w:b/>
          <w:sz w:val="28"/>
          <w:szCs w:val="28"/>
        </w:rPr>
      </w:pPr>
      <w:r w:rsidRPr="00BE6581">
        <w:rPr>
          <w:b/>
          <w:sz w:val="28"/>
          <w:szCs w:val="28"/>
        </w:rPr>
        <w:t>Lecturer -  Dr.Tushara Balendran</w:t>
      </w:r>
    </w:p>
    <w:p w:rsidR="00F02D64" w:rsidRPr="00BE6581" w:rsidRDefault="00F02D64" w:rsidP="00F02D64">
      <w:pPr>
        <w:pStyle w:val="Heading7"/>
        <w:rPr>
          <w:b/>
          <w:sz w:val="28"/>
          <w:szCs w:val="28"/>
        </w:rPr>
      </w:pPr>
      <w:r w:rsidRPr="00BE6581">
        <w:rPr>
          <w:b/>
          <w:sz w:val="28"/>
          <w:szCs w:val="28"/>
        </w:rPr>
        <w:t>Submission Date – 21</w:t>
      </w:r>
      <w:r w:rsidRPr="00BE6581">
        <w:rPr>
          <w:b/>
          <w:sz w:val="28"/>
          <w:szCs w:val="28"/>
          <w:vertAlign w:val="superscript"/>
        </w:rPr>
        <w:t>st</w:t>
      </w:r>
      <w:r w:rsidRPr="00BE6581">
        <w:rPr>
          <w:b/>
          <w:sz w:val="28"/>
          <w:szCs w:val="28"/>
        </w:rPr>
        <w:t xml:space="preserve"> August 2023</w:t>
      </w:r>
    </w:p>
    <w:p w:rsidR="00F02D64" w:rsidRDefault="00F02D64" w:rsidP="00F02D64">
      <w:pPr>
        <w:pStyle w:val="Heading1"/>
      </w:pPr>
    </w:p>
    <w:p w:rsidR="007258B1" w:rsidRDefault="007258B1" w:rsidP="007258B1">
      <w:pPr>
        <w:spacing w:line="360" w:lineRule="auto"/>
        <w:jc w:val="center"/>
        <w:rPr>
          <w:rFonts w:ascii="Times New Roman" w:eastAsia="Times New Roman" w:hAnsi="Times New Roman" w:cs="Times New Roman"/>
          <w:b/>
          <w:bCs/>
          <w:color w:val="000000"/>
          <w:sz w:val="40"/>
          <w:szCs w:val="24"/>
          <w:lang w:val="en-GB"/>
        </w:rPr>
      </w:pPr>
    </w:p>
    <w:p w:rsidR="007258B1" w:rsidRDefault="007258B1" w:rsidP="007258B1">
      <w:pPr>
        <w:spacing w:line="360" w:lineRule="auto"/>
        <w:jc w:val="center"/>
        <w:rPr>
          <w:rFonts w:ascii="Times New Roman" w:eastAsia="Times New Roman" w:hAnsi="Times New Roman" w:cs="Times New Roman"/>
          <w:b/>
          <w:bCs/>
          <w:color w:val="000000"/>
          <w:sz w:val="40"/>
          <w:szCs w:val="24"/>
          <w:lang w:val="en-GB"/>
        </w:rPr>
      </w:pPr>
    </w:p>
    <w:p w:rsidR="007258B1" w:rsidRDefault="007258B1" w:rsidP="007258B1">
      <w:pPr>
        <w:spacing w:line="360" w:lineRule="auto"/>
        <w:jc w:val="center"/>
        <w:rPr>
          <w:rFonts w:ascii="Times New Roman" w:eastAsia="Times New Roman" w:hAnsi="Times New Roman" w:cs="Times New Roman"/>
          <w:b/>
          <w:bCs/>
          <w:color w:val="000000"/>
          <w:sz w:val="40"/>
          <w:szCs w:val="24"/>
          <w:lang w:val="en-GB"/>
        </w:rPr>
      </w:pPr>
    </w:p>
    <w:p w:rsidR="00D1114A" w:rsidRPr="00D1114A" w:rsidRDefault="00D1114A" w:rsidP="007258B1">
      <w:pPr>
        <w:spacing w:line="360" w:lineRule="auto"/>
        <w:jc w:val="center"/>
        <w:rPr>
          <w:rFonts w:ascii="Times New Roman" w:eastAsia="Times New Roman" w:hAnsi="Times New Roman" w:cs="Times New Roman"/>
          <w:b/>
          <w:bCs/>
          <w:color w:val="000000"/>
          <w:sz w:val="24"/>
          <w:szCs w:val="24"/>
          <w:lang w:val="en-GB"/>
        </w:rPr>
      </w:pPr>
      <w:r w:rsidRPr="00D1114A">
        <w:rPr>
          <w:rFonts w:ascii="Times New Roman" w:eastAsia="Times New Roman" w:hAnsi="Times New Roman" w:cs="Times New Roman"/>
          <w:b/>
          <w:bCs/>
          <w:color w:val="000000"/>
          <w:sz w:val="24"/>
          <w:szCs w:val="24"/>
          <w:lang w:val="en-GB"/>
        </w:rPr>
        <w:br w:type="page"/>
      </w:r>
    </w:p>
    <w:p w:rsidR="00D1114A" w:rsidRPr="00D1114A" w:rsidRDefault="00D1114A" w:rsidP="007258B1">
      <w:pPr>
        <w:spacing w:after="0" w:line="360" w:lineRule="auto"/>
        <w:jc w:val="center"/>
        <w:rPr>
          <w:rFonts w:ascii="Times New Roman" w:eastAsia="Times New Roman" w:hAnsi="Times New Roman" w:cs="Times New Roman"/>
          <w:sz w:val="28"/>
          <w:szCs w:val="24"/>
          <w:lang w:val="en-GB"/>
        </w:rPr>
      </w:pPr>
      <w:r w:rsidRPr="00D1114A">
        <w:rPr>
          <w:rFonts w:ascii="Times New Roman" w:eastAsia="Times New Roman" w:hAnsi="Times New Roman" w:cs="Times New Roman"/>
          <w:b/>
          <w:bCs/>
          <w:color w:val="000000"/>
          <w:sz w:val="28"/>
          <w:szCs w:val="24"/>
          <w:lang w:val="en-GB"/>
        </w:rPr>
        <w:lastRenderedPageBreak/>
        <w:t>Abstract</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 xml:space="preserve">This report examines Nike's innovative cross-cultural marketing tactics used in Japan and the US. The paper digs into the complex interplay of cultural elements, market dynamics, and strategic decisions through a thorough review of the company's strategy. Nike takes use of individualism and aspiration in the United States in order to enter a broad customer market. The business </w:t>
      </w:r>
      <w:r w:rsidR="007258B1" w:rsidRPr="00D1114A">
        <w:rPr>
          <w:rFonts w:ascii="Times New Roman" w:eastAsia="Times New Roman" w:hAnsi="Times New Roman" w:cs="Times New Roman"/>
          <w:color w:val="000000"/>
          <w:sz w:val="24"/>
          <w:szCs w:val="24"/>
          <w:lang w:val="en-GB"/>
        </w:rPr>
        <w:t>skilfully</w:t>
      </w:r>
      <w:r w:rsidRPr="00D1114A">
        <w:rPr>
          <w:rFonts w:ascii="Times New Roman" w:eastAsia="Times New Roman" w:hAnsi="Times New Roman" w:cs="Times New Roman"/>
          <w:color w:val="000000"/>
          <w:sz w:val="24"/>
          <w:szCs w:val="24"/>
          <w:lang w:val="en-GB"/>
        </w:rPr>
        <w:t xml:space="preserve"> uses the Ansoff Matrix to grow market share, develop new goods, and broaden its selection while forging long relationships with American customers.</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Nike's marketing tactics resonate with Japan's passion for fine workmanship and cultural authenticity because they combine tradition and contemporary. By collaborating with regional artists and designers, the company develops a personal and relevant image that increases customer loyalty. Nike customises its marketing messaging using segmentation, targeting, and positioning (STP) to match specific customer demands in each region. The four components of the marketing mix—Product, Price, Promotion, and Place—are painstakingly customised to take into account cultural quirks and customer tendencies.</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The research makes suggestions to further boost Nike's success based on scholarly sources including Kotler, Keller, and Aaker. Cultural sensitivity, tailored offers, sustainability emphasis, localised marketing, omnichannel interactions, community involvement, and ongoing innovation are suggested. Nike's success in the US and Japan is evidence of their skill in developing cross-cultural marketing techniques. Nike has become a market leader as well as an aspirational symbol of world unity and inspiration by embracing cultural variety, customising brand messages, and embracing localised subtleties.</w:t>
      </w:r>
    </w:p>
    <w:p w:rsidR="00D1114A" w:rsidRPr="00D1114A" w:rsidRDefault="00D1114A" w:rsidP="007258B1">
      <w:pPr>
        <w:spacing w:after="0" w:line="360" w:lineRule="auto"/>
        <w:rPr>
          <w:rFonts w:ascii="Times New Roman" w:eastAsia="Times New Roman" w:hAnsi="Times New Roman" w:cs="Times New Roman"/>
          <w:sz w:val="24"/>
          <w:szCs w:val="24"/>
          <w:lang w:val="en-GB"/>
        </w:rPr>
      </w:pPr>
    </w:p>
    <w:p w:rsidR="00D1114A" w:rsidRPr="00D1114A" w:rsidRDefault="00D1114A" w:rsidP="007258B1">
      <w:pPr>
        <w:spacing w:line="360" w:lineRule="auto"/>
        <w:rPr>
          <w:rFonts w:ascii="Times New Roman" w:eastAsia="Times New Roman" w:hAnsi="Times New Roman" w:cs="Times New Roman"/>
          <w:b/>
          <w:bCs/>
          <w:color w:val="000000"/>
          <w:sz w:val="24"/>
          <w:szCs w:val="24"/>
          <w:lang w:val="en-GB"/>
        </w:rPr>
      </w:pPr>
      <w:r w:rsidRPr="00D1114A">
        <w:rPr>
          <w:rFonts w:ascii="Times New Roman" w:eastAsia="Times New Roman" w:hAnsi="Times New Roman" w:cs="Times New Roman"/>
          <w:b/>
          <w:bCs/>
          <w:color w:val="000000"/>
          <w:sz w:val="24"/>
          <w:szCs w:val="24"/>
          <w:lang w:val="en-GB"/>
        </w:rPr>
        <w:br w:type="page"/>
      </w:r>
    </w:p>
    <w:sdt>
      <w:sdtPr>
        <w:rPr>
          <w:rFonts w:asciiTheme="minorHAnsi" w:eastAsiaTheme="minorHAnsi" w:hAnsiTheme="minorHAnsi" w:cstheme="minorBidi"/>
          <w:b w:val="0"/>
          <w:bCs w:val="0"/>
          <w:color w:val="auto"/>
          <w:sz w:val="22"/>
          <w:szCs w:val="22"/>
        </w:rPr>
        <w:id w:val="363926016"/>
        <w:docPartObj>
          <w:docPartGallery w:val="Table of Contents"/>
          <w:docPartUnique/>
        </w:docPartObj>
      </w:sdtPr>
      <w:sdtContent>
        <w:p w:rsidR="007258B1" w:rsidRPr="007258B1" w:rsidRDefault="007258B1" w:rsidP="007258B1">
          <w:pPr>
            <w:pStyle w:val="TOCHeading"/>
            <w:spacing w:line="360" w:lineRule="auto"/>
            <w:jc w:val="center"/>
            <w:rPr>
              <w:rFonts w:ascii="Times New Roman" w:hAnsi="Times New Roman" w:cs="Times New Roman"/>
              <w:sz w:val="24"/>
              <w:szCs w:val="24"/>
            </w:rPr>
          </w:pPr>
          <w:r w:rsidRPr="007258B1">
            <w:rPr>
              <w:rFonts w:ascii="Times New Roman" w:hAnsi="Times New Roman" w:cs="Times New Roman"/>
              <w:color w:val="auto"/>
              <w:szCs w:val="24"/>
            </w:rPr>
            <w:t>Table of Contents</w:t>
          </w:r>
        </w:p>
        <w:p w:rsidR="001E5C11" w:rsidRPr="001E5C11" w:rsidRDefault="00251E4C" w:rsidP="001E5C11">
          <w:pPr>
            <w:pStyle w:val="TOC1"/>
            <w:tabs>
              <w:tab w:val="right" w:leader="dot" w:pos="9350"/>
            </w:tabs>
            <w:spacing w:line="360" w:lineRule="auto"/>
            <w:jc w:val="both"/>
            <w:rPr>
              <w:rFonts w:ascii="Times New Roman" w:eastAsiaTheme="minorEastAsia" w:hAnsi="Times New Roman" w:cs="Times New Roman"/>
              <w:noProof/>
              <w:sz w:val="24"/>
              <w:szCs w:val="24"/>
            </w:rPr>
          </w:pPr>
          <w:r w:rsidRPr="002D7BCE">
            <w:rPr>
              <w:rFonts w:ascii="Times New Roman" w:hAnsi="Times New Roman" w:cs="Times New Roman"/>
              <w:sz w:val="24"/>
              <w:szCs w:val="24"/>
            </w:rPr>
            <w:fldChar w:fldCharType="begin"/>
          </w:r>
          <w:r w:rsidR="007258B1" w:rsidRPr="002D7BCE">
            <w:rPr>
              <w:rFonts w:ascii="Times New Roman" w:hAnsi="Times New Roman" w:cs="Times New Roman"/>
              <w:sz w:val="24"/>
              <w:szCs w:val="24"/>
            </w:rPr>
            <w:instrText xml:space="preserve"> TOC \o "1-3" \h \z \u </w:instrText>
          </w:r>
          <w:r w:rsidRPr="002D7BCE">
            <w:rPr>
              <w:rFonts w:ascii="Times New Roman" w:hAnsi="Times New Roman" w:cs="Times New Roman"/>
              <w:sz w:val="24"/>
              <w:szCs w:val="24"/>
            </w:rPr>
            <w:fldChar w:fldCharType="separate"/>
          </w:r>
          <w:hyperlink w:anchor="_Toc143526115" w:history="1">
            <w:r w:rsidR="001E5C11" w:rsidRPr="001E5C11">
              <w:rPr>
                <w:rStyle w:val="Hyperlink"/>
                <w:rFonts w:ascii="Times New Roman" w:eastAsia="Times New Roman" w:hAnsi="Times New Roman" w:cs="Times New Roman"/>
                <w:noProof/>
                <w:sz w:val="24"/>
                <w:szCs w:val="24"/>
                <w:lang w:val="en-GB"/>
              </w:rPr>
              <w:t>Introduction</w:t>
            </w:r>
            <w:r w:rsidR="001E5C11" w:rsidRPr="001E5C11">
              <w:rPr>
                <w:rFonts w:ascii="Times New Roman" w:hAnsi="Times New Roman" w:cs="Times New Roman"/>
                <w:noProof/>
                <w:webHidden/>
                <w:sz w:val="24"/>
                <w:szCs w:val="24"/>
              </w:rPr>
              <w:tab/>
            </w:r>
            <w:r w:rsidRPr="001E5C11">
              <w:rPr>
                <w:rFonts w:ascii="Times New Roman" w:hAnsi="Times New Roman" w:cs="Times New Roman"/>
                <w:noProof/>
                <w:webHidden/>
                <w:sz w:val="24"/>
                <w:szCs w:val="24"/>
              </w:rPr>
              <w:fldChar w:fldCharType="begin"/>
            </w:r>
            <w:r w:rsidR="001E5C11" w:rsidRPr="001E5C11">
              <w:rPr>
                <w:rFonts w:ascii="Times New Roman" w:hAnsi="Times New Roman" w:cs="Times New Roman"/>
                <w:noProof/>
                <w:webHidden/>
                <w:sz w:val="24"/>
                <w:szCs w:val="24"/>
              </w:rPr>
              <w:instrText xml:space="preserve"> PAGEREF _Toc143526115 \h </w:instrText>
            </w:r>
            <w:r w:rsidRPr="001E5C11">
              <w:rPr>
                <w:rFonts w:ascii="Times New Roman" w:hAnsi="Times New Roman" w:cs="Times New Roman"/>
                <w:noProof/>
                <w:webHidden/>
                <w:sz w:val="24"/>
                <w:szCs w:val="24"/>
              </w:rPr>
            </w:r>
            <w:r w:rsidRPr="001E5C11">
              <w:rPr>
                <w:rFonts w:ascii="Times New Roman" w:hAnsi="Times New Roman" w:cs="Times New Roman"/>
                <w:noProof/>
                <w:webHidden/>
                <w:sz w:val="24"/>
                <w:szCs w:val="24"/>
              </w:rPr>
              <w:fldChar w:fldCharType="separate"/>
            </w:r>
            <w:r w:rsidR="001E5C11" w:rsidRPr="001E5C11">
              <w:rPr>
                <w:rFonts w:ascii="Times New Roman" w:hAnsi="Times New Roman" w:cs="Times New Roman"/>
                <w:noProof/>
                <w:webHidden/>
                <w:sz w:val="24"/>
                <w:szCs w:val="24"/>
              </w:rPr>
              <w:t>5</w:t>
            </w:r>
            <w:r w:rsidRPr="001E5C11">
              <w:rPr>
                <w:rFonts w:ascii="Times New Roman" w:hAnsi="Times New Roman" w:cs="Times New Roman"/>
                <w:noProof/>
                <w:webHidden/>
                <w:sz w:val="24"/>
                <w:szCs w:val="24"/>
              </w:rPr>
              <w:fldChar w:fldCharType="end"/>
            </w:r>
          </w:hyperlink>
        </w:p>
        <w:p w:rsidR="001E5C11" w:rsidRPr="001E5C11" w:rsidRDefault="00251E4C" w:rsidP="00F02D6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3526116" w:history="1">
            <w:r w:rsidR="001E5C11" w:rsidRPr="001E5C11">
              <w:rPr>
                <w:rStyle w:val="Hyperlink"/>
                <w:rFonts w:ascii="Times New Roman" w:eastAsia="Times New Roman" w:hAnsi="Times New Roman" w:cs="Times New Roman"/>
                <w:noProof/>
                <w:sz w:val="24"/>
                <w:szCs w:val="24"/>
                <w:lang w:val="en-GB"/>
              </w:rPr>
              <w:t>Macro Environment</w:t>
            </w:r>
            <w:r w:rsidR="001E5C11" w:rsidRPr="001E5C11">
              <w:rPr>
                <w:rFonts w:ascii="Times New Roman" w:hAnsi="Times New Roman" w:cs="Times New Roman"/>
                <w:noProof/>
                <w:webHidden/>
                <w:sz w:val="24"/>
                <w:szCs w:val="24"/>
              </w:rPr>
              <w:tab/>
            </w:r>
            <w:r w:rsidRPr="001E5C11">
              <w:rPr>
                <w:rFonts w:ascii="Times New Roman" w:hAnsi="Times New Roman" w:cs="Times New Roman"/>
                <w:noProof/>
                <w:webHidden/>
                <w:sz w:val="24"/>
                <w:szCs w:val="24"/>
              </w:rPr>
              <w:fldChar w:fldCharType="begin"/>
            </w:r>
            <w:r w:rsidR="001E5C11" w:rsidRPr="001E5C11">
              <w:rPr>
                <w:rFonts w:ascii="Times New Roman" w:hAnsi="Times New Roman" w:cs="Times New Roman"/>
                <w:noProof/>
                <w:webHidden/>
                <w:sz w:val="24"/>
                <w:szCs w:val="24"/>
              </w:rPr>
              <w:instrText xml:space="preserve"> PAGEREF _Toc143526116 \h </w:instrText>
            </w:r>
            <w:r w:rsidRPr="001E5C11">
              <w:rPr>
                <w:rFonts w:ascii="Times New Roman" w:hAnsi="Times New Roman" w:cs="Times New Roman"/>
                <w:noProof/>
                <w:webHidden/>
                <w:sz w:val="24"/>
                <w:szCs w:val="24"/>
              </w:rPr>
            </w:r>
            <w:r w:rsidRPr="001E5C11">
              <w:rPr>
                <w:rFonts w:ascii="Times New Roman" w:hAnsi="Times New Roman" w:cs="Times New Roman"/>
                <w:noProof/>
                <w:webHidden/>
                <w:sz w:val="24"/>
                <w:szCs w:val="24"/>
              </w:rPr>
              <w:fldChar w:fldCharType="separate"/>
            </w:r>
            <w:r w:rsidR="001E5C11" w:rsidRPr="001E5C11">
              <w:rPr>
                <w:rFonts w:ascii="Times New Roman" w:hAnsi="Times New Roman" w:cs="Times New Roman"/>
                <w:noProof/>
                <w:webHidden/>
                <w:sz w:val="24"/>
                <w:szCs w:val="24"/>
              </w:rPr>
              <w:t>6</w:t>
            </w:r>
            <w:r w:rsidRPr="001E5C11">
              <w:rPr>
                <w:rFonts w:ascii="Times New Roman" w:hAnsi="Times New Roman" w:cs="Times New Roman"/>
                <w:noProof/>
                <w:webHidden/>
                <w:sz w:val="24"/>
                <w:szCs w:val="24"/>
              </w:rPr>
              <w:fldChar w:fldCharType="end"/>
            </w:r>
          </w:hyperlink>
        </w:p>
        <w:p w:rsidR="001E5C11" w:rsidRPr="001E5C11" w:rsidRDefault="00251E4C" w:rsidP="00F02D6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3526119" w:history="1">
            <w:r w:rsidR="001E5C11" w:rsidRPr="001E5C11">
              <w:rPr>
                <w:rStyle w:val="Hyperlink"/>
                <w:rFonts w:ascii="Times New Roman" w:eastAsia="Times New Roman" w:hAnsi="Times New Roman" w:cs="Times New Roman"/>
                <w:noProof/>
                <w:sz w:val="24"/>
                <w:szCs w:val="24"/>
                <w:lang w:val="en-GB"/>
              </w:rPr>
              <w:t>Hofstede's Cultural Dimensions</w:t>
            </w:r>
            <w:r w:rsidR="001E5C11" w:rsidRPr="001E5C11">
              <w:rPr>
                <w:rFonts w:ascii="Times New Roman" w:hAnsi="Times New Roman" w:cs="Times New Roman"/>
                <w:noProof/>
                <w:webHidden/>
                <w:sz w:val="24"/>
                <w:szCs w:val="24"/>
              </w:rPr>
              <w:tab/>
            </w:r>
            <w:r w:rsidRPr="001E5C11">
              <w:rPr>
                <w:rFonts w:ascii="Times New Roman" w:hAnsi="Times New Roman" w:cs="Times New Roman"/>
                <w:noProof/>
                <w:webHidden/>
                <w:sz w:val="24"/>
                <w:szCs w:val="24"/>
              </w:rPr>
              <w:fldChar w:fldCharType="begin"/>
            </w:r>
            <w:r w:rsidR="001E5C11" w:rsidRPr="001E5C11">
              <w:rPr>
                <w:rFonts w:ascii="Times New Roman" w:hAnsi="Times New Roman" w:cs="Times New Roman"/>
                <w:noProof/>
                <w:webHidden/>
                <w:sz w:val="24"/>
                <w:szCs w:val="24"/>
              </w:rPr>
              <w:instrText xml:space="preserve"> PAGEREF _Toc143526119 \h </w:instrText>
            </w:r>
            <w:r w:rsidRPr="001E5C11">
              <w:rPr>
                <w:rFonts w:ascii="Times New Roman" w:hAnsi="Times New Roman" w:cs="Times New Roman"/>
                <w:noProof/>
                <w:webHidden/>
                <w:sz w:val="24"/>
                <w:szCs w:val="24"/>
              </w:rPr>
            </w:r>
            <w:r w:rsidRPr="001E5C11">
              <w:rPr>
                <w:rFonts w:ascii="Times New Roman" w:hAnsi="Times New Roman" w:cs="Times New Roman"/>
                <w:noProof/>
                <w:webHidden/>
                <w:sz w:val="24"/>
                <w:szCs w:val="24"/>
              </w:rPr>
              <w:fldChar w:fldCharType="separate"/>
            </w:r>
            <w:r w:rsidR="001E5C11" w:rsidRPr="001E5C11">
              <w:rPr>
                <w:rFonts w:ascii="Times New Roman" w:hAnsi="Times New Roman" w:cs="Times New Roman"/>
                <w:noProof/>
                <w:webHidden/>
                <w:sz w:val="24"/>
                <w:szCs w:val="24"/>
              </w:rPr>
              <w:t>9</w:t>
            </w:r>
            <w:r w:rsidRPr="001E5C11">
              <w:rPr>
                <w:rFonts w:ascii="Times New Roman" w:hAnsi="Times New Roman" w:cs="Times New Roman"/>
                <w:noProof/>
                <w:webHidden/>
                <w:sz w:val="24"/>
                <w:szCs w:val="24"/>
              </w:rPr>
              <w:fldChar w:fldCharType="end"/>
            </w:r>
          </w:hyperlink>
        </w:p>
        <w:p w:rsidR="001E5C11" w:rsidRPr="001E5C11" w:rsidRDefault="00251E4C" w:rsidP="00F02D6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3526124" w:history="1">
            <w:r w:rsidR="001E5C11" w:rsidRPr="001E5C11">
              <w:rPr>
                <w:rStyle w:val="Hyperlink"/>
                <w:rFonts w:ascii="Times New Roman" w:eastAsia="Times New Roman" w:hAnsi="Times New Roman" w:cs="Times New Roman"/>
                <w:noProof/>
                <w:sz w:val="24"/>
                <w:szCs w:val="24"/>
                <w:lang w:val="en-GB"/>
              </w:rPr>
              <w:t>Porter's Five Forces</w:t>
            </w:r>
            <w:r w:rsidR="001E5C11" w:rsidRPr="001E5C11">
              <w:rPr>
                <w:rFonts w:ascii="Times New Roman" w:hAnsi="Times New Roman" w:cs="Times New Roman"/>
                <w:noProof/>
                <w:webHidden/>
                <w:sz w:val="24"/>
                <w:szCs w:val="24"/>
              </w:rPr>
              <w:tab/>
            </w:r>
            <w:r w:rsidRPr="001E5C11">
              <w:rPr>
                <w:rFonts w:ascii="Times New Roman" w:hAnsi="Times New Roman" w:cs="Times New Roman"/>
                <w:noProof/>
                <w:webHidden/>
                <w:sz w:val="24"/>
                <w:szCs w:val="24"/>
              </w:rPr>
              <w:fldChar w:fldCharType="begin"/>
            </w:r>
            <w:r w:rsidR="001E5C11" w:rsidRPr="001E5C11">
              <w:rPr>
                <w:rFonts w:ascii="Times New Roman" w:hAnsi="Times New Roman" w:cs="Times New Roman"/>
                <w:noProof/>
                <w:webHidden/>
                <w:sz w:val="24"/>
                <w:szCs w:val="24"/>
              </w:rPr>
              <w:instrText xml:space="preserve"> PAGEREF _Toc143526124 \h </w:instrText>
            </w:r>
            <w:r w:rsidRPr="001E5C11">
              <w:rPr>
                <w:rFonts w:ascii="Times New Roman" w:hAnsi="Times New Roman" w:cs="Times New Roman"/>
                <w:noProof/>
                <w:webHidden/>
                <w:sz w:val="24"/>
                <w:szCs w:val="24"/>
              </w:rPr>
            </w:r>
            <w:r w:rsidRPr="001E5C11">
              <w:rPr>
                <w:rFonts w:ascii="Times New Roman" w:hAnsi="Times New Roman" w:cs="Times New Roman"/>
                <w:noProof/>
                <w:webHidden/>
                <w:sz w:val="24"/>
                <w:szCs w:val="24"/>
              </w:rPr>
              <w:fldChar w:fldCharType="separate"/>
            </w:r>
            <w:r w:rsidR="001E5C11" w:rsidRPr="001E5C11">
              <w:rPr>
                <w:rFonts w:ascii="Times New Roman" w:hAnsi="Times New Roman" w:cs="Times New Roman"/>
                <w:noProof/>
                <w:webHidden/>
                <w:sz w:val="24"/>
                <w:szCs w:val="24"/>
              </w:rPr>
              <w:t>11</w:t>
            </w:r>
            <w:r w:rsidRPr="001E5C11">
              <w:rPr>
                <w:rFonts w:ascii="Times New Roman" w:hAnsi="Times New Roman" w:cs="Times New Roman"/>
                <w:noProof/>
                <w:webHidden/>
                <w:sz w:val="24"/>
                <w:szCs w:val="24"/>
              </w:rPr>
              <w:fldChar w:fldCharType="end"/>
            </w:r>
          </w:hyperlink>
        </w:p>
        <w:p w:rsidR="001E5C11" w:rsidRPr="001E5C11" w:rsidRDefault="00251E4C" w:rsidP="00F02D6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3526127" w:history="1">
            <w:r w:rsidR="001E5C11" w:rsidRPr="001E5C11">
              <w:rPr>
                <w:rStyle w:val="Hyperlink"/>
                <w:rFonts w:ascii="Times New Roman" w:eastAsia="Times New Roman" w:hAnsi="Times New Roman" w:cs="Times New Roman"/>
                <w:noProof/>
                <w:sz w:val="24"/>
                <w:szCs w:val="24"/>
                <w:lang w:val="en-GB"/>
              </w:rPr>
              <w:t>SWOT Analysis</w:t>
            </w:r>
            <w:r w:rsidR="001E5C11" w:rsidRPr="001E5C11">
              <w:rPr>
                <w:rFonts w:ascii="Times New Roman" w:hAnsi="Times New Roman" w:cs="Times New Roman"/>
                <w:noProof/>
                <w:webHidden/>
                <w:sz w:val="24"/>
                <w:szCs w:val="24"/>
              </w:rPr>
              <w:tab/>
            </w:r>
            <w:r w:rsidRPr="001E5C11">
              <w:rPr>
                <w:rFonts w:ascii="Times New Roman" w:hAnsi="Times New Roman" w:cs="Times New Roman"/>
                <w:noProof/>
                <w:webHidden/>
                <w:sz w:val="24"/>
                <w:szCs w:val="24"/>
              </w:rPr>
              <w:fldChar w:fldCharType="begin"/>
            </w:r>
            <w:r w:rsidR="001E5C11" w:rsidRPr="001E5C11">
              <w:rPr>
                <w:rFonts w:ascii="Times New Roman" w:hAnsi="Times New Roman" w:cs="Times New Roman"/>
                <w:noProof/>
                <w:webHidden/>
                <w:sz w:val="24"/>
                <w:szCs w:val="24"/>
              </w:rPr>
              <w:instrText xml:space="preserve"> PAGEREF _Toc143526127 \h </w:instrText>
            </w:r>
            <w:r w:rsidRPr="001E5C11">
              <w:rPr>
                <w:rFonts w:ascii="Times New Roman" w:hAnsi="Times New Roman" w:cs="Times New Roman"/>
                <w:noProof/>
                <w:webHidden/>
                <w:sz w:val="24"/>
                <w:szCs w:val="24"/>
              </w:rPr>
            </w:r>
            <w:r w:rsidRPr="001E5C11">
              <w:rPr>
                <w:rFonts w:ascii="Times New Roman" w:hAnsi="Times New Roman" w:cs="Times New Roman"/>
                <w:noProof/>
                <w:webHidden/>
                <w:sz w:val="24"/>
                <w:szCs w:val="24"/>
              </w:rPr>
              <w:fldChar w:fldCharType="separate"/>
            </w:r>
            <w:r w:rsidR="001E5C11" w:rsidRPr="001E5C11">
              <w:rPr>
                <w:rFonts w:ascii="Times New Roman" w:hAnsi="Times New Roman" w:cs="Times New Roman"/>
                <w:noProof/>
                <w:webHidden/>
                <w:sz w:val="24"/>
                <w:szCs w:val="24"/>
              </w:rPr>
              <w:t>12</w:t>
            </w:r>
            <w:r w:rsidRPr="001E5C11">
              <w:rPr>
                <w:rFonts w:ascii="Times New Roman" w:hAnsi="Times New Roman" w:cs="Times New Roman"/>
                <w:noProof/>
                <w:webHidden/>
                <w:sz w:val="24"/>
                <w:szCs w:val="24"/>
              </w:rPr>
              <w:fldChar w:fldCharType="end"/>
            </w:r>
          </w:hyperlink>
        </w:p>
        <w:p w:rsidR="001E5C11" w:rsidRPr="001E5C11" w:rsidRDefault="00251E4C" w:rsidP="00F02D6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3526130" w:history="1">
            <w:r w:rsidR="001E5C11" w:rsidRPr="001E5C11">
              <w:rPr>
                <w:rStyle w:val="Hyperlink"/>
                <w:rFonts w:ascii="Times New Roman" w:eastAsia="Times New Roman" w:hAnsi="Times New Roman" w:cs="Times New Roman"/>
                <w:noProof/>
                <w:sz w:val="24"/>
                <w:szCs w:val="24"/>
                <w:lang w:val="en-GB"/>
              </w:rPr>
              <w:t>Segmentation, Targeting, and Positioning (STP)</w:t>
            </w:r>
            <w:r w:rsidR="001E5C11" w:rsidRPr="001E5C11">
              <w:rPr>
                <w:rFonts w:ascii="Times New Roman" w:hAnsi="Times New Roman" w:cs="Times New Roman"/>
                <w:noProof/>
                <w:webHidden/>
                <w:sz w:val="24"/>
                <w:szCs w:val="24"/>
              </w:rPr>
              <w:tab/>
            </w:r>
            <w:r w:rsidRPr="001E5C11">
              <w:rPr>
                <w:rFonts w:ascii="Times New Roman" w:hAnsi="Times New Roman" w:cs="Times New Roman"/>
                <w:noProof/>
                <w:webHidden/>
                <w:sz w:val="24"/>
                <w:szCs w:val="24"/>
              </w:rPr>
              <w:fldChar w:fldCharType="begin"/>
            </w:r>
            <w:r w:rsidR="001E5C11" w:rsidRPr="001E5C11">
              <w:rPr>
                <w:rFonts w:ascii="Times New Roman" w:hAnsi="Times New Roman" w:cs="Times New Roman"/>
                <w:noProof/>
                <w:webHidden/>
                <w:sz w:val="24"/>
                <w:szCs w:val="24"/>
              </w:rPr>
              <w:instrText xml:space="preserve"> PAGEREF _Toc143526130 \h </w:instrText>
            </w:r>
            <w:r w:rsidRPr="001E5C11">
              <w:rPr>
                <w:rFonts w:ascii="Times New Roman" w:hAnsi="Times New Roman" w:cs="Times New Roman"/>
                <w:noProof/>
                <w:webHidden/>
                <w:sz w:val="24"/>
                <w:szCs w:val="24"/>
              </w:rPr>
            </w:r>
            <w:r w:rsidRPr="001E5C11">
              <w:rPr>
                <w:rFonts w:ascii="Times New Roman" w:hAnsi="Times New Roman" w:cs="Times New Roman"/>
                <w:noProof/>
                <w:webHidden/>
                <w:sz w:val="24"/>
                <w:szCs w:val="24"/>
              </w:rPr>
              <w:fldChar w:fldCharType="separate"/>
            </w:r>
            <w:r w:rsidR="001E5C11" w:rsidRPr="001E5C11">
              <w:rPr>
                <w:rFonts w:ascii="Times New Roman" w:hAnsi="Times New Roman" w:cs="Times New Roman"/>
                <w:noProof/>
                <w:webHidden/>
                <w:sz w:val="24"/>
                <w:szCs w:val="24"/>
              </w:rPr>
              <w:t>15</w:t>
            </w:r>
            <w:r w:rsidRPr="001E5C11">
              <w:rPr>
                <w:rFonts w:ascii="Times New Roman" w:hAnsi="Times New Roman" w:cs="Times New Roman"/>
                <w:noProof/>
                <w:webHidden/>
                <w:sz w:val="24"/>
                <w:szCs w:val="24"/>
              </w:rPr>
              <w:fldChar w:fldCharType="end"/>
            </w:r>
          </w:hyperlink>
        </w:p>
        <w:p w:rsidR="001E5C11" w:rsidRPr="001E5C11" w:rsidRDefault="00251E4C" w:rsidP="00F02D6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3526134" w:history="1">
            <w:r w:rsidR="001E5C11" w:rsidRPr="001E5C11">
              <w:rPr>
                <w:rStyle w:val="Hyperlink"/>
                <w:rFonts w:ascii="Times New Roman" w:eastAsia="Times New Roman" w:hAnsi="Times New Roman" w:cs="Times New Roman"/>
                <w:noProof/>
                <w:sz w:val="24"/>
                <w:szCs w:val="24"/>
                <w:lang w:val="en-GB"/>
              </w:rPr>
              <w:t>Marketing Mix (7Ps)</w:t>
            </w:r>
            <w:r w:rsidR="001E5C11" w:rsidRPr="001E5C11">
              <w:rPr>
                <w:rFonts w:ascii="Times New Roman" w:hAnsi="Times New Roman" w:cs="Times New Roman"/>
                <w:noProof/>
                <w:webHidden/>
                <w:sz w:val="24"/>
                <w:szCs w:val="24"/>
              </w:rPr>
              <w:tab/>
            </w:r>
            <w:r w:rsidRPr="001E5C11">
              <w:rPr>
                <w:rFonts w:ascii="Times New Roman" w:hAnsi="Times New Roman" w:cs="Times New Roman"/>
                <w:noProof/>
                <w:webHidden/>
                <w:sz w:val="24"/>
                <w:szCs w:val="24"/>
              </w:rPr>
              <w:fldChar w:fldCharType="begin"/>
            </w:r>
            <w:r w:rsidR="001E5C11" w:rsidRPr="001E5C11">
              <w:rPr>
                <w:rFonts w:ascii="Times New Roman" w:hAnsi="Times New Roman" w:cs="Times New Roman"/>
                <w:noProof/>
                <w:webHidden/>
                <w:sz w:val="24"/>
                <w:szCs w:val="24"/>
              </w:rPr>
              <w:instrText xml:space="preserve"> PAGEREF _Toc143526134 \h </w:instrText>
            </w:r>
            <w:r w:rsidRPr="001E5C11">
              <w:rPr>
                <w:rFonts w:ascii="Times New Roman" w:hAnsi="Times New Roman" w:cs="Times New Roman"/>
                <w:noProof/>
                <w:webHidden/>
                <w:sz w:val="24"/>
                <w:szCs w:val="24"/>
              </w:rPr>
            </w:r>
            <w:r w:rsidRPr="001E5C11">
              <w:rPr>
                <w:rFonts w:ascii="Times New Roman" w:hAnsi="Times New Roman" w:cs="Times New Roman"/>
                <w:noProof/>
                <w:webHidden/>
                <w:sz w:val="24"/>
                <w:szCs w:val="24"/>
              </w:rPr>
              <w:fldChar w:fldCharType="separate"/>
            </w:r>
            <w:r w:rsidR="001E5C11" w:rsidRPr="001E5C11">
              <w:rPr>
                <w:rFonts w:ascii="Times New Roman" w:hAnsi="Times New Roman" w:cs="Times New Roman"/>
                <w:noProof/>
                <w:webHidden/>
                <w:sz w:val="24"/>
                <w:szCs w:val="24"/>
              </w:rPr>
              <w:t>16</w:t>
            </w:r>
            <w:r w:rsidRPr="001E5C11">
              <w:rPr>
                <w:rFonts w:ascii="Times New Roman" w:hAnsi="Times New Roman" w:cs="Times New Roman"/>
                <w:noProof/>
                <w:webHidden/>
                <w:sz w:val="24"/>
                <w:szCs w:val="24"/>
              </w:rPr>
              <w:fldChar w:fldCharType="end"/>
            </w:r>
          </w:hyperlink>
        </w:p>
        <w:p w:rsidR="001E5C11" w:rsidRPr="001E5C11" w:rsidRDefault="00251E4C" w:rsidP="00F02D6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3526139" w:history="1">
            <w:r w:rsidR="001E5C11" w:rsidRPr="001E5C11">
              <w:rPr>
                <w:rStyle w:val="Hyperlink"/>
                <w:rFonts w:ascii="Times New Roman" w:eastAsia="Times New Roman" w:hAnsi="Times New Roman" w:cs="Times New Roman"/>
                <w:noProof/>
                <w:sz w:val="24"/>
                <w:szCs w:val="24"/>
                <w:lang w:val="en-GB"/>
              </w:rPr>
              <w:t>Directional Development Strategy (Ansoff Matrix)</w:t>
            </w:r>
            <w:r w:rsidR="001E5C11" w:rsidRPr="001E5C11">
              <w:rPr>
                <w:rFonts w:ascii="Times New Roman" w:hAnsi="Times New Roman" w:cs="Times New Roman"/>
                <w:noProof/>
                <w:webHidden/>
                <w:sz w:val="24"/>
                <w:szCs w:val="24"/>
              </w:rPr>
              <w:tab/>
            </w:r>
            <w:r w:rsidRPr="001E5C11">
              <w:rPr>
                <w:rFonts w:ascii="Times New Roman" w:hAnsi="Times New Roman" w:cs="Times New Roman"/>
                <w:noProof/>
                <w:webHidden/>
                <w:sz w:val="24"/>
                <w:szCs w:val="24"/>
              </w:rPr>
              <w:fldChar w:fldCharType="begin"/>
            </w:r>
            <w:r w:rsidR="001E5C11" w:rsidRPr="001E5C11">
              <w:rPr>
                <w:rFonts w:ascii="Times New Roman" w:hAnsi="Times New Roman" w:cs="Times New Roman"/>
                <w:noProof/>
                <w:webHidden/>
                <w:sz w:val="24"/>
                <w:szCs w:val="24"/>
              </w:rPr>
              <w:instrText xml:space="preserve"> PAGEREF _Toc143526139 \h </w:instrText>
            </w:r>
            <w:r w:rsidRPr="001E5C11">
              <w:rPr>
                <w:rFonts w:ascii="Times New Roman" w:hAnsi="Times New Roman" w:cs="Times New Roman"/>
                <w:noProof/>
                <w:webHidden/>
                <w:sz w:val="24"/>
                <w:szCs w:val="24"/>
              </w:rPr>
            </w:r>
            <w:r w:rsidRPr="001E5C11">
              <w:rPr>
                <w:rFonts w:ascii="Times New Roman" w:hAnsi="Times New Roman" w:cs="Times New Roman"/>
                <w:noProof/>
                <w:webHidden/>
                <w:sz w:val="24"/>
                <w:szCs w:val="24"/>
              </w:rPr>
              <w:fldChar w:fldCharType="separate"/>
            </w:r>
            <w:r w:rsidR="001E5C11" w:rsidRPr="001E5C11">
              <w:rPr>
                <w:rFonts w:ascii="Times New Roman" w:hAnsi="Times New Roman" w:cs="Times New Roman"/>
                <w:noProof/>
                <w:webHidden/>
                <w:sz w:val="24"/>
                <w:szCs w:val="24"/>
              </w:rPr>
              <w:t>19</w:t>
            </w:r>
            <w:r w:rsidRPr="001E5C11">
              <w:rPr>
                <w:rFonts w:ascii="Times New Roman" w:hAnsi="Times New Roman" w:cs="Times New Roman"/>
                <w:noProof/>
                <w:webHidden/>
                <w:sz w:val="24"/>
                <w:szCs w:val="24"/>
              </w:rPr>
              <w:fldChar w:fldCharType="end"/>
            </w:r>
          </w:hyperlink>
        </w:p>
        <w:p w:rsidR="001E5C11" w:rsidRPr="001E5C11" w:rsidRDefault="00251E4C" w:rsidP="001E5C1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3526142" w:history="1">
            <w:r w:rsidR="001E5C11" w:rsidRPr="001E5C11">
              <w:rPr>
                <w:rStyle w:val="Hyperlink"/>
                <w:rFonts w:ascii="Times New Roman" w:eastAsia="Times New Roman" w:hAnsi="Times New Roman" w:cs="Times New Roman"/>
                <w:noProof/>
                <w:sz w:val="24"/>
                <w:szCs w:val="24"/>
                <w:lang w:val="en-GB"/>
              </w:rPr>
              <w:t>Differences between all the models</w:t>
            </w:r>
            <w:r w:rsidR="001E5C11" w:rsidRPr="001E5C11">
              <w:rPr>
                <w:rFonts w:ascii="Times New Roman" w:hAnsi="Times New Roman" w:cs="Times New Roman"/>
                <w:noProof/>
                <w:webHidden/>
                <w:sz w:val="24"/>
                <w:szCs w:val="24"/>
              </w:rPr>
              <w:tab/>
            </w:r>
            <w:r w:rsidRPr="001E5C11">
              <w:rPr>
                <w:rFonts w:ascii="Times New Roman" w:hAnsi="Times New Roman" w:cs="Times New Roman"/>
                <w:noProof/>
                <w:webHidden/>
                <w:sz w:val="24"/>
                <w:szCs w:val="24"/>
              </w:rPr>
              <w:fldChar w:fldCharType="begin"/>
            </w:r>
            <w:r w:rsidR="001E5C11" w:rsidRPr="001E5C11">
              <w:rPr>
                <w:rFonts w:ascii="Times New Roman" w:hAnsi="Times New Roman" w:cs="Times New Roman"/>
                <w:noProof/>
                <w:webHidden/>
                <w:sz w:val="24"/>
                <w:szCs w:val="24"/>
              </w:rPr>
              <w:instrText xml:space="preserve"> PAGEREF _Toc143526142 \h </w:instrText>
            </w:r>
            <w:r w:rsidRPr="001E5C11">
              <w:rPr>
                <w:rFonts w:ascii="Times New Roman" w:hAnsi="Times New Roman" w:cs="Times New Roman"/>
                <w:noProof/>
                <w:webHidden/>
                <w:sz w:val="24"/>
                <w:szCs w:val="24"/>
              </w:rPr>
            </w:r>
            <w:r w:rsidRPr="001E5C11">
              <w:rPr>
                <w:rFonts w:ascii="Times New Roman" w:hAnsi="Times New Roman" w:cs="Times New Roman"/>
                <w:noProof/>
                <w:webHidden/>
                <w:sz w:val="24"/>
                <w:szCs w:val="24"/>
              </w:rPr>
              <w:fldChar w:fldCharType="separate"/>
            </w:r>
            <w:r w:rsidR="001E5C11" w:rsidRPr="001E5C11">
              <w:rPr>
                <w:rFonts w:ascii="Times New Roman" w:hAnsi="Times New Roman" w:cs="Times New Roman"/>
                <w:noProof/>
                <w:webHidden/>
                <w:sz w:val="24"/>
                <w:szCs w:val="24"/>
              </w:rPr>
              <w:t>22</w:t>
            </w:r>
            <w:r w:rsidRPr="001E5C11">
              <w:rPr>
                <w:rFonts w:ascii="Times New Roman" w:hAnsi="Times New Roman" w:cs="Times New Roman"/>
                <w:noProof/>
                <w:webHidden/>
                <w:sz w:val="24"/>
                <w:szCs w:val="24"/>
              </w:rPr>
              <w:fldChar w:fldCharType="end"/>
            </w:r>
          </w:hyperlink>
        </w:p>
        <w:p w:rsidR="001E5C11" w:rsidRPr="001E5C11" w:rsidRDefault="00251E4C" w:rsidP="001E5C1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3526144" w:history="1">
            <w:r w:rsidR="001E5C11" w:rsidRPr="001E5C11">
              <w:rPr>
                <w:rStyle w:val="Hyperlink"/>
                <w:rFonts w:ascii="Times New Roman" w:eastAsia="Times New Roman" w:hAnsi="Times New Roman" w:cs="Times New Roman"/>
                <w:noProof/>
                <w:sz w:val="24"/>
                <w:szCs w:val="24"/>
                <w:lang w:val="en-GB"/>
              </w:rPr>
              <w:t>Recommendations</w:t>
            </w:r>
            <w:r w:rsidR="001E5C11" w:rsidRPr="001E5C11">
              <w:rPr>
                <w:rFonts w:ascii="Times New Roman" w:hAnsi="Times New Roman" w:cs="Times New Roman"/>
                <w:noProof/>
                <w:webHidden/>
                <w:sz w:val="24"/>
                <w:szCs w:val="24"/>
              </w:rPr>
              <w:tab/>
            </w:r>
            <w:r w:rsidR="00F02D64">
              <w:rPr>
                <w:rFonts w:ascii="Times New Roman" w:hAnsi="Times New Roman" w:cs="Times New Roman"/>
                <w:noProof/>
                <w:webHidden/>
                <w:sz w:val="24"/>
                <w:szCs w:val="24"/>
              </w:rPr>
              <w:t>22</w:t>
            </w:r>
          </w:hyperlink>
        </w:p>
        <w:p w:rsidR="001E5C11" w:rsidRPr="001E5C11" w:rsidRDefault="00251E4C" w:rsidP="001E5C1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3526145" w:history="1">
            <w:r w:rsidR="001E5C11" w:rsidRPr="001E5C11">
              <w:rPr>
                <w:rStyle w:val="Hyperlink"/>
                <w:rFonts w:ascii="Times New Roman" w:eastAsia="Times New Roman" w:hAnsi="Times New Roman" w:cs="Times New Roman"/>
                <w:noProof/>
                <w:sz w:val="24"/>
                <w:szCs w:val="24"/>
                <w:lang w:val="en-GB"/>
              </w:rPr>
              <w:t>Conclusion</w:t>
            </w:r>
            <w:r w:rsidR="001E5C11" w:rsidRPr="001E5C11">
              <w:rPr>
                <w:rFonts w:ascii="Times New Roman" w:hAnsi="Times New Roman" w:cs="Times New Roman"/>
                <w:noProof/>
                <w:webHidden/>
                <w:sz w:val="24"/>
                <w:szCs w:val="24"/>
              </w:rPr>
              <w:tab/>
            </w:r>
            <w:r w:rsidRPr="001E5C11">
              <w:rPr>
                <w:rFonts w:ascii="Times New Roman" w:hAnsi="Times New Roman" w:cs="Times New Roman"/>
                <w:noProof/>
                <w:webHidden/>
                <w:sz w:val="24"/>
                <w:szCs w:val="24"/>
              </w:rPr>
              <w:fldChar w:fldCharType="begin"/>
            </w:r>
            <w:r w:rsidR="001E5C11" w:rsidRPr="001E5C11">
              <w:rPr>
                <w:rFonts w:ascii="Times New Roman" w:hAnsi="Times New Roman" w:cs="Times New Roman"/>
                <w:noProof/>
                <w:webHidden/>
                <w:sz w:val="24"/>
                <w:szCs w:val="24"/>
              </w:rPr>
              <w:instrText xml:space="preserve"> PAGEREF _Toc143526145 \h </w:instrText>
            </w:r>
            <w:r w:rsidRPr="001E5C11">
              <w:rPr>
                <w:rFonts w:ascii="Times New Roman" w:hAnsi="Times New Roman" w:cs="Times New Roman"/>
                <w:noProof/>
                <w:webHidden/>
                <w:sz w:val="24"/>
                <w:szCs w:val="24"/>
              </w:rPr>
            </w:r>
            <w:r w:rsidRPr="001E5C11">
              <w:rPr>
                <w:rFonts w:ascii="Times New Roman" w:hAnsi="Times New Roman" w:cs="Times New Roman"/>
                <w:noProof/>
                <w:webHidden/>
                <w:sz w:val="24"/>
                <w:szCs w:val="24"/>
              </w:rPr>
              <w:fldChar w:fldCharType="separate"/>
            </w:r>
            <w:r w:rsidR="001E5C11" w:rsidRPr="001E5C11">
              <w:rPr>
                <w:rFonts w:ascii="Times New Roman" w:hAnsi="Times New Roman" w:cs="Times New Roman"/>
                <w:noProof/>
                <w:webHidden/>
                <w:sz w:val="24"/>
                <w:szCs w:val="24"/>
              </w:rPr>
              <w:t>24</w:t>
            </w:r>
            <w:r w:rsidRPr="001E5C11">
              <w:rPr>
                <w:rFonts w:ascii="Times New Roman" w:hAnsi="Times New Roman" w:cs="Times New Roman"/>
                <w:noProof/>
                <w:webHidden/>
                <w:sz w:val="24"/>
                <w:szCs w:val="24"/>
              </w:rPr>
              <w:fldChar w:fldCharType="end"/>
            </w:r>
          </w:hyperlink>
        </w:p>
        <w:p w:rsidR="001E5C11" w:rsidRDefault="00251E4C" w:rsidP="001E5C11">
          <w:pPr>
            <w:pStyle w:val="TOC1"/>
            <w:tabs>
              <w:tab w:val="right" w:leader="dot" w:pos="9350"/>
            </w:tabs>
            <w:spacing w:line="360" w:lineRule="auto"/>
            <w:jc w:val="both"/>
            <w:rPr>
              <w:rFonts w:eastAsiaTheme="minorEastAsia"/>
              <w:noProof/>
            </w:rPr>
          </w:pPr>
          <w:hyperlink w:anchor="_Toc143526146" w:history="1">
            <w:r w:rsidR="001E5C11" w:rsidRPr="001E5C11">
              <w:rPr>
                <w:rStyle w:val="Hyperlink"/>
                <w:rFonts w:ascii="Times New Roman" w:hAnsi="Times New Roman" w:cs="Times New Roman"/>
                <w:noProof/>
                <w:sz w:val="24"/>
                <w:szCs w:val="24"/>
              </w:rPr>
              <w:t>References</w:t>
            </w:r>
            <w:r w:rsidR="001E5C11" w:rsidRPr="001E5C11">
              <w:rPr>
                <w:rFonts w:ascii="Times New Roman" w:hAnsi="Times New Roman" w:cs="Times New Roman"/>
                <w:noProof/>
                <w:webHidden/>
                <w:sz w:val="24"/>
                <w:szCs w:val="24"/>
              </w:rPr>
              <w:tab/>
            </w:r>
            <w:r w:rsidR="00F02D64">
              <w:rPr>
                <w:rFonts w:ascii="Times New Roman" w:hAnsi="Times New Roman" w:cs="Times New Roman"/>
                <w:noProof/>
                <w:webHidden/>
                <w:sz w:val="24"/>
                <w:szCs w:val="24"/>
              </w:rPr>
              <w:t>25</w:t>
            </w:r>
          </w:hyperlink>
        </w:p>
        <w:p w:rsidR="00D1114A" w:rsidRPr="007258B1" w:rsidRDefault="00251E4C" w:rsidP="002D7BCE">
          <w:pPr>
            <w:spacing w:line="360" w:lineRule="auto"/>
            <w:jc w:val="both"/>
          </w:pPr>
          <w:r w:rsidRPr="002D7BCE">
            <w:rPr>
              <w:rFonts w:ascii="Times New Roman" w:hAnsi="Times New Roman" w:cs="Times New Roman"/>
              <w:sz w:val="24"/>
              <w:szCs w:val="24"/>
            </w:rPr>
            <w:fldChar w:fldCharType="end"/>
          </w:r>
        </w:p>
      </w:sdtContent>
    </w:sdt>
    <w:p w:rsidR="007258B1" w:rsidRDefault="007258B1">
      <w:pPr>
        <w:rPr>
          <w:rFonts w:ascii="Times New Roman" w:eastAsia="Times New Roman" w:hAnsi="Times New Roman" w:cstheme="majorBidi"/>
          <w:b/>
          <w:bCs/>
          <w:sz w:val="28"/>
          <w:szCs w:val="28"/>
          <w:lang w:val="en-GB"/>
        </w:rPr>
      </w:pPr>
      <w:r>
        <w:rPr>
          <w:rFonts w:eastAsia="Times New Roman"/>
          <w:lang w:val="en-GB"/>
        </w:rPr>
        <w:br w:type="page"/>
      </w:r>
    </w:p>
    <w:p w:rsidR="00D1114A" w:rsidRPr="00D1114A" w:rsidRDefault="00D1114A" w:rsidP="007258B1">
      <w:pPr>
        <w:pStyle w:val="Heading1"/>
        <w:spacing w:line="360" w:lineRule="auto"/>
        <w:rPr>
          <w:rFonts w:eastAsia="Times New Roman"/>
          <w:lang w:val="en-GB"/>
        </w:rPr>
      </w:pPr>
      <w:bookmarkStart w:id="0" w:name="_Toc143526115"/>
      <w:r w:rsidRPr="00D1114A">
        <w:rPr>
          <w:rFonts w:eastAsia="Times New Roman"/>
          <w:lang w:val="en-GB"/>
        </w:rPr>
        <w:lastRenderedPageBreak/>
        <w:t>Introduction</w:t>
      </w:r>
      <w:bookmarkEnd w:id="0"/>
      <w:r w:rsidRPr="00D1114A">
        <w:rPr>
          <w:rFonts w:eastAsia="Times New Roman"/>
          <w:lang w:val="en-GB"/>
        </w:rPr>
        <w:t xml:space="preserve"> </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The well-known multinational firm Nike, which is associated with both innovation and athletics, has cemented its place as a leading force in the worldwide sports clothing and footwear market. Nike has been successful in capturing a variety of markets throughout the world with its long history of developing items that appeal to athletes, sports fans, and fashion-conscious customers. This study dives into the complex web of Nike's marketing tactics, concentrating on a comparison of two different yet significant markets: the US and Japan.</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These two nations were chosen because of their distinct economic, cultural, and consumer environments, which make them useful test cases for analysing Nike'</w:t>
      </w:r>
      <w:r w:rsidR="00486771">
        <w:rPr>
          <w:rFonts w:ascii="Times New Roman" w:eastAsia="Times New Roman" w:hAnsi="Times New Roman" w:cs="Times New Roman"/>
          <w:color w:val="000000"/>
          <w:sz w:val="24"/>
          <w:szCs w:val="24"/>
          <w:lang w:val="en-GB"/>
        </w:rPr>
        <w:t>s adaptable marketing strategies</w:t>
      </w:r>
      <w:r w:rsidRPr="00D1114A">
        <w:rPr>
          <w:rFonts w:ascii="Times New Roman" w:eastAsia="Times New Roman" w:hAnsi="Times New Roman" w:cs="Times New Roman"/>
          <w:color w:val="000000"/>
          <w:sz w:val="24"/>
          <w:szCs w:val="24"/>
          <w:lang w:val="en-GB"/>
        </w:rPr>
        <w:t>. The United States offers a dynamic economy where competition is severe and customer tastes are continuously changing. It is distinguished by its economic power and cultural variety. Japan, on the other hand, provides a fascinating look into the difficulties and prospects of marketing in a context rich in culture thanks to its fusion of traditional values and technical breakthroughs.</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Using a variety of marketing techniques and concepts, we set out on a thorough trip in this research to examine Nike's strategy in both areas. This investigation includes a macro-environmental assessment, a cultural analysis using Hofstede's Cultural Dimensions model, a SWOT analysis, an analysis of Segmentation, Targeting, and Positioning (STP), and an investigation of the Marketing Mix (7Ps). With the use of this methodical study, we hope to reveal the subtleties of Nike's strategic decision-making and throw light on how well the company's strategy matches up with the unique characteristics of each area.</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The parts that follow in this report will go into further detail about each area of our investigation, including observations, contrasts, and critical assessments that collectively contribute to a thorough knowledge of Nike's marketing tactics in the US and Japan. By the end of this journey, we will offer suggestions based on the results that will improve Nike's next efforts in these two crucial regions.</w:t>
      </w:r>
    </w:p>
    <w:p w:rsidR="00D1114A" w:rsidRDefault="00D1114A" w:rsidP="007258B1">
      <w:pPr>
        <w:pStyle w:val="Heading1"/>
        <w:spacing w:line="360" w:lineRule="auto"/>
        <w:rPr>
          <w:rFonts w:eastAsia="Times New Roman"/>
          <w:lang w:val="en-GB"/>
        </w:rPr>
      </w:pPr>
      <w:bookmarkStart w:id="1" w:name="_Toc143526116"/>
      <w:r w:rsidRPr="00D1114A">
        <w:rPr>
          <w:rFonts w:eastAsia="Times New Roman"/>
          <w:lang w:val="en-GB"/>
        </w:rPr>
        <w:lastRenderedPageBreak/>
        <w:t>Macro Environment</w:t>
      </w:r>
      <w:bookmarkEnd w:id="1"/>
      <w:r w:rsidRPr="00D1114A">
        <w:rPr>
          <w:rFonts w:eastAsia="Times New Roman"/>
          <w:lang w:val="en-GB"/>
        </w:rPr>
        <w:t xml:space="preserve"> </w:t>
      </w:r>
    </w:p>
    <w:p w:rsidR="00E45EBB" w:rsidRDefault="00E45EBB" w:rsidP="00E45EBB">
      <w:pPr>
        <w:jc w:val="center"/>
        <w:rPr>
          <w:b/>
          <w:lang w:val="en-GB"/>
        </w:rPr>
      </w:pPr>
      <w:r>
        <w:rPr>
          <w:b/>
          <w:noProof/>
        </w:rPr>
        <w:drawing>
          <wp:inline distT="0" distB="0" distL="0" distR="0">
            <wp:extent cx="5257800" cy="3362325"/>
            <wp:effectExtent l="19050" t="19050" r="1905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257800" cy="3362325"/>
                    </a:xfrm>
                    <a:prstGeom prst="rect">
                      <a:avLst/>
                    </a:prstGeom>
                    <a:noFill/>
                    <a:ln w="9525">
                      <a:solidFill>
                        <a:schemeClr val="tx1"/>
                      </a:solidFill>
                      <a:miter lim="800000"/>
                      <a:headEnd/>
                      <a:tailEnd/>
                    </a:ln>
                  </pic:spPr>
                </pic:pic>
              </a:graphicData>
            </a:graphic>
          </wp:inline>
        </w:drawing>
      </w:r>
    </w:p>
    <w:p w:rsidR="00E45EBB" w:rsidRPr="00E45EBB" w:rsidRDefault="00E45EBB" w:rsidP="00E45EBB">
      <w:pPr>
        <w:jc w:val="center"/>
        <w:rPr>
          <w:rFonts w:ascii="Times New Roman" w:hAnsi="Times New Roman" w:cs="Times New Roman"/>
          <w:b/>
          <w:sz w:val="24"/>
          <w:szCs w:val="24"/>
          <w:lang w:val="en-GB"/>
        </w:rPr>
      </w:pPr>
      <w:r w:rsidRPr="00E45EBB">
        <w:rPr>
          <w:rFonts w:ascii="Times New Roman" w:hAnsi="Times New Roman" w:cs="Times New Roman"/>
          <w:b/>
          <w:sz w:val="24"/>
          <w:szCs w:val="24"/>
          <w:lang w:val="en-GB"/>
        </w:rPr>
        <w:t xml:space="preserve">Figure: Development of Nike in USA </w:t>
      </w:r>
    </w:p>
    <w:p w:rsidR="00E45EBB" w:rsidRPr="00E45EBB" w:rsidRDefault="00E45EBB" w:rsidP="00E45EBB">
      <w:pPr>
        <w:jc w:val="center"/>
        <w:rPr>
          <w:rFonts w:ascii="Times New Roman" w:hAnsi="Times New Roman" w:cs="Times New Roman"/>
          <w:b/>
          <w:sz w:val="24"/>
          <w:szCs w:val="24"/>
          <w:lang w:val="en-GB"/>
        </w:rPr>
      </w:pPr>
      <w:r w:rsidRPr="00E45EBB">
        <w:rPr>
          <w:rFonts w:ascii="Times New Roman" w:hAnsi="Times New Roman" w:cs="Times New Roman"/>
          <w:b/>
          <w:sz w:val="24"/>
          <w:szCs w:val="24"/>
          <w:lang w:val="en-GB"/>
        </w:rPr>
        <w:t xml:space="preserve">Source: </w:t>
      </w:r>
      <w:sdt>
        <w:sdtPr>
          <w:rPr>
            <w:rFonts w:ascii="Times New Roman" w:hAnsi="Times New Roman" w:cs="Times New Roman"/>
            <w:b/>
            <w:sz w:val="24"/>
            <w:szCs w:val="24"/>
            <w:lang w:val="en-GB"/>
          </w:rPr>
          <w:id w:val="593694623"/>
          <w:citation/>
        </w:sdtPr>
        <w:sdtContent>
          <w:r w:rsidR="00251E4C">
            <w:rPr>
              <w:rFonts w:ascii="Times New Roman" w:hAnsi="Times New Roman" w:cs="Times New Roman"/>
              <w:b/>
              <w:sz w:val="24"/>
              <w:szCs w:val="24"/>
              <w:lang w:val="en-GB"/>
            </w:rPr>
            <w:fldChar w:fldCharType="begin"/>
          </w:r>
          <w:r w:rsidR="00465B22">
            <w:rPr>
              <w:rFonts w:ascii="Times New Roman" w:hAnsi="Times New Roman" w:cs="Times New Roman"/>
              <w:b/>
              <w:sz w:val="24"/>
              <w:szCs w:val="24"/>
            </w:rPr>
            <w:instrText xml:space="preserve"> CITATION Sta23 \l 1033 </w:instrText>
          </w:r>
          <w:r w:rsidR="00251E4C">
            <w:rPr>
              <w:rFonts w:ascii="Times New Roman" w:hAnsi="Times New Roman" w:cs="Times New Roman"/>
              <w:b/>
              <w:sz w:val="24"/>
              <w:szCs w:val="24"/>
              <w:lang w:val="en-GB"/>
            </w:rPr>
            <w:fldChar w:fldCharType="separate"/>
          </w:r>
          <w:r w:rsidR="00465B22" w:rsidRPr="00465B22">
            <w:rPr>
              <w:rFonts w:ascii="Times New Roman" w:hAnsi="Times New Roman" w:cs="Times New Roman"/>
              <w:noProof/>
              <w:sz w:val="24"/>
              <w:szCs w:val="24"/>
            </w:rPr>
            <w:t>(Statista, 2023)</w:t>
          </w:r>
          <w:r w:rsidR="00251E4C">
            <w:rPr>
              <w:rFonts w:ascii="Times New Roman" w:hAnsi="Times New Roman" w:cs="Times New Roman"/>
              <w:b/>
              <w:sz w:val="24"/>
              <w:szCs w:val="24"/>
              <w:lang w:val="en-GB"/>
            </w:rPr>
            <w:fldChar w:fldCharType="end"/>
          </w:r>
        </w:sdtContent>
      </w:sdt>
    </w:p>
    <w:p w:rsidR="00D1114A" w:rsidRPr="00D1114A" w:rsidRDefault="00D1114A" w:rsidP="007258B1">
      <w:pPr>
        <w:pStyle w:val="Heading2"/>
        <w:spacing w:line="360" w:lineRule="auto"/>
      </w:pPr>
      <w:bookmarkStart w:id="2" w:name="_Toc143526117"/>
      <w:r w:rsidRPr="00D1114A">
        <w:t>United States</w:t>
      </w:r>
      <w:bookmarkEnd w:id="2"/>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Political </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The political climate in the United States is typically stable and conducive to commercial activities. Government trade agreements, intellectual property laws, and labour laws all have an influence on Nike's manufacturing, distribution, and supply chain operations. The company's strategic decisions and operational effectiveness may be impacted by frequent policy changes that create uncertainty</w:t>
      </w:r>
      <w:sdt>
        <w:sdtPr>
          <w:rPr>
            <w:rFonts w:ascii="Times New Roman" w:eastAsia="Times New Roman" w:hAnsi="Times New Roman" w:cs="Times New Roman"/>
            <w:color w:val="000000"/>
            <w:sz w:val="24"/>
            <w:szCs w:val="24"/>
            <w:lang w:val="en-GB"/>
          </w:rPr>
          <w:id w:val="593694594"/>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Bra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(Brassington, 2018)</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Economic</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The United States has a broad consumer base with a range of economic levels as a significant global economy. Nike's pricing policies and customer demand are influenced by economic factors including GDP growth, inflation rates, and consumer spending. Consumer spending power may decline during economic downturns, needing flexible pricing and marketing strategies.</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Social </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lastRenderedPageBreak/>
        <w:t>The United States is known for its cultural variety, which affects consumer choices and behaviour. To appeal to a wide range of populations, including those with different nationalities, lifestyles, and social beliefs, Nike must modify its marketing messaging and product offers. Health consciousness, urbanisation, and fashion trends all have an impact on customer preferences, which has an impact on Nike's product development and branding</w:t>
      </w:r>
      <w:sdt>
        <w:sdtPr>
          <w:rPr>
            <w:rFonts w:ascii="Times New Roman" w:eastAsia="Times New Roman" w:hAnsi="Times New Roman" w:cs="Times New Roman"/>
            <w:color w:val="000000"/>
            <w:sz w:val="24"/>
            <w:szCs w:val="24"/>
            <w:lang w:val="en-GB"/>
          </w:rPr>
          <w:id w:val="593694595"/>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Int19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(Czinkota, 2019)</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Technological </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Because of its technical leadership, the United States has influenced developments that have an impact on Nike's product design, production methods, and marketing approaches (Hollensen, 2019). Nike has possibilities to interact with customers and improve its omnichannel distribution because to the quick development of e-commerce, digital platforms, and wearable technology.</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Environmental </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Consumer views and purchase decisions are influenced by rising environmental concerns and sustainability trends. Nike's initiatives to embrace sustainable practises, lower its carbon footprint, and employ eco-friendly materials are in line with the rising American demand for environmentally friendly goods.</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Legal </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Nike's business operations and compliance activities are influenced by legal factors such as intellectual property protection, labour legislation, and product safety standards. Legal conflicts may have an effect on a brand's reputation and customer trust, such as trademark infringement or labour disputes.</w:t>
      </w:r>
    </w:p>
    <w:p w:rsidR="00D1114A" w:rsidRPr="00D1114A" w:rsidRDefault="00D1114A" w:rsidP="007258B1">
      <w:pPr>
        <w:pStyle w:val="Heading2"/>
        <w:spacing w:line="360" w:lineRule="auto"/>
        <w:rPr>
          <w:rFonts w:eastAsia="Times New Roman"/>
          <w:lang w:val="en-GB"/>
        </w:rPr>
      </w:pPr>
      <w:bookmarkStart w:id="3" w:name="_Toc143526118"/>
      <w:r w:rsidRPr="00D1114A">
        <w:rPr>
          <w:rFonts w:eastAsia="Times New Roman"/>
          <w:lang w:val="en-GB"/>
        </w:rPr>
        <w:t>Japan</w:t>
      </w:r>
      <w:bookmarkEnd w:id="3"/>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Political </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With clear rules and government backing for foreign commerce, Japan's stable political climate offers a solid base for corporate operations. Nike's market entrance tactics, trade agreements, and regulatory compliance are influenced by political stability</w:t>
      </w:r>
      <w:sdt>
        <w:sdtPr>
          <w:rPr>
            <w:rFonts w:ascii="Times New Roman" w:eastAsia="Times New Roman" w:hAnsi="Times New Roman" w:cs="Times New Roman"/>
            <w:color w:val="000000"/>
            <w:sz w:val="24"/>
            <w:szCs w:val="24"/>
            <w:lang w:val="en-GB"/>
          </w:rPr>
          <w:id w:val="593694596"/>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Fin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(Finney &amp; Joseph, 2009)</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 Nike's business operations and expansion ambitions are impacted by the government's policies regarding foreign investment and the preservation of intellectual property rights.</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Economic</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 xml:space="preserve">One of the greatest economies in the world, Japan is known for its high levels of consumer expenditure and disposable income. However, the market's maturity and the country's slow population growth make continuous expansion difficult. When deciding on pricing and </w:t>
      </w:r>
      <w:r w:rsidRPr="00D1114A">
        <w:rPr>
          <w:rFonts w:ascii="Times New Roman" w:eastAsia="Times New Roman" w:hAnsi="Times New Roman" w:cs="Times New Roman"/>
          <w:color w:val="000000"/>
          <w:sz w:val="24"/>
          <w:szCs w:val="24"/>
          <w:lang w:val="en-GB"/>
        </w:rPr>
        <w:lastRenderedPageBreak/>
        <w:t>distribution tactics, Nike must take economic developments like consumer confidence, inflation rates, and currency changes into account.</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Social </w:t>
      </w:r>
    </w:p>
    <w:p w:rsidR="00D1114A" w:rsidRPr="00D1114A" w:rsidRDefault="00DC3B97" w:rsidP="007258B1">
      <w:pPr>
        <w:spacing w:after="0" w:line="360" w:lineRule="auto"/>
        <w:jc w:val="both"/>
        <w:rPr>
          <w:rFonts w:ascii="Times New Roman" w:eastAsia="Times New Roman" w:hAnsi="Times New Roman" w:cs="Times New Roman"/>
          <w:sz w:val="24"/>
          <w:szCs w:val="24"/>
          <w:lang w:val="en-GB"/>
        </w:rPr>
      </w:pPr>
      <w:r w:rsidRPr="00DC3B97">
        <w:rPr>
          <w:rFonts w:ascii="Times New Roman" w:eastAsia="Times New Roman" w:hAnsi="Times New Roman" w:cs="Times New Roman"/>
          <w:sz w:val="24"/>
          <w:szCs w:val="24"/>
          <w:lang w:val="en-GB"/>
        </w:rPr>
        <w:t>Japanese society exhibits a robust adherence to longstanding customs and is distinguished by collective conduct and elevated cultural principles. The cultural mores exert an influence on the preferences of consumers, thereby affecting the product conception, promotional tactics, and distribut</w:t>
      </w:r>
      <w:r>
        <w:rPr>
          <w:rFonts w:ascii="Times New Roman" w:eastAsia="Times New Roman" w:hAnsi="Times New Roman" w:cs="Times New Roman"/>
          <w:sz w:val="24"/>
          <w:szCs w:val="24"/>
          <w:lang w:val="en-GB"/>
        </w:rPr>
        <w:t>ion approaches employed by Nike</w:t>
      </w:r>
      <w:sdt>
        <w:sdtPr>
          <w:rPr>
            <w:rFonts w:ascii="Times New Roman" w:eastAsia="Times New Roman" w:hAnsi="Times New Roman" w:cs="Times New Roman"/>
            <w:sz w:val="24"/>
            <w:szCs w:val="24"/>
            <w:lang w:val="en-GB"/>
          </w:rPr>
          <w:id w:val="597122844"/>
          <w:citation/>
        </w:sdtPr>
        <w:sdtContent>
          <w:r w:rsidR="00251E4C">
            <w:rPr>
              <w:rFonts w:ascii="Times New Roman" w:eastAsia="Times New Roman" w:hAnsi="Times New Roman" w:cs="Times New Roman"/>
              <w:sz w:val="24"/>
              <w:szCs w:val="24"/>
              <w:lang w:val="en-GB"/>
            </w:rPr>
            <w:fldChar w:fldCharType="begin"/>
          </w:r>
          <w:r>
            <w:rPr>
              <w:rFonts w:ascii="Times New Roman" w:eastAsia="Times New Roman" w:hAnsi="Times New Roman" w:cs="Times New Roman"/>
              <w:sz w:val="24"/>
              <w:szCs w:val="24"/>
            </w:rPr>
            <w:instrText xml:space="preserve"> CITATION Grü18 \l 1033 </w:instrText>
          </w:r>
          <w:r w:rsidR="00251E4C">
            <w:rPr>
              <w:rFonts w:ascii="Times New Roman" w:eastAsia="Times New Roman" w:hAnsi="Times New Roman" w:cs="Times New Roman"/>
              <w:sz w:val="24"/>
              <w:szCs w:val="24"/>
              <w:lang w:val="en-GB"/>
            </w:rPr>
            <w:fldChar w:fldCharType="separate"/>
          </w:r>
          <w:r>
            <w:rPr>
              <w:rFonts w:ascii="Times New Roman" w:eastAsia="Times New Roman" w:hAnsi="Times New Roman" w:cs="Times New Roman"/>
              <w:noProof/>
              <w:sz w:val="24"/>
              <w:szCs w:val="24"/>
            </w:rPr>
            <w:t xml:space="preserve"> </w:t>
          </w:r>
          <w:r w:rsidRPr="00DC3B97">
            <w:rPr>
              <w:rFonts w:ascii="Times New Roman" w:eastAsia="Times New Roman" w:hAnsi="Times New Roman" w:cs="Times New Roman"/>
              <w:noProof/>
              <w:sz w:val="24"/>
              <w:szCs w:val="24"/>
            </w:rPr>
            <w:t>(Grünhagen &amp; Jung, 2018)</w:t>
          </w:r>
          <w:r w:rsidR="00251E4C">
            <w:rPr>
              <w:rFonts w:ascii="Times New Roman" w:eastAsia="Times New Roman" w:hAnsi="Times New Roman" w:cs="Times New Roman"/>
              <w:sz w:val="24"/>
              <w:szCs w:val="24"/>
              <w:lang w:val="en-GB"/>
            </w:rPr>
            <w:fldChar w:fldCharType="end"/>
          </w:r>
        </w:sdtContent>
      </w:sdt>
      <w:r>
        <w:rPr>
          <w:rFonts w:ascii="Times New Roman" w:eastAsia="Times New Roman" w:hAnsi="Times New Roman" w:cs="Times New Roman"/>
          <w:sz w:val="24"/>
          <w:szCs w:val="24"/>
          <w:lang w:val="en-GB"/>
        </w:rPr>
        <w:t xml:space="preserve">. </w:t>
      </w:r>
      <w:r w:rsidRPr="00DC3B97">
        <w:rPr>
          <w:rFonts w:ascii="Times New Roman" w:eastAsia="Times New Roman" w:hAnsi="Times New Roman" w:cs="Times New Roman"/>
          <w:sz w:val="24"/>
          <w:szCs w:val="24"/>
          <w:lang w:val="en-GB"/>
        </w:rPr>
        <w:t>In order for a business to successfully infiltrate a market, it is imperative to conform to the visual appeal, traditions, and societal conventions of the region.</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Technological </w:t>
      </w:r>
    </w:p>
    <w:p w:rsidR="00D1114A" w:rsidRPr="00D1114A" w:rsidRDefault="00DC3B97" w:rsidP="007258B1">
      <w:pPr>
        <w:spacing w:after="0" w:line="360" w:lineRule="auto"/>
        <w:jc w:val="both"/>
        <w:rPr>
          <w:rFonts w:ascii="Times New Roman" w:eastAsia="Times New Roman" w:hAnsi="Times New Roman" w:cs="Times New Roman"/>
          <w:sz w:val="24"/>
          <w:szCs w:val="24"/>
          <w:lang w:val="en-GB"/>
        </w:rPr>
      </w:pPr>
      <w:r w:rsidRPr="00DC3B97">
        <w:rPr>
          <w:rFonts w:ascii="Times New Roman" w:eastAsia="Times New Roman" w:hAnsi="Times New Roman" w:cs="Times New Roman"/>
          <w:sz w:val="24"/>
          <w:szCs w:val="24"/>
          <w:lang w:val="en-GB"/>
        </w:rPr>
        <w:t>Japan is widely recognised for its technological advancements, particularly in the domains of robotics and electronics. This opportunity affords Nike the ability to integrate state-of-the-art technology, such as intelligent textiles and portable devices, into its merchandise. The advanced electronic commerce framework of the country presents prospects for digital advertising and commercialization techniques.</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Legal </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The legal system in Japan regulates issues including labour laws, consumer protection, and intellectual property rights. For the sake of brand reputation and to prevent legal problems, compliance with these regulations is essential. Nike's attitude to legal issues affects the quality of its products, how it advertises, and how it engages with regional stakeholders.</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Environmental</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Japan is becoming more environmentally conscious, which is increasing demand for eco-friendly and sustainable goods. This trend is supported by Nike's initiatives to embrace ecologically friendly behaviours, cut waste, and use recycled materials. The brand's reputation may be enhanced by adhering to environmental rules and satisfying consumer demand for eco-friendly items.</w:t>
      </w:r>
    </w:p>
    <w:p w:rsidR="00D1114A" w:rsidRDefault="00D1114A" w:rsidP="007258B1">
      <w:pPr>
        <w:pStyle w:val="Heading1"/>
        <w:spacing w:line="360" w:lineRule="auto"/>
        <w:rPr>
          <w:rFonts w:eastAsia="Times New Roman"/>
          <w:lang w:val="en-GB"/>
        </w:rPr>
      </w:pPr>
      <w:bookmarkStart w:id="4" w:name="_Toc143526119"/>
      <w:r w:rsidRPr="00D1114A">
        <w:rPr>
          <w:rFonts w:eastAsia="Times New Roman"/>
          <w:lang w:val="en-GB"/>
        </w:rPr>
        <w:lastRenderedPageBreak/>
        <w:t>Hofstede's Cultural Dimensions</w:t>
      </w:r>
      <w:bookmarkEnd w:id="4"/>
      <w:r w:rsidRPr="00D1114A">
        <w:rPr>
          <w:rFonts w:eastAsia="Times New Roman"/>
          <w:lang w:val="en-GB"/>
        </w:rPr>
        <w:t xml:space="preserve"> </w:t>
      </w:r>
    </w:p>
    <w:p w:rsidR="00E45EBB" w:rsidRDefault="00E45EBB" w:rsidP="00E45EBB">
      <w:pPr>
        <w:rPr>
          <w:lang w:val="en-GB"/>
        </w:rPr>
      </w:pPr>
      <w:r>
        <w:rPr>
          <w:noProof/>
        </w:rPr>
        <w:drawing>
          <wp:inline distT="0" distB="0" distL="0" distR="0">
            <wp:extent cx="5486400" cy="3200400"/>
            <wp:effectExtent l="1905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E45EBB" w:rsidRPr="00E45EBB" w:rsidRDefault="00E45EBB" w:rsidP="00E45EBB">
      <w:pPr>
        <w:jc w:val="center"/>
        <w:rPr>
          <w:rFonts w:ascii="Times New Roman" w:hAnsi="Times New Roman" w:cs="Times New Roman"/>
          <w:b/>
          <w:sz w:val="24"/>
          <w:szCs w:val="24"/>
          <w:lang w:val="en-GB"/>
        </w:rPr>
      </w:pPr>
      <w:r w:rsidRPr="00E45EBB">
        <w:rPr>
          <w:rFonts w:ascii="Times New Roman" w:hAnsi="Times New Roman" w:cs="Times New Roman"/>
          <w:b/>
          <w:sz w:val="24"/>
          <w:szCs w:val="24"/>
          <w:lang w:val="en-GB"/>
        </w:rPr>
        <w:t>Figure: Hofstede’s Cultural Model</w:t>
      </w:r>
    </w:p>
    <w:p w:rsidR="00E45EBB" w:rsidRPr="00E45EBB" w:rsidRDefault="00E45EBB" w:rsidP="00E45EBB">
      <w:pPr>
        <w:jc w:val="center"/>
        <w:rPr>
          <w:rFonts w:ascii="Times New Roman" w:hAnsi="Times New Roman" w:cs="Times New Roman"/>
          <w:b/>
          <w:sz w:val="24"/>
          <w:szCs w:val="24"/>
          <w:lang w:val="en-GB"/>
        </w:rPr>
      </w:pPr>
      <w:r w:rsidRPr="00E45EBB">
        <w:rPr>
          <w:rFonts w:ascii="Times New Roman" w:hAnsi="Times New Roman" w:cs="Times New Roman"/>
          <w:b/>
          <w:sz w:val="24"/>
          <w:szCs w:val="24"/>
          <w:lang w:val="en-GB"/>
        </w:rPr>
        <w:t>Source: Self-made</w:t>
      </w:r>
    </w:p>
    <w:p w:rsidR="00D1114A" w:rsidRPr="00D1114A" w:rsidRDefault="00D1114A" w:rsidP="007258B1">
      <w:pPr>
        <w:pStyle w:val="Heading2"/>
        <w:spacing w:line="360" w:lineRule="auto"/>
        <w:rPr>
          <w:rFonts w:eastAsia="Times New Roman"/>
          <w:lang w:val="en-GB"/>
        </w:rPr>
      </w:pPr>
      <w:bookmarkStart w:id="5" w:name="_Toc143526120"/>
      <w:r w:rsidRPr="00D1114A">
        <w:rPr>
          <w:rFonts w:eastAsia="Times New Roman"/>
          <w:lang w:val="en-GB"/>
        </w:rPr>
        <w:t>Power Distance</w:t>
      </w:r>
      <w:bookmarkEnd w:id="5"/>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The degree to which people in a culture accept hierarchical connections and authority is measured by power distance. With a penchant for equality and individual empowerment, the United States exhibits minimal power distance. Nike's marketing in the United States makes the most of uniqueness by emphasising self-expression, accomplishment, and the pursuit of one's goals. Athletes are frequently used in advertising as role models, showcasing their rise from failure to success and connecting with the American ideal of meritocracy</w:t>
      </w:r>
      <w:sdt>
        <w:sdtPr>
          <w:rPr>
            <w:rFonts w:ascii="Times New Roman" w:eastAsia="Times New Roman" w:hAnsi="Times New Roman" w:cs="Times New Roman"/>
            <w:color w:val="000000"/>
            <w:sz w:val="24"/>
            <w:szCs w:val="24"/>
            <w:lang w:val="en-GB"/>
          </w:rPr>
          <w:id w:val="593694598"/>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Hai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(Hair Jr, et al., 2017)</w:t>
          </w:r>
          <w:r w:rsidR="00251E4C">
            <w:rPr>
              <w:rFonts w:ascii="Times New Roman" w:eastAsia="Times New Roman" w:hAnsi="Times New Roman" w:cs="Times New Roman"/>
              <w:color w:val="000000"/>
              <w:sz w:val="24"/>
              <w:szCs w:val="24"/>
              <w:lang w:val="en-GB"/>
            </w:rPr>
            <w:fldChar w:fldCharType="end"/>
          </w:r>
        </w:sdtContent>
      </w:sdt>
      <w:r w:rsidR="00486771">
        <w:rPr>
          <w:rFonts w:ascii="Times New Roman" w:eastAsia="Times New Roman" w:hAnsi="Times New Roman" w:cs="Times New Roman"/>
          <w:color w:val="000000"/>
          <w:sz w:val="24"/>
          <w:szCs w:val="24"/>
          <w:lang w:val="en-GB"/>
        </w:rPr>
        <w:t>.</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Japan, on the other hand, has a greater power gap and emphasises a hierarchical social structure and respect for authority. In this situation, Nike's marketing in Japan can place an emphasis on team accomplishments and standing with reputable people or institutions. The Japanese penchant for hierarchy and established rules may be resonant with collaborations with traditional sports and cultural heroes.</w:t>
      </w:r>
    </w:p>
    <w:p w:rsidR="00D1114A" w:rsidRPr="00D1114A" w:rsidRDefault="00D1114A" w:rsidP="007258B1">
      <w:pPr>
        <w:pStyle w:val="Heading2"/>
        <w:spacing w:line="360" w:lineRule="auto"/>
        <w:rPr>
          <w:rFonts w:eastAsia="Times New Roman"/>
          <w:lang w:val="en-GB"/>
        </w:rPr>
      </w:pPr>
      <w:bookmarkStart w:id="6" w:name="_Toc143526121"/>
      <w:r w:rsidRPr="00D1114A">
        <w:rPr>
          <w:rFonts w:eastAsia="Times New Roman"/>
          <w:lang w:val="en-GB"/>
        </w:rPr>
        <w:lastRenderedPageBreak/>
        <w:t>Individualism vs. Collectivism</w:t>
      </w:r>
      <w:bookmarkEnd w:id="6"/>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 xml:space="preserve">The culture of the United States is strongly individualistic and places a significant emphasis on one's individuality, freedom, and self-expression. Nike's marketing methods in the United States are centred on encouraging customers to stand out from the crowd and pushing items as instruments for self-expression. </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Collectivism is more prominent in Japan, emphasising collective harmony, cohesiveness, and common objectives. Nike's advertising in Japan might place a strong emphasis on collaboration, community, and teamwork. Consumers in Japan could relate to messages emphasising the advantages of teamwork and attaining common goals.</w:t>
      </w:r>
    </w:p>
    <w:p w:rsidR="00D1114A" w:rsidRPr="00D1114A" w:rsidRDefault="00D1114A" w:rsidP="007258B1">
      <w:pPr>
        <w:pStyle w:val="Heading2"/>
        <w:spacing w:line="360" w:lineRule="auto"/>
        <w:rPr>
          <w:rFonts w:eastAsia="Times New Roman"/>
          <w:lang w:val="en-GB"/>
        </w:rPr>
      </w:pPr>
      <w:bookmarkStart w:id="7" w:name="_Toc143526122"/>
      <w:r w:rsidRPr="00D1114A">
        <w:rPr>
          <w:rFonts w:eastAsia="Times New Roman"/>
          <w:lang w:val="en-GB"/>
        </w:rPr>
        <w:t>Masculinity vs. Femininity</w:t>
      </w:r>
      <w:bookmarkEnd w:id="7"/>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In a cultural setting, the focus placed on assertiveness, competition, and accomplishment is referred to as masculinity. High-achieving athletes' endorsements highlight the importance of striving for perfection.</w:t>
      </w:r>
      <w:r>
        <w:rPr>
          <w:rFonts w:ascii="Times New Roman" w:eastAsia="Times New Roman" w:hAnsi="Times New Roman" w:cs="Times New Roman"/>
          <w:sz w:val="24"/>
          <w:szCs w:val="24"/>
          <w:lang w:val="en-GB"/>
        </w:rPr>
        <w:t xml:space="preserve"> </w:t>
      </w:r>
      <w:r w:rsidRPr="00D1114A">
        <w:rPr>
          <w:rFonts w:ascii="Times New Roman" w:eastAsia="Times New Roman" w:hAnsi="Times New Roman" w:cs="Times New Roman"/>
          <w:color w:val="000000"/>
          <w:sz w:val="24"/>
          <w:szCs w:val="24"/>
          <w:lang w:val="en-GB"/>
        </w:rPr>
        <w:t>Despite being historically associated with men, Japan presents a mix of both male and female characteristics. Along with valuing success and competitiveness, people also value aesthetic beauty, harmony, and quality of life</w:t>
      </w:r>
      <w:sdt>
        <w:sdtPr>
          <w:rPr>
            <w:rFonts w:ascii="Times New Roman" w:eastAsia="Times New Roman" w:hAnsi="Times New Roman" w:cs="Times New Roman"/>
            <w:color w:val="000000"/>
            <w:sz w:val="24"/>
            <w:szCs w:val="24"/>
            <w:lang w:val="en-GB"/>
          </w:rPr>
          <w:id w:val="593694599"/>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Hol19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(Hollensen, 2019)</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 It's possible that Nike's marketing in Japan has to achieve a balance, putting equal emphasis on performance and aesthetic appeal, in order to speak to all facets of the culture.</w:t>
      </w:r>
    </w:p>
    <w:p w:rsidR="00D1114A" w:rsidRPr="00D1114A" w:rsidRDefault="00D1114A" w:rsidP="007258B1">
      <w:pPr>
        <w:pStyle w:val="Heading2"/>
        <w:spacing w:line="360" w:lineRule="auto"/>
        <w:rPr>
          <w:rFonts w:eastAsia="Times New Roman"/>
          <w:lang w:val="en-GB"/>
        </w:rPr>
      </w:pPr>
      <w:bookmarkStart w:id="8" w:name="_Toc143526123"/>
      <w:r w:rsidRPr="00D1114A">
        <w:rPr>
          <w:rFonts w:eastAsia="Times New Roman"/>
          <w:lang w:val="en-GB"/>
        </w:rPr>
        <w:t>Uncertainty Avoidance</w:t>
      </w:r>
      <w:bookmarkEnd w:id="8"/>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A society's tolerance for ambiguity, danger, and change may be gauged by how much it avoids uncertainty. With a culture that encourages innovation, experimentation, and risk-taking, the United States does worse than other countries when it comes to avoiding uncertainty. Nike frequently emphasises cutting-edge technology, innovation, and pushing limits in its American marketing campaigns.</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Japan, on the other hand, has a greater level of uncertainty avoidance and values consistency, predictability, and stability. To appeal to the Japanese desire for stability and familiarity, Nike's marketing in Japan may need to place an emphasis on tradition, dependability, and the brand's well-established reputation.</w:t>
      </w:r>
    </w:p>
    <w:p w:rsidR="00D1114A" w:rsidRPr="00D1114A" w:rsidRDefault="00D1114A" w:rsidP="007258B1">
      <w:pPr>
        <w:pStyle w:val="Heading1"/>
        <w:spacing w:line="360" w:lineRule="auto"/>
        <w:rPr>
          <w:rFonts w:eastAsia="Times New Roman"/>
          <w:lang w:val="en-GB"/>
        </w:rPr>
      </w:pPr>
      <w:bookmarkStart w:id="9" w:name="_Toc143526124"/>
      <w:r w:rsidRPr="00D1114A">
        <w:rPr>
          <w:rFonts w:eastAsia="Times New Roman"/>
          <w:lang w:val="en-GB"/>
        </w:rPr>
        <w:lastRenderedPageBreak/>
        <w:t>Porter's Five Forces</w:t>
      </w:r>
      <w:bookmarkEnd w:id="9"/>
      <w:r w:rsidRPr="00D1114A">
        <w:rPr>
          <w:rFonts w:eastAsia="Times New Roman"/>
          <w:lang w:val="en-GB"/>
        </w:rPr>
        <w:t xml:space="preserve"> </w:t>
      </w:r>
    </w:p>
    <w:p w:rsidR="00D1114A" w:rsidRPr="00D1114A" w:rsidRDefault="00D1114A" w:rsidP="007258B1">
      <w:pPr>
        <w:pStyle w:val="Heading2"/>
        <w:spacing w:line="360" w:lineRule="auto"/>
        <w:rPr>
          <w:rFonts w:eastAsia="Times New Roman"/>
          <w:lang w:val="en-GB"/>
        </w:rPr>
      </w:pPr>
      <w:bookmarkStart w:id="10" w:name="_Toc143526125"/>
      <w:r w:rsidRPr="00D1114A">
        <w:rPr>
          <w:rFonts w:eastAsia="Times New Roman"/>
          <w:lang w:val="en-GB"/>
        </w:rPr>
        <w:t>United States</w:t>
      </w:r>
      <w:bookmarkEnd w:id="10"/>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Threat of New Entrants (Medium)</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The mild danger of new entrants is what distinguishes the sports clothing and footwear market in the US. Although entry hurdles like distribution networks and brand familiarity provide some protection, the market's size and profitability draw potential rivals. Although Nike has tremendous brand recognition and wide distribution networks, the threat still exists because of the attractiveness of the wealthy U.S. market.</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Bargaining Power of Suppliers (Low)</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Nike has great negotiation leverage with suppliers thanks to its extensive worldwide footprint. Due to the company's size, economies of scale may be achieved, which lowers supplier negotiating strength. Further mitigating possible interruptions are Nike's vertically integrated operations and broad supplier base. Consequently, suppliers' bargaining leverage is limited in the United States.</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Bargaining Power of Buyers (Medium)</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Because American consumers are well-informed and diversified, they have a reasonable amount of negotiating power. Customers may quickly compare items and pricing and have access to a</w:t>
      </w:r>
      <w:r w:rsidR="00486771">
        <w:rPr>
          <w:rFonts w:ascii="Times New Roman" w:eastAsia="Times New Roman" w:hAnsi="Times New Roman" w:cs="Times New Roman"/>
          <w:color w:val="000000"/>
          <w:sz w:val="24"/>
          <w:szCs w:val="24"/>
          <w:lang w:val="en-GB"/>
        </w:rPr>
        <w:t xml:space="preserve"> large variety of sports brands. </w:t>
      </w:r>
      <w:r w:rsidRPr="00D1114A">
        <w:rPr>
          <w:rFonts w:ascii="Times New Roman" w:eastAsia="Times New Roman" w:hAnsi="Times New Roman" w:cs="Times New Roman"/>
          <w:color w:val="000000"/>
          <w:sz w:val="24"/>
          <w:szCs w:val="24"/>
          <w:lang w:val="en-GB"/>
        </w:rPr>
        <w:t>Nike has some influence over consumers due to its strong brand loyalty and inventive product offers, but the market is competitive, therefore Nike must continue to adapt to customer needs.</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Threat of Substitutes (Medium)</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On the American market, replacements pose a moderate threat to Nike. Beyond traditional sportswear, consumers have a variety of alternatives, including athleisure and trendy labels. Nike stands out from numerous competitors thanks to its focus on performance, innovation, and branding, which lessens the total danger</w:t>
      </w:r>
      <w:sdt>
        <w:sdtPr>
          <w:rPr>
            <w:rFonts w:ascii="Times New Roman" w:eastAsia="Times New Roman" w:hAnsi="Times New Roman" w:cs="Times New Roman"/>
            <w:color w:val="000000"/>
            <w:sz w:val="24"/>
            <w:szCs w:val="24"/>
            <w:lang w:val="en-GB"/>
          </w:rPr>
          <w:id w:val="593694600"/>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Hoo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(Hooley, et al., 2019)</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Competitive Rivalry (High)</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 xml:space="preserve">Due to the fierce competition in the American sports apparel and footwear market, there is a lot of rivalry. Strong competitors like Adidas and Under Armour compete with Nike. The sector is characterised by quick technology developments, numerous product introductions, and intense </w:t>
      </w:r>
      <w:r w:rsidRPr="00D1114A">
        <w:rPr>
          <w:rFonts w:ascii="Times New Roman" w:eastAsia="Times New Roman" w:hAnsi="Times New Roman" w:cs="Times New Roman"/>
          <w:color w:val="000000"/>
          <w:sz w:val="24"/>
          <w:szCs w:val="24"/>
          <w:lang w:val="en-GB"/>
        </w:rPr>
        <w:lastRenderedPageBreak/>
        <w:t>marketing activities. To keep a competitive advantage, differentiation via innovation and branding is essential.</w:t>
      </w:r>
    </w:p>
    <w:p w:rsidR="00D1114A" w:rsidRPr="00D1114A" w:rsidRDefault="00D1114A" w:rsidP="007258B1">
      <w:pPr>
        <w:pStyle w:val="Heading2"/>
        <w:spacing w:line="360" w:lineRule="auto"/>
        <w:rPr>
          <w:rFonts w:eastAsia="Times New Roman"/>
          <w:lang w:val="en-GB"/>
        </w:rPr>
      </w:pPr>
      <w:bookmarkStart w:id="11" w:name="_Toc143526126"/>
      <w:r w:rsidRPr="00D1114A">
        <w:rPr>
          <w:rFonts w:eastAsia="Times New Roman"/>
          <w:lang w:val="en-GB"/>
        </w:rPr>
        <w:t>Japan</w:t>
      </w:r>
      <w:bookmarkEnd w:id="11"/>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Threat of New Entrants (Low)</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The threat of new entrants is quite minimal given the maturity and level of competition in Japan's industry. Consumer loyalty to well-known companies is high, and cultural variations may provide difficulties for newcomers. The threat is lessened by the reputation and brand awareness that Nike enjoys on a global scale.</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Bargaining Power of Suppliers (Medium)</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Japan's suppliers have a limited capacity for negotiation. The fewer providers on the market may gi</w:t>
      </w:r>
      <w:r w:rsidR="00486771">
        <w:rPr>
          <w:rFonts w:ascii="Times New Roman" w:eastAsia="Times New Roman" w:hAnsi="Times New Roman" w:cs="Times New Roman"/>
          <w:color w:val="000000"/>
          <w:sz w:val="24"/>
          <w:szCs w:val="24"/>
          <w:lang w:val="en-GB"/>
        </w:rPr>
        <w:t>ve them some negotiating power</w:t>
      </w:r>
      <w:r w:rsidRPr="00D1114A">
        <w:rPr>
          <w:rFonts w:ascii="Times New Roman" w:eastAsia="Times New Roman" w:hAnsi="Times New Roman" w:cs="Times New Roman"/>
          <w:color w:val="000000"/>
          <w:sz w:val="24"/>
          <w:szCs w:val="24"/>
          <w:lang w:val="en-GB"/>
        </w:rPr>
        <w:t>. Nike's worldwide supplier network, on the other hand, aids in controlling this negotiating power and ensuring a steady supply chain</w:t>
      </w:r>
      <w:sdt>
        <w:sdtPr>
          <w:rPr>
            <w:rFonts w:ascii="Times New Roman" w:eastAsia="Times New Roman" w:hAnsi="Times New Roman" w:cs="Times New Roman"/>
            <w:color w:val="000000"/>
            <w:sz w:val="24"/>
            <w:szCs w:val="24"/>
            <w:lang w:val="en-GB"/>
          </w:rPr>
          <w:id w:val="593694601"/>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Hoo20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(Hooley, et al., 2020)</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Bargaining Power of Buyers (Medium)</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Japanese customers cherish quality and are discriminating. Due to their willingness to spend money on renowned brands, customers have a limited amount of negotiating power. Nike has negotiating power because of its tremendous brand recognition and dedication to quality.</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Threat of Substitutes (Medium)</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Similar to the US, Japan's replacements pose a modest danger to Nike. In the market for athletic clothing and footwear, regional manufacturers provide choices alongside global rivals. Nike's focus on innovation and performance helps set its goods apart from competitors.</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Competitive Rivalry (Medium)</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The market for sportswear and footwear in Japan experiences a modest amount of fierce competition. Local and foreign brands compete for consumers' attention. Because of its reputation, cutting-edge products, and focused marketing, Nike can successfully compete in this market.</w:t>
      </w:r>
    </w:p>
    <w:p w:rsidR="00D1114A" w:rsidRPr="00D1114A" w:rsidRDefault="00D1114A" w:rsidP="007258B1">
      <w:pPr>
        <w:pStyle w:val="Heading1"/>
        <w:spacing w:line="360" w:lineRule="auto"/>
        <w:rPr>
          <w:rFonts w:eastAsia="Times New Roman"/>
          <w:lang w:val="en-GB"/>
        </w:rPr>
      </w:pPr>
      <w:bookmarkStart w:id="12" w:name="_Toc143526127"/>
      <w:r w:rsidRPr="00D1114A">
        <w:rPr>
          <w:rFonts w:eastAsia="Times New Roman"/>
          <w:lang w:val="en-GB"/>
        </w:rPr>
        <w:t>SWOT Analysis</w:t>
      </w:r>
      <w:bookmarkEnd w:id="12"/>
      <w:r w:rsidRPr="00D1114A">
        <w:rPr>
          <w:rFonts w:eastAsia="Times New Roman"/>
          <w:lang w:val="en-GB"/>
        </w:rPr>
        <w:t xml:space="preserve"> </w:t>
      </w:r>
    </w:p>
    <w:p w:rsidR="00D1114A" w:rsidRPr="00D1114A" w:rsidRDefault="00D1114A" w:rsidP="007258B1">
      <w:pPr>
        <w:pStyle w:val="Heading2"/>
        <w:spacing w:line="360" w:lineRule="auto"/>
        <w:rPr>
          <w:rFonts w:eastAsia="Times New Roman"/>
          <w:lang w:val="en-GB"/>
        </w:rPr>
      </w:pPr>
      <w:bookmarkStart w:id="13" w:name="_Toc143526128"/>
      <w:r w:rsidRPr="00D1114A">
        <w:rPr>
          <w:rFonts w:eastAsia="Times New Roman"/>
          <w:lang w:val="en-GB"/>
        </w:rPr>
        <w:t>United States</w:t>
      </w:r>
      <w:bookmarkEnd w:id="13"/>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Strengths </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lastRenderedPageBreak/>
        <w:t>Nike has strong brand equity in the United States thanks to its famous "swoosh" emblem, cutting-edge goods, and connections to elite athletes. Consumer accessibility is improved through the business' vast distribution network, which includes retail locations, e-commerce platforms, and collaborations</w:t>
      </w:r>
      <w:sdt>
        <w:sdtPr>
          <w:rPr>
            <w:rFonts w:ascii="Times New Roman" w:eastAsia="Times New Roman" w:hAnsi="Times New Roman" w:cs="Times New Roman"/>
            <w:color w:val="000000"/>
            <w:sz w:val="24"/>
            <w:szCs w:val="24"/>
            <w:lang w:val="en-GB"/>
          </w:rPr>
          <w:id w:val="593694602"/>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Hoo20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(Hooley, et al., 2020)</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 Nike's dedication to R&amp;D produces a steady stream of technologically cutting-edge goods that appeal to American consumers who are focused on performance.</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Weakness </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The fierce rivalry from both well-established rivals and up-and-coming athleisure businesses is one of Nike's difficulties in the US market. Price-sensitive customers may avoid the firm due to its premium pricing policy, especially during economic downturns. The reputation of Nike's brand can also be damaged by incidents of controversy or bad press, such as unfair labour practises or product recalls.</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Opportunity </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 xml:space="preserve">Nike may benefit from the U.S.'s increasing focus on health and wellbeing by taking advantage of the burgeoning market for </w:t>
      </w:r>
      <w:r w:rsidR="007258B1" w:rsidRPr="00D1114A">
        <w:rPr>
          <w:rFonts w:ascii="Times New Roman" w:eastAsia="Times New Roman" w:hAnsi="Times New Roman" w:cs="Times New Roman"/>
          <w:color w:val="000000"/>
          <w:sz w:val="24"/>
          <w:szCs w:val="24"/>
          <w:lang w:val="en-GB"/>
        </w:rPr>
        <w:t>active wear</w:t>
      </w:r>
      <w:r w:rsidRPr="00D1114A">
        <w:rPr>
          <w:rFonts w:ascii="Times New Roman" w:eastAsia="Times New Roman" w:hAnsi="Times New Roman" w:cs="Times New Roman"/>
          <w:color w:val="000000"/>
          <w:sz w:val="24"/>
          <w:szCs w:val="24"/>
          <w:lang w:val="en-GB"/>
        </w:rPr>
        <w:t xml:space="preserve"> and fitness-related items. The company's emphasis on sustainability is in line with American customers' growing environmental awareness. Nike has the chance to improve direct-to-consumer connection and personalised marketing by using its digital presence and data analytics.</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Threats</w:t>
      </w:r>
      <w:r w:rsidRPr="00D1114A">
        <w:rPr>
          <w:rFonts w:ascii="Times New Roman" w:eastAsia="Times New Roman" w:hAnsi="Times New Roman" w:cs="Times New Roman"/>
          <w:color w:val="000000"/>
          <w:sz w:val="24"/>
          <w:szCs w:val="24"/>
          <w:lang w:val="en-GB"/>
        </w:rPr>
        <w:t> </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Given the popularity of its products, counterfeit goods represent a danger to the legitimacy of the Nike brand and its financial success in the United States. The company's capacity to continually satisfy changing needs might be put to the test by quick changes in customer tastes and fashion trends. The activities of Nike might also be impacted by prospective legal and regulatory issues, such as conflicts over intellectual property or shifting import/export restrictions.</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Nike's marketing tactics in the US should take into account these facts and make the most of its distinctive brand identity and innovative products while also taking into account competition challenges and customer price sensitivity</w:t>
      </w:r>
      <w:sdt>
        <w:sdtPr>
          <w:rPr>
            <w:rFonts w:ascii="Times New Roman" w:eastAsia="Times New Roman" w:hAnsi="Times New Roman" w:cs="Times New Roman"/>
            <w:color w:val="000000"/>
            <w:sz w:val="24"/>
            <w:szCs w:val="24"/>
            <w:lang w:val="en-GB"/>
          </w:rPr>
          <w:id w:val="593694603"/>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Hoo20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(Hooley, et al., 2020)</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 In order to retain and improve its market position in the competitive U.S. market, the firm will need to be able to capture chances through sustainable practises and personalised marketing.</w:t>
      </w:r>
    </w:p>
    <w:p w:rsidR="00D1114A" w:rsidRPr="00D1114A" w:rsidRDefault="00D1114A" w:rsidP="007258B1">
      <w:pPr>
        <w:pStyle w:val="Heading2"/>
        <w:spacing w:line="360" w:lineRule="auto"/>
        <w:rPr>
          <w:rFonts w:eastAsia="Times New Roman"/>
          <w:lang w:val="en-GB"/>
        </w:rPr>
      </w:pPr>
      <w:bookmarkStart w:id="14" w:name="_Toc143526129"/>
      <w:r w:rsidRPr="00D1114A">
        <w:rPr>
          <w:rFonts w:eastAsia="Times New Roman"/>
          <w:lang w:val="en-GB"/>
        </w:rPr>
        <w:t>Japan</w:t>
      </w:r>
      <w:bookmarkEnd w:id="14"/>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Strengths </w:t>
      </w:r>
    </w:p>
    <w:p w:rsidR="00D1114A" w:rsidRPr="00D1114A" w:rsidRDefault="009F1852" w:rsidP="007258B1">
      <w:pPr>
        <w:spacing w:after="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Effective strengths of Nike in Japan eventfully enhance the level of performance quality of the company within the country. Along with this it can also be seen that Nike has developed an effective brand image within Japan which plays a vital role in the development of the company</w:t>
      </w:r>
      <w:sdt>
        <w:sdtPr>
          <w:rPr>
            <w:rFonts w:ascii="Times New Roman" w:eastAsia="Times New Roman" w:hAnsi="Times New Roman" w:cs="Times New Roman"/>
            <w:sz w:val="24"/>
            <w:szCs w:val="24"/>
            <w:lang w:val="en-GB"/>
          </w:rPr>
          <w:id w:val="593694604"/>
          <w:citation/>
        </w:sdtPr>
        <w:sdtContent>
          <w:r w:rsidR="00251E4C">
            <w:rPr>
              <w:rFonts w:ascii="Times New Roman" w:eastAsia="Times New Roman" w:hAnsi="Times New Roman" w:cs="Times New Roman"/>
              <w:sz w:val="24"/>
              <w:szCs w:val="24"/>
              <w:lang w:val="en-GB"/>
            </w:rPr>
            <w:fldChar w:fldCharType="begin"/>
          </w:r>
          <w:r w:rsidR="00465B22">
            <w:rPr>
              <w:rFonts w:ascii="Times New Roman" w:eastAsia="Times New Roman" w:hAnsi="Times New Roman" w:cs="Times New Roman"/>
              <w:sz w:val="24"/>
              <w:szCs w:val="24"/>
            </w:rPr>
            <w:instrText xml:space="preserve"> CITATION Job19 \l 1033 </w:instrText>
          </w:r>
          <w:r w:rsidR="00251E4C">
            <w:rPr>
              <w:rFonts w:ascii="Times New Roman" w:eastAsia="Times New Roman" w:hAnsi="Times New Roman" w:cs="Times New Roman"/>
              <w:sz w:val="24"/>
              <w:szCs w:val="24"/>
              <w:lang w:val="en-GB"/>
            </w:rPr>
            <w:fldChar w:fldCharType="separate"/>
          </w:r>
          <w:r w:rsidR="00465B22">
            <w:rPr>
              <w:rFonts w:ascii="Times New Roman" w:eastAsia="Times New Roman" w:hAnsi="Times New Roman" w:cs="Times New Roman"/>
              <w:noProof/>
              <w:sz w:val="24"/>
              <w:szCs w:val="24"/>
            </w:rPr>
            <w:t xml:space="preserve"> </w:t>
          </w:r>
          <w:r w:rsidR="00465B22" w:rsidRPr="00465B22">
            <w:rPr>
              <w:rFonts w:ascii="Times New Roman" w:eastAsia="Times New Roman" w:hAnsi="Times New Roman" w:cs="Times New Roman"/>
              <w:noProof/>
              <w:sz w:val="24"/>
              <w:szCs w:val="24"/>
            </w:rPr>
            <w:t>(Jobber &amp; Ellis-Chadwick, 2019)</w:t>
          </w:r>
          <w:r w:rsidR="00251E4C">
            <w:rPr>
              <w:rFonts w:ascii="Times New Roman" w:eastAsia="Times New Roman" w:hAnsi="Times New Roman" w:cs="Times New Roman"/>
              <w:sz w:val="24"/>
              <w:szCs w:val="24"/>
              <w:lang w:val="en-GB"/>
            </w:rPr>
            <w:fldChar w:fldCharType="end"/>
          </w:r>
        </w:sdtContent>
      </w:sdt>
      <w:r>
        <w:rPr>
          <w:rFonts w:ascii="Times New Roman" w:eastAsia="Times New Roman" w:hAnsi="Times New Roman" w:cs="Times New Roman"/>
          <w:sz w:val="24"/>
          <w:szCs w:val="24"/>
          <w:lang w:val="en-GB"/>
        </w:rPr>
        <w:t xml:space="preserve">.  </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Weakness </w:t>
      </w:r>
    </w:p>
    <w:p w:rsidR="009F1852" w:rsidRDefault="009F1852" w:rsidP="007258B1">
      <w:pPr>
        <w:spacing w:after="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Huge level of competition has affected the company in various ways. Along with this, high level of cultural barriers also affects the company. </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Opportunity </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Nike's market penetration and brand recognition may be further increased through partnerships with Japanese sports legends and influencers. Nike may appeal to Japanese consumers who are concerned about the environment thanks to the increased emphasis on ecologically friendly and sustainable products.</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Threats </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Nike's market share is under danger due to fierce rivalry from well-known Japanese brands and international rivals. A localised strategy is necessary due to customer preferences and cultural variations, and success may be hampered if these subtleties are not recognised and accommodated. Economic turbulence, shifting consumer trends, and regulatory changes all have the potential to have an influence on Nike's operations in the Japanese market</w:t>
      </w:r>
      <w:sdt>
        <w:sdtPr>
          <w:rPr>
            <w:rFonts w:ascii="Times New Roman" w:eastAsia="Times New Roman" w:hAnsi="Times New Roman" w:cs="Times New Roman"/>
            <w:color w:val="000000"/>
            <w:sz w:val="24"/>
            <w:szCs w:val="24"/>
            <w:lang w:val="en-GB"/>
          </w:rPr>
          <w:id w:val="593694622"/>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Zei21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(Zeithaml, 2021)</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In light of these observations, Nike's marketing tactics in Japan should make the most of its innovations and partnerships while taking into account local compet</w:t>
      </w:r>
      <w:r>
        <w:rPr>
          <w:rFonts w:ascii="Times New Roman" w:eastAsia="Times New Roman" w:hAnsi="Times New Roman" w:cs="Times New Roman"/>
          <w:color w:val="000000"/>
          <w:sz w:val="24"/>
          <w:szCs w:val="24"/>
          <w:lang w:val="en-GB"/>
        </w:rPr>
        <w:t>itors and cultural sensitivity</w:t>
      </w:r>
      <w:sdt>
        <w:sdtPr>
          <w:rPr>
            <w:rFonts w:ascii="Times New Roman" w:eastAsia="Times New Roman" w:hAnsi="Times New Roman" w:cs="Times New Roman"/>
            <w:color w:val="000000"/>
            <w:sz w:val="24"/>
            <w:szCs w:val="24"/>
            <w:lang w:val="en-GB"/>
          </w:rPr>
          <w:id w:val="593694605"/>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Kel18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(Keller, 2018)</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 Nike will be able to overcome obstacles and experience continuous success in the competitive Japanese market by minimising risks through efficient market research and adaptable tactics.</w:t>
      </w:r>
    </w:p>
    <w:p w:rsidR="00D1114A" w:rsidRPr="00D1114A" w:rsidRDefault="00D1114A" w:rsidP="007258B1">
      <w:pPr>
        <w:pStyle w:val="Heading1"/>
        <w:spacing w:line="360" w:lineRule="auto"/>
        <w:rPr>
          <w:rFonts w:eastAsia="Times New Roman"/>
          <w:lang w:val="en-GB"/>
        </w:rPr>
      </w:pPr>
      <w:bookmarkStart w:id="15" w:name="_Toc143526130"/>
      <w:r w:rsidRPr="00D1114A">
        <w:rPr>
          <w:rFonts w:eastAsia="Times New Roman"/>
          <w:lang w:val="en-GB"/>
        </w:rPr>
        <w:lastRenderedPageBreak/>
        <w:t>Segmentation, Targeting, and Positioning (STP)</w:t>
      </w:r>
      <w:bookmarkEnd w:id="15"/>
      <w:r w:rsidRPr="00D1114A">
        <w:rPr>
          <w:rFonts w:eastAsia="Times New Roman"/>
          <w:lang w:val="en-GB"/>
        </w:rPr>
        <w:t xml:space="preserve"> </w:t>
      </w:r>
    </w:p>
    <w:p w:rsidR="00D1114A" w:rsidRDefault="00D1114A" w:rsidP="007258B1">
      <w:pPr>
        <w:pStyle w:val="Heading2"/>
        <w:spacing w:line="360" w:lineRule="auto"/>
        <w:rPr>
          <w:rFonts w:eastAsia="Times New Roman"/>
          <w:lang w:val="en-GB"/>
        </w:rPr>
      </w:pPr>
      <w:bookmarkStart w:id="16" w:name="_Toc143526131"/>
      <w:r w:rsidRPr="00D1114A">
        <w:rPr>
          <w:rFonts w:eastAsia="Times New Roman"/>
          <w:lang w:val="en-GB"/>
        </w:rPr>
        <w:t>Segmentation</w:t>
      </w:r>
      <w:bookmarkEnd w:id="16"/>
    </w:p>
    <w:p w:rsidR="00E45EBB" w:rsidRDefault="00E45EBB" w:rsidP="00E45EBB">
      <w:pPr>
        <w:jc w:val="center"/>
        <w:rPr>
          <w:lang w:val="en-GB"/>
        </w:rPr>
      </w:pPr>
      <w:r>
        <w:rPr>
          <w:noProof/>
        </w:rPr>
        <w:drawing>
          <wp:inline distT="0" distB="0" distL="0" distR="0">
            <wp:extent cx="5105400" cy="3362325"/>
            <wp:effectExtent l="19050" t="19050" r="19050" b="285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srcRect/>
                    <a:stretch>
                      <a:fillRect/>
                    </a:stretch>
                  </pic:blipFill>
                  <pic:spPr bwMode="auto">
                    <a:xfrm>
                      <a:off x="0" y="0"/>
                      <a:ext cx="5105400" cy="3362325"/>
                    </a:xfrm>
                    <a:prstGeom prst="rect">
                      <a:avLst/>
                    </a:prstGeom>
                    <a:noFill/>
                    <a:ln w="9525">
                      <a:solidFill>
                        <a:schemeClr val="tx1"/>
                      </a:solidFill>
                      <a:miter lim="800000"/>
                      <a:headEnd/>
                      <a:tailEnd/>
                    </a:ln>
                  </pic:spPr>
                </pic:pic>
              </a:graphicData>
            </a:graphic>
          </wp:inline>
        </w:drawing>
      </w:r>
    </w:p>
    <w:p w:rsidR="00E45EBB" w:rsidRPr="00AF63AC" w:rsidRDefault="00E45EBB" w:rsidP="00E45EBB">
      <w:pPr>
        <w:jc w:val="center"/>
        <w:rPr>
          <w:rFonts w:ascii="Times New Roman" w:hAnsi="Times New Roman" w:cs="Times New Roman"/>
          <w:b/>
          <w:sz w:val="24"/>
          <w:szCs w:val="24"/>
          <w:lang w:val="en-GB"/>
        </w:rPr>
      </w:pPr>
      <w:r w:rsidRPr="00AF63AC">
        <w:rPr>
          <w:rFonts w:ascii="Times New Roman" w:hAnsi="Times New Roman" w:cs="Times New Roman"/>
          <w:b/>
          <w:sz w:val="24"/>
          <w:szCs w:val="24"/>
          <w:lang w:val="en-GB"/>
        </w:rPr>
        <w:t xml:space="preserve">Figure: Nike’s growth in Japan </w:t>
      </w:r>
    </w:p>
    <w:p w:rsidR="00E45EBB" w:rsidRPr="00AF63AC" w:rsidRDefault="00E45EBB" w:rsidP="00E45EBB">
      <w:pPr>
        <w:jc w:val="center"/>
        <w:rPr>
          <w:rFonts w:ascii="Times New Roman" w:hAnsi="Times New Roman" w:cs="Times New Roman"/>
          <w:b/>
          <w:sz w:val="24"/>
          <w:szCs w:val="24"/>
          <w:lang w:val="en-GB"/>
        </w:rPr>
      </w:pPr>
      <w:r w:rsidRPr="00AF63AC">
        <w:rPr>
          <w:rFonts w:ascii="Times New Roman" w:hAnsi="Times New Roman" w:cs="Times New Roman"/>
          <w:b/>
          <w:sz w:val="24"/>
          <w:szCs w:val="24"/>
          <w:lang w:val="en-GB"/>
        </w:rPr>
        <w:t xml:space="preserve">Source: </w:t>
      </w:r>
      <w:sdt>
        <w:sdtPr>
          <w:rPr>
            <w:rFonts w:ascii="Times New Roman" w:hAnsi="Times New Roman" w:cs="Times New Roman"/>
            <w:b/>
            <w:sz w:val="24"/>
            <w:szCs w:val="24"/>
            <w:lang w:val="en-GB"/>
          </w:rPr>
          <w:id w:val="593694624"/>
          <w:citation/>
        </w:sdtPr>
        <w:sdtContent>
          <w:r w:rsidR="00251E4C">
            <w:rPr>
              <w:rFonts w:ascii="Times New Roman" w:hAnsi="Times New Roman" w:cs="Times New Roman"/>
              <w:b/>
              <w:sz w:val="24"/>
              <w:szCs w:val="24"/>
              <w:lang w:val="en-GB"/>
            </w:rPr>
            <w:fldChar w:fldCharType="begin"/>
          </w:r>
          <w:r w:rsidR="00465B22">
            <w:rPr>
              <w:rFonts w:ascii="Times New Roman" w:hAnsi="Times New Roman" w:cs="Times New Roman"/>
              <w:b/>
              <w:sz w:val="24"/>
              <w:szCs w:val="24"/>
            </w:rPr>
            <w:instrText xml:space="preserve"> CITATION Sta17 \l 1033 </w:instrText>
          </w:r>
          <w:r w:rsidR="00251E4C">
            <w:rPr>
              <w:rFonts w:ascii="Times New Roman" w:hAnsi="Times New Roman" w:cs="Times New Roman"/>
              <w:b/>
              <w:sz w:val="24"/>
              <w:szCs w:val="24"/>
              <w:lang w:val="en-GB"/>
            </w:rPr>
            <w:fldChar w:fldCharType="separate"/>
          </w:r>
          <w:r w:rsidR="00465B22" w:rsidRPr="00465B22">
            <w:rPr>
              <w:rFonts w:ascii="Times New Roman" w:hAnsi="Times New Roman" w:cs="Times New Roman"/>
              <w:noProof/>
              <w:sz w:val="24"/>
              <w:szCs w:val="24"/>
            </w:rPr>
            <w:t>(Statista, 2017)</w:t>
          </w:r>
          <w:r w:rsidR="00251E4C">
            <w:rPr>
              <w:rFonts w:ascii="Times New Roman" w:hAnsi="Times New Roman" w:cs="Times New Roman"/>
              <w:b/>
              <w:sz w:val="24"/>
              <w:szCs w:val="24"/>
              <w:lang w:val="en-GB"/>
            </w:rPr>
            <w:fldChar w:fldCharType="end"/>
          </w:r>
        </w:sdtContent>
      </w:sdt>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Nike's segmentation approach in the US reflects the varied and changing consumer environment of the nation. The business divides its clientele into categories based on behaviour, psychographics, and demographics. Nike acknowledges that sports and an active lifestyle know no bounds by marketing to customers of all ages, genders, and ethnicities. The brand appeals to trend-setters who expect fashionable athleisure clothing, fitness fans who embrace a healthy lifestyle, and athletes looking for performance-enhancing gear</w:t>
      </w:r>
      <w:sdt>
        <w:sdtPr>
          <w:rPr>
            <w:rFonts w:ascii="Times New Roman" w:eastAsia="Times New Roman" w:hAnsi="Times New Roman" w:cs="Times New Roman"/>
            <w:color w:val="000000"/>
            <w:sz w:val="24"/>
            <w:szCs w:val="24"/>
            <w:lang w:val="en-GB"/>
          </w:rPr>
          <w:id w:val="593694606"/>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Kel23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(Keller &amp; Aaker, 2023)</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When dividing up their customer base in Japan, Nike takes cultural quirks into consideration. The segmentation approach is in line with Japanese consumers' appreciation of excellence in design, workmanship, and aesthetics. </w:t>
      </w:r>
    </w:p>
    <w:p w:rsidR="00D1114A" w:rsidRPr="00D1114A" w:rsidRDefault="00D1114A" w:rsidP="007258B1">
      <w:pPr>
        <w:pStyle w:val="Heading2"/>
        <w:spacing w:line="360" w:lineRule="auto"/>
        <w:rPr>
          <w:rFonts w:eastAsia="Times New Roman"/>
          <w:lang w:val="en-GB"/>
        </w:rPr>
      </w:pPr>
      <w:bookmarkStart w:id="17" w:name="_Toc143526132"/>
      <w:r w:rsidRPr="00D1114A">
        <w:rPr>
          <w:rFonts w:eastAsia="Times New Roman"/>
          <w:lang w:val="en-GB"/>
        </w:rPr>
        <w:t>Targeting</w:t>
      </w:r>
      <w:bookmarkEnd w:id="17"/>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 xml:space="preserve">Nike's targeting approach in the US is focused on establishing a lifestyle brand identity that goes beyond sports performance. The company makes use of famous players' sponsorships to attract </w:t>
      </w:r>
      <w:r w:rsidRPr="00D1114A">
        <w:rPr>
          <w:rFonts w:ascii="Times New Roman" w:eastAsia="Times New Roman" w:hAnsi="Times New Roman" w:cs="Times New Roman"/>
          <w:color w:val="000000"/>
          <w:sz w:val="24"/>
          <w:szCs w:val="24"/>
          <w:lang w:val="en-GB"/>
        </w:rPr>
        <w:lastRenderedPageBreak/>
        <w:t>fashion-conscious people and motivate ambitious sports fans. The brand's slogan emphasises self-empowerment and the quest of greatness, which is consistent with the American ideal.</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Nike uses a more culturally relevant method of targeting in Japan. Collaborations with regional sportsmen, designers, and artists give the brand authenticity and familiarity. In addition to highlighting local sports culture, the focus on Japanese players and their accomplishments promotes Nike as a company that appreciates tradition while embracing innovation.</w:t>
      </w:r>
    </w:p>
    <w:p w:rsidR="00D1114A" w:rsidRPr="00D1114A" w:rsidRDefault="00D1114A" w:rsidP="007258B1">
      <w:pPr>
        <w:pStyle w:val="Heading2"/>
        <w:spacing w:line="360" w:lineRule="auto"/>
        <w:rPr>
          <w:rFonts w:eastAsia="Times New Roman"/>
          <w:lang w:val="en-GB"/>
        </w:rPr>
      </w:pPr>
      <w:bookmarkStart w:id="18" w:name="_Toc143526133"/>
      <w:r w:rsidRPr="00D1114A">
        <w:rPr>
          <w:rFonts w:eastAsia="Times New Roman"/>
          <w:lang w:val="en-GB"/>
        </w:rPr>
        <w:t>Positioning</w:t>
      </w:r>
      <w:bookmarkEnd w:id="18"/>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Nike's positioning centres on innovation, performance, and personality in the United States. The company's dedication to increasing athletic ability is underscored by its focus on cuttin</w:t>
      </w:r>
      <w:r w:rsidR="00486771">
        <w:rPr>
          <w:rFonts w:ascii="Times New Roman" w:eastAsia="Times New Roman" w:hAnsi="Times New Roman" w:cs="Times New Roman"/>
          <w:color w:val="000000"/>
          <w:sz w:val="24"/>
          <w:szCs w:val="24"/>
          <w:lang w:val="en-GB"/>
        </w:rPr>
        <w:t>g-edge technology and features</w:t>
      </w:r>
      <w:r w:rsidRPr="00D1114A">
        <w:rPr>
          <w:rFonts w:ascii="Times New Roman" w:eastAsia="Times New Roman" w:hAnsi="Times New Roman" w:cs="Times New Roman"/>
          <w:color w:val="000000"/>
          <w:sz w:val="24"/>
          <w:szCs w:val="24"/>
          <w:lang w:val="en-GB"/>
        </w:rPr>
        <w:t>. The catchphrase "Just Do It" epitomises the spirit of resolve and empowerment that appeals to American customers, establishing Nike as a motivator for individual success</w:t>
      </w:r>
      <w:sdt>
        <w:sdtPr>
          <w:rPr>
            <w:rFonts w:ascii="Times New Roman" w:eastAsia="Times New Roman" w:hAnsi="Times New Roman" w:cs="Times New Roman"/>
            <w:color w:val="000000"/>
            <w:sz w:val="24"/>
            <w:szCs w:val="24"/>
            <w:lang w:val="en-GB"/>
          </w:rPr>
          <w:id w:val="593694607"/>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Kim17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(Kim, et al., 2017)</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Nike presents itself as a seamless fusion of tradition and contemporary in Japan. The company serves those who want items that are both useful and beautiful, bridging the gap between sporting and casual clothing. Nike respects the rich cultural legacy of Japan while being a symbol of modernity by presenting a message of modern performance and craftsmanship.</w:t>
      </w:r>
    </w:p>
    <w:p w:rsidR="00D1114A" w:rsidRPr="00D1114A" w:rsidRDefault="00D1114A" w:rsidP="007258B1">
      <w:pPr>
        <w:pStyle w:val="Heading1"/>
        <w:spacing w:line="360" w:lineRule="auto"/>
        <w:rPr>
          <w:rFonts w:eastAsia="Times New Roman"/>
          <w:lang w:val="en-GB"/>
        </w:rPr>
      </w:pPr>
      <w:bookmarkStart w:id="19" w:name="_Toc143526134"/>
      <w:r w:rsidRPr="00D1114A">
        <w:rPr>
          <w:rFonts w:eastAsia="Times New Roman"/>
          <w:lang w:val="en-GB"/>
        </w:rPr>
        <w:t>Marketing Mix (7Ps)</w:t>
      </w:r>
      <w:bookmarkEnd w:id="19"/>
      <w:r w:rsidRPr="00D1114A">
        <w:rPr>
          <w:rFonts w:eastAsia="Times New Roman"/>
          <w:lang w:val="en-GB"/>
        </w:rPr>
        <w:t xml:space="preserve"> </w:t>
      </w:r>
    </w:p>
    <w:p w:rsidR="00D1114A" w:rsidRPr="00D1114A" w:rsidRDefault="00D1114A" w:rsidP="007258B1">
      <w:pPr>
        <w:pStyle w:val="Heading2"/>
        <w:spacing w:line="360" w:lineRule="auto"/>
        <w:rPr>
          <w:rFonts w:eastAsia="Times New Roman"/>
          <w:lang w:val="en-GB"/>
        </w:rPr>
      </w:pPr>
      <w:bookmarkStart w:id="20" w:name="_Toc143526135"/>
      <w:r w:rsidRPr="00D1114A">
        <w:rPr>
          <w:rFonts w:eastAsia="Times New Roman"/>
          <w:lang w:val="en-GB"/>
        </w:rPr>
        <w:t>Product</w:t>
      </w:r>
      <w:bookmarkEnd w:id="20"/>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Nike's product line in the US is designed to appeal to a wide range of customers who value both performance and fashion. Athletic footwear, clothing, and accessories made for a variety of sports and activities make up the company's product line. The three pillars of Nike's American business strategy are innovation, customisation, and personalisation.</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Nike is always introducing innovative technology to improve sports performance. For instance, the use of Flyknit and Air cushioning technologies in trainers appeals to American buyers who value both form and function. Targeting players and fans of sports including basketball, jogging, soccer, and more, the product line also includes divisions for other sports</w:t>
      </w:r>
      <w:sdt>
        <w:sdtPr>
          <w:rPr>
            <w:rFonts w:ascii="Times New Roman" w:eastAsia="Times New Roman" w:hAnsi="Times New Roman" w:cs="Times New Roman"/>
            <w:color w:val="000000"/>
            <w:sz w:val="24"/>
            <w:szCs w:val="24"/>
            <w:lang w:val="en-GB"/>
          </w:rPr>
          <w:id w:val="593694608"/>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Kot19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(Kotler, et al., 2019)</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 xml:space="preserve">Additionally, Nike's emphasis on customisation aligns with the U.S. market's value of uniqueness. Customers may customise shoes and clothing through the Nike By You programme, </w:t>
      </w:r>
      <w:r w:rsidRPr="00D1114A">
        <w:rPr>
          <w:rFonts w:ascii="Times New Roman" w:eastAsia="Times New Roman" w:hAnsi="Times New Roman" w:cs="Times New Roman"/>
          <w:color w:val="000000"/>
          <w:sz w:val="24"/>
          <w:szCs w:val="24"/>
          <w:lang w:val="en-GB"/>
        </w:rPr>
        <w:lastRenderedPageBreak/>
        <w:t>showing their distinct fashion sense and preferences. This supports Nike's brand as a tool for empowering individuals and is in line with the American spirit of individual expression.</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Innovation and adherence to traditional aesthetics are balanced in Nike's product plans in Japan. Nike provides items that effortlessly combine cutting-edge performance characteristics with classic design aspects in Japan in recognition of the country's passion for great workmanship.</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Nike's partnerships with regional artists, designers, and sportsmen are essential in the Japanese market. These partnerships provide the items credibility and appeal to Japanese customers who appreciate cultural significance</w:t>
      </w:r>
      <w:sdt>
        <w:sdtPr>
          <w:rPr>
            <w:rFonts w:ascii="Times New Roman" w:eastAsia="Times New Roman" w:hAnsi="Times New Roman" w:cs="Times New Roman"/>
            <w:color w:val="000000"/>
            <w:sz w:val="24"/>
            <w:szCs w:val="24"/>
            <w:lang w:val="en-GB"/>
          </w:rPr>
          <w:id w:val="593694609"/>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Kot19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(Kotler, et al., 2019)</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 The popularity of the brand is increased via limited edition releases and exclusive collections, which capitalise on Japanese consumers' love of collecting goods.</w:t>
      </w:r>
    </w:p>
    <w:p w:rsidR="00D1114A" w:rsidRPr="00D1114A" w:rsidRDefault="00D1114A" w:rsidP="007258B1">
      <w:pPr>
        <w:pStyle w:val="Heading2"/>
        <w:spacing w:line="360" w:lineRule="auto"/>
        <w:rPr>
          <w:rFonts w:eastAsia="Times New Roman"/>
          <w:lang w:val="en-GB"/>
        </w:rPr>
      </w:pPr>
      <w:bookmarkStart w:id="21" w:name="_Toc143526136"/>
      <w:r w:rsidRPr="00D1114A">
        <w:rPr>
          <w:rFonts w:eastAsia="Times New Roman"/>
          <w:lang w:val="en-GB"/>
        </w:rPr>
        <w:t>Price</w:t>
      </w:r>
      <w:bookmarkEnd w:id="21"/>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Nike's pricing policies in Japan take into account the distinct qualities of the market, where customers value uniqueness, quality, and handcrafting. The corporation is aware of the Japanese market's penchant for high-end goods that reflect their cultural ideals. Nike's price approach frequently highlights the brand's premium image in the Japanese market. The brand's quality, design, and performance are reflected in the company's positioning of its products at higher price points. Limited edition releases and partnerships are particularly successful in Japan, where customers are ready to pay more for distinctive and culturally significant products</w:t>
      </w:r>
      <w:sdt>
        <w:sdtPr>
          <w:rPr>
            <w:rFonts w:ascii="Times New Roman" w:eastAsia="Times New Roman" w:hAnsi="Times New Roman" w:cs="Times New Roman"/>
            <w:color w:val="000000"/>
            <w:sz w:val="24"/>
            <w:szCs w:val="24"/>
            <w:lang w:val="en-GB"/>
          </w:rPr>
          <w:id w:val="593694610"/>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Kue19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(Kuehnl, et al., 2019)</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 Given that the Japanese market values products that communicate exclusivity and prestige, Nike's pricing strategy in that country may also include elements of luxury pricing. This strategy fits with the brand's aspiration nature and appeals to customers looking for a fusion of fashion and utility.</w:t>
      </w:r>
    </w:p>
    <w:p w:rsidR="00D1114A" w:rsidRPr="00D1114A" w:rsidRDefault="00D1114A" w:rsidP="007258B1">
      <w:pPr>
        <w:pStyle w:val="Heading2"/>
        <w:spacing w:line="360" w:lineRule="auto"/>
        <w:rPr>
          <w:rFonts w:eastAsia="Times New Roman"/>
          <w:lang w:val="en-GB"/>
        </w:rPr>
      </w:pPr>
      <w:bookmarkStart w:id="22" w:name="_Toc143526137"/>
      <w:r w:rsidRPr="00D1114A">
        <w:rPr>
          <w:rFonts w:eastAsia="Times New Roman"/>
          <w:lang w:val="en-GB"/>
        </w:rPr>
        <w:t>Promotion</w:t>
      </w:r>
      <w:bookmarkEnd w:id="22"/>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 xml:space="preserve">The marketing mix's key element is promotion, which shapes a brand's exposure, image, and customer interaction. Nike's marketing tactics in the US and Japan </w:t>
      </w:r>
      <w:r w:rsidR="00486771" w:rsidRPr="00D1114A">
        <w:rPr>
          <w:rFonts w:ascii="Times New Roman" w:eastAsia="Times New Roman" w:hAnsi="Times New Roman" w:cs="Times New Roman"/>
          <w:color w:val="000000"/>
          <w:sz w:val="24"/>
          <w:szCs w:val="24"/>
          <w:lang w:val="en-GB"/>
        </w:rPr>
        <w:t>is</w:t>
      </w:r>
      <w:r w:rsidRPr="00D1114A">
        <w:rPr>
          <w:rFonts w:ascii="Times New Roman" w:eastAsia="Times New Roman" w:hAnsi="Times New Roman" w:cs="Times New Roman"/>
          <w:color w:val="000000"/>
          <w:sz w:val="24"/>
          <w:szCs w:val="24"/>
          <w:lang w:val="en-GB"/>
        </w:rPr>
        <w:t xml:space="preserve"> excellent examples of how it can successfully communicate its brand message while navigating local quirks and customer behaviour. Nike's marketing initiatives in the US place a strong emphasis on its cutting-edge goods, athlete endorsements, and aspiration message. The business uses well-known sporting occasions, including the Super Bowl and the NBA Finals, to promote its newest products and draw in a large audience</w:t>
      </w:r>
      <w:sdt>
        <w:sdtPr>
          <w:rPr>
            <w:rFonts w:ascii="Times New Roman" w:eastAsia="Times New Roman" w:hAnsi="Times New Roman" w:cs="Times New Roman"/>
            <w:color w:val="000000"/>
            <w:sz w:val="24"/>
            <w:szCs w:val="24"/>
            <w:lang w:val="en-GB"/>
          </w:rPr>
          <w:id w:val="593694611"/>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LuW19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(Lu &amp; Rahman, 2019)</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 xml:space="preserve">. Customers feel a connection to Nike because of </w:t>
      </w:r>
      <w:r w:rsidRPr="00D1114A">
        <w:rPr>
          <w:rFonts w:ascii="Times New Roman" w:eastAsia="Times New Roman" w:hAnsi="Times New Roman" w:cs="Times New Roman"/>
          <w:color w:val="000000"/>
          <w:sz w:val="24"/>
          <w:szCs w:val="24"/>
          <w:lang w:val="en-GB"/>
        </w:rPr>
        <w:lastRenderedPageBreak/>
        <w:t>its collaborations with well-known athletes like LeBron James and Serena Williams, who encourage them to emulate the spirit of champions.</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Nike's advertising in the United States mostly relies on digital networks. Viral campaigns are made possible by the brand's active social media presence, which also allows for direct customer involvement. Nike's "Just Do It" marketing efforts appeal to Americans' sense of self-expression, empowerment, and resolve, further solidifying the company's position as a lifestyle brand. The market in Japan values authenticity and craftsmanship in culture, and Nike's marketing tactics reflect this. Collaborations with regional sportsmen, designers, and artists give the brand a sense of exclusivity and reliability. Nike is able to capitalise on Japan's passion of collectibles and distinctive products thanks to these collaborations</w:t>
      </w:r>
      <w:sdt>
        <w:sdtPr>
          <w:rPr>
            <w:rFonts w:ascii="Times New Roman" w:eastAsia="Times New Roman" w:hAnsi="Times New Roman" w:cs="Times New Roman"/>
            <w:color w:val="000000"/>
            <w:sz w:val="24"/>
            <w:szCs w:val="24"/>
            <w:lang w:val="en-GB"/>
          </w:rPr>
          <w:id w:val="593694621"/>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Zei19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(Zeithaml, et al., 2019)</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Nike effectively uses both conventional and digital platforms in Japan to connect with customers. The corporation frequently incorporates aspects of Japanese culture into their ads, which resonates with consumers' ideals and gives them a sense of familiarity. Pop-up events and limited edition releases excite and fuel demand among Japanese customers, who value the fusion of innovation and tradition.</w:t>
      </w:r>
    </w:p>
    <w:p w:rsidR="00D1114A" w:rsidRPr="00D1114A" w:rsidRDefault="00D1114A" w:rsidP="007258B1">
      <w:pPr>
        <w:pStyle w:val="Heading2"/>
        <w:spacing w:line="360" w:lineRule="auto"/>
        <w:rPr>
          <w:rFonts w:eastAsia="Times New Roman"/>
          <w:lang w:val="en-GB"/>
        </w:rPr>
      </w:pPr>
      <w:bookmarkStart w:id="23" w:name="_Toc143526138"/>
      <w:r w:rsidRPr="00D1114A">
        <w:rPr>
          <w:rFonts w:eastAsia="Times New Roman"/>
          <w:lang w:val="en-GB"/>
        </w:rPr>
        <w:t>Place</w:t>
      </w:r>
      <w:bookmarkEnd w:id="23"/>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Place, a crucial element of the marketing mix, includes the places and channels used to make items available to customers. Nike's distribution plans in Japan and the US demonstrate the company's skill at handling the shifting consumer tastes and market conditions. </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Nike uses a broad and varied distribution network in the US to connect with a variety of customers. Products from the brand can be purchased via a number of channels, including company-owned retail locations, internet marketplaces, and independent merchants. Nike's online presence has grown significantly, providing ease and one-on-one communication with customers</w:t>
      </w:r>
      <w:sdt>
        <w:sdtPr>
          <w:rPr>
            <w:rFonts w:ascii="Times New Roman" w:eastAsia="Times New Roman" w:hAnsi="Times New Roman" w:cs="Times New Roman"/>
            <w:color w:val="000000"/>
            <w:sz w:val="24"/>
            <w:szCs w:val="24"/>
            <w:lang w:val="en-GB"/>
          </w:rPr>
          <w:id w:val="593694612"/>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Moo19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(Moon, et al., 2019)</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 To increase its reach, the brand actively collaborates with top department shops and athletic goods retailers.</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Physical storefronts of the business act as experience centres where customers can interact with the brand and its goods. In order to leave a lasting impression, Nike's flagship shops in major cities provide immersive shopping experiences that combine cutting-edge technology with individualised services</w:t>
      </w:r>
      <w:sdt>
        <w:sdtPr>
          <w:rPr>
            <w:rFonts w:ascii="Times New Roman" w:eastAsia="Times New Roman" w:hAnsi="Times New Roman" w:cs="Times New Roman"/>
            <w:color w:val="000000"/>
            <w:sz w:val="24"/>
            <w:szCs w:val="24"/>
            <w:lang w:val="en-GB"/>
          </w:rPr>
          <w:id w:val="593694619"/>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Sol19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(Solomon, 2019)</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 xml:space="preserve">. Nike's distribution plans in Japan are in line with the market's taste for exclusivity and high quality. The company carefully chooses its retail partners, </w:t>
      </w:r>
      <w:r w:rsidRPr="00D1114A">
        <w:rPr>
          <w:rFonts w:ascii="Times New Roman" w:eastAsia="Times New Roman" w:hAnsi="Times New Roman" w:cs="Times New Roman"/>
          <w:color w:val="000000"/>
          <w:sz w:val="24"/>
          <w:szCs w:val="24"/>
          <w:lang w:val="en-GB"/>
        </w:rPr>
        <w:lastRenderedPageBreak/>
        <w:t>choosing those who complement its brand identity. Flagship stores and concept shops are purposefully positioned in high traffic areas to draw in customers.</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Japanese consumers' interests are catered for in Nike's e-commerce platform, which provides easy online buying functions and dependable shipping services. The company's physical locations strive to offer a distinctive shopping experience, frequently including Japanese cultural themes to appeal to customers.</w:t>
      </w:r>
    </w:p>
    <w:p w:rsidR="00D1114A" w:rsidRDefault="00D1114A" w:rsidP="007258B1">
      <w:pPr>
        <w:pStyle w:val="Heading1"/>
        <w:spacing w:line="360" w:lineRule="auto"/>
        <w:rPr>
          <w:rFonts w:eastAsia="Times New Roman"/>
          <w:lang w:val="en-GB"/>
        </w:rPr>
      </w:pPr>
      <w:bookmarkStart w:id="24" w:name="_Toc143526139"/>
      <w:r w:rsidRPr="00D1114A">
        <w:rPr>
          <w:rFonts w:eastAsia="Times New Roman"/>
          <w:lang w:val="en-GB"/>
        </w:rPr>
        <w:t>Directional Development Strategy (Ansoff Matrix)</w:t>
      </w:r>
      <w:bookmarkEnd w:id="24"/>
      <w:r w:rsidRPr="00D1114A">
        <w:rPr>
          <w:rFonts w:eastAsia="Times New Roman"/>
          <w:lang w:val="en-GB"/>
        </w:rPr>
        <w:t xml:space="preserve"> </w:t>
      </w:r>
    </w:p>
    <w:p w:rsidR="00AF63AC" w:rsidRDefault="00AF63AC" w:rsidP="00AF63AC">
      <w:pPr>
        <w:jc w:val="center"/>
        <w:rPr>
          <w:lang w:val="en-GB"/>
        </w:rPr>
      </w:pPr>
      <w:r>
        <w:rPr>
          <w:noProof/>
        </w:rPr>
        <w:drawing>
          <wp:inline distT="0" distB="0" distL="0" distR="0">
            <wp:extent cx="4057650" cy="3457575"/>
            <wp:effectExtent l="19050" t="19050" r="19050" b="285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srcRect/>
                    <a:stretch>
                      <a:fillRect/>
                    </a:stretch>
                  </pic:blipFill>
                  <pic:spPr bwMode="auto">
                    <a:xfrm>
                      <a:off x="0" y="0"/>
                      <a:ext cx="4057650" cy="3457575"/>
                    </a:xfrm>
                    <a:prstGeom prst="rect">
                      <a:avLst/>
                    </a:prstGeom>
                    <a:noFill/>
                    <a:ln w="9525">
                      <a:solidFill>
                        <a:schemeClr val="tx1"/>
                      </a:solidFill>
                      <a:miter lim="800000"/>
                      <a:headEnd/>
                      <a:tailEnd/>
                    </a:ln>
                  </pic:spPr>
                </pic:pic>
              </a:graphicData>
            </a:graphic>
          </wp:inline>
        </w:drawing>
      </w:r>
    </w:p>
    <w:p w:rsidR="00AF63AC" w:rsidRPr="00AF63AC" w:rsidRDefault="00AF63AC" w:rsidP="00AF63AC">
      <w:pPr>
        <w:jc w:val="center"/>
        <w:rPr>
          <w:rFonts w:ascii="Times New Roman" w:hAnsi="Times New Roman" w:cs="Times New Roman"/>
          <w:b/>
          <w:sz w:val="24"/>
          <w:szCs w:val="24"/>
          <w:lang w:val="en-GB"/>
        </w:rPr>
      </w:pPr>
      <w:r w:rsidRPr="00AF63AC">
        <w:rPr>
          <w:rFonts w:ascii="Times New Roman" w:hAnsi="Times New Roman" w:cs="Times New Roman"/>
          <w:b/>
          <w:sz w:val="24"/>
          <w:szCs w:val="24"/>
          <w:lang w:val="en-GB"/>
        </w:rPr>
        <w:t>Figure: Ansoff Matix</w:t>
      </w:r>
    </w:p>
    <w:p w:rsidR="00AF63AC" w:rsidRPr="00AF63AC" w:rsidRDefault="00AF63AC" w:rsidP="00AF63AC">
      <w:pPr>
        <w:jc w:val="center"/>
        <w:rPr>
          <w:rFonts w:ascii="Times New Roman" w:hAnsi="Times New Roman" w:cs="Times New Roman"/>
          <w:b/>
          <w:sz w:val="24"/>
          <w:szCs w:val="24"/>
          <w:lang w:val="en-GB"/>
        </w:rPr>
      </w:pPr>
      <w:r w:rsidRPr="00AF63AC">
        <w:rPr>
          <w:rFonts w:ascii="Times New Roman" w:hAnsi="Times New Roman" w:cs="Times New Roman"/>
          <w:b/>
          <w:sz w:val="24"/>
          <w:szCs w:val="24"/>
          <w:lang w:val="en-GB"/>
        </w:rPr>
        <w:t xml:space="preserve">Source: </w:t>
      </w:r>
      <w:sdt>
        <w:sdtPr>
          <w:rPr>
            <w:rFonts w:ascii="Times New Roman" w:hAnsi="Times New Roman" w:cs="Times New Roman"/>
            <w:b/>
            <w:sz w:val="24"/>
            <w:szCs w:val="24"/>
            <w:lang w:val="en-GB"/>
          </w:rPr>
          <w:id w:val="593694625"/>
          <w:citation/>
        </w:sdtPr>
        <w:sdtContent>
          <w:r w:rsidR="00251E4C">
            <w:rPr>
              <w:rFonts w:ascii="Times New Roman" w:hAnsi="Times New Roman" w:cs="Times New Roman"/>
              <w:b/>
              <w:sz w:val="24"/>
              <w:szCs w:val="24"/>
              <w:lang w:val="en-GB"/>
            </w:rPr>
            <w:fldChar w:fldCharType="begin"/>
          </w:r>
          <w:r w:rsidR="00465B22">
            <w:rPr>
              <w:rFonts w:ascii="Times New Roman" w:hAnsi="Times New Roman" w:cs="Times New Roman"/>
              <w:b/>
              <w:sz w:val="24"/>
              <w:szCs w:val="24"/>
            </w:rPr>
            <w:instrText xml:space="preserve"> CITATION Fin \l 1033 </w:instrText>
          </w:r>
          <w:r w:rsidR="00251E4C">
            <w:rPr>
              <w:rFonts w:ascii="Times New Roman" w:hAnsi="Times New Roman" w:cs="Times New Roman"/>
              <w:b/>
              <w:sz w:val="24"/>
              <w:szCs w:val="24"/>
              <w:lang w:val="en-GB"/>
            </w:rPr>
            <w:fldChar w:fldCharType="separate"/>
          </w:r>
          <w:r w:rsidR="00465B22" w:rsidRPr="00465B22">
            <w:rPr>
              <w:rFonts w:ascii="Times New Roman" w:hAnsi="Times New Roman" w:cs="Times New Roman"/>
              <w:noProof/>
              <w:sz w:val="24"/>
              <w:szCs w:val="24"/>
            </w:rPr>
            <w:t>(Finney &amp; Joseph, 2009)</w:t>
          </w:r>
          <w:r w:rsidR="00251E4C">
            <w:rPr>
              <w:rFonts w:ascii="Times New Roman" w:hAnsi="Times New Roman" w:cs="Times New Roman"/>
              <w:b/>
              <w:sz w:val="24"/>
              <w:szCs w:val="24"/>
              <w:lang w:val="en-GB"/>
            </w:rPr>
            <w:fldChar w:fldCharType="end"/>
          </w:r>
        </w:sdtContent>
      </w:sdt>
    </w:p>
    <w:p w:rsidR="00D1114A" w:rsidRPr="00D1114A" w:rsidRDefault="00D1114A" w:rsidP="007258B1">
      <w:pPr>
        <w:pStyle w:val="Heading2"/>
        <w:spacing w:line="360" w:lineRule="auto"/>
        <w:rPr>
          <w:rFonts w:eastAsia="Times New Roman"/>
          <w:lang w:val="en-GB"/>
        </w:rPr>
      </w:pPr>
      <w:bookmarkStart w:id="25" w:name="_Toc143526140"/>
      <w:r w:rsidRPr="00D1114A">
        <w:rPr>
          <w:rFonts w:eastAsia="Times New Roman"/>
          <w:lang w:val="en-GB"/>
        </w:rPr>
        <w:t>United States</w:t>
      </w:r>
      <w:bookmarkEnd w:id="25"/>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Market Penetration</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Nike has a strong market penetration strategy in the US to increase its share of the sports footwear and clothing industry by using its established goods and high brand value. The business does this through creative marketing initiatives, partnerships with athletes, and focused promotional efforts at important sporting occasions</w:t>
      </w:r>
      <w:sdt>
        <w:sdtPr>
          <w:rPr>
            <w:rFonts w:ascii="Times New Roman" w:eastAsia="Times New Roman" w:hAnsi="Times New Roman" w:cs="Times New Roman"/>
            <w:color w:val="000000"/>
            <w:sz w:val="24"/>
            <w:szCs w:val="24"/>
            <w:lang w:val="en-GB"/>
          </w:rPr>
          <w:id w:val="593694613"/>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Par19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(Parente, et al., 2019)</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 xml:space="preserve">. Nike maintains its </w:t>
      </w:r>
      <w:r w:rsidRPr="00D1114A">
        <w:rPr>
          <w:rFonts w:ascii="Times New Roman" w:eastAsia="Times New Roman" w:hAnsi="Times New Roman" w:cs="Times New Roman"/>
          <w:color w:val="000000"/>
          <w:sz w:val="24"/>
          <w:szCs w:val="24"/>
          <w:lang w:val="en-GB"/>
        </w:rPr>
        <w:lastRenderedPageBreak/>
        <w:t>position as a market leader by consistently interacting with customers and promoting its brand message.</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Market Development</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Nike's market expansion strategy in the United States is reaching out to new customer demographics or unexplored geographic areas. The business focuses on particular markets, such as the burgeoning athleisure movement, to diversify its customer base beyond conventional sports fans. Nike is able to enter the lifestyle and fashion marketplaces through partnerships with fashion designers and influencers, appealing to a larger audience looking for fashionable yet comfortable clothes.</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Product Development</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Nike's approach to product development is to introduce cutting-edge goods that satisfy changing consumer tastes. To introduce cutting-edge footwear and apparel lines that include the newest performance-enhancing technology, the firm makes research and development investments. Nike meets the demand for innovation and maintains its attractiveness to tech-savvy consumers by consistently expanding its product selection.</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Diversification</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While Nike focuses on the sports footwear and clothing market, it also welcomes diversification by pursuing opportunities in allied industries. The business's entry into the world of digital fitness applications, such the Nike Training Club, indicates its dedication to provide all-encompassing fitness solutions. The trend of customers demanding full health and wellness experiences is in line with this diversity</w:t>
      </w:r>
      <w:sdt>
        <w:sdtPr>
          <w:rPr>
            <w:rFonts w:ascii="Times New Roman" w:eastAsia="Times New Roman" w:hAnsi="Times New Roman" w:cs="Times New Roman"/>
            <w:color w:val="000000"/>
            <w:sz w:val="24"/>
            <w:szCs w:val="24"/>
            <w:lang w:val="en-GB"/>
          </w:rPr>
          <w:id w:val="593694614"/>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Par19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(Parente, et al., 2019)</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w:t>
      </w:r>
    </w:p>
    <w:p w:rsidR="001560F7" w:rsidRDefault="00D1114A" w:rsidP="007258B1">
      <w:pPr>
        <w:spacing w:after="0" w:line="360" w:lineRule="auto"/>
        <w:jc w:val="both"/>
        <w:rPr>
          <w:rFonts w:ascii="Times New Roman" w:eastAsia="Times New Roman" w:hAnsi="Times New Roman" w:cs="Times New Roman"/>
          <w:color w:val="000000"/>
          <w:sz w:val="24"/>
          <w:szCs w:val="24"/>
          <w:lang w:val="en-GB"/>
        </w:rPr>
      </w:pPr>
      <w:r w:rsidRPr="00D1114A">
        <w:rPr>
          <w:rFonts w:ascii="Times New Roman" w:eastAsia="Times New Roman" w:hAnsi="Times New Roman" w:cs="Times New Roman"/>
          <w:color w:val="000000"/>
          <w:sz w:val="24"/>
          <w:szCs w:val="24"/>
          <w:lang w:val="en-GB"/>
        </w:rPr>
        <w:t>According to the Ansoff Matrix, Nike's directional development strategy in the US demonstrates its capacity to concurrently enter existing markets, research new customer niches, launch novel goods, and diversify its product range. Nike assures continuous growth and relevance in the dynamic U.S. market by exploiting its brand power, innovative skills, and agility</w:t>
      </w:r>
      <w:sdt>
        <w:sdtPr>
          <w:rPr>
            <w:rFonts w:ascii="Times New Roman" w:eastAsia="Times New Roman" w:hAnsi="Times New Roman" w:cs="Times New Roman"/>
            <w:color w:val="000000"/>
            <w:sz w:val="24"/>
            <w:szCs w:val="24"/>
            <w:lang w:val="en-GB"/>
          </w:rPr>
          <w:id w:val="593694616"/>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Pri21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(Pride &amp; Ferrell, 2021)</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w:t>
      </w:r>
      <w:r w:rsidR="001560F7">
        <w:rPr>
          <w:rFonts w:ascii="Times New Roman" w:eastAsia="Times New Roman" w:hAnsi="Times New Roman" w:cs="Times New Roman"/>
          <w:color w:val="000000"/>
          <w:sz w:val="24"/>
          <w:szCs w:val="24"/>
          <w:lang w:val="en-GB"/>
        </w:rPr>
        <w:t xml:space="preserve"> </w:t>
      </w:r>
    </w:p>
    <w:p w:rsidR="00D1114A" w:rsidRPr="00D1114A" w:rsidRDefault="001560F7" w:rsidP="007258B1">
      <w:pPr>
        <w:spacing w:after="0" w:line="360" w:lineRule="auto"/>
        <w:jc w:val="both"/>
        <w:rPr>
          <w:rFonts w:ascii="Times New Roman" w:eastAsia="Times New Roman" w:hAnsi="Times New Roman" w:cs="Times New Roman"/>
          <w:sz w:val="24"/>
          <w:szCs w:val="24"/>
          <w:lang w:val="en-GB"/>
        </w:rPr>
      </w:pPr>
      <w:r w:rsidRPr="001560F7">
        <w:rPr>
          <w:rFonts w:ascii="Times New Roman" w:eastAsia="Times New Roman" w:hAnsi="Times New Roman" w:cs="Times New Roman"/>
          <w:color w:val="000000"/>
          <w:sz w:val="24"/>
          <w:szCs w:val="24"/>
          <w:lang w:val="en-GB"/>
        </w:rPr>
        <w:t xml:space="preserve">The utilisation of licensing as a strategy for market entry presents the notable benefit of diminished capital investment and expeditious market penetration, thereby facilitating the swift expansion of companies into novel markets. This approach allows for the effective utilisation of local proficiency and distribution networks. Nevertheless, it is accompanied by the drawback of restricted authority over licensee operations and plausible relinquishment of intellectual property </w:t>
      </w:r>
      <w:r w:rsidRPr="001560F7">
        <w:rPr>
          <w:rFonts w:ascii="Times New Roman" w:eastAsia="Times New Roman" w:hAnsi="Times New Roman" w:cs="Times New Roman"/>
          <w:color w:val="000000"/>
          <w:sz w:val="24"/>
          <w:szCs w:val="24"/>
          <w:lang w:val="en-GB"/>
        </w:rPr>
        <w:lastRenderedPageBreak/>
        <w:t>control, alongside the peril of engendering rivalry and reliance on licensee performance. Considering intricate agreements and sacrificing greater potential for income are additional aspects to take into account when selecting licencing.</w:t>
      </w:r>
    </w:p>
    <w:p w:rsidR="00D1114A" w:rsidRPr="00D1114A" w:rsidRDefault="00D1114A" w:rsidP="007258B1">
      <w:pPr>
        <w:pStyle w:val="Heading2"/>
        <w:spacing w:line="360" w:lineRule="auto"/>
        <w:rPr>
          <w:rFonts w:eastAsia="Times New Roman"/>
          <w:lang w:val="en-GB"/>
        </w:rPr>
      </w:pPr>
      <w:bookmarkStart w:id="26" w:name="_Toc143526141"/>
      <w:r w:rsidRPr="00D1114A">
        <w:rPr>
          <w:rFonts w:eastAsia="Times New Roman"/>
          <w:lang w:val="en-GB"/>
        </w:rPr>
        <w:t>Japan</w:t>
      </w:r>
      <w:bookmarkEnd w:id="26"/>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Market Penetration</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Nike's market entry strategy in Japan includes fortifying the company's position in the already-existing sports footwear and clothing sector. To increase its market share among Japanese consumers, the corporation makes use of its strong worldwide brand recognition and cutting-edge products. Nike strengthens its brand image and keeps its attractiveness to sports fans through effective marketing efforts and partnerships with regional athletes.</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Market Development</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Nike's market expansion initiatives in Japan cover unexplored customer demographics and geographic areas. The business spots chances to meet the changing tastes of Japanese customers. Nike expands its consumer base and forges a stronger bond with the market by introducing goods that are in tune with regional culture and values, such as limited edition releases that are inspired by Japanese customs</w:t>
      </w:r>
      <w:sdt>
        <w:sdtPr>
          <w:rPr>
            <w:rFonts w:ascii="Times New Roman" w:eastAsia="Times New Roman" w:hAnsi="Times New Roman" w:cs="Times New Roman"/>
            <w:color w:val="000000"/>
            <w:sz w:val="24"/>
            <w:szCs w:val="24"/>
            <w:lang w:val="en-GB"/>
          </w:rPr>
          <w:id w:val="593694617"/>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Pro20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(Proctor, 2020)</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Product Development</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The Japanese market's preference for fine craftsmanship and high-quality goods is consistent with Nike's approach to product development. The business makes research and development investments to provide cutting-edge athletic footwear and gear that satisfy the tastes of Japanese customers</w:t>
      </w:r>
      <w:sdt>
        <w:sdtPr>
          <w:rPr>
            <w:rFonts w:ascii="Times New Roman" w:eastAsia="Times New Roman" w:hAnsi="Times New Roman" w:cs="Times New Roman"/>
            <w:color w:val="000000"/>
            <w:sz w:val="24"/>
            <w:szCs w:val="24"/>
            <w:lang w:val="en-GB"/>
          </w:rPr>
          <w:id w:val="593694615"/>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Pel19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(Pelsmacker, et al., 2019)</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 In order to inject authenticity into its goods, this includes including design components that represent Japanese aesthetics and working with regional designers.</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b/>
          <w:bCs/>
          <w:color w:val="000000"/>
          <w:sz w:val="24"/>
          <w:szCs w:val="24"/>
          <w:lang w:val="en-GB"/>
        </w:rPr>
        <w:t>Diversification</w:t>
      </w:r>
    </w:p>
    <w:p w:rsidR="00D1114A" w:rsidRDefault="00D1114A" w:rsidP="007258B1">
      <w:pPr>
        <w:spacing w:after="0" w:line="360" w:lineRule="auto"/>
        <w:jc w:val="both"/>
        <w:rPr>
          <w:rFonts w:ascii="Times New Roman" w:eastAsia="Times New Roman" w:hAnsi="Times New Roman" w:cs="Times New Roman"/>
          <w:color w:val="000000"/>
          <w:sz w:val="24"/>
          <w:szCs w:val="24"/>
          <w:lang w:val="en-GB"/>
        </w:rPr>
      </w:pPr>
      <w:r w:rsidRPr="00D1114A">
        <w:rPr>
          <w:rFonts w:ascii="Times New Roman" w:eastAsia="Times New Roman" w:hAnsi="Times New Roman" w:cs="Times New Roman"/>
          <w:color w:val="000000"/>
          <w:sz w:val="24"/>
          <w:szCs w:val="24"/>
          <w:lang w:val="en-GB"/>
        </w:rPr>
        <w:t>Nike's expansion outside of conventional athletic apparel is part of its diversification strategy in Japan. The firm introduces fitness applications and digital platforms that offer complete health solutions in an effort to capitalise on the Japanese emphasis on holistic well-being. This strategy frames Nike as a lifestyle brand that promotes consumers' overall wellbeing in addition to enhancing its core product offers.</w:t>
      </w:r>
    </w:p>
    <w:p w:rsidR="002D7BCE" w:rsidRDefault="002D7BCE" w:rsidP="002D7BCE">
      <w:pPr>
        <w:pStyle w:val="Heading1"/>
        <w:rPr>
          <w:rFonts w:eastAsia="Times New Roman"/>
          <w:lang w:val="en-GB"/>
        </w:rPr>
      </w:pPr>
      <w:bookmarkStart w:id="27" w:name="_Toc143526142"/>
      <w:r>
        <w:rPr>
          <w:rFonts w:eastAsia="Times New Roman"/>
          <w:lang w:val="en-GB"/>
        </w:rPr>
        <w:lastRenderedPageBreak/>
        <w:t>Differences between all the models</w:t>
      </w:r>
      <w:bookmarkEnd w:id="27"/>
      <w:r>
        <w:rPr>
          <w:rFonts w:eastAsia="Times New Roman"/>
          <w:lang w:val="en-GB"/>
        </w:rPr>
        <w:t xml:space="preserve"> </w:t>
      </w:r>
    </w:p>
    <w:tbl>
      <w:tblPr>
        <w:tblStyle w:val="TableGrid"/>
        <w:tblW w:w="9795" w:type="dxa"/>
        <w:tblLook w:val="04A0"/>
      </w:tblPr>
      <w:tblGrid>
        <w:gridCol w:w="1964"/>
        <w:gridCol w:w="2909"/>
        <w:gridCol w:w="2482"/>
        <w:gridCol w:w="2440"/>
      </w:tblGrid>
      <w:tr w:rsidR="002D7BCE" w:rsidRPr="002D7BCE" w:rsidTr="002D7BCE">
        <w:tc>
          <w:tcPr>
            <w:tcW w:w="0" w:type="auto"/>
            <w:hideMark/>
          </w:tcPr>
          <w:p w:rsidR="002D7BCE" w:rsidRPr="002D7BCE" w:rsidRDefault="002D7BCE" w:rsidP="002D7BCE">
            <w:pPr>
              <w:spacing w:before="480" w:after="480"/>
              <w:jc w:val="center"/>
              <w:rPr>
                <w:rFonts w:ascii="Times New Roman" w:eastAsia="Times New Roman" w:hAnsi="Times New Roman" w:cs="Times New Roman"/>
                <w:b/>
                <w:bCs/>
                <w:sz w:val="24"/>
                <w:szCs w:val="24"/>
              </w:rPr>
            </w:pPr>
            <w:r w:rsidRPr="002D7BCE">
              <w:rPr>
                <w:rFonts w:ascii="Times New Roman" w:eastAsia="Times New Roman" w:hAnsi="Times New Roman" w:cs="Times New Roman"/>
                <w:b/>
                <w:bCs/>
                <w:sz w:val="24"/>
                <w:szCs w:val="24"/>
              </w:rPr>
              <w:t>Criteria</w:t>
            </w:r>
          </w:p>
        </w:tc>
        <w:tc>
          <w:tcPr>
            <w:tcW w:w="0" w:type="auto"/>
            <w:hideMark/>
          </w:tcPr>
          <w:p w:rsidR="002D7BCE" w:rsidRPr="002D7BCE" w:rsidRDefault="002D7BCE" w:rsidP="002D7BCE">
            <w:pPr>
              <w:spacing w:before="480" w:after="480"/>
              <w:jc w:val="center"/>
              <w:rPr>
                <w:rFonts w:ascii="Times New Roman" w:eastAsia="Times New Roman" w:hAnsi="Times New Roman" w:cs="Times New Roman"/>
                <w:b/>
                <w:bCs/>
                <w:sz w:val="24"/>
                <w:szCs w:val="24"/>
              </w:rPr>
            </w:pPr>
            <w:r w:rsidRPr="002D7BCE">
              <w:rPr>
                <w:rFonts w:ascii="Times New Roman" w:eastAsia="Times New Roman" w:hAnsi="Times New Roman" w:cs="Times New Roman"/>
                <w:b/>
                <w:bCs/>
                <w:sz w:val="24"/>
                <w:szCs w:val="24"/>
              </w:rPr>
              <w:t>Exporting</w:t>
            </w:r>
          </w:p>
        </w:tc>
        <w:tc>
          <w:tcPr>
            <w:tcW w:w="0" w:type="auto"/>
            <w:hideMark/>
          </w:tcPr>
          <w:p w:rsidR="002D7BCE" w:rsidRPr="002D7BCE" w:rsidRDefault="002D7BCE" w:rsidP="002D7BCE">
            <w:pPr>
              <w:spacing w:before="480" w:after="480"/>
              <w:jc w:val="center"/>
              <w:rPr>
                <w:rFonts w:ascii="Times New Roman" w:eastAsia="Times New Roman" w:hAnsi="Times New Roman" w:cs="Times New Roman"/>
                <w:b/>
                <w:bCs/>
                <w:sz w:val="24"/>
                <w:szCs w:val="24"/>
              </w:rPr>
            </w:pPr>
            <w:r w:rsidRPr="002D7BCE">
              <w:rPr>
                <w:rFonts w:ascii="Times New Roman" w:eastAsia="Times New Roman" w:hAnsi="Times New Roman" w:cs="Times New Roman"/>
                <w:b/>
                <w:bCs/>
                <w:sz w:val="24"/>
                <w:szCs w:val="24"/>
              </w:rPr>
              <w:t>Licensing</w:t>
            </w:r>
          </w:p>
        </w:tc>
        <w:tc>
          <w:tcPr>
            <w:tcW w:w="0" w:type="auto"/>
            <w:hideMark/>
          </w:tcPr>
          <w:p w:rsidR="002D7BCE" w:rsidRPr="002D7BCE" w:rsidRDefault="002D7BCE" w:rsidP="002D7BCE">
            <w:pPr>
              <w:spacing w:before="480" w:after="480"/>
              <w:jc w:val="center"/>
              <w:rPr>
                <w:rFonts w:ascii="Times New Roman" w:eastAsia="Times New Roman" w:hAnsi="Times New Roman" w:cs="Times New Roman"/>
                <w:b/>
                <w:bCs/>
                <w:sz w:val="24"/>
                <w:szCs w:val="24"/>
              </w:rPr>
            </w:pPr>
            <w:r w:rsidRPr="002D7BCE">
              <w:rPr>
                <w:rFonts w:ascii="Times New Roman" w:eastAsia="Times New Roman" w:hAnsi="Times New Roman" w:cs="Times New Roman"/>
                <w:b/>
                <w:bCs/>
                <w:sz w:val="24"/>
                <w:szCs w:val="24"/>
              </w:rPr>
              <w:t>Joint Venture</w:t>
            </w:r>
          </w:p>
        </w:tc>
      </w:tr>
      <w:tr w:rsidR="002D7BCE" w:rsidRPr="002D7BCE" w:rsidTr="002D7BCE">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Definition</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Selling products abroad</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Granting rights to use IP or tech</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Collaboration between local &amp; foreign</w:t>
            </w:r>
          </w:p>
        </w:tc>
      </w:tr>
      <w:tr w:rsidR="002D7BCE" w:rsidRPr="002D7BCE" w:rsidTr="002D7BCE">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Control</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High control over products/marketing</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Moderate control over IP use</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Shared control &amp; decision-making</w:t>
            </w:r>
          </w:p>
        </w:tc>
      </w:tr>
      <w:tr w:rsidR="002D7BCE" w:rsidRPr="002D7BCE" w:rsidTr="002D7BCE">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Investment</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Lower initial investment</w:t>
            </w:r>
            <w:sdt>
              <w:sdtPr>
                <w:rPr>
                  <w:rFonts w:ascii="Times New Roman" w:eastAsia="Times New Roman" w:hAnsi="Times New Roman" w:cs="Times New Roman"/>
                  <w:sz w:val="24"/>
                  <w:szCs w:val="24"/>
                </w:rPr>
                <w:id w:val="604254440"/>
                <w:citation/>
              </w:sdtPr>
              <w:sdtContent>
                <w:r w:rsidR="00251E4C">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Hoo20 \l 1033 </w:instrText>
                </w:r>
                <w:r w:rsidR="00251E4C">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rPr>
                  <w:t xml:space="preserve"> </w:t>
                </w:r>
                <w:r w:rsidRPr="002D7BCE">
                  <w:rPr>
                    <w:rFonts w:ascii="Times New Roman" w:eastAsia="Times New Roman" w:hAnsi="Times New Roman" w:cs="Times New Roman"/>
                    <w:noProof/>
                    <w:sz w:val="24"/>
                    <w:szCs w:val="24"/>
                  </w:rPr>
                  <w:t>(Hooley, et al., 2020)</w:t>
                </w:r>
                <w:r w:rsidR="00251E4C">
                  <w:rPr>
                    <w:rFonts w:ascii="Times New Roman" w:eastAsia="Times New Roman" w:hAnsi="Times New Roman" w:cs="Times New Roman"/>
                    <w:sz w:val="24"/>
                    <w:szCs w:val="24"/>
                  </w:rPr>
                  <w:fldChar w:fldCharType="end"/>
                </w:r>
              </w:sdtContent>
            </w:sdt>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Limited investment by licensor</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Shared financial commitment</w:t>
            </w:r>
          </w:p>
        </w:tc>
      </w:tr>
      <w:tr w:rsidR="002D7BCE" w:rsidRPr="002D7BCE" w:rsidTr="002D7BCE">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Risk Sharing</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Minimal risk sharing</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Minimal risk sharing</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Risk and profit sharing</w:t>
            </w:r>
          </w:p>
        </w:tc>
      </w:tr>
      <w:tr w:rsidR="002D7BCE" w:rsidRPr="002D7BCE" w:rsidTr="002D7BCE">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Local Market Knowledge</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Limited need for local knowledge</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Relies on licensee's knowledge</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Benefits from local partner's insight</w:t>
            </w:r>
          </w:p>
        </w:tc>
      </w:tr>
      <w:tr w:rsidR="002D7BCE" w:rsidRPr="002D7BCE" w:rsidTr="002D7BCE">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Resource Sharing</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Self-reliant on existing resources</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Limited resource sharing</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Shared resources for growth</w:t>
            </w:r>
          </w:p>
        </w:tc>
      </w:tr>
      <w:tr w:rsidR="002D7BCE" w:rsidRPr="002D7BCE" w:rsidTr="002D7BCE">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Market Access Speed</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Quicker market entry</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Quick entry through licensee</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Moderately faster entry than wholly-owned</w:t>
            </w:r>
          </w:p>
        </w:tc>
      </w:tr>
      <w:tr w:rsidR="002D7BCE" w:rsidRPr="002D7BCE" w:rsidTr="002D7BCE">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lastRenderedPageBreak/>
              <w:t>Flexibility</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More adaptable to changing markets</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Limited flexibility on IP usage</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Less flexible due to shared decisions</w:t>
            </w:r>
          </w:p>
        </w:tc>
      </w:tr>
      <w:tr w:rsidR="002D7BCE" w:rsidRPr="002D7BCE" w:rsidTr="002D7BCE">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Intellectual Property</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Retains control of own IP</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Grants use of IP for a fee</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Complex IP management with partner</w:t>
            </w:r>
          </w:p>
        </w:tc>
      </w:tr>
      <w:tr w:rsidR="002D7BCE" w:rsidRPr="002D7BCE" w:rsidTr="002D7BCE">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Cultural Understanding</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Less emphasis on local culture</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May require local adaptation</w:t>
            </w:r>
            <w:sdt>
              <w:sdtPr>
                <w:rPr>
                  <w:rFonts w:ascii="Times New Roman" w:eastAsia="Times New Roman" w:hAnsi="Times New Roman" w:cs="Times New Roman"/>
                  <w:sz w:val="24"/>
                  <w:szCs w:val="24"/>
                </w:rPr>
                <w:id w:val="604254439"/>
                <w:citation/>
              </w:sdtPr>
              <w:sdtContent>
                <w:r w:rsidR="00251E4C">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Hoo \l 1033 </w:instrText>
                </w:r>
                <w:r w:rsidR="00251E4C">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rPr>
                  <w:t xml:space="preserve"> </w:t>
                </w:r>
                <w:r w:rsidRPr="002D7BCE">
                  <w:rPr>
                    <w:rFonts w:ascii="Times New Roman" w:eastAsia="Times New Roman" w:hAnsi="Times New Roman" w:cs="Times New Roman"/>
                    <w:noProof/>
                    <w:sz w:val="24"/>
                    <w:szCs w:val="24"/>
                  </w:rPr>
                  <w:t>(Hooley, et al., 2019)</w:t>
                </w:r>
                <w:r w:rsidR="00251E4C">
                  <w:rPr>
                    <w:rFonts w:ascii="Times New Roman" w:eastAsia="Times New Roman" w:hAnsi="Times New Roman" w:cs="Times New Roman"/>
                    <w:sz w:val="24"/>
                    <w:szCs w:val="24"/>
                  </w:rPr>
                  <w:fldChar w:fldCharType="end"/>
                </w:r>
              </w:sdtContent>
            </w:sdt>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Gains from local partner's cultural insight</w:t>
            </w:r>
          </w:p>
        </w:tc>
      </w:tr>
      <w:tr w:rsidR="002D7BCE" w:rsidRPr="002D7BCE" w:rsidTr="002D7BCE">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Learning Curve</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Lower learning curve for exporter</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Limited learning from licensee</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Learning from partner's experience</w:t>
            </w:r>
          </w:p>
        </w:tc>
      </w:tr>
      <w:tr w:rsidR="002D7BCE" w:rsidRPr="002D7BCE" w:rsidTr="002D7BCE">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Potential for Conflict</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Fewer potential conflicts</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Possible conflicts over IP/terms</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Possible conflicts in decision-making</w:t>
            </w:r>
          </w:p>
        </w:tc>
      </w:tr>
      <w:tr w:rsidR="002D7BCE" w:rsidRPr="002D7BCE" w:rsidTr="002D7BCE">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Global Expansion</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Limited impact on global strategy</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Can aid global expansion plans</w:t>
            </w:r>
          </w:p>
        </w:tc>
        <w:tc>
          <w:tcPr>
            <w:tcW w:w="0" w:type="auto"/>
            <w:hideMark/>
          </w:tcPr>
          <w:p w:rsidR="002D7BCE" w:rsidRPr="002D7BCE" w:rsidRDefault="002D7BCE" w:rsidP="002D7BCE">
            <w:pPr>
              <w:spacing w:before="480" w:after="480"/>
              <w:rPr>
                <w:rFonts w:ascii="Times New Roman" w:eastAsia="Times New Roman" w:hAnsi="Times New Roman" w:cs="Times New Roman"/>
                <w:sz w:val="24"/>
                <w:szCs w:val="24"/>
              </w:rPr>
            </w:pPr>
            <w:r w:rsidRPr="002D7BCE">
              <w:rPr>
                <w:rFonts w:ascii="Times New Roman" w:eastAsia="Times New Roman" w:hAnsi="Times New Roman" w:cs="Times New Roman"/>
                <w:sz w:val="24"/>
                <w:szCs w:val="24"/>
              </w:rPr>
              <w:t>Can aid in expanding global presence</w:t>
            </w:r>
          </w:p>
        </w:tc>
      </w:tr>
    </w:tbl>
    <w:p w:rsidR="002D7BCE" w:rsidRPr="002D7BCE" w:rsidRDefault="002D7BCE" w:rsidP="002D7BCE">
      <w:pPr>
        <w:rPr>
          <w:lang w:val="en-GB"/>
        </w:rPr>
      </w:pPr>
    </w:p>
    <w:p w:rsidR="00D1114A" w:rsidRPr="00D1114A" w:rsidRDefault="00D1114A" w:rsidP="007258B1">
      <w:pPr>
        <w:pStyle w:val="Heading1"/>
        <w:spacing w:line="360" w:lineRule="auto"/>
        <w:rPr>
          <w:rFonts w:eastAsia="Times New Roman"/>
          <w:lang w:val="en-GB"/>
        </w:rPr>
      </w:pPr>
      <w:bookmarkStart w:id="28" w:name="_Toc143526144"/>
      <w:r w:rsidRPr="00D1114A">
        <w:rPr>
          <w:rFonts w:eastAsia="Times New Roman"/>
          <w:lang w:val="en-GB"/>
        </w:rPr>
        <w:t>Recommendations</w:t>
      </w:r>
      <w:bookmarkEnd w:id="28"/>
    </w:p>
    <w:p w:rsidR="00D1114A" w:rsidRPr="00D1114A" w:rsidRDefault="00D1114A" w:rsidP="007258B1">
      <w:pPr>
        <w:numPr>
          <w:ilvl w:val="0"/>
          <w:numId w:val="1"/>
        </w:numPr>
        <w:spacing w:after="0" w:line="360" w:lineRule="auto"/>
        <w:jc w:val="both"/>
        <w:textAlignment w:val="baseline"/>
        <w:rPr>
          <w:rFonts w:ascii="Times New Roman" w:eastAsia="Times New Roman" w:hAnsi="Times New Roman" w:cs="Times New Roman"/>
          <w:color w:val="000000"/>
          <w:sz w:val="24"/>
          <w:szCs w:val="24"/>
          <w:lang w:val="en-GB"/>
        </w:rPr>
      </w:pPr>
      <w:r w:rsidRPr="00D1114A">
        <w:rPr>
          <w:rFonts w:ascii="Times New Roman" w:eastAsia="Times New Roman" w:hAnsi="Times New Roman" w:cs="Times New Roman"/>
          <w:color w:val="000000"/>
          <w:sz w:val="24"/>
          <w:szCs w:val="24"/>
          <w:lang w:val="en-GB"/>
        </w:rPr>
        <w:t>Deepening cultural awareness is crucial in both markets. Nike should keep working with regional athletes, designers, and artists to develop goods that are in tune with cultural norms and values. This strategy promotes greater emotional ties with customers while enhancing brand authenticity</w:t>
      </w:r>
      <w:sdt>
        <w:sdtPr>
          <w:rPr>
            <w:rFonts w:ascii="Times New Roman" w:eastAsia="Times New Roman" w:hAnsi="Times New Roman" w:cs="Times New Roman"/>
            <w:color w:val="000000"/>
            <w:sz w:val="24"/>
            <w:szCs w:val="24"/>
            <w:lang w:val="en-GB"/>
          </w:rPr>
          <w:id w:val="593694618"/>
          <w:citation/>
        </w:sdtPr>
        <w:sdtContent>
          <w:r w:rsidR="00251E4C">
            <w:rPr>
              <w:rFonts w:ascii="Times New Roman" w:eastAsia="Times New Roman" w:hAnsi="Times New Roman" w:cs="Times New Roman"/>
              <w:color w:val="000000"/>
              <w:sz w:val="24"/>
              <w:szCs w:val="24"/>
              <w:lang w:val="en-GB"/>
            </w:rPr>
            <w:fldChar w:fldCharType="begin"/>
          </w:r>
          <w:r w:rsidR="00465B22">
            <w:rPr>
              <w:rFonts w:ascii="Times New Roman" w:eastAsia="Times New Roman" w:hAnsi="Times New Roman" w:cs="Times New Roman"/>
              <w:color w:val="000000"/>
              <w:sz w:val="24"/>
              <w:szCs w:val="24"/>
            </w:rPr>
            <w:instrText xml:space="preserve"> CITATION Sol19 \l 1033 </w:instrText>
          </w:r>
          <w:r w:rsidR="00251E4C">
            <w:rPr>
              <w:rFonts w:ascii="Times New Roman" w:eastAsia="Times New Roman" w:hAnsi="Times New Roman" w:cs="Times New Roman"/>
              <w:color w:val="000000"/>
              <w:sz w:val="24"/>
              <w:szCs w:val="24"/>
              <w:lang w:val="en-GB"/>
            </w:rPr>
            <w:fldChar w:fldCharType="separate"/>
          </w:r>
          <w:r w:rsidR="00465B22">
            <w:rPr>
              <w:rFonts w:ascii="Times New Roman" w:eastAsia="Times New Roman" w:hAnsi="Times New Roman" w:cs="Times New Roman"/>
              <w:noProof/>
              <w:color w:val="000000"/>
              <w:sz w:val="24"/>
              <w:szCs w:val="24"/>
            </w:rPr>
            <w:t xml:space="preserve"> </w:t>
          </w:r>
          <w:r w:rsidR="00465B22" w:rsidRPr="00465B22">
            <w:rPr>
              <w:rFonts w:ascii="Times New Roman" w:eastAsia="Times New Roman" w:hAnsi="Times New Roman" w:cs="Times New Roman"/>
              <w:noProof/>
              <w:color w:val="000000"/>
              <w:sz w:val="24"/>
              <w:szCs w:val="24"/>
            </w:rPr>
            <w:t>(Solomon, 2019)</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w:t>
      </w:r>
    </w:p>
    <w:p w:rsidR="00D1114A" w:rsidRPr="00D1114A" w:rsidRDefault="00D1114A" w:rsidP="007258B1">
      <w:pPr>
        <w:numPr>
          <w:ilvl w:val="0"/>
          <w:numId w:val="1"/>
        </w:numPr>
        <w:spacing w:after="0" w:line="360" w:lineRule="auto"/>
        <w:jc w:val="both"/>
        <w:textAlignment w:val="baseline"/>
        <w:rPr>
          <w:rFonts w:ascii="Times New Roman" w:eastAsia="Times New Roman" w:hAnsi="Times New Roman" w:cs="Times New Roman"/>
          <w:color w:val="000000"/>
          <w:sz w:val="24"/>
          <w:szCs w:val="24"/>
          <w:lang w:val="en-GB"/>
        </w:rPr>
      </w:pPr>
      <w:r w:rsidRPr="00D1114A">
        <w:rPr>
          <w:rFonts w:ascii="Times New Roman" w:eastAsia="Times New Roman" w:hAnsi="Times New Roman" w:cs="Times New Roman"/>
          <w:color w:val="000000"/>
          <w:sz w:val="24"/>
          <w:szCs w:val="24"/>
          <w:lang w:val="en-GB"/>
        </w:rPr>
        <w:lastRenderedPageBreak/>
        <w:t>Utilise technology to provide more individualised and flexible offerings. By giving customers the ability to create their own shoes or clothing using augmented reality (AR) or virtual reality (VR) technologies, businesses may increase engagement and adapt to specific tastes.</w:t>
      </w:r>
    </w:p>
    <w:p w:rsidR="00D1114A" w:rsidRPr="00D1114A" w:rsidRDefault="00D1114A" w:rsidP="007258B1">
      <w:pPr>
        <w:numPr>
          <w:ilvl w:val="0"/>
          <w:numId w:val="1"/>
        </w:numPr>
        <w:spacing w:after="0" w:line="360" w:lineRule="auto"/>
        <w:jc w:val="both"/>
        <w:textAlignment w:val="baseline"/>
        <w:rPr>
          <w:rFonts w:ascii="Times New Roman" w:eastAsia="Times New Roman" w:hAnsi="Times New Roman" w:cs="Times New Roman"/>
          <w:color w:val="000000"/>
          <w:sz w:val="24"/>
          <w:szCs w:val="24"/>
          <w:lang w:val="en-GB"/>
        </w:rPr>
      </w:pPr>
      <w:r w:rsidRPr="00D1114A">
        <w:rPr>
          <w:rFonts w:ascii="Times New Roman" w:eastAsia="Times New Roman" w:hAnsi="Times New Roman" w:cs="Times New Roman"/>
          <w:color w:val="000000"/>
          <w:sz w:val="24"/>
          <w:szCs w:val="24"/>
          <w:lang w:val="en-GB"/>
        </w:rPr>
        <w:t>Given the increased focus on sustainability on a global scale, Nike should strengthen its dedication to environmentally beneficial actions. Utilise eco-friendly goods, lessen your carbon footprint, and openly share your efforts with the public to draw in customers that care about the environment.</w:t>
      </w:r>
    </w:p>
    <w:p w:rsidR="00D1114A" w:rsidRPr="00D1114A" w:rsidRDefault="00D1114A" w:rsidP="007258B1">
      <w:pPr>
        <w:numPr>
          <w:ilvl w:val="0"/>
          <w:numId w:val="1"/>
        </w:numPr>
        <w:spacing w:after="0" w:line="360" w:lineRule="auto"/>
        <w:jc w:val="both"/>
        <w:textAlignment w:val="baseline"/>
        <w:rPr>
          <w:rFonts w:ascii="Times New Roman" w:eastAsia="Times New Roman" w:hAnsi="Times New Roman" w:cs="Times New Roman"/>
          <w:color w:val="000000"/>
          <w:sz w:val="24"/>
          <w:szCs w:val="24"/>
          <w:lang w:val="en-GB"/>
        </w:rPr>
      </w:pPr>
      <w:r w:rsidRPr="00D1114A">
        <w:rPr>
          <w:rFonts w:ascii="Times New Roman" w:eastAsia="Times New Roman" w:hAnsi="Times New Roman" w:cs="Times New Roman"/>
          <w:color w:val="000000"/>
          <w:sz w:val="24"/>
          <w:szCs w:val="24"/>
          <w:lang w:val="en-GB"/>
        </w:rPr>
        <w:t>Adapt marketing strategies to local tastes while keeping the core brand message in mind. Localization goes beyond language; take into account local idioms, symbols, and societal trends to connect with target audiences on a deep level.</w:t>
      </w:r>
    </w:p>
    <w:p w:rsidR="00D1114A" w:rsidRPr="00D1114A" w:rsidRDefault="00D1114A" w:rsidP="007258B1">
      <w:pPr>
        <w:numPr>
          <w:ilvl w:val="0"/>
          <w:numId w:val="1"/>
        </w:numPr>
        <w:spacing w:after="0" w:line="360" w:lineRule="auto"/>
        <w:jc w:val="both"/>
        <w:textAlignment w:val="baseline"/>
        <w:rPr>
          <w:rFonts w:ascii="Times New Roman" w:eastAsia="Times New Roman" w:hAnsi="Times New Roman" w:cs="Times New Roman"/>
          <w:color w:val="000000"/>
          <w:sz w:val="24"/>
          <w:szCs w:val="24"/>
          <w:lang w:val="en-GB"/>
        </w:rPr>
      </w:pPr>
      <w:r w:rsidRPr="00D1114A">
        <w:rPr>
          <w:rFonts w:ascii="Times New Roman" w:eastAsia="Times New Roman" w:hAnsi="Times New Roman" w:cs="Times New Roman"/>
          <w:color w:val="000000"/>
          <w:sz w:val="24"/>
          <w:szCs w:val="24"/>
          <w:lang w:val="en-GB"/>
        </w:rPr>
        <w:t>By seamlessly combining online and offline touch points, you can improve the Omni-channel purchasing experience</w:t>
      </w:r>
      <w:sdt>
        <w:sdtPr>
          <w:rPr>
            <w:rFonts w:ascii="Times New Roman" w:eastAsia="Times New Roman" w:hAnsi="Times New Roman" w:cs="Times New Roman"/>
            <w:color w:val="000000"/>
            <w:sz w:val="24"/>
            <w:szCs w:val="24"/>
            <w:lang w:val="en-GB"/>
          </w:rPr>
          <w:id w:val="593694519"/>
          <w:citation/>
        </w:sdtPr>
        <w:sdtContent>
          <w:r w:rsidR="00251E4C">
            <w:rPr>
              <w:rFonts w:ascii="Times New Roman" w:eastAsia="Times New Roman" w:hAnsi="Times New Roman" w:cs="Times New Roman"/>
              <w:color w:val="000000"/>
              <w:sz w:val="24"/>
              <w:szCs w:val="24"/>
              <w:lang w:val="en-GB"/>
            </w:rPr>
            <w:fldChar w:fldCharType="begin"/>
          </w:r>
          <w:r w:rsidR="00486771">
            <w:rPr>
              <w:rFonts w:ascii="Times New Roman" w:eastAsia="Times New Roman" w:hAnsi="Times New Roman" w:cs="Times New Roman"/>
              <w:color w:val="000000"/>
              <w:sz w:val="24"/>
              <w:szCs w:val="24"/>
            </w:rPr>
            <w:instrText xml:space="preserve"> CITATION Aak18 \l 1033 </w:instrText>
          </w:r>
          <w:r w:rsidR="00251E4C">
            <w:rPr>
              <w:rFonts w:ascii="Times New Roman" w:eastAsia="Times New Roman" w:hAnsi="Times New Roman" w:cs="Times New Roman"/>
              <w:color w:val="000000"/>
              <w:sz w:val="24"/>
              <w:szCs w:val="24"/>
              <w:lang w:val="en-GB"/>
            </w:rPr>
            <w:fldChar w:fldCharType="separate"/>
          </w:r>
          <w:r w:rsidR="0095172C">
            <w:rPr>
              <w:rFonts w:ascii="Times New Roman" w:eastAsia="Times New Roman" w:hAnsi="Times New Roman" w:cs="Times New Roman"/>
              <w:noProof/>
              <w:color w:val="000000"/>
              <w:sz w:val="24"/>
              <w:szCs w:val="24"/>
            </w:rPr>
            <w:t xml:space="preserve"> </w:t>
          </w:r>
          <w:r w:rsidR="0095172C" w:rsidRPr="0095172C">
            <w:rPr>
              <w:rFonts w:ascii="Times New Roman" w:eastAsia="Times New Roman" w:hAnsi="Times New Roman" w:cs="Times New Roman"/>
              <w:noProof/>
              <w:color w:val="000000"/>
              <w:sz w:val="24"/>
              <w:szCs w:val="24"/>
            </w:rPr>
            <w:t>(Aaker, 2018)</w:t>
          </w:r>
          <w:r w:rsidR="00251E4C">
            <w:rPr>
              <w:rFonts w:ascii="Times New Roman" w:eastAsia="Times New Roman" w:hAnsi="Times New Roman" w:cs="Times New Roman"/>
              <w:color w:val="000000"/>
              <w:sz w:val="24"/>
              <w:szCs w:val="24"/>
              <w:lang w:val="en-GB"/>
            </w:rPr>
            <w:fldChar w:fldCharType="end"/>
          </w:r>
        </w:sdtContent>
      </w:sdt>
      <w:r w:rsidRPr="00D1114A">
        <w:rPr>
          <w:rFonts w:ascii="Times New Roman" w:eastAsia="Times New Roman" w:hAnsi="Times New Roman" w:cs="Times New Roman"/>
          <w:color w:val="000000"/>
          <w:sz w:val="24"/>
          <w:szCs w:val="24"/>
          <w:lang w:val="en-GB"/>
        </w:rPr>
        <w:t>. To accommodate a range of customer behaviours, incorporate elements like online-to-store pickup, unique in-store experiences, and personalised online suggestions.</w:t>
      </w:r>
    </w:p>
    <w:p w:rsidR="00D1114A" w:rsidRPr="00D1114A" w:rsidRDefault="00D1114A" w:rsidP="007258B1">
      <w:pPr>
        <w:pStyle w:val="Heading1"/>
        <w:spacing w:line="360" w:lineRule="auto"/>
        <w:rPr>
          <w:rFonts w:eastAsia="Times New Roman"/>
          <w:lang w:val="en-GB"/>
        </w:rPr>
      </w:pPr>
      <w:bookmarkStart w:id="29" w:name="_Toc143526145"/>
      <w:r w:rsidRPr="00D1114A">
        <w:rPr>
          <w:rFonts w:eastAsia="Times New Roman"/>
          <w:lang w:val="en-GB"/>
        </w:rPr>
        <w:t>Conclusion</w:t>
      </w:r>
      <w:bookmarkEnd w:id="29"/>
      <w:r w:rsidRPr="00D1114A">
        <w:rPr>
          <w:rFonts w:eastAsia="Times New Roman"/>
          <w:lang w:val="en-GB"/>
        </w:rPr>
        <w:t xml:space="preserve"> </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Nike's extraordinary ability to navigate various markets while upholding a constant worldwide brand identity is highlighted by its success in both the United States and Japan. It is clear from a close examination of the company's marketing mix methods that innovation, cultural sensitivity, and adaptation have been the main forces behind Nike's success. Nike has successfully captured the spirit of individualism and aspiration in the United States, connecting with a broad spectrum of customers looking for both performance and flair. The firm has been able to penetrate, expand, innovate, and diversify its product offerings because to its strategic use of the Ansoff Matrix, maintaining a constant relationship with American customers.</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 xml:space="preserve">In Japan, Nike has expertly blended history and contemporary, in keeping with the culture's value of handiwork and relevancy. The brand has developed a genuine and approachable image that goes beyond simple product appeal as a result of its interactions with regional artists, designers, and sportsmen. Nike's segmentation, targeting, and positioning strategies have successfully catered to the distinct requirements and ambitions of customers in both markets, effortlessly integrating with the 7Ps of the marketing mix. Nike has continually used these </w:t>
      </w:r>
      <w:r w:rsidRPr="00D1114A">
        <w:rPr>
          <w:rFonts w:ascii="Times New Roman" w:eastAsia="Times New Roman" w:hAnsi="Times New Roman" w:cs="Times New Roman"/>
          <w:color w:val="000000"/>
          <w:sz w:val="24"/>
          <w:szCs w:val="24"/>
          <w:lang w:val="en-GB"/>
        </w:rPr>
        <w:lastRenderedPageBreak/>
        <w:t>components to capture audiences and create enduring connections, from product innovation and dynamic pricing to clever promotional activities and diversified distribution channels.</w:t>
      </w:r>
    </w:p>
    <w:p w:rsidR="00D1114A" w:rsidRPr="00D1114A" w:rsidRDefault="00D1114A" w:rsidP="007258B1">
      <w:pPr>
        <w:spacing w:after="0" w:line="360" w:lineRule="auto"/>
        <w:jc w:val="both"/>
        <w:rPr>
          <w:rFonts w:ascii="Times New Roman" w:eastAsia="Times New Roman" w:hAnsi="Times New Roman" w:cs="Times New Roman"/>
          <w:sz w:val="24"/>
          <w:szCs w:val="24"/>
          <w:lang w:val="en-GB"/>
        </w:rPr>
      </w:pPr>
      <w:r w:rsidRPr="00D1114A">
        <w:rPr>
          <w:rFonts w:ascii="Times New Roman" w:eastAsia="Times New Roman" w:hAnsi="Times New Roman" w:cs="Times New Roman"/>
          <w:color w:val="000000"/>
          <w:sz w:val="24"/>
          <w:szCs w:val="24"/>
          <w:lang w:val="en-GB"/>
        </w:rPr>
        <w:t>Nike's success in both the US and Japan is evidence of their skill in developing and putting into practise cross-cultural marketing strategy. Nike has not only achieved economic success but has also turned into a symbol of inspiration, aspiration, and connection for customers on a worldwide scale by embracing the varied fabric of each region, leveraging its brand power, and embracing localised characteristics. The brand's ability to balance cultural sensibilities while upholding a worldwide brand essence will definitely remain a pillar of its long-term success as it continues to develop and broaden its horizons.</w:t>
      </w:r>
    </w:p>
    <w:p w:rsidR="00D1114A" w:rsidRDefault="00D1114A" w:rsidP="007258B1">
      <w:pPr>
        <w:spacing w:line="360" w:lineRule="auto"/>
        <w:rPr>
          <w:sz w:val="24"/>
          <w:szCs w:val="24"/>
          <w:lang w:val="en-GB"/>
        </w:rPr>
      </w:pPr>
      <w:r>
        <w:rPr>
          <w:sz w:val="24"/>
          <w:szCs w:val="24"/>
          <w:lang w:val="en-GB"/>
        </w:rPr>
        <w:br w:type="page"/>
      </w:r>
    </w:p>
    <w:sdt>
      <w:sdtPr>
        <w:rPr>
          <w:rFonts w:asciiTheme="minorHAnsi" w:eastAsiaTheme="minorHAnsi" w:hAnsiTheme="minorHAnsi" w:cstheme="minorBidi"/>
          <w:b w:val="0"/>
          <w:bCs w:val="0"/>
          <w:sz w:val="22"/>
          <w:szCs w:val="22"/>
        </w:rPr>
        <w:id w:val="593694517"/>
        <w:docPartObj>
          <w:docPartGallery w:val="Bibliographies"/>
          <w:docPartUnique/>
        </w:docPartObj>
      </w:sdtPr>
      <w:sdtEndPr>
        <w:rPr>
          <w:rFonts w:cs="Times New Roman"/>
          <w:sz w:val="24"/>
          <w:szCs w:val="24"/>
        </w:rPr>
      </w:sdtEndPr>
      <w:sdtContent>
        <w:bookmarkStart w:id="30" w:name="_Toc143526146" w:displacedByCustomXml="prev"/>
        <w:p w:rsidR="00486771" w:rsidRPr="00486771" w:rsidRDefault="00465B22" w:rsidP="00486771">
          <w:pPr>
            <w:pStyle w:val="Heading1"/>
            <w:spacing w:line="360" w:lineRule="auto"/>
            <w:rPr>
              <w:lang w:val="en-GB"/>
            </w:rPr>
          </w:pPr>
          <w:r>
            <w:t>References</w:t>
          </w:r>
          <w:bookmarkEnd w:id="30"/>
        </w:p>
        <w:p w:rsidR="0095172C" w:rsidRPr="00465B22" w:rsidRDefault="00251E4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sz w:val="24"/>
              <w:szCs w:val="24"/>
            </w:rPr>
            <w:fldChar w:fldCharType="begin"/>
          </w:r>
          <w:r w:rsidR="00486771" w:rsidRPr="00465B22">
            <w:rPr>
              <w:rFonts w:ascii="Times New Roman" w:hAnsi="Times New Roman" w:cs="Times New Roman"/>
              <w:sz w:val="24"/>
              <w:szCs w:val="24"/>
            </w:rPr>
            <w:instrText xml:space="preserve"> BIBLIOGRAPHY </w:instrText>
          </w:r>
          <w:r w:rsidRPr="00465B22">
            <w:rPr>
              <w:rFonts w:ascii="Times New Roman" w:hAnsi="Times New Roman" w:cs="Times New Roman"/>
              <w:sz w:val="24"/>
              <w:szCs w:val="24"/>
            </w:rPr>
            <w:fldChar w:fldCharType="separate"/>
          </w:r>
          <w:r w:rsidR="0095172C" w:rsidRPr="00465B22">
            <w:rPr>
              <w:rFonts w:ascii="Times New Roman" w:hAnsi="Times New Roman" w:cs="Times New Roman"/>
              <w:noProof/>
              <w:sz w:val="24"/>
              <w:szCs w:val="24"/>
            </w:rPr>
            <w:t xml:space="preserve">Aaker, D. A., 2018. Building strong brands: Aaker on branding.. </w:t>
          </w:r>
          <w:r w:rsidR="0095172C" w:rsidRPr="00465B22">
            <w:rPr>
              <w:rFonts w:ascii="Times New Roman" w:hAnsi="Times New Roman" w:cs="Times New Roman"/>
              <w:i/>
              <w:iCs/>
              <w:noProof/>
              <w:sz w:val="24"/>
              <w:szCs w:val="24"/>
            </w:rPr>
            <w:t>Routledge..</w:t>
          </w:r>
        </w:p>
        <w:p w:rsidR="0095172C"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t xml:space="preserve">Brassington, F. P. S., 2018. Principles of marketing. </w:t>
          </w:r>
          <w:r w:rsidRPr="00465B22">
            <w:rPr>
              <w:rFonts w:ascii="Times New Roman" w:hAnsi="Times New Roman" w:cs="Times New Roman"/>
              <w:i/>
              <w:iCs/>
              <w:noProof/>
              <w:sz w:val="24"/>
              <w:szCs w:val="24"/>
            </w:rPr>
            <w:t>Pearson.</w:t>
          </w:r>
        </w:p>
        <w:p w:rsidR="0095172C"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t xml:space="preserve">Czinkota, M. R. R. I. A., 2019. International marketing.. </w:t>
          </w:r>
          <w:r w:rsidRPr="00465B22">
            <w:rPr>
              <w:rFonts w:ascii="Times New Roman" w:hAnsi="Times New Roman" w:cs="Times New Roman"/>
              <w:i/>
              <w:iCs/>
              <w:noProof/>
              <w:sz w:val="24"/>
              <w:szCs w:val="24"/>
            </w:rPr>
            <w:t>Cengage Learning.</w:t>
          </w:r>
        </w:p>
        <w:p w:rsidR="0095172C"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t xml:space="preserve">Finney, A. &amp; Joseph, M., 2009. The Forecasting Mantra. </w:t>
          </w:r>
          <w:r w:rsidRPr="00465B22">
            <w:rPr>
              <w:rFonts w:ascii="Times New Roman" w:hAnsi="Times New Roman" w:cs="Times New Roman"/>
              <w:i/>
              <w:iCs/>
              <w:noProof/>
              <w:sz w:val="24"/>
              <w:szCs w:val="24"/>
            </w:rPr>
            <w:t>A Holistic Approach to Forecasting and Planning. Researchgate .</w:t>
          </w:r>
        </w:p>
        <w:p w:rsidR="0095172C"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t xml:space="preserve">Grünhagen, M. &amp; Jung, H., 2018. Localising Global Marketing Strategies: The Role of Organisational Culture in International Marketing. </w:t>
          </w:r>
          <w:r w:rsidRPr="00465B22">
            <w:rPr>
              <w:rFonts w:ascii="Times New Roman" w:hAnsi="Times New Roman" w:cs="Times New Roman"/>
              <w:i/>
              <w:iCs/>
              <w:noProof/>
              <w:sz w:val="24"/>
              <w:szCs w:val="24"/>
            </w:rPr>
            <w:t xml:space="preserve">Journal of Marketing Management, </w:t>
          </w:r>
          <w:r w:rsidRPr="00465B22">
            <w:rPr>
              <w:rFonts w:ascii="Times New Roman" w:hAnsi="Times New Roman" w:cs="Times New Roman"/>
              <w:noProof/>
              <w:sz w:val="24"/>
              <w:szCs w:val="24"/>
            </w:rPr>
            <w:t>Volume 34, pp. 361-387.</w:t>
          </w:r>
        </w:p>
        <w:p w:rsidR="0095172C"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t xml:space="preserve">Hair Jr, J. F. et al., 2017. Essentials of Business Research Methods.. </w:t>
          </w:r>
          <w:r w:rsidRPr="00465B22">
            <w:rPr>
              <w:rFonts w:ascii="Times New Roman" w:hAnsi="Times New Roman" w:cs="Times New Roman"/>
              <w:i/>
              <w:iCs/>
              <w:noProof/>
              <w:sz w:val="24"/>
              <w:szCs w:val="24"/>
            </w:rPr>
            <w:t>Routledge.</w:t>
          </w:r>
        </w:p>
        <w:p w:rsidR="0095172C"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t xml:space="preserve">Hollensen, S., 2019. Global marketing: A decision-oriented approach. </w:t>
          </w:r>
          <w:r w:rsidRPr="00465B22">
            <w:rPr>
              <w:rFonts w:ascii="Times New Roman" w:hAnsi="Times New Roman" w:cs="Times New Roman"/>
              <w:i/>
              <w:iCs/>
              <w:noProof/>
              <w:sz w:val="24"/>
              <w:szCs w:val="24"/>
            </w:rPr>
            <w:t>Pearson.</w:t>
          </w:r>
        </w:p>
        <w:p w:rsidR="0095172C"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t xml:space="preserve">Hooley, G. J. et al., 2020. Marketing strategy and competitive positioning Seventh edition. </w:t>
          </w:r>
          <w:r w:rsidRPr="00465B22">
            <w:rPr>
              <w:rFonts w:ascii="Times New Roman" w:hAnsi="Times New Roman" w:cs="Times New Roman"/>
              <w:i/>
              <w:iCs/>
              <w:noProof/>
              <w:sz w:val="24"/>
              <w:szCs w:val="24"/>
            </w:rPr>
            <w:t>Harlow, England; New York.</w:t>
          </w:r>
        </w:p>
        <w:p w:rsidR="0095172C"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t xml:space="preserve">Hooley, G. J., Piercy, N. F. &amp; Nicoulaud, B., 2019. Marketing strategy and competitive positioning. </w:t>
          </w:r>
          <w:r w:rsidRPr="00465B22">
            <w:rPr>
              <w:rFonts w:ascii="Times New Roman" w:hAnsi="Times New Roman" w:cs="Times New Roman"/>
              <w:i/>
              <w:iCs/>
              <w:noProof/>
              <w:sz w:val="24"/>
              <w:szCs w:val="24"/>
            </w:rPr>
            <w:t>Pearson.</w:t>
          </w:r>
        </w:p>
        <w:p w:rsidR="0095172C"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t xml:space="preserve">Jobber, D. &amp; Ellis-Chadwick, F., 2019. Principles and practice of marketing. </w:t>
          </w:r>
          <w:r w:rsidRPr="00465B22">
            <w:rPr>
              <w:rFonts w:ascii="Times New Roman" w:hAnsi="Times New Roman" w:cs="Times New Roman"/>
              <w:i/>
              <w:iCs/>
              <w:noProof/>
              <w:sz w:val="24"/>
              <w:szCs w:val="24"/>
            </w:rPr>
            <w:t>McGraw-Hill Education.</w:t>
          </w:r>
        </w:p>
        <w:p w:rsidR="0095172C"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t xml:space="preserve">Keller, K. L., 2018. Reflections on customer-based brand equity: Perspectives, progress, and priorities. </w:t>
          </w:r>
          <w:r w:rsidRPr="00465B22">
            <w:rPr>
              <w:rFonts w:ascii="Times New Roman" w:hAnsi="Times New Roman" w:cs="Times New Roman"/>
              <w:i/>
              <w:iCs/>
              <w:noProof/>
              <w:sz w:val="24"/>
              <w:szCs w:val="24"/>
            </w:rPr>
            <w:t xml:space="preserve">AMS Review, </w:t>
          </w:r>
          <w:r w:rsidRPr="00465B22">
            <w:rPr>
              <w:rFonts w:ascii="Times New Roman" w:hAnsi="Times New Roman" w:cs="Times New Roman"/>
              <w:noProof/>
              <w:sz w:val="24"/>
              <w:szCs w:val="24"/>
            </w:rPr>
            <w:t>Volume 6(1-2), pp. 1-16.</w:t>
          </w:r>
        </w:p>
        <w:p w:rsidR="0095172C"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t xml:space="preserve">Keller, K. L. &amp; Aaker, D. A., 2023. Building strong brands: Three perspectives. </w:t>
          </w:r>
          <w:r w:rsidRPr="00465B22">
            <w:rPr>
              <w:rFonts w:ascii="Times New Roman" w:hAnsi="Times New Roman" w:cs="Times New Roman"/>
              <w:i/>
              <w:iCs/>
              <w:noProof/>
              <w:sz w:val="24"/>
              <w:szCs w:val="24"/>
            </w:rPr>
            <w:t>Psychology Press.</w:t>
          </w:r>
        </w:p>
        <w:p w:rsidR="0095172C"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t xml:space="preserve">Kim, K., Han, H. &amp; Boo, S., 2017. Brand Collaboration and Customer-Based Brand Equity: Considering Cross-Brand Alignment and Brand Familiarity. </w:t>
          </w:r>
          <w:r w:rsidRPr="00465B22">
            <w:rPr>
              <w:rFonts w:ascii="Times New Roman" w:hAnsi="Times New Roman" w:cs="Times New Roman"/>
              <w:i/>
              <w:iCs/>
              <w:noProof/>
              <w:sz w:val="24"/>
              <w:szCs w:val="24"/>
            </w:rPr>
            <w:t xml:space="preserve">Journal of Business Research, </w:t>
          </w:r>
          <w:r w:rsidRPr="00465B22">
            <w:rPr>
              <w:rFonts w:ascii="Times New Roman" w:hAnsi="Times New Roman" w:cs="Times New Roman"/>
              <w:noProof/>
              <w:sz w:val="24"/>
              <w:szCs w:val="24"/>
            </w:rPr>
            <w:t>Volume 76, pp. 54-63.</w:t>
          </w:r>
        </w:p>
        <w:p w:rsidR="0095172C"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t xml:space="preserve">Kotler, P., Keller, K. L. &amp; Brady, M., 2019. Marketing management. </w:t>
          </w:r>
          <w:r w:rsidRPr="00465B22">
            <w:rPr>
              <w:rFonts w:ascii="Times New Roman" w:hAnsi="Times New Roman" w:cs="Times New Roman"/>
              <w:i/>
              <w:iCs/>
              <w:noProof/>
              <w:sz w:val="24"/>
              <w:szCs w:val="24"/>
            </w:rPr>
            <w:t>Pearson.</w:t>
          </w:r>
        </w:p>
        <w:p w:rsidR="0095172C"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lastRenderedPageBreak/>
            <w:t xml:space="preserve">Kuehnl, C., Schumann, J. H. &amp; Shaw, D., 2019. How Managerial Perceptions of Corporate Social Responsibility Affect Market Outcomes: The Mediating Role of Brand Trust. </w:t>
          </w:r>
          <w:r w:rsidRPr="00465B22">
            <w:rPr>
              <w:rFonts w:ascii="Times New Roman" w:hAnsi="Times New Roman" w:cs="Times New Roman"/>
              <w:i/>
              <w:iCs/>
              <w:noProof/>
              <w:sz w:val="24"/>
              <w:szCs w:val="24"/>
            </w:rPr>
            <w:t xml:space="preserve">Journal of Business Ethics, </w:t>
          </w:r>
          <w:r w:rsidRPr="00465B22">
            <w:rPr>
              <w:rFonts w:ascii="Times New Roman" w:hAnsi="Times New Roman" w:cs="Times New Roman"/>
              <w:noProof/>
              <w:sz w:val="24"/>
              <w:szCs w:val="24"/>
            </w:rPr>
            <w:t>Volume 156(2), pp. 373-390.</w:t>
          </w:r>
        </w:p>
        <w:p w:rsidR="0095172C"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t xml:space="preserve">Lu, W. &amp; Rahman, I., 2019. Impact of Celebrity Endorsement on Brand Equity and Consumer Purchase Intention: The Mediating Role of Brand Awareness and Brand Image. </w:t>
          </w:r>
          <w:r w:rsidRPr="00465B22">
            <w:rPr>
              <w:rFonts w:ascii="Times New Roman" w:hAnsi="Times New Roman" w:cs="Times New Roman"/>
              <w:i/>
              <w:iCs/>
              <w:noProof/>
              <w:sz w:val="24"/>
              <w:szCs w:val="24"/>
            </w:rPr>
            <w:t xml:space="preserve">Journal of Retailing and Consumer Services, </w:t>
          </w:r>
          <w:r w:rsidRPr="00465B22">
            <w:rPr>
              <w:rFonts w:ascii="Times New Roman" w:hAnsi="Times New Roman" w:cs="Times New Roman"/>
              <w:noProof/>
              <w:sz w:val="24"/>
              <w:szCs w:val="24"/>
            </w:rPr>
            <w:t>Volume 49, pp. 96-104.</w:t>
          </w:r>
        </w:p>
        <w:p w:rsidR="0095172C"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t xml:space="preserve">Moon, J., Chadee, D. &amp; Tikoo, S., 2019. International Market Entry Mode Choice: A Review and Assessment. </w:t>
          </w:r>
          <w:r w:rsidRPr="00465B22">
            <w:rPr>
              <w:rFonts w:ascii="Times New Roman" w:hAnsi="Times New Roman" w:cs="Times New Roman"/>
              <w:i/>
              <w:iCs/>
              <w:noProof/>
              <w:sz w:val="24"/>
              <w:szCs w:val="24"/>
            </w:rPr>
            <w:t xml:space="preserve">International Marketing Review, </w:t>
          </w:r>
          <w:r w:rsidRPr="00465B22">
            <w:rPr>
              <w:rFonts w:ascii="Times New Roman" w:hAnsi="Times New Roman" w:cs="Times New Roman"/>
              <w:noProof/>
              <w:sz w:val="24"/>
              <w:szCs w:val="24"/>
            </w:rPr>
            <w:t>Volume 36(5), pp. 711-738.</w:t>
          </w:r>
        </w:p>
        <w:p w:rsidR="0095172C"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t xml:space="preserve">Parente, D., Gama, B. A. P. &amp; Coelho, F. J., 2019. The Role of Price and Brand Image on Consumer Based Brand Equity. </w:t>
          </w:r>
          <w:r w:rsidRPr="00465B22">
            <w:rPr>
              <w:rFonts w:ascii="Times New Roman" w:hAnsi="Times New Roman" w:cs="Times New Roman"/>
              <w:i/>
              <w:iCs/>
              <w:noProof/>
              <w:sz w:val="24"/>
              <w:szCs w:val="24"/>
            </w:rPr>
            <w:t xml:space="preserve">Journal of Business Research, </w:t>
          </w:r>
          <w:r w:rsidRPr="00465B22">
            <w:rPr>
              <w:rFonts w:ascii="Times New Roman" w:hAnsi="Times New Roman" w:cs="Times New Roman"/>
              <w:noProof/>
              <w:sz w:val="24"/>
              <w:szCs w:val="24"/>
            </w:rPr>
            <w:t>Volume 100, pp. 236-248.</w:t>
          </w:r>
        </w:p>
        <w:p w:rsidR="0095172C"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t xml:space="preserve">Pelsmacker, P., Geuens, M. &amp; Bergh, J. V. D., 2019. Marketing communications: A European perspective.. </w:t>
          </w:r>
          <w:r w:rsidRPr="00465B22">
            <w:rPr>
              <w:rFonts w:ascii="Times New Roman" w:hAnsi="Times New Roman" w:cs="Times New Roman"/>
              <w:i/>
              <w:iCs/>
              <w:noProof/>
              <w:sz w:val="24"/>
              <w:szCs w:val="24"/>
            </w:rPr>
            <w:t>Pearson.</w:t>
          </w:r>
        </w:p>
        <w:p w:rsidR="0095172C"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t xml:space="preserve">Pride, W. M. &amp; Ferrell, O. C., 2021. Marketing. </w:t>
          </w:r>
          <w:r w:rsidRPr="00465B22">
            <w:rPr>
              <w:rFonts w:ascii="Times New Roman" w:hAnsi="Times New Roman" w:cs="Times New Roman"/>
              <w:i/>
              <w:iCs/>
              <w:noProof/>
              <w:sz w:val="24"/>
              <w:szCs w:val="24"/>
            </w:rPr>
            <w:t>Cengage Learning.</w:t>
          </w:r>
        </w:p>
        <w:p w:rsidR="0095172C"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t xml:space="preserve">Proctor, T., 2020. Essentials of marketing research. </w:t>
          </w:r>
          <w:r w:rsidRPr="00465B22">
            <w:rPr>
              <w:rFonts w:ascii="Times New Roman" w:hAnsi="Times New Roman" w:cs="Times New Roman"/>
              <w:i/>
              <w:iCs/>
              <w:noProof/>
              <w:sz w:val="24"/>
              <w:szCs w:val="24"/>
            </w:rPr>
            <w:t>Pearson.</w:t>
          </w:r>
        </w:p>
        <w:p w:rsidR="0095172C"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t xml:space="preserve">Solomon, M. R., 2019. Consumer behavior: Buying, having, and being. </w:t>
          </w:r>
          <w:r w:rsidRPr="00465B22">
            <w:rPr>
              <w:rFonts w:ascii="Times New Roman" w:hAnsi="Times New Roman" w:cs="Times New Roman"/>
              <w:i/>
              <w:iCs/>
              <w:noProof/>
              <w:sz w:val="24"/>
              <w:szCs w:val="24"/>
            </w:rPr>
            <w:t>Pearson.</w:t>
          </w:r>
        </w:p>
        <w:p w:rsidR="0095172C"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t xml:space="preserve">Statista, 2017. Nike’s revenue in Japan 2009 to 2017, by segment. </w:t>
          </w:r>
        </w:p>
        <w:p w:rsidR="0095172C"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t xml:space="preserve">Statista, 2023. Nike’s revenue U.S. 2023. </w:t>
          </w:r>
        </w:p>
        <w:p w:rsidR="0095172C"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t xml:space="preserve">Zeithaml, V. A., 2021. Services marketing. </w:t>
          </w:r>
          <w:r w:rsidRPr="00465B22">
            <w:rPr>
              <w:rFonts w:ascii="Times New Roman" w:hAnsi="Times New Roman" w:cs="Times New Roman"/>
              <w:i/>
              <w:iCs/>
              <w:noProof/>
              <w:sz w:val="24"/>
              <w:szCs w:val="24"/>
            </w:rPr>
            <w:t>McGraw-Hill Education.</w:t>
          </w:r>
        </w:p>
        <w:p w:rsidR="00486771" w:rsidRPr="00465B22" w:rsidRDefault="0095172C" w:rsidP="00465B22">
          <w:pPr>
            <w:pStyle w:val="Bibliography"/>
            <w:spacing w:line="360" w:lineRule="auto"/>
            <w:jc w:val="both"/>
            <w:rPr>
              <w:rFonts w:ascii="Times New Roman" w:hAnsi="Times New Roman" w:cs="Times New Roman"/>
              <w:noProof/>
              <w:sz w:val="24"/>
              <w:szCs w:val="24"/>
            </w:rPr>
          </w:pPr>
          <w:r w:rsidRPr="00465B22">
            <w:rPr>
              <w:rFonts w:ascii="Times New Roman" w:hAnsi="Times New Roman" w:cs="Times New Roman"/>
              <w:noProof/>
              <w:sz w:val="24"/>
              <w:szCs w:val="24"/>
            </w:rPr>
            <w:t xml:space="preserve">Zeithaml, V. A., Bitner, M. J. &amp; Gremler, D. D., 2019. Services Marketing. </w:t>
          </w:r>
          <w:r w:rsidRPr="00465B22">
            <w:rPr>
              <w:rFonts w:ascii="Times New Roman" w:hAnsi="Times New Roman" w:cs="Times New Roman"/>
              <w:i/>
              <w:iCs/>
              <w:noProof/>
              <w:sz w:val="24"/>
              <w:szCs w:val="24"/>
            </w:rPr>
            <w:t>McGraw-Hill Education.</w:t>
          </w:r>
          <w:r w:rsidR="00251E4C" w:rsidRPr="00465B22">
            <w:rPr>
              <w:rFonts w:ascii="Times New Roman" w:hAnsi="Times New Roman" w:cs="Times New Roman"/>
              <w:sz w:val="24"/>
              <w:szCs w:val="24"/>
            </w:rPr>
            <w:fldChar w:fldCharType="end"/>
          </w:r>
          <w:r w:rsidR="000B0393" w:rsidRPr="00465B22">
            <w:rPr>
              <w:rFonts w:ascii="Times New Roman" w:hAnsi="Times New Roman" w:cs="Times New Roman"/>
              <w:sz w:val="24"/>
              <w:szCs w:val="24"/>
            </w:rPr>
            <w:t xml:space="preserve"> </w:t>
          </w:r>
        </w:p>
      </w:sdtContent>
    </w:sdt>
    <w:p w:rsidR="00C71B0B" w:rsidRDefault="00C71B0B" w:rsidP="00486771">
      <w:pPr>
        <w:pStyle w:val="NormalWeb"/>
        <w:spacing w:before="0" w:beforeAutospacing="0" w:after="240" w:afterAutospacing="0" w:line="360" w:lineRule="auto"/>
        <w:jc w:val="both"/>
      </w:pPr>
    </w:p>
    <w:sectPr w:rsidR="00C71B0B" w:rsidSect="007258B1">
      <w:footerReference w:type="default" r:id="rId16"/>
      <w:pgSz w:w="12240" w:h="15840"/>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122DA" w:rsidRDefault="006122DA" w:rsidP="007258B1">
      <w:pPr>
        <w:spacing w:after="0" w:line="240" w:lineRule="auto"/>
      </w:pPr>
      <w:r>
        <w:separator/>
      </w:r>
    </w:p>
  </w:endnote>
  <w:endnote w:type="continuationSeparator" w:id="1">
    <w:p w:rsidR="006122DA" w:rsidRDefault="006122DA" w:rsidP="007258B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63926026"/>
      <w:docPartObj>
        <w:docPartGallery w:val="Page Numbers (Bottom of Page)"/>
        <w:docPartUnique/>
      </w:docPartObj>
    </w:sdtPr>
    <w:sdtContent>
      <w:sdt>
        <w:sdtPr>
          <w:id w:val="565050523"/>
          <w:docPartObj>
            <w:docPartGallery w:val="Page Numbers (Top of Page)"/>
            <w:docPartUnique/>
          </w:docPartObj>
        </w:sdtPr>
        <w:sdtContent>
          <w:p w:rsidR="001560F7" w:rsidRDefault="001560F7">
            <w:pPr>
              <w:pStyle w:val="Footer"/>
              <w:jc w:val="right"/>
            </w:pPr>
            <w:r w:rsidRPr="007258B1">
              <w:rPr>
                <w:rFonts w:ascii="Times New Roman" w:hAnsi="Times New Roman" w:cs="Times New Roman"/>
                <w:sz w:val="24"/>
                <w:szCs w:val="24"/>
              </w:rPr>
              <w:t xml:space="preserve">Page </w:t>
            </w:r>
            <w:r w:rsidR="00251E4C" w:rsidRPr="007258B1">
              <w:rPr>
                <w:rFonts w:ascii="Times New Roman" w:hAnsi="Times New Roman" w:cs="Times New Roman"/>
                <w:b/>
                <w:sz w:val="24"/>
                <w:szCs w:val="24"/>
              </w:rPr>
              <w:fldChar w:fldCharType="begin"/>
            </w:r>
            <w:r w:rsidRPr="007258B1">
              <w:rPr>
                <w:rFonts w:ascii="Times New Roman" w:hAnsi="Times New Roman" w:cs="Times New Roman"/>
                <w:b/>
                <w:sz w:val="24"/>
                <w:szCs w:val="24"/>
              </w:rPr>
              <w:instrText xml:space="preserve"> PAGE </w:instrText>
            </w:r>
            <w:r w:rsidR="00251E4C" w:rsidRPr="007258B1">
              <w:rPr>
                <w:rFonts w:ascii="Times New Roman" w:hAnsi="Times New Roman" w:cs="Times New Roman"/>
                <w:b/>
                <w:sz w:val="24"/>
                <w:szCs w:val="24"/>
              </w:rPr>
              <w:fldChar w:fldCharType="separate"/>
            </w:r>
            <w:r w:rsidR="00754D12">
              <w:rPr>
                <w:rFonts w:ascii="Times New Roman" w:hAnsi="Times New Roman" w:cs="Times New Roman"/>
                <w:b/>
                <w:noProof/>
                <w:sz w:val="24"/>
                <w:szCs w:val="24"/>
              </w:rPr>
              <w:t>26</w:t>
            </w:r>
            <w:r w:rsidR="00251E4C" w:rsidRPr="007258B1">
              <w:rPr>
                <w:rFonts w:ascii="Times New Roman" w:hAnsi="Times New Roman" w:cs="Times New Roman"/>
                <w:b/>
                <w:sz w:val="24"/>
                <w:szCs w:val="24"/>
              </w:rPr>
              <w:fldChar w:fldCharType="end"/>
            </w:r>
            <w:r w:rsidRPr="007258B1">
              <w:rPr>
                <w:rFonts w:ascii="Times New Roman" w:hAnsi="Times New Roman" w:cs="Times New Roman"/>
                <w:sz w:val="24"/>
                <w:szCs w:val="24"/>
              </w:rPr>
              <w:t xml:space="preserve"> of </w:t>
            </w:r>
            <w:r w:rsidR="00251E4C" w:rsidRPr="007258B1">
              <w:rPr>
                <w:rFonts w:ascii="Times New Roman" w:hAnsi="Times New Roman" w:cs="Times New Roman"/>
                <w:b/>
                <w:sz w:val="24"/>
                <w:szCs w:val="24"/>
              </w:rPr>
              <w:fldChar w:fldCharType="begin"/>
            </w:r>
            <w:r w:rsidRPr="007258B1">
              <w:rPr>
                <w:rFonts w:ascii="Times New Roman" w:hAnsi="Times New Roman" w:cs="Times New Roman"/>
                <w:b/>
                <w:sz w:val="24"/>
                <w:szCs w:val="24"/>
              </w:rPr>
              <w:instrText xml:space="preserve"> NUMPAGES  </w:instrText>
            </w:r>
            <w:r w:rsidR="00251E4C" w:rsidRPr="007258B1">
              <w:rPr>
                <w:rFonts w:ascii="Times New Roman" w:hAnsi="Times New Roman" w:cs="Times New Roman"/>
                <w:b/>
                <w:sz w:val="24"/>
                <w:szCs w:val="24"/>
              </w:rPr>
              <w:fldChar w:fldCharType="separate"/>
            </w:r>
            <w:r w:rsidR="00754D12">
              <w:rPr>
                <w:rFonts w:ascii="Times New Roman" w:hAnsi="Times New Roman" w:cs="Times New Roman"/>
                <w:b/>
                <w:noProof/>
                <w:sz w:val="24"/>
                <w:szCs w:val="24"/>
              </w:rPr>
              <w:t>26</w:t>
            </w:r>
            <w:r w:rsidR="00251E4C" w:rsidRPr="007258B1">
              <w:rPr>
                <w:rFonts w:ascii="Times New Roman" w:hAnsi="Times New Roman" w:cs="Times New Roman"/>
                <w:b/>
                <w:sz w:val="24"/>
                <w:szCs w:val="24"/>
              </w:rPr>
              <w:fldChar w:fldCharType="end"/>
            </w:r>
          </w:p>
        </w:sdtContent>
      </w:sdt>
    </w:sdtContent>
  </w:sdt>
  <w:p w:rsidR="001560F7" w:rsidRDefault="001560F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122DA" w:rsidRDefault="006122DA" w:rsidP="007258B1">
      <w:pPr>
        <w:spacing w:after="0" w:line="240" w:lineRule="auto"/>
      </w:pPr>
      <w:r>
        <w:separator/>
      </w:r>
    </w:p>
  </w:footnote>
  <w:footnote w:type="continuationSeparator" w:id="1">
    <w:p w:rsidR="006122DA" w:rsidRDefault="006122DA" w:rsidP="007258B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05476C"/>
    <w:multiLevelType w:val="hybridMultilevel"/>
    <w:tmpl w:val="9FFAB5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0271B4B"/>
    <w:multiLevelType w:val="multilevel"/>
    <w:tmpl w:val="8D300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D1114A"/>
    <w:rsid w:val="000B0393"/>
    <w:rsid w:val="000C25FA"/>
    <w:rsid w:val="001560F7"/>
    <w:rsid w:val="00174C35"/>
    <w:rsid w:val="001E5C11"/>
    <w:rsid w:val="00251E4C"/>
    <w:rsid w:val="002A2675"/>
    <w:rsid w:val="002B62CE"/>
    <w:rsid w:val="002D5FB8"/>
    <w:rsid w:val="002D7BCE"/>
    <w:rsid w:val="002E3395"/>
    <w:rsid w:val="00305834"/>
    <w:rsid w:val="003205D3"/>
    <w:rsid w:val="00460060"/>
    <w:rsid w:val="00465B22"/>
    <w:rsid w:val="00486771"/>
    <w:rsid w:val="006122DA"/>
    <w:rsid w:val="00635CE7"/>
    <w:rsid w:val="007258B1"/>
    <w:rsid w:val="00754D12"/>
    <w:rsid w:val="007950A6"/>
    <w:rsid w:val="0095172C"/>
    <w:rsid w:val="009C3877"/>
    <w:rsid w:val="009F1852"/>
    <w:rsid w:val="00A32B95"/>
    <w:rsid w:val="00A77091"/>
    <w:rsid w:val="00AF63AC"/>
    <w:rsid w:val="00B716E3"/>
    <w:rsid w:val="00B921EC"/>
    <w:rsid w:val="00BA7D2E"/>
    <w:rsid w:val="00BB7516"/>
    <w:rsid w:val="00C37430"/>
    <w:rsid w:val="00C71B0B"/>
    <w:rsid w:val="00D1114A"/>
    <w:rsid w:val="00DC3B97"/>
    <w:rsid w:val="00E45EBB"/>
    <w:rsid w:val="00F02D64"/>
    <w:rsid w:val="00FD35C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62CE"/>
  </w:style>
  <w:style w:type="paragraph" w:styleId="Heading1">
    <w:name w:val="heading 1"/>
    <w:basedOn w:val="Normal"/>
    <w:next w:val="Normal"/>
    <w:link w:val="Heading1Char"/>
    <w:uiPriority w:val="9"/>
    <w:qFormat/>
    <w:rsid w:val="00D1114A"/>
    <w:pPr>
      <w:keepNext/>
      <w:keepLines/>
      <w:spacing w:before="480" w:after="0"/>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D1114A"/>
    <w:pPr>
      <w:keepNext/>
      <w:keepLines/>
      <w:spacing w:before="200" w:after="0"/>
      <w:outlineLvl w:val="1"/>
    </w:pPr>
    <w:rPr>
      <w:rFonts w:ascii="Times New Roman" w:eastAsiaTheme="majorEastAsia" w:hAnsi="Times New Roman" w:cstheme="majorBidi"/>
      <w:b/>
      <w:bCs/>
      <w:i/>
      <w:sz w:val="26"/>
      <w:szCs w:val="26"/>
    </w:rPr>
  </w:style>
  <w:style w:type="paragraph" w:styleId="Heading7">
    <w:name w:val="heading 7"/>
    <w:basedOn w:val="Normal"/>
    <w:next w:val="Normal"/>
    <w:link w:val="Heading7Char"/>
    <w:uiPriority w:val="9"/>
    <w:semiHidden/>
    <w:unhideWhenUsed/>
    <w:qFormat/>
    <w:rsid w:val="00F02D64"/>
    <w:pPr>
      <w:keepNext/>
      <w:keepLines/>
      <w:spacing w:before="200" w:after="0"/>
      <w:outlineLvl w:val="6"/>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14A"/>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D1114A"/>
    <w:rPr>
      <w:rFonts w:ascii="Times New Roman" w:eastAsiaTheme="majorEastAsia" w:hAnsi="Times New Roman" w:cstheme="majorBidi"/>
      <w:b/>
      <w:bCs/>
      <w:i/>
      <w:sz w:val="26"/>
      <w:szCs w:val="26"/>
    </w:rPr>
  </w:style>
  <w:style w:type="paragraph" w:styleId="NormalWeb">
    <w:name w:val="Normal (Web)"/>
    <w:basedOn w:val="Normal"/>
    <w:uiPriority w:val="99"/>
    <w:unhideWhenUsed/>
    <w:rsid w:val="00D1114A"/>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7258B1"/>
    <w:pPr>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7258B1"/>
    <w:pPr>
      <w:spacing w:after="100"/>
    </w:pPr>
  </w:style>
  <w:style w:type="paragraph" w:styleId="TOC2">
    <w:name w:val="toc 2"/>
    <w:basedOn w:val="Normal"/>
    <w:next w:val="Normal"/>
    <w:autoRedefine/>
    <w:uiPriority w:val="39"/>
    <w:unhideWhenUsed/>
    <w:rsid w:val="007258B1"/>
    <w:pPr>
      <w:spacing w:after="100"/>
      <w:ind w:left="220"/>
    </w:pPr>
  </w:style>
  <w:style w:type="character" w:styleId="Hyperlink">
    <w:name w:val="Hyperlink"/>
    <w:basedOn w:val="DefaultParagraphFont"/>
    <w:uiPriority w:val="99"/>
    <w:unhideWhenUsed/>
    <w:rsid w:val="007258B1"/>
    <w:rPr>
      <w:color w:val="0000FF" w:themeColor="hyperlink"/>
      <w:u w:val="single"/>
    </w:rPr>
  </w:style>
  <w:style w:type="paragraph" w:styleId="BalloonText">
    <w:name w:val="Balloon Text"/>
    <w:basedOn w:val="Normal"/>
    <w:link w:val="BalloonTextChar"/>
    <w:uiPriority w:val="99"/>
    <w:semiHidden/>
    <w:unhideWhenUsed/>
    <w:rsid w:val="007258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58B1"/>
    <w:rPr>
      <w:rFonts w:ascii="Tahoma" w:hAnsi="Tahoma" w:cs="Tahoma"/>
      <w:sz w:val="16"/>
      <w:szCs w:val="16"/>
    </w:rPr>
  </w:style>
  <w:style w:type="paragraph" w:styleId="Header">
    <w:name w:val="header"/>
    <w:basedOn w:val="Normal"/>
    <w:link w:val="HeaderChar"/>
    <w:uiPriority w:val="99"/>
    <w:semiHidden/>
    <w:unhideWhenUsed/>
    <w:rsid w:val="007258B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258B1"/>
  </w:style>
  <w:style w:type="paragraph" w:styleId="Footer">
    <w:name w:val="footer"/>
    <w:basedOn w:val="Normal"/>
    <w:link w:val="FooterChar"/>
    <w:uiPriority w:val="99"/>
    <w:unhideWhenUsed/>
    <w:rsid w:val="007258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58B1"/>
  </w:style>
  <w:style w:type="paragraph" w:styleId="ListParagraph">
    <w:name w:val="List Paragraph"/>
    <w:basedOn w:val="Normal"/>
    <w:uiPriority w:val="34"/>
    <w:qFormat/>
    <w:rsid w:val="00486771"/>
    <w:pPr>
      <w:ind w:left="720"/>
      <w:contextualSpacing/>
    </w:pPr>
  </w:style>
  <w:style w:type="paragraph" w:styleId="Bibliography">
    <w:name w:val="Bibliography"/>
    <w:basedOn w:val="Normal"/>
    <w:next w:val="Normal"/>
    <w:uiPriority w:val="37"/>
    <w:unhideWhenUsed/>
    <w:rsid w:val="00486771"/>
  </w:style>
  <w:style w:type="table" w:styleId="TableGrid">
    <w:name w:val="Table Grid"/>
    <w:basedOn w:val="TableNormal"/>
    <w:uiPriority w:val="59"/>
    <w:rsid w:val="002D7BC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7Char">
    <w:name w:val="Heading 7 Char"/>
    <w:basedOn w:val="DefaultParagraphFont"/>
    <w:link w:val="Heading7"/>
    <w:uiPriority w:val="9"/>
    <w:semiHidden/>
    <w:rsid w:val="00F02D64"/>
    <w:rPr>
      <w:rFonts w:asciiTheme="majorHAnsi" w:eastAsiaTheme="majorEastAsia" w:hAnsiTheme="majorHAnsi" w:cstheme="majorBidi"/>
      <w:i/>
      <w:iCs/>
      <w:color w:val="404040" w:themeColor="text1" w:themeTint="BF"/>
    </w:rPr>
  </w:style>
</w:styles>
</file>

<file path=word/webSettings.xml><?xml version="1.0" encoding="utf-8"?>
<w:webSettings xmlns:r="http://schemas.openxmlformats.org/officeDocument/2006/relationships" xmlns:w="http://schemas.openxmlformats.org/wordprocessingml/2006/main">
  <w:divs>
    <w:div w:id="683481830">
      <w:bodyDiv w:val="1"/>
      <w:marLeft w:val="0"/>
      <w:marRight w:val="0"/>
      <w:marTop w:val="0"/>
      <w:marBottom w:val="0"/>
      <w:divBdr>
        <w:top w:val="none" w:sz="0" w:space="0" w:color="auto"/>
        <w:left w:val="none" w:sz="0" w:space="0" w:color="auto"/>
        <w:bottom w:val="none" w:sz="0" w:space="0" w:color="auto"/>
        <w:right w:val="none" w:sz="0" w:space="0" w:color="auto"/>
      </w:divBdr>
    </w:div>
    <w:div w:id="758212347">
      <w:bodyDiv w:val="1"/>
      <w:marLeft w:val="0"/>
      <w:marRight w:val="0"/>
      <w:marTop w:val="0"/>
      <w:marBottom w:val="0"/>
      <w:divBdr>
        <w:top w:val="none" w:sz="0" w:space="0" w:color="auto"/>
        <w:left w:val="none" w:sz="0" w:space="0" w:color="auto"/>
        <w:bottom w:val="none" w:sz="0" w:space="0" w:color="auto"/>
        <w:right w:val="none" w:sz="0" w:space="0" w:color="auto"/>
      </w:divBdr>
    </w:div>
    <w:div w:id="770441263">
      <w:bodyDiv w:val="1"/>
      <w:marLeft w:val="0"/>
      <w:marRight w:val="0"/>
      <w:marTop w:val="0"/>
      <w:marBottom w:val="0"/>
      <w:divBdr>
        <w:top w:val="none" w:sz="0" w:space="0" w:color="auto"/>
        <w:left w:val="none" w:sz="0" w:space="0" w:color="auto"/>
        <w:bottom w:val="none" w:sz="0" w:space="0" w:color="auto"/>
        <w:right w:val="none" w:sz="0" w:space="0" w:color="auto"/>
      </w:divBdr>
    </w:div>
    <w:div w:id="1073239100">
      <w:bodyDiv w:val="1"/>
      <w:marLeft w:val="0"/>
      <w:marRight w:val="0"/>
      <w:marTop w:val="0"/>
      <w:marBottom w:val="0"/>
      <w:divBdr>
        <w:top w:val="none" w:sz="0" w:space="0" w:color="auto"/>
        <w:left w:val="none" w:sz="0" w:space="0" w:color="auto"/>
        <w:bottom w:val="none" w:sz="0" w:space="0" w:color="auto"/>
        <w:right w:val="none" w:sz="0" w:space="0" w:color="auto"/>
      </w:divBdr>
    </w:div>
    <w:div w:id="1142234817">
      <w:bodyDiv w:val="1"/>
      <w:marLeft w:val="0"/>
      <w:marRight w:val="0"/>
      <w:marTop w:val="0"/>
      <w:marBottom w:val="0"/>
      <w:divBdr>
        <w:top w:val="none" w:sz="0" w:space="0" w:color="auto"/>
        <w:left w:val="none" w:sz="0" w:space="0" w:color="auto"/>
        <w:bottom w:val="none" w:sz="0" w:space="0" w:color="auto"/>
        <w:right w:val="none" w:sz="0" w:space="0" w:color="auto"/>
      </w:divBdr>
    </w:div>
    <w:div w:id="1311905864">
      <w:bodyDiv w:val="1"/>
      <w:marLeft w:val="0"/>
      <w:marRight w:val="0"/>
      <w:marTop w:val="0"/>
      <w:marBottom w:val="0"/>
      <w:divBdr>
        <w:top w:val="none" w:sz="0" w:space="0" w:color="auto"/>
        <w:left w:val="none" w:sz="0" w:space="0" w:color="auto"/>
        <w:bottom w:val="none" w:sz="0" w:space="0" w:color="auto"/>
        <w:right w:val="none" w:sz="0" w:space="0" w:color="auto"/>
      </w:divBdr>
    </w:div>
    <w:div w:id="1629819769">
      <w:bodyDiv w:val="1"/>
      <w:marLeft w:val="0"/>
      <w:marRight w:val="0"/>
      <w:marTop w:val="0"/>
      <w:marBottom w:val="0"/>
      <w:divBdr>
        <w:top w:val="none" w:sz="0" w:space="0" w:color="auto"/>
        <w:left w:val="none" w:sz="0" w:space="0" w:color="auto"/>
        <w:bottom w:val="none" w:sz="0" w:space="0" w:color="auto"/>
        <w:right w:val="none" w:sz="0" w:space="0" w:color="auto"/>
      </w:divBdr>
    </w:div>
    <w:div w:id="1756198419">
      <w:bodyDiv w:val="1"/>
      <w:marLeft w:val="0"/>
      <w:marRight w:val="0"/>
      <w:marTop w:val="0"/>
      <w:marBottom w:val="0"/>
      <w:divBdr>
        <w:top w:val="none" w:sz="0" w:space="0" w:color="auto"/>
        <w:left w:val="none" w:sz="0" w:space="0" w:color="auto"/>
        <w:bottom w:val="none" w:sz="0" w:space="0" w:color="auto"/>
        <w:right w:val="none" w:sz="0" w:space="0" w:color="auto"/>
      </w:divBdr>
    </w:div>
    <w:div w:id="2107262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diagramData" Target="diagrams/data1.xml"/><Relationship Id="rId19"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4FA2A3C-1B6B-4E5C-9434-6211C3D119B6}"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US"/>
        </a:p>
      </dgm:t>
    </dgm:pt>
    <dgm:pt modelId="{C77B3F08-C24E-4F5A-B454-1CEAB528933A}">
      <dgm:prSet phldrT="[Text]" custT="1"/>
      <dgm:spPr/>
      <dgm:t>
        <a:bodyPr/>
        <a:lstStyle/>
        <a:p>
          <a:r>
            <a:rPr lang="en-GB" sz="1400" b="1">
              <a:latin typeface="Times New Roman" pitchFamily="18" charset="0"/>
              <a:cs typeface="Times New Roman" pitchFamily="18" charset="0"/>
            </a:rPr>
            <a:t>Hofstede's Cultural Dimensions</a:t>
          </a:r>
          <a:endParaRPr lang="en-US" sz="1400" b="1">
            <a:latin typeface="Times New Roman" pitchFamily="18" charset="0"/>
            <a:cs typeface="Times New Roman" pitchFamily="18" charset="0"/>
          </a:endParaRPr>
        </a:p>
      </dgm:t>
    </dgm:pt>
    <dgm:pt modelId="{635F53E4-8C08-48C5-9B67-830337A26803}" type="parTrans" cxnId="{99256FB8-74D8-4958-9503-EE33CD8889D8}">
      <dgm:prSet/>
      <dgm:spPr/>
      <dgm:t>
        <a:bodyPr/>
        <a:lstStyle/>
        <a:p>
          <a:endParaRPr lang="en-US"/>
        </a:p>
      </dgm:t>
    </dgm:pt>
    <dgm:pt modelId="{C2E0B085-BC0D-4232-B7E5-8B7082512AC7}" type="sibTrans" cxnId="{99256FB8-74D8-4958-9503-EE33CD8889D8}">
      <dgm:prSet/>
      <dgm:spPr/>
      <dgm:t>
        <a:bodyPr/>
        <a:lstStyle/>
        <a:p>
          <a:endParaRPr lang="en-US"/>
        </a:p>
      </dgm:t>
    </dgm:pt>
    <dgm:pt modelId="{B3096CA2-856B-4B99-AD7E-6189E4318E38}">
      <dgm:prSet phldrT="[Text]" custT="1"/>
      <dgm:spPr/>
      <dgm:t>
        <a:bodyPr/>
        <a:lstStyle/>
        <a:p>
          <a:r>
            <a:rPr lang="en-GB" sz="1400" b="1">
              <a:latin typeface="Times New Roman" pitchFamily="18" charset="0"/>
              <a:cs typeface="Times New Roman" pitchFamily="18" charset="0"/>
            </a:rPr>
            <a:t>Power Distance</a:t>
          </a:r>
          <a:endParaRPr lang="en-US" sz="1400" b="1">
            <a:latin typeface="Times New Roman" pitchFamily="18" charset="0"/>
            <a:cs typeface="Times New Roman" pitchFamily="18" charset="0"/>
          </a:endParaRPr>
        </a:p>
      </dgm:t>
    </dgm:pt>
    <dgm:pt modelId="{5BF58CE5-DB04-470B-B3CF-43CCD9E30ED2}" type="parTrans" cxnId="{49F8F352-E012-4951-A78F-110BFACBDE4A}">
      <dgm:prSet/>
      <dgm:spPr/>
      <dgm:t>
        <a:bodyPr/>
        <a:lstStyle/>
        <a:p>
          <a:endParaRPr lang="en-US"/>
        </a:p>
      </dgm:t>
    </dgm:pt>
    <dgm:pt modelId="{A7CBD2E0-20D0-454D-8C28-FA90DDE6CF95}" type="sibTrans" cxnId="{49F8F352-E012-4951-A78F-110BFACBDE4A}">
      <dgm:prSet/>
      <dgm:spPr/>
      <dgm:t>
        <a:bodyPr/>
        <a:lstStyle/>
        <a:p>
          <a:endParaRPr lang="en-US"/>
        </a:p>
      </dgm:t>
    </dgm:pt>
    <dgm:pt modelId="{332B1190-B351-4C4B-95B9-57DB019A4DFA}">
      <dgm:prSet phldrT="[Text]" custT="1"/>
      <dgm:spPr/>
      <dgm:t>
        <a:bodyPr/>
        <a:lstStyle/>
        <a:p>
          <a:r>
            <a:rPr lang="en-GB" sz="1200" b="1">
              <a:latin typeface="Times New Roman" pitchFamily="18" charset="0"/>
              <a:cs typeface="Times New Roman" pitchFamily="18" charset="0"/>
            </a:rPr>
            <a:t>Individualism vs. Collectivism</a:t>
          </a:r>
          <a:endParaRPr lang="en-US" sz="1200" b="1">
            <a:latin typeface="Times New Roman" pitchFamily="18" charset="0"/>
            <a:cs typeface="Times New Roman" pitchFamily="18" charset="0"/>
          </a:endParaRPr>
        </a:p>
      </dgm:t>
    </dgm:pt>
    <dgm:pt modelId="{A1F0FED4-D7F2-44D2-ADB1-8B10A526AC9D}" type="parTrans" cxnId="{37034519-4FE1-4F7E-85CE-3590B81FE62F}">
      <dgm:prSet/>
      <dgm:spPr/>
      <dgm:t>
        <a:bodyPr/>
        <a:lstStyle/>
        <a:p>
          <a:endParaRPr lang="en-US"/>
        </a:p>
      </dgm:t>
    </dgm:pt>
    <dgm:pt modelId="{E2B57645-A760-4E88-B185-182654D90F8F}" type="sibTrans" cxnId="{37034519-4FE1-4F7E-85CE-3590B81FE62F}">
      <dgm:prSet/>
      <dgm:spPr/>
      <dgm:t>
        <a:bodyPr/>
        <a:lstStyle/>
        <a:p>
          <a:endParaRPr lang="en-US"/>
        </a:p>
      </dgm:t>
    </dgm:pt>
    <dgm:pt modelId="{91558F1E-15B0-4762-B55B-A21C3091CF06}">
      <dgm:prSet custT="1"/>
      <dgm:spPr/>
      <dgm:t>
        <a:bodyPr/>
        <a:lstStyle/>
        <a:p>
          <a:r>
            <a:rPr lang="en-GB" sz="1200" b="1">
              <a:latin typeface="Times New Roman" pitchFamily="18" charset="0"/>
              <a:cs typeface="Times New Roman" pitchFamily="18" charset="0"/>
            </a:rPr>
            <a:t>Masculinity vs. Femininity</a:t>
          </a:r>
          <a:endParaRPr lang="en-US" sz="1200" b="1">
            <a:latin typeface="Times New Roman" pitchFamily="18" charset="0"/>
            <a:cs typeface="Times New Roman" pitchFamily="18" charset="0"/>
          </a:endParaRPr>
        </a:p>
      </dgm:t>
    </dgm:pt>
    <dgm:pt modelId="{C9E2BB7D-3EC9-4B11-A1D2-4819379B8563}" type="parTrans" cxnId="{398348F3-013A-4EE0-89C6-6C94A74B72EF}">
      <dgm:prSet/>
      <dgm:spPr/>
      <dgm:t>
        <a:bodyPr/>
        <a:lstStyle/>
        <a:p>
          <a:endParaRPr lang="en-US"/>
        </a:p>
      </dgm:t>
    </dgm:pt>
    <dgm:pt modelId="{E6109D99-C006-4CBB-A640-2D7172EF2B40}" type="sibTrans" cxnId="{398348F3-013A-4EE0-89C6-6C94A74B72EF}">
      <dgm:prSet/>
      <dgm:spPr/>
      <dgm:t>
        <a:bodyPr/>
        <a:lstStyle/>
        <a:p>
          <a:endParaRPr lang="en-US"/>
        </a:p>
      </dgm:t>
    </dgm:pt>
    <dgm:pt modelId="{41753566-EB09-4BD3-B180-B19BDE561AC0}">
      <dgm:prSet custT="1"/>
      <dgm:spPr/>
      <dgm:t>
        <a:bodyPr/>
        <a:lstStyle/>
        <a:p>
          <a:r>
            <a:rPr lang="en-GB" sz="1400" b="1" i="0">
              <a:latin typeface="Times New Roman" pitchFamily="18" charset="0"/>
              <a:cs typeface="Times New Roman" pitchFamily="18" charset="0"/>
            </a:rPr>
            <a:t>Uncertainty Avoidance</a:t>
          </a:r>
          <a:endParaRPr lang="en-US" sz="1400" b="1" i="0">
            <a:latin typeface="Times New Roman" pitchFamily="18" charset="0"/>
            <a:cs typeface="Times New Roman" pitchFamily="18" charset="0"/>
          </a:endParaRPr>
        </a:p>
      </dgm:t>
    </dgm:pt>
    <dgm:pt modelId="{7537FF39-67E9-4847-8CF9-8DA7F77DA2D2}" type="parTrans" cxnId="{83CF895B-6B3C-441C-A736-BAB799B46AC9}">
      <dgm:prSet/>
      <dgm:spPr/>
      <dgm:t>
        <a:bodyPr/>
        <a:lstStyle/>
        <a:p>
          <a:endParaRPr lang="en-US"/>
        </a:p>
      </dgm:t>
    </dgm:pt>
    <dgm:pt modelId="{9341676A-E330-47EF-BE02-15C4076380EE}" type="sibTrans" cxnId="{83CF895B-6B3C-441C-A736-BAB799B46AC9}">
      <dgm:prSet/>
      <dgm:spPr/>
      <dgm:t>
        <a:bodyPr/>
        <a:lstStyle/>
        <a:p>
          <a:endParaRPr lang="en-US"/>
        </a:p>
      </dgm:t>
    </dgm:pt>
    <dgm:pt modelId="{BA4C6A1D-A769-421B-BA83-5CABDDD451BE}" type="pres">
      <dgm:prSet presAssocID="{04FA2A3C-1B6B-4E5C-9434-6211C3D119B6}" presName="hierChild1" presStyleCnt="0">
        <dgm:presLayoutVars>
          <dgm:chPref val="1"/>
          <dgm:dir/>
          <dgm:animOne val="branch"/>
          <dgm:animLvl val="lvl"/>
          <dgm:resizeHandles/>
        </dgm:presLayoutVars>
      </dgm:prSet>
      <dgm:spPr/>
      <dgm:t>
        <a:bodyPr/>
        <a:lstStyle/>
        <a:p>
          <a:endParaRPr lang="en-US"/>
        </a:p>
      </dgm:t>
    </dgm:pt>
    <dgm:pt modelId="{1DD8C577-5969-41DD-8AAD-2969A6E9B84A}" type="pres">
      <dgm:prSet presAssocID="{C77B3F08-C24E-4F5A-B454-1CEAB528933A}" presName="hierRoot1" presStyleCnt="0"/>
      <dgm:spPr/>
    </dgm:pt>
    <dgm:pt modelId="{1A4B758A-84A5-4D9D-B181-3C7F9E790877}" type="pres">
      <dgm:prSet presAssocID="{C77B3F08-C24E-4F5A-B454-1CEAB528933A}" presName="composite" presStyleCnt="0"/>
      <dgm:spPr/>
    </dgm:pt>
    <dgm:pt modelId="{F6F2E255-5BC6-4217-B8F7-B184576D89B0}" type="pres">
      <dgm:prSet presAssocID="{C77B3F08-C24E-4F5A-B454-1CEAB528933A}" presName="background" presStyleLbl="node0" presStyleIdx="0" presStyleCnt="1"/>
      <dgm:spPr/>
    </dgm:pt>
    <dgm:pt modelId="{812D9C7F-9CA2-44D5-8B03-CBCAB7CAC85E}" type="pres">
      <dgm:prSet presAssocID="{C77B3F08-C24E-4F5A-B454-1CEAB528933A}" presName="text" presStyleLbl="fgAcc0" presStyleIdx="0" presStyleCnt="1" custScaleX="158201">
        <dgm:presLayoutVars>
          <dgm:chPref val="3"/>
        </dgm:presLayoutVars>
      </dgm:prSet>
      <dgm:spPr/>
      <dgm:t>
        <a:bodyPr/>
        <a:lstStyle/>
        <a:p>
          <a:endParaRPr lang="en-US"/>
        </a:p>
      </dgm:t>
    </dgm:pt>
    <dgm:pt modelId="{EBF51719-B74C-47A9-951E-65D6C3A9DE16}" type="pres">
      <dgm:prSet presAssocID="{C77B3F08-C24E-4F5A-B454-1CEAB528933A}" presName="hierChild2" presStyleCnt="0"/>
      <dgm:spPr/>
    </dgm:pt>
    <dgm:pt modelId="{E390D247-8DA6-4AA9-BB21-B577C5609D24}" type="pres">
      <dgm:prSet presAssocID="{5BF58CE5-DB04-470B-B3CF-43CCD9E30ED2}" presName="Name10" presStyleLbl="parChTrans1D2" presStyleIdx="0" presStyleCnt="4"/>
      <dgm:spPr/>
      <dgm:t>
        <a:bodyPr/>
        <a:lstStyle/>
        <a:p>
          <a:endParaRPr lang="en-US"/>
        </a:p>
      </dgm:t>
    </dgm:pt>
    <dgm:pt modelId="{73EE3BED-531E-4220-969C-477D313CDCAE}" type="pres">
      <dgm:prSet presAssocID="{B3096CA2-856B-4B99-AD7E-6189E4318E38}" presName="hierRoot2" presStyleCnt="0"/>
      <dgm:spPr/>
    </dgm:pt>
    <dgm:pt modelId="{D0F3ED10-D278-4E19-8E82-2FD04E824D45}" type="pres">
      <dgm:prSet presAssocID="{B3096CA2-856B-4B99-AD7E-6189E4318E38}" presName="composite2" presStyleCnt="0"/>
      <dgm:spPr/>
    </dgm:pt>
    <dgm:pt modelId="{3DF9EAA4-80E0-4B43-8315-85E4C7036760}" type="pres">
      <dgm:prSet presAssocID="{B3096CA2-856B-4B99-AD7E-6189E4318E38}" presName="background2" presStyleLbl="node2" presStyleIdx="0" presStyleCnt="4"/>
      <dgm:spPr/>
    </dgm:pt>
    <dgm:pt modelId="{27558F3C-39EC-437E-B8C2-7871D9CCC9E2}" type="pres">
      <dgm:prSet presAssocID="{B3096CA2-856B-4B99-AD7E-6189E4318E38}" presName="text2" presStyleLbl="fgAcc2" presStyleIdx="0" presStyleCnt="4">
        <dgm:presLayoutVars>
          <dgm:chPref val="3"/>
        </dgm:presLayoutVars>
      </dgm:prSet>
      <dgm:spPr/>
      <dgm:t>
        <a:bodyPr/>
        <a:lstStyle/>
        <a:p>
          <a:endParaRPr lang="en-US"/>
        </a:p>
      </dgm:t>
    </dgm:pt>
    <dgm:pt modelId="{30D8AA38-C62A-4439-87CC-296ED54B3B71}" type="pres">
      <dgm:prSet presAssocID="{B3096CA2-856B-4B99-AD7E-6189E4318E38}" presName="hierChild3" presStyleCnt="0"/>
      <dgm:spPr/>
    </dgm:pt>
    <dgm:pt modelId="{E353DDC9-097B-45CC-AEA8-D1034774DEC8}" type="pres">
      <dgm:prSet presAssocID="{A1F0FED4-D7F2-44D2-ADB1-8B10A526AC9D}" presName="Name10" presStyleLbl="parChTrans1D2" presStyleIdx="1" presStyleCnt="4"/>
      <dgm:spPr/>
      <dgm:t>
        <a:bodyPr/>
        <a:lstStyle/>
        <a:p>
          <a:endParaRPr lang="en-US"/>
        </a:p>
      </dgm:t>
    </dgm:pt>
    <dgm:pt modelId="{0A32494D-FB23-4EBA-8630-AB9EA935E739}" type="pres">
      <dgm:prSet presAssocID="{332B1190-B351-4C4B-95B9-57DB019A4DFA}" presName="hierRoot2" presStyleCnt="0"/>
      <dgm:spPr/>
    </dgm:pt>
    <dgm:pt modelId="{1BA5D962-21A6-45EE-AC59-334D0F806841}" type="pres">
      <dgm:prSet presAssocID="{332B1190-B351-4C4B-95B9-57DB019A4DFA}" presName="composite2" presStyleCnt="0"/>
      <dgm:spPr/>
    </dgm:pt>
    <dgm:pt modelId="{0A0DF09E-BB6C-4005-9344-E166CEA1CBA9}" type="pres">
      <dgm:prSet presAssocID="{332B1190-B351-4C4B-95B9-57DB019A4DFA}" presName="background2" presStyleLbl="node2" presStyleIdx="1" presStyleCnt="4"/>
      <dgm:spPr/>
    </dgm:pt>
    <dgm:pt modelId="{630D7461-4644-4AE5-8C05-8C2D9E265F76}" type="pres">
      <dgm:prSet presAssocID="{332B1190-B351-4C4B-95B9-57DB019A4DFA}" presName="text2" presStyleLbl="fgAcc2" presStyleIdx="1" presStyleCnt="4">
        <dgm:presLayoutVars>
          <dgm:chPref val="3"/>
        </dgm:presLayoutVars>
      </dgm:prSet>
      <dgm:spPr/>
      <dgm:t>
        <a:bodyPr/>
        <a:lstStyle/>
        <a:p>
          <a:endParaRPr lang="en-US"/>
        </a:p>
      </dgm:t>
    </dgm:pt>
    <dgm:pt modelId="{8083B5BA-64BD-42D9-BE1C-E6658F8A27CD}" type="pres">
      <dgm:prSet presAssocID="{332B1190-B351-4C4B-95B9-57DB019A4DFA}" presName="hierChild3" presStyleCnt="0"/>
      <dgm:spPr/>
    </dgm:pt>
    <dgm:pt modelId="{C19B8C50-C199-483F-A900-0C006689D0DB}" type="pres">
      <dgm:prSet presAssocID="{C9E2BB7D-3EC9-4B11-A1D2-4819379B8563}" presName="Name10" presStyleLbl="parChTrans1D2" presStyleIdx="2" presStyleCnt="4"/>
      <dgm:spPr/>
      <dgm:t>
        <a:bodyPr/>
        <a:lstStyle/>
        <a:p>
          <a:endParaRPr lang="en-US"/>
        </a:p>
      </dgm:t>
    </dgm:pt>
    <dgm:pt modelId="{B7739981-CADC-4DB1-9CA3-0AC3D891415E}" type="pres">
      <dgm:prSet presAssocID="{91558F1E-15B0-4762-B55B-A21C3091CF06}" presName="hierRoot2" presStyleCnt="0"/>
      <dgm:spPr/>
    </dgm:pt>
    <dgm:pt modelId="{1D2E033A-1407-42D6-B9AB-AE956253C1E0}" type="pres">
      <dgm:prSet presAssocID="{91558F1E-15B0-4762-B55B-A21C3091CF06}" presName="composite2" presStyleCnt="0"/>
      <dgm:spPr/>
    </dgm:pt>
    <dgm:pt modelId="{76C5F2DD-2567-45AF-81FE-27687C2AB72F}" type="pres">
      <dgm:prSet presAssocID="{91558F1E-15B0-4762-B55B-A21C3091CF06}" presName="background2" presStyleLbl="node2" presStyleIdx="2" presStyleCnt="4"/>
      <dgm:spPr/>
    </dgm:pt>
    <dgm:pt modelId="{122EE3CD-04B6-45CC-9B66-56ABD8574BDC}" type="pres">
      <dgm:prSet presAssocID="{91558F1E-15B0-4762-B55B-A21C3091CF06}" presName="text2" presStyleLbl="fgAcc2" presStyleIdx="2" presStyleCnt="4">
        <dgm:presLayoutVars>
          <dgm:chPref val="3"/>
        </dgm:presLayoutVars>
      </dgm:prSet>
      <dgm:spPr/>
      <dgm:t>
        <a:bodyPr/>
        <a:lstStyle/>
        <a:p>
          <a:endParaRPr lang="en-US"/>
        </a:p>
      </dgm:t>
    </dgm:pt>
    <dgm:pt modelId="{D2710140-4641-4998-81CE-FACD3DC57EC3}" type="pres">
      <dgm:prSet presAssocID="{91558F1E-15B0-4762-B55B-A21C3091CF06}" presName="hierChild3" presStyleCnt="0"/>
      <dgm:spPr/>
    </dgm:pt>
    <dgm:pt modelId="{9BDAED88-01A7-45E3-9194-8FC73225A467}" type="pres">
      <dgm:prSet presAssocID="{7537FF39-67E9-4847-8CF9-8DA7F77DA2D2}" presName="Name10" presStyleLbl="parChTrans1D2" presStyleIdx="3" presStyleCnt="4"/>
      <dgm:spPr/>
      <dgm:t>
        <a:bodyPr/>
        <a:lstStyle/>
        <a:p>
          <a:endParaRPr lang="en-US"/>
        </a:p>
      </dgm:t>
    </dgm:pt>
    <dgm:pt modelId="{911CC19A-13B9-401E-A4FF-C34FB71E3FD8}" type="pres">
      <dgm:prSet presAssocID="{41753566-EB09-4BD3-B180-B19BDE561AC0}" presName="hierRoot2" presStyleCnt="0"/>
      <dgm:spPr/>
    </dgm:pt>
    <dgm:pt modelId="{1F86E946-B228-4DB8-BF62-9A926A6AC9BC}" type="pres">
      <dgm:prSet presAssocID="{41753566-EB09-4BD3-B180-B19BDE561AC0}" presName="composite2" presStyleCnt="0"/>
      <dgm:spPr/>
    </dgm:pt>
    <dgm:pt modelId="{5DA291D4-7A0E-418A-B2B5-123E3677FEFE}" type="pres">
      <dgm:prSet presAssocID="{41753566-EB09-4BD3-B180-B19BDE561AC0}" presName="background2" presStyleLbl="node2" presStyleIdx="3" presStyleCnt="4"/>
      <dgm:spPr/>
    </dgm:pt>
    <dgm:pt modelId="{B38B0437-AFFC-4CB5-B575-D3D36DCA554C}" type="pres">
      <dgm:prSet presAssocID="{41753566-EB09-4BD3-B180-B19BDE561AC0}" presName="text2" presStyleLbl="fgAcc2" presStyleIdx="3" presStyleCnt="4">
        <dgm:presLayoutVars>
          <dgm:chPref val="3"/>
        </dgm:presLayoutVars>
      </dgm:prSet>
      <dgm:spPr/>
      <dgm:t>
        <a:bodyPr/>
        <a:lstStyle/>
        <a:p>
          <a:endParaRPr lang="en-US"/>
        </a:p>
      </dgm:t>
    </dgm:pt>
    <dgm:pt modelId="{357BEE77-4524-4814-8A0A-896D0EFE5A54}" type="pres">
      <dgm:prSet presAssocID="{41753566-EB09-4BD3-B180-B19BDE561AC0}" presName="hierChild3" presStyleCnt="0"/>
      <dgm:spPr/>
    </dgm:pt>
  </dgm:ptLst>
  <dgm:cxnLst>
    <dgm:cxn modelId="{BD3B0794-A775-49D6-9964-ED1E4B3686E3}" type="presOf" srcId="{C9E2BB7D-3EC9-4B11-A1D2-4819379B8563}" destId="{C19B8C50-C199-483F-A900-0C006689D0DB}" srcOrd="0" destOrd="0" presId="urn:microsoft.com/office/officeart/2005/8/layout/hierarchy1"/>
    <dgm:cxn modelId="{83CF895B-6B3C-441C-A736-BAB799B46AC9}" srcId="{C77B3F08-C24E-4F5A-B454-1CEAB528933A}" destId="{41753566-EB09-4BD3-B180-B19BDE561AC0}" srcOrd="3" destOrd="0" parTransId="{7537FF39-67E9-4847-8CF9-8DA7F77DA2D2}" sibTransId="{9341676A-E330-47EF-BE02-15C4076380EE}"/>
    <dgm:cxn modelId="{D9EA53E2-99E7-4B45-99CC-B64704EC872C}" type="presOf" srcId="{91558F1E-15B0-4762-B55B-A21C3091CF06}" destId="{122EE3CD-04B6-45CC-9B66-56ABD8574BDC}" srcOrd="0" destOrd="0" presId="urn:microsoft.com/office/officeart/2005/8/layout/hierarchy1"/>
    <dgm:cxn modelId="{46CC81E4-82E3-48EC-855B-92F4B939D2EE}" type="presOf" srcId="{B3096CA2-856B-4B99-AD7E-6189E4318E38}" destId="{27558F3C-39EC-437E-B8C2-7871D9CCC9E2}" srcOrd="0" destOrd="0" presId="urn:microsoft.com/office/officeart/2005/8/layout/hierarchy1"/>
    <dgm:cxn modelId="{3837640B-9D81-4911-B01B-9ED1A907518C}" type="presOf" srcId="{04FA2A3C-1B6B-4E5C-9434-6211C3D119B6}" destId="{BA4C6A1D-A769-421B-BA83-5CABDDD451BE}" srcOrd="0" destOrd="0" presId="urn:microsoft.com/office/officeart/2005/8/layout/hierarchy1"/>
    <dgm:cxn modelId="{39285891-AC22-4567-963C-5F52FDA427D7}" type="presOf" srcId="{41753566-EB09-4BD3-B180-B19BDE561AC0}" destId="{B38B0437-AFFC-4CB5-B575-D3D36DCA554C}" srcOrd="0" destOrd="0" presId="urn:microsoft.com/office/officeart/2005/8/layout/hierarchy1"/>
    <dgm:cxn modelId="{99256FB8-74D8-4958-9503-EE33CD8889D8}" srcId="{04FA2A3C-1B6B-4E5C-9434-6211C3D119B6}" destId="{C77B3F08-C24E-4F5A-B454-1CEAB528933A}" srcOrd="0" destOrd="0" parTransId="{635F53E4-8C08-48C5-9B67-830337A26803}" sibTransId="{C2E0B085-BC0D-4232-B7E5-8B7082512AC7}"/>
    <dgm:cxn modelId="{49F8F352-E012-4951-A78F-110BFACBDE4A}" srcId="{C77B3F08-C24E-4F5A-B454-1CEAB528933A}" destId="{B3096CA2-856B-4B99-AD7E-6189E4318E38}" srcOrd="0" destOrd="0" parTransId="{5BF58CE5-DB04-470B-B3CF-43CCD9E30ED2}" sibTransId="{A7CBD2E0-20D0-454D-8C28-FA90DDE6CF95}"/>
    <dgm:cxn modelId="{5CA0093F-B0B9-4F44-BE8B-51C0269F218C}" type="presOf" srcId="{A1F0FED4-D7F2-44D2-ADB1-8B10A526AC9D}" destId="{E353DDC9-097B-45CC-AEA8-D1034774DEC8}" srcOrd="0" destOrd="0" presId="urn:microsoft.com/office/officeart/2005/8/layout/hierarchy1"/>
    <dgm:cxn modelId="{398348F3-013A-4EE0-89C6-6C94A74B72EF}" srcId="{C77B3F08-C24E-4F5A-B454-1CEAB528933A}" destId="{91558F1E-15B0-4762-B55B-A21C3091CF06}" srcOrd="2" destOrd="0" parTransId="{C9E2BB7D-3EC9-4B11-A1D2-4819379B8563}" sibTransId="{E6109D99-C006-4CBB-A640-2D7172EF2B40}"/>
    <dgm:cxn modelId="{52E9DD20-9F04-4B06-9AEB-4C649161B39D}" type="presOf" srcId="{332B1190-B351-4C4B-95B9-57DB019A4DFA}" destId="{630D7461-4644-4AE5-8C05-8C2D9E265F76}" srcOrd="0" destOrd="0" presId="urn:microsoft.com/office/officeart/2005/8/layout/hierarchy1"/>
    <dgm:cxn modelId="{37034519-4FE1-4F7E-85CE-3590B81FE62F}" srcId="{C77B3F08-C24E-4F5A-B454-1CEAB528933A}" destId="{332B1190-B351-4C4B-95B9-57DB019A4DFA}" srcOrd="1" destOrd="0" parTransId="{A1F0FED4-D7F2-44D2-ADB1-8B10A526AC9D}" sibTransId="{E2B57645-A760-4E88-B185-182654D90F8F}"/>
    <dgm:cxn modelId="{D22B37F0-E39A-4796-AA21-5F74A133DF00}" type="presOf" srcId="{7537FF39-67E9-4847-8CF9-8DA7F77DA2D2}" destId="{9BDAED88-01A7-45E3-9194-8FC73225A467}" srcOrd="0" destOrd="0" presId="urn:microsoft.com/office/officeart/2005/8/layout/hierarchy1"/>
    <dgm:cxn modelId="{13AE05BC-3BD1-4A87-AD25-F93AB4FDF562}" type="presOf" srcId="{C77B3F08-C24E-4F5A-B454-1CEAB528933A}" destId="{812D9C7F-9CA2-44D5-8B03-CBCAB7CAC85E}" srcOrd="0" destOrd="0" presId="urn:microsoft.com/office/officeart/2005/8/layout/hierarchy1"/>
    <dgm:cxn modelId="{43CEA777-CEC9-4BC7-91BE-9120F4B5890A}" type="presOf" srcId="{5BF58CE5-DB04-470B-B3CF-43CCD9E30ED2}" destId="{E390D247-8DA6-4AA9-BB21-B577C5609D24}" srcOrd="0" destOrd="0" presId="urn:microsoft.com/office/officeart/2005/8/layout/hierarchy1"/>
    <dgm:cxn modelId="{03D971B0-3CBD-497B-A767-7FAAC3E7D3FB}" type="presParOf" srcId="{BA4C6A1D-A769-421B-BA83-5CABDDD451BE}" destId="{1DD8C577-5969-41DD-8AAD-2969A6E9B84A}" srcOrd="0" destOrd="0" presId="urn:microsoft.com/office/officeart/2005/8/layout/hierarchy1"/>
    <dgm:cxn modelId="{D6B0EA27-C62B-45AA-8344-E969CA0B040B}" type="presParOf" srcId="{1DD8C577-5969-41DD-8AAD-2969A6E9B84A}" destId="{1A4B758A-84A5-4D9D-B181-3C7F9E790877}" srcOrd="0" destOrd="0" presId="urn:microsoft.com/office/officeart/2005/8/layout/hierarchy1"/>
    <dgm:cxn modelId="{3D514F3F-5D18-4010-B21E-D9668BD90374}" type="presParOf" srcId="{1A4B758A-84A5-4D9D-B181-3C7F9E790877}" destId="{F6F2E255-5BC6-4217-B8F7-B184576D89B0}" srcOrd="0" destOrd="0" presId="urn:microsoft.com/office/officeart/2005/8/layout/hierarchy1"/>
    <dgm:cxn modelId="{EE3ABDC2-FDD0-426D-BEAD-2F966B229FB4}" type="presParOf" srcId="{1A4B758A-84A5-4D9D-B181-3C7F9E790877}" destId="{812D9C7F-9CA2-44D5-8B03-CBCAB7CAC85E}" srcOrd="1" destOrd="0" presId="urn:microsoft.com/office/officeart/2005/8/layout/hierarchy1"/>
    <dgm:cxn modelId="{0BE03FEF-A61D-4F95-A60A-DFFE66E5B538}" type="presParOf" srcId="{1DD8C577-5969-41DD-8AAD-2969A6E9B84A}" destId="{EBF51719-B74C-47A9-951E-65D6C3A9DE16}" srcOrd="1" destOrd="0" presId="urn:microsoft.com/office/officeart/2005/8/layout/hierarchy1"/>
    <dgm:cxn modelId="{7F3E460E-945A-4C09-975D-6FF0F32FC55E}" type="presParOf" srcId="{EBF51719-B74C-47A9-951E-65D6C3A9DE16}" destId="{E390D247-8DA6-4AA9-BB21-B577C5609D24}" srcOrd="0" destOrd="0" presId="urn:microsoft.com/office/officeart/2005/8/layout/hierarchy1"/>
    <dgm:cxn modelId="{9C54B6E5-32EA-4706-A323-708E98D0821D}" type="presParOf" srcId="{EBF51719-B74C-47A9-951E-65D6C3A9DE16}" destId="{73EE3BED-531E-4220-969C-477D313CDCAE}" srcOrd="1" destOrd="0" presId="urn:microsoft.com/office/officeart/2005/8/layout/hierarchy1"/>
    <dgm:cxn modelId="{E27425A7-41FB-418F-BCB0-4BA617581CA6}" type="presParOf" srcId="{73EE3BED-531E-4220-969C-477D313CDCAE}" destId="{D0F3ED10-D278-4E19-8E82-2FD04E824D45}" srcOrd="0" destOrd="0" presId="urn:microsoft.com/office/officeart/2005/8/layout/hierarchy1"/>
    <dgm:cxn modelId="{DF8C50E6-55B2-4598-BFB4-AFCF5B878781}" type="presParOf" srcId="{D0F3ED10-D278-4E19-8E82-2FD04E824D45}" destId="{3DF9EAA4-80E0-4B43-8315-85E4C7036760}" srcOrd="0" destOrd="0" presId="urn:microsoft.com/office/officeart/2005/8/layout/hierarchy1"/>
    <dgm:cxn modelId="{67DA7CA6-8341-4598-8B54-99B499E75D92}" type="presParOf" srcId="{D0F3ED10-D278-4E19-8E82-2FD04E824D45}" destId="{27558F3C-39EC-437E-B8C2-7871D9CCC9E2}" srcOrd="1" destOrd="0" presId="urn:microsoft.com/office/officeart/2005/8/layout/hierarchy1"/>
    <dgm:cxn modelId="{70B5A153-433E-4B50-8B05-88EA30873BA9}" type="presParOf" srcId="{73EE3BED-531E-4220-969C-477D313CDCAE}" destId="{30D8AA38-C62A-4439-87CC-296ED54B3B71}" srcOrd="1" destOrd="0" presId="urn:microsoft.com/office/officeart/2005/8/layout/hierarchy1"/>
    <dgm:cxn modelId="{87B3DE28-6974-4B3C-A811-C12A868591DE}" type="presParOf" srcId="{EBF51719-B74C-47A9-951E-65D6C3A9DE16}" destId="{E353DDC9-097B-45CC-AEA8-D1034774DEC8}" srcOrd="2" destOrd="0" presId="urn:microsoft.com/office/officeart/2005/8/layout/hierarchy1"/>
    <dgm:cxn modelId="{9E34A629-008B-4FA2-886E-DD9DB5DBF5E9}" type="presParOf" srcId="{EBF51719-B74C-47A9-951E-65D6C3A9DE16}" destId="{0A32494D-FB23-4EBA-8630-AB9EA935E739}" srcOrd="3" destOrd="0" presId="urn:microsoft.com/office/officeart/2005/8/layout/hierarchy1"/>
    <dgm:cxn modelId="{BC8401DC-D0FA-45E4-8A87-52A31FD65A5C}" type="presParOf" srcId="{0A32494D-FB23-4EBA-8630-AB9EA935E739}" destId="{1BA5D962-21A6-45EE-AC59-334D0F806841}" srcOrd="0" destOrd="0" presId="urn:microsoft.com/office/officeart/2005/8/layout/hierarchy1"/>
    <dgm:cxn modelId="{F0291473-6E1B-4F19-A132-51EADAAA52D3}" type="presParOf" srcId="{1BA5D962-21A6-45EE-AC59-334D0F806841}" destId="{0A0DF09E-BB6C-4005-9344-E166CEA1CBA9}" srcOrd="0" destOrd="0" presId="urn:microsoft.com/office/officeart/2005/8/layout/hierarchy1"/>
    <dgm:cxn modelId="{9CA1F5C6-EB42-4FFC-A469-4E437E7EE2A4}" type="presParOf" srcId="{1BA5D962-21A6-45EE-AC59-334D0F806841}" destId="{630D7461-4644-4AE5-8C05-8C2D9E265F76}" srcOrd="1" destOrd="0" presId="urn:microsoft.com/office/officeart/2005/8/layout/hierarchy1"/>
    <dgm:cxn modelId="{08B982B7-5759-456A-B7C9-ACD4891B600C}" type="presParOf" srcId="{0A32494D-FB23-4EBA-8630-AB9EA935E739}" destId="{8083B5BA-64BD-42D9-BE1C-E6658F8A27CD}" srcOrd="1" destOrd="0" presId="urn:microsoft.com/office/officeart/2005/8/layout/hierarchy1"/>
    <dgm:cxn modelId="{24C04E4B-8DC3-4C5F-86D3-E2BF02730755}" type="presParOf" srcId="{EBF51719-B74C-47A9-951E-65D6C3A9DE16}" destId="{C19B8C50-C199-483F-A900-0C006689D0DB}" srcOrd="4" destOrd="0" presId="urn:microsoft.com/office/officeart/2005/8/layout/hierarchy1"/>
    <dgm:cxn modelId="{0714F964-C90E-4E58-9D61-9D93247FAB0A}" type="presParOf" srcId="{EBF51719-B74C-47A9-951E-65D6C3A9DE16}" destId="{B7739981-CADC-4DB1-9CA3-0AC3D891415E}" srcOrd="5" destOrd="0" presId="urn:microsoft.com/office/officeart/2005/8/layout/hierarchy1"/>
    <dgm:cxn modelId="{E5B0C866-96A4-4AD9-873F-46FE46CD06CB}" type="presParOf" srcId="{B7739981-CADC-4DB1-9CA3-0AC3D891415E}" destId="{1D2E033A-1407-42D6-B9AB-AE956253C1E0}" srcOrd="0" destOrd="0" presId="urn:microsoft.com/office/officeart/2005/8/layout/hierarchy1"/>
    <dgm:cxn modelId="{B7962688-2A90-4292-A125-E17B1CF2D769}" type="presParOf" srcId="{1D2E033A-1407-42D6-B9AB-AE956253C1E0}" destId="{76C5F2DD-2567-45AF-81FE-27687C2AB72F}" srcOrd="0" destOrd="0" presId="urn:microsoft.com/office/officeart/2005/8/layout/hierarchy1"/>
    <dgm:cxn modelId="{88332DDE-6790-40F5-9137-FEDDCC3D08C1}" type="presParOf" srcId="{1D2E033A-1407-42D6-B9AB-AE956253C1E0}" destId="{122EE3CD-04B6-45CC-9B66-56ABD8574BDC}" srcOrd="1" destOrd="0" presId="urn:microsoft.com/office/officeart/2005/8/layout/hierarchy1"/>
    <dgm:cxn modelId="{3EF39EC6-7F5E-4411-8797-97C78BB71EB9}" type="presParOf" srcId="{B7739981-CADC-4DB1-9CA3-0AC3D891415E}" destId="{D2710140-4641-4998-81CE-FACD3DC57EC3}" srcOrd="1" destOrd="0" presId="urn:microsoft.com/office/officeart/2005/8/layout/hierarchy1"/>
    <dgm:cxn modelId="{9A809328-EFD2-4076-9379-5819ACB6B605}" type="presParOf" srcId="{EBF51719-B74C-47A9-951E-65D6C3A9DE16}" destId="{9BDAED88-01A7-45E3-9194-8FC73225A467}" srcOrd="6" destOrd="0" presId="urn:microsoft.com/office/officeart/2005/8/layout/hierarchy1"/>
    <dgm:cxn modelId="{C9551A8B-7E39-4343-B936-1428DFC52769}" type="presParOf" srcId="{EBF51719-B74C-47A9-951E-65D6C3A9DE16}" destId="{911CC19A-13B9-401E-A4FF-C34FB71E3FD8}" srcOrd="7" destOrd="0" presId="urn:microsoft.com/office/officeart/2005/8/layout/hierarchy1"/>
    <dgm:cxn modelId="{9BFF5BFC-787F-469E-94BB-1B5A26B64B3F}" type="presParOf" srcId="{911CC19A-13B9-401E-A4FF-C34FB71E3FD8}" destId="{1F86E946-B228-4DB8-BF62-9A926A6AC9BC}" srcOrd="0" destOrd="0" presId="urn:microsoft.com/office/officeart/2005/8/layout/hierarchy1"/>
    <dgm:cxn modelId="{9BE36844-AB94-42EF-8668-BC9150AC446D}" type="presParOf" srcId="{1F86E946-B228-4DB8-BF62-9A926A6AC9BC}" destId="{5DA291D4-7A0E-418A-B2B5-123E3677FEFE}" srcOrd="0" destOrd="0" presId="urn:microsoft.com/office/officeart/2005/8/layout/hierarchy1"/>
    <dgm:cxn modelId="{1C33DC6F-88BB-4661-AF06-9B6647DD75C2}" type="presParOf" srcId="{1F86E946-B228-4DB8-BF62-9A926A6AC9BC}" destId="{B38B0437-AFFC-4CB5-B575-D3D36DCA554C}" srcOrd="1" destOrd="0" presId="urn:microsoft.com/office/officeart/2005/8/layout/hierarchy1"/>
    <dgm:cxn modelId="{7085E997-AA44-40B3-8CBF-47666DC2678E}" type="presParOf" srcId="{911CC19A-13B9-401E-A4FF-C34FB71E3FD8}" destId="{357BEE77-4524-4814-8A0A-896D0EFE5A54}" srcOrd="1" destOrd="0" presId="urn:microsoft.com/office/officeart/2005/8/layout/hierarchy1"/>
  </dgm:cxnLst>
  <dgm:bg/>
  <dgm:whole/>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9BDAED88-01A7-45E3-9194-8FC73225A467}">
      <dsp:nvSpPr>
        <dsp:cNvPr id="0" name=""/>
        <dsp:cNvSpPr/>
      </dsp:nvSpPr>
      <dsp:spPr>
        <a:xfrm>
          <a:off x="2679442" y="1372743"/>
          <a:ext cx="2104012" cy="333772"/>
        </a:xfrm>
        <a:custGeom>
          <a:avLst/>
          <a:gdLst/>
          <a:ahLst/>
          <a:cxnLst/>
          <a:rect l="0" t="0" r="0" b="0"/>
          <a:pathLst>
            <a:path>
              <a:moveTo>
                <a:pt x="0" y="0"/>
              </a:moveTo>
              <a:lnTo>
                <a:pt x="0" y="227456"/>
              </a:lnTo>
              <a:lnTo>
                <a:pt x="2104012" y="227456"/>
              </a:lnTo>
              <a:lnTo>
                <a:pt x="2104012" y="33377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19B8C50-C199-483F-A900-0C006689D0DB}">
      <dsp:nvSpPr>
        <dsp:cNvPr id="0" name=""/>
        <dsp:cNvSpPr/>
      </dsp:nvSpPr>
      <dsp:spPr>
        <a:xfrm>
          <a:off x="2679442" y="1372743"/>
          <a:ext cx="701337" cy="333772"/>
        </a:xfrm>
        <a:custGeom>
          <a:avLst/>
          <a:gdLst/>
          <a:ahLst/>
          <a:cxnLst/>
          <a:rect l="0" t="0" r="0" b="0"/>
          <a:pathLst>
            <a:path>
              <a:moveTo>
                <a:pt x="0" y="0"/>
              </a:moveTo>
              <a:lnTo>
                <a:pt x="0" y="227456"/>
              </a:lnTo>
              <a:lnTo>
                <a:pt x="701337" y="227456"/>
              </a:lnTo>
              <a:lnTo>
                <a:pt x="701337" y="33377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353DDC9-097B-45CC-AEA8-D1034774DEC8}">
      <dsp:nvSpPr>
        <dsp:cNvPr id="0" name=""/>
        <dsp:cNvSpPr/>
      </dsp:nvSpPr>
      <dsp:spPr>
        <a:xfrm>
          <a:off x="1978104" y="1372743"/>
          <a:ext cx="701337" cy="333772"/>
        </a:xfrm>
        <a:custGeom>
          <a:avLst/>
          <a:gdLst/>
          <a:ahLst/>
          <a:cxnLst/>
          <a:rect l="0" t="0" r="0" b="0"/>
          <a:pathLst>
            <a:path>
              <a:moveTo>
                <a:pt x="701337" y="0"/>
              </a:moveTo>
              <a:lnTo>
                <a:pt x="701337" y="227456"/>
              </a:lnTo>
              <a:lnTo>
                <a:pt x="0" y="227456"/>
              </a:lnTo>
              <a:lnTo>
                <a:pt x="0" y="33377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390D247-8DA6-4AA9-BB21-B577C5609D24}">
      <dsp:nvSpPr>
        <dsp:cNvPr id="0" name=""/>
        <dsp:cNvSpPr/>
      </dsp:nvSpPr>
      <dsp:spPr>
        <a:xfrm>
          <a:off x="575429" y="1372743"/>
          <a:ext cx="2104012" cy="333772"/>
        </a:xfrm>
        <a:custGeom>
          <a:avLst/>
          <a:gdLst/>
          <a:ahLst/>
          <a:cxnLst/>
          <a:rect l="0" t="0" r="0" b="0"/>
          <a:pathLst>
            <a:path>
              <a:moveTo>
                <a:pt x="2104012" y="0"/>
              </a:moveTo>
              <a:lnTo>
                <a:pt x="2104012" y="227456"/>
              </a:lnTo>
              <a:lnTo>
                <a:pt x="0" y="227456"/>
              </a:lnTo>
              <a:lnTo>
                <a:pt x="0" y="33377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6F2E255-5BC6-4217-B8F7-B184576D89B0}">
      <dsp:nvSpPr>
        <dsp:cNvPr id="0" name=""/>
        <dsp:cNvSpPr/>
      </dsp:nvSpPr>
      <dsp:spPr>
        <a:xfrm>
          <a:off x="1771650" y="643989"/>
          <a:ext cx="1815583" cy="72875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12D9C7F-9CA2-44D5-8B03-CBCAB7CAC85E}">
      <dsp:nvSpPr>
        <dsp:cNvPr id="0" name=""/>
        <dsp:cNvSpPr/>
      </dsp:nvSpPr>
      <dsp:spPr>
        <a:xfrm>
          <a:off x="1899166" y="765130"/>
          <a:ext cx="1815583" cy="72875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b="1" kern="1200">
              <a:latin typeface="Times New Roman" pitchFamily="18" charset="0"/>
              <a:cs typeface="Times New Roman" pitchFamily="18" charset="0"/>
            </a:rPr>
            <a:t>Hofstede's Cultural Dimensions</a:t>
          </a:r>
          <a:endParaRPr lang="en-US" sz="1400" b="1" kern="1200">
            <a:latin typeface="Times New Roman" pitchFamily="18" charset="0"/>
            <a:cs typeface="Times New Roman" pitchFamily="18" charset="0"/>
          </a:endParaRPr>
        </a:p>
      </dsp:txBody>
      <dsp:txXfrm>
        <a:off x="1899166" y="765130"/>
        <a:ext cx="1815583" cy="728753"/>
      </dsp:txXfrm>
    </dsp:sp>
    <dsp:sp modelId="{3DF9EAA4-80E0-4B43-8315-85E4C7036760}">
      <dsp:nvSpPr>
        <dsp:cNvPr id="0" name=""/>
        <dsp:cNvSpPr/>
      </dsp:nvSpPr>
      <dsp:spPr>
        <a:xfrm>
          <a:off x="1607" y="1706516"/>
          <a:ext cx="1147643" cy="72875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7558F3C-39EC-437E-B8C2-7871D9CCC9E2}">
      <dsp:nvSpPr>
        <dsp:cNvPr id="0" name=""/>
        <dsp:cNvSpPr/>
      </dsp:nvSpPr>
      <dsp:spPr>
        <a:xfrm>
          <a:off x="129123" y="1827656"/>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b="1" kern="1200">
              <a:latin typeface="Times New Roman" pitchFamily="18" charset="0"/>
              <a:cs typeface="Times New Roman" pitchFamily="18" charset="0"/>
            </a:rPr>
            <a:t>Power Distance</a:t>
          </a:r>
          <a:endParaRPr lang="en-US" sz="1400" b="1" kern="1200">
            <a:latin typeface="Times New Roman" pitchFamily="18" charset="0"/>
            <a:cs typeface="Times New Roman" pitchFamily="18" charset="0"/>
          </a:endParaRPr>
        </a:p>
      </dsp:txBody>
      <dsp:txXfrm>
        <a:off x="129123" y="1827656"/>
        <a:ext cx="1147643" cy="728753"/>
      </dsp:txXfrm>
    </dsp:sp>
    <dsp:sp modelId="{0A0DF09E-BB6C-4005-9344-E166CEA1CBA9}">
      <dsp:nvSpPr>
        <dsp:cNvPr id="0" name=""/>
        <dsp:cNvSpPr/>
      </dsp:nvSpPr>
      <dsp:spPr>
        <a:xfrm>
          <a:off x="1404282" y="1706516"/>
          <a:ext cx="1147643" cy="72875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30D7461-4644-4AE5-8C05-8C2D9E265F76}">
      <dsp:nvSpPr>
        <dsp:cNvPr id="0" name=""/>
        <dsp:cNvSpPr/>
      </dsp:nvSpPr>
      <dsp:spPr>
        <a:xfrm>
          <a:off x="1531798" y="1827656"/>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latin typeface="Times New Roman" pitchFamily="18" charset="0"/>
              <a:cs typeface="Times New Roman" pitchFamily="18" charset="0"/>
            </a:rPr>
            <a:t>Individualism vs. Collectivism</a:t>
          </a:r>
          <a:endParaRPr lang="en-US" sz="1200" b="1" kern="1200">
            <a:latin typeface="Times New Roman" pitchFamily="18" charset="0"/>
            <a:cs typeface="Times New Roman" pitchFamily="18" charset="0"/>
          </a:endParaRPr>
        </a:p>
      </dsp:txBody>
      <dsp:txXfrm>
        <a:off x="1531798" y="1827656"/>
        <a:ext cx="1147643" cy="728753"/>
      </dsp:txXfrm>
    </dsp:sp>
    <dsp:sp modelId="{76C5F2DD-2567-45AF-81FE-27687C2AB72F}">
      <dsp:nvSpPr>
        <dsp:cNvPr id="0" name=""/>
        <dsp:cNvSpPr/>
      </dsp:nvSpPr>
      <dsp:spPr>
        <a:xfrm>
          <a:off x="2806957" y="1706516"/>
          <a:ext cx="1147643" cy="72875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22EE3CD-04B6-45CC-9B66-56ABD8574BDC}">
      <dsp:nvSpPr>
        <dsp:cNvPr id="0" name=""/>
        <dsp:cNvSpPr/>
      </dsp:nvSpPr>
      <dsp:spPr>
        <a:xfrm>
          <a:off x="2934473" y="1827656"/>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latin typeface="Times New Roman" pitchFamily="18" charset="0"/>
              <a:cs typeface="Times New Roman" pitchFamily="18" charset="0"/>
            </a:rPr>
            <a:t>Masculinity vs. Femininity</a:t>
          </a:r>
          <a:endParaRPr lang="en-US" sz="1200" b="1" kern="1200">
            <a:latin typeface="Times New Roman" pitchFamily="18" charset="0"/>
            <a:cs typeface="Times New Roman" pitchFamily="18" charset="0"/>
          </a:endParaRPr>
        </a:p>
      </dsp:txBody>
      <dsp:txXfrm>
        <a:off x="2934473" y="1827656"/>
        <a:ext cx="1147643" cy="728753"/>
      </dsp:txXfrm>
    </dsp:sp>
    <dsp:sp modelId="{5DA291D4-7A0E-418A-B2B5-123E3677FEFE}">
      <dsp:nvSpPr>
        <dsp:cNvPr id="0" name=""/>
        <dsp:cNvSpPr/>
      </dsp:nvSpPr>
      <dsp:spPr>
        <a:xfrm>
          <a:off x="4209633" y="1706516"/>
          <a:ext cx="1147643" cy="72875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38B0437-AFFC-4CB5-B575-D3D36DCA554C}">
      <dsp:nvSpPr>
        <dsp:cNvPr id="0" name=""/>
        <dsp:cNvSpPr/>
      </dsp:nvSpPr>
      <dsp:spPr>
        <a:xfrm>
          <a:off x="4337149" y="1827656"/>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b="1" i="0" kern="1200">
              <a:latin typeface="Times New Roman" pitchFamily="18" charset="0"/>
              <a:cs typeface="Times New Roman" pitchFamily="18" charset="0"/>
            </a:rPr>
            <a:t>Uncertainty Avoidance</a:t>
          </a:r>
          <a:endParaRPr lang="en-US" sz="1400" b="1" i="0" kern="1200">
            <a:latin typeface="Times New Roman" pitchFamily="18" charset="0"/>
            <a:cs typeface="Times New Roman" pitchFamily="18" charset="0"/>
          </a:endParaRPr>
        </a:p>
      </dsp:txBody>
      <dsp:txXfrm>
        <a:off x="4337149" y="1827656"/>
        <a:ext cx="1147643" cy="728753"/>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Aak18</b:Tag>
    <b:SourceType>JournalArticle</b:SourceType>
    <b:Guid>{6C90E453-BFB7-4993-8E06-69E14E58191D}</b:Guid>
    <b:LCID>0</b:LCID>
    <b:Author>
      <b:Author>
        <b:NameList>
          <b:Person>
            <b:Last>Aaker</b:Last>
            <b:First>D.</b:First>
            <b:Middle>A.</b:Middle>
          </b:Person>
        </b:NameList>
      </b:Author>
    </b:Author>
    <b:Title>Building strong brands: Aaker on branding.</b:Title>
    <b:JournalName>Routledge.</b:JournalName>
    <b:Year>2018</b:Year>
    <b:RefOrder>26</b:RefOrder>
  </b:Source>
  <b:Source>
    <b:Tag>Bra</b:Tag>
    <b:SourceType>JournalArticle</b:SourceType>
    <b:Guid>{8B0C920C-87B6-4F98-B701-EA3739247C3E}</b:Guid>
    <b:LCID>0</b:LCID>
    <b:Author>
      <b:Author>
        <b:NameList>
          <b:Person>
            <b:Last>Brassington</b:Last>
            <b:First>F.,</b:First>
            <b:Middle>Pettitt, S.</b:Middle>
          </b:Person>
        </b:NameList>
      </b:Author>
    </b:Author>
    <b:Title>Principles of marketing</b:Title>
    <b:JournalName>Pearson</b:JournalName>
    <b:Year>2018</b:Year>
    <b:RefOrder>2</b:RefOrder>
  </b:Source>
  <b:Source>
    <b:Tag>Int19</b:Tag>
    <b:SourceType>JournalArticle</b:SourceType>
    <b:Guid>{9F0A3F05-9179-41FA-9BB1-E48FB9BE0292}</b:Guid>
    <b:LCID>0</b:LCID>
    <b:Author>
      <b:Author>
        <b:NameList>
          <b:Person>
            <b:Last>Czinkota</b:Last>
            <b:First>M.</b:First>
            <b:Middle>R., Ronkainen, I. A.</b:Middle>
          </b:Person>
        </b:NameList>
      </b:Author>
    </b:Author>
    <b:Title>International marketing.</b:Title>
    <b:JournalName>Cengage Learning</b:JournalName>
    <b:Year>2019</b:Year>
    <b:RefOrder>3</b:RefOrder>
  </b:Source>
  <b:Source>
    <b:Tag>Fin</b:Tag>
    <b:SourceType>JournalArticle</b:SourceType>
    <b:Guid>{5AD2E333-05F6-40EE-9B44-FAFEBF6B4A00}</b:Guid>
    <b:LCID>0</b:LCID>
    <b:Author>
      <b:Author>
        <b:NameList>
          <b:Person>
            <b:Last>Finney</b:Last>
            <b:First>A</b:First>
          </b:Person>
          <b:Person>
            <b:Last>Joseph</b:Last>
            <b:First>M</b:First>
          </b:Person>
        </b:NameList>
      </b:Author>
    </b:Author>
    <b:Title>The Forecasting Mantra</b:Title>
    <b:JournalName>A Holistic Approach to Forecasting and Planning. Researchgate </b:JournalName>
    <b:Year>2009</b:Year>
    <b:RefOrder>4</b:RefOrder>
  </b:Source>
  <b:Source>
    <b:Tag>Grü18</b:Tag>
    <b:SourceType>JournalArticle</b:SourceType>
    <b:Guid>{6D957C16-3628-430B-A572-3BBB8F7B1140}</b:Guid>
    <b:LCID>0</b:LCID>
    <b:Author>
      <b:Author>
        <b:NameList>
          <b:Person>
            <b:Last>Grünhagen</b:Last>
            <b:First>M</b:First>
          </b:Person>
          <b:Person>
            <b:Last>Jung</b:Last>
            <b:First>H</b:First>
          </b:Person>
        </b:NameList>
      </b:Author>
    </b:Author>
    <b:Title>Localising Global Marketing Strategies: The Role of Organisational Culture in International Marketing</b:Title>
    <b:JournalName>Journal of Marketing Management</b:JournalName>
    <b:Year>2018</b:Year>
    <b:Pages>361-387</b:Pages>
    <b:Volume>34</b:Volume>
    <b:RefOrder>5</b:RefOrder>
  </b:Source>
  <b:Source>
    <b:Tag>Hai</b:Tag>
    <b:SourceType>JournalArticle</b:SourceType>
    <b:Guid>{C08D0D17-D066-4067-852C-931D1F32CDB1}</b:Guid>
    <b:LCID>0</b:LCID>
    <b:Author>
      <b:Author>
        <b:NameList>
          <b:Person>
            <b:Last>Hair Jr</b:Last>
            <b:First>J.</b:First>
            <b:Middle>F</b:Middle>
          </b:Person>
          <b:Person>
            <b:Last>Wolfinbarger</b:Last>
            <b:First>M</b:First>
          </b:Person>
          <b:Person>
            <b:Last>Money</b:Last>
            <b:First>A.</b:First>
            <b:Middle>H</b:Middle>
          </b:Person>
          <b:Person>
            <b:Last>Samouel</b:Last>
            <b:First>P</b:First>
          </b:Person>
          <b:Person>
            <b:Last>Page</b:Last>
            <b:First>M.</b:First>
            <b:Middle>J</b:Middle>
          </b:Person>
        </b:NameList>
      </b:Author>
    </b:Author>
    <b:Title>Essentials of Business Research Methods.</b:Title>
    <b:JournalName>Routledge</b:JournalName>
    <b:Year>2017</b:Year>
    <b:RefOrder>6</b:RefOrder>
  </b:Source>
  <b:Source>
    <b:Tag>Hol19</b:Tag>
    <b:SourceType>JournalArticle</b:SourceType>
    <b:Guid>{524007B8-D65E-477B-B61A-C931A1BA09D9}</b:Guid>
    <b:LCID>0</b:LCID>
    <b:Author>
      <b:Author>
        <b:NameList>
          <b:Person>
            <b:Last>Hollensen</b:Last>
            <b:First>S.</b:First>
          </b:Person>
        </b:NameList>
      </b:Author>
    </b:Author>
    <b:Title>Global marketing: A decision-oriented approach</b:Title>
    <b:JournalName>Pearson</b:JournalName>
    <b:Year>2019</b:Year>
    <b:RefOrder>7</b:RefOrder>
  </b:Source>
  <b:Source>
    <b:Tag>Hoo</b:Tag>
    <b:SourceType>JournalArticle</b:SourceType>
    <b:Guid>{B760F7C4-0518-4C8F-B6BC-5EE1C2A489F6}</b:Guid>
    <b:LCID>0</b:LCID>
    <b:Author>
      <b:Author>
        <b:NameList>
          <b:Person>
            <b:Last>Hooley</b:Last>
            <b:First>G.</b:First>
            <b:Middle>J</b:Middle>
          </b:Person>
          <b:Person>
            <b:Last>Piercy</b:Last>
            <b:First>N.</b:First>
            <b:Middle>F</b:Middle>
          </b:Person>
          <b:Person>
            <b:Last>Nicoulaud</b:Last>
            <b:First>B</b:First>
          </b:Person>
        </b:NameList>
      </b:Author>
    </b:Author>
    <b:Title>Marketing strategy and competitive positioning</b:Title>
    <b:JournalName>Pearson</b:JournalName>
    <b:Year>2019</b:Year>
    <b:RefOrder>8</b:RefOrder>
  </b:Source>
  <b:Source>
    <b:Tag>Job19</b:Tag>
    <b:SourceType>JournalArticle</b:SourceType>
    <b:Guid>{47D74DA4-4314-4963-9C14-AA84AF4BF177}</b:Guid>
    <b:LCID>0</b:LCID>
    <b:Author>
      <b:Author>
        <b:NameList>
          <b:Person>
            <b:Last>Jobber</b:Last>
            <b:First>D</b:First>
          </b:Person>
          <b:Person>
            <b:Last>Ellis-Chadwick</b:Last>
            <b:First>F</b:First>
          </b:Person>
        </b:NameList>
      </b:Author>
    </b:Author>
    <b:Title>Principles and practice of marketing</b:Title>
    <b:JournalName>McGraw-Hill Education</b:JournalName>
    <b:Year>2019</b:Year>
    <b:RefOrder>10</b:RefOrder>
  </b:Source>
  <b:Source>
    <b:Tag>Kel18</b:Tag>
    <b:SourceType>JournalArticle</b:SourceType>
    <b:Guid>{92A603FA-D2D2-47ED-A4D1-10DE6B97F0A2}</b:Guid>
    <b:LCID>0</b:LCID>
    <b:Author>
      <b:Author>
        <b:NameList>
          <b:Person>
            <b:Last>Keller</b:Last>
            <b:First>K.</b:First>
            <b:Middle>L</b:Middle>
          </b:Person>
        </b:NameList>
      </b:Author>
    </b:Author>
    <b:Title>Reflections on customer-based brand equity: Perspectives, progress, and priorities</b:Title>
    <b:JournalName>AMS Review</b:JournalName>
    <b:Year>2018</b:Year>
    <b:Pages>1-16</b:Pages>
    <b:Volume>6(1-2)</b:Volume>
    <b:RefOrder>12</b:RefOrder>
  </b:Source>
  <b:Source>
    <b:Tag>Kel23</b:Tag>
    <b:SourceType>JournalArticle</b:SourceType>
    <b:Guid>{800835DB-3D57-4DFA-876B-3EAC197D2551}</b:Guid>
    <b:LCID>0</b:LCID>
    <b:Author>
      <b:Author>
        <b:NameList>
          <b:Person>
            <b:Last>Keller</b:Last>
            <b:First>K.</b:First>
            <b:Middle>L</b:Middle>
          </b:Person>
          <b:Person>
            <b:Last>Aaker</b:Last>
            <b:First>D.</b:First>
            <b:Middle>A</b:Middle>
          </b:Person>
        </b:NameList>
      </b:Author>
    </b:Author>
    <b:Title>Building strong brands: Three perspectives</b:Title>
    <b:JournalName>Psychology Press</b:JournalName>
    <b:Year>2023</b:Year>
    <b:RefOrder>14</b:RefOrder>
  </b:Source>
  <b:Source>
    <b:Tag>Kim17</b:Tag>
    <b:SourceType>JournalArticle</b:SourceType>
    <b:Guid>{B729A52D-4976-4D6D-BD99-2E84B95373B1}</b:Guid>
    <b:LCID>0</b:LCID>
    <b:Author>
      <b:Author>
        <b:NameList>
          <b:Person>
            <b:Last>Kim</b:Last>
            <b:First>K</b:First>
          </b:Person>
          <b:Person>
            <b:Last>Han</b:Last>
            <b:First>H</b:First>
          </b:Person>
          <b:Person>
            <b:Last>Boo</b:Last>
            <b:First>S</b:First>
          </b:Person>
        </b:NameList>
      </b:Author>
    </b:Author>
    <b:Title>Brand Collaboration and Customer-Based Brand Equity: Considering Cross-Brand Alignment and Brand Familiarity</b:Title>
    <b:JournalName>Journal of Business Research</b:JournalName>
    <b:Year>2017</b:Year>
    <b:Pages>54-63</b:Pages>
    <b:Volume>76</b:Volume>
    <b:RefOrder>15</b:RefOrder>
  </b:Source>
  <b:Source>
    <b:Tag>Kot19</b:Tag>
    <b:SourceType>JournalArticle</b:SourceType>
    <b:Guid>{568A717A-061C-4263-81DC-3279D395F8E8}</b:Guid>
    <b:LCID>0</b:LCID>
    <b:Author>
      <b:Author>
        <b:NameList>
          <b:Person>
            <b:Last>Kotler</b:Last>
            <b:First>P</b:First>
          </b:Person>
          <b:Person>
            <b:Last>Keller</b:Last>
            <b:First>K.</b:First>
            <b:Middle>L</b:Middle>
          </b:Person>
          <b:Person>
            <b:Last>Brady</b:Last>
            <b:First>M</b:First>
          </b:Person>
        </b:NameList>
      </b:Author>
    </b:Author>
    <b:Title>Marketing management</b:Title>
    <b:JournalName>Pearson</b:JournalName>
    <b:Year>2019</b:Year>
    <b:RefOrder>16</b:RefOrder>
  </b:Source>
  <b:Source>
    <b:Tag>Kue19</b:Tag>
    <b:SourceType>JournalArticle</b:SourceType>
    <b:Guid>{23CFD76F-3B5F-4994-A79B-F4D7D90B48D1}</b:Guid>
    <b:LCID>0</b:LCID>
    <b:Author>
      <b:Author>
        <b:NameList>
          <b:Person>
            <b:Last>Kuehnl</b:Last>
            <b:First>C</b:First>
          </b:Person>
          <b:Person>
            <b:Last>Schumann</b:Last>
            <b:First>J.</b:First>
            <b:Middle>H</b:Middle>
          </b:Person>
          <b:Person>
            <b:Last>Shaw</b:Last>
            <b:First>D.</b:First>
          </b:Person>
        </b:NameList>
      </b:Author>
    </b:Author>
    <b:Title>How Managerial Perceptions of Corporate Social Responsibility Affect Market Outcomes: The Mediating Role of Brand Trust</b:Title>
    <b:JournalName>Journal of Business Ethics</b:JournalName>
    <b:Year>2019</b:Year>
    <b:Pages>373-390</b:Pages>
    <b:Volume>156(2)</b:Volume>
    <b:RefOrder>17</b:RefOrder>
  </b:Source>
  <b:Source>
    <b:Tag>LuW19</b:Tag>
    <b:SourceType>JournalArticle</b:SourceType>
    <b:Guid>{C55402A6-B8E0-44B2-BDBE-C4D53CEB92D1}</b:Guid>
    <b:LCID>0</b:LCID>
    <b:Author>
      <b:Author>
        <b:NameList>
          <b:Person>
            <b:Last>Lu</b:Last>
            <b:First>W</b:First>
          </b:Person>
          <b:Person>
            <b:Last>Rahman</b:Last>
            <b:First>I.</b:First>
          </b:Person>
        </b:NameList>
      </b:Author>
    </b:Author>
    <b:Title>Impact of Celebrity Endorsement on Brand Equity and Consumer Purchase Intention: The Mediating Role of Brand Awareness and Brand Image</b:Title>
    <b:JournalName>Journal of Retailing and Consumer Services</b:JournalName>
    <b:Year>2019</b:Year>
    <b:Pages>96-104</b:Pages>
    <b:Volume>49</b:Volume>
    <b:RefOrder>18</b:RefOrder>
  </b:Source>
  <b:Source>
    <b:Tag>Moo19</b:Tag>
    <b:SourceType>JournalArticle</b:SourceType>
    <b:Guid>{07DE4A92-6EF5-493B-A9D9-337C6F0323B8}</b:Guid>
    <b:LCID>0</b:LCID>
    <b:Author>
      <b:Author>
        <b:NameList>
          <b:Person>
            <b:Last>Moon</b:Last>
            <b:First>J</b:First>
          </b:Person>
          <b:Person>
            <b:Last>Chadee</b:Last>
            <b:First>D</b:First>
          </b:Person>
          <b:Person>
            <b:Last>Tikoo</b:Last>
            <b:First>S</b:First>
          </b:Person>
        </b:NameList>
      </b:Author>
    </b:Author>
    <b:Title>International Market Entry Mode Choice: A Review and Assessment</b:Title>
    <b:JournalName>International Marketing Review</b:JournalName>
    <b:Year>2019</b:Year>
    <b:Pages>711-738</b:Pages>
    <b:Volume>36(5)</b:Volume>
    <b:RefOrder>20</b:RefOrder>
  </b:Source>
  <b:Source>
    <b:Tag>Sta17</b:Tag>
    <b:SourceType>JournalArticle</b:SourceType>
    <b:Guid>{66785DAD-0C8F-4774-831A-2A895C92B79B}</b:Guid>
    <b:LCID>0</b:LCID>
    <b:Author>
      <b:Author>
        <b:NameList>
          <b:Person>
            <b:Last>Statista</b:Last>
          </b:Person>
        </b:NameList>
      </b:Author>
    </b:Author>
    <b:Title>Nike’s revenue in Japan 2009 to 2017, by segment</b:Title>
    <b:Year>2017</b:Year>
    <b:RefOrder>13</b:RefOrder>
  </b:Source>
  <b:Source>
    <b:Tag>Sta23</b:Tag>
    <b:SourceType>JournalArticle</b:SourceType>
    <b:Guid>{0E83FA73-0047-4B8B-BAB8-260D1889FA70}</b:Guid>
    <b:LCID>0</b:LCID>
    <b:Author>
      <b:Author>
        <b:NameList>
          <b:Person>
            <b:Last>Statista</b:Last>
          </b:Person>
        </b:NameList>
      </b:Author>
    </b:Author>
    <b:Title>Nike’s revenue U.S. 2023</b:Title>
    <b:Year>2023</b:Year>
    <b:RefOrder>1</b:RefOrder>
  </b:Source>
  <b:Source>
    <b:Tag>Par19</b:Tag>
    <b:SourceType>JournalArticle</b:SourceType>
    <b:Guid>{111B0CF5-4114-4CD6-B5F0-81410AB33A04}</b:Guid>
    <b:LCID>0</b:LCID>
    <b:Author>
      <b:Author>
        <b:NameList>
          <b:Person>
            <b:Last>Parente</b:Last>
            <b:First>D</b:First>
          </b:Person>
          <b:Person>
            <b:Last>Gama</b:Last>
            <b:First>B.</b:First>
            <b:Middle>A. P</b:Middle>
          </b:Person>
          <b:Person>
            <b:Last>Coelho</b:Last>
            <b:First>F.</b:First>
            <b:Middle>J</b:Middle>
          </b:Person>
        </b:NameList>
      </b:Author>
    </b:Author>
    <b:Title>The Role of Price and Brand Image on Consumer Based Brand Equity</b:Title>
    <b:JournalName>Journal of Business Research</b:JournalName>
    <b:Year>2019</b:Year>
    <b:Pages>236-248</b:Pages>
    <b:Volume>100</b:Volume>
    <b:RefOrder>22</b:RefOrder>
  </b:Source>
  <b:Source>
    <b:Tag>Pel19</b:Tag>
    <b:SourceType>JournalArticle</b:SourceType>
    <b:Guid>{B7B93117-2A55-47AF-AF4E-B806C129FA19}</b:Guid>
    <b:LCID>0</b:LCID>
    <b:Author>
      <b:Author>
        <b:NameList>
          <b:Person>
            <b:Last>Pelsmacker</b:Last>
            <b:First>P</b:First>
          </b:Person>
          <b:Person>
            <b:Last>Geuens</b:Last>
            <b:First>M</b:First>
          </b:Person>
          <b:Person>
            <b:Last>Bergh</b:Last>
            <b:First>J.</b:First>
            <b:Middle>V. D</b:Middle>
          </b:Person>
        </b:NameList>
      </b:Author>
    </b:Author>
    <b:Title>Marketing communications: A European perspective.</b:Title>
    <b:JournalName>Pearson</b:JournalName>
    <b:Year>2019</b:Year>
    <b:RefOrder>25</b:RefOrder>
  </b:Source>
  <b:Source>
    <b:Tag>Pri21</b:Tag>
    <b:SourceType>JournalArticle</b:SourceType>
    <b:Guid>{A5528541-F35B-41CE-818D-F3A29915E86E}</b:Guid>
    <b:LCID>0</b:LCID>
    <b:Author>
      <b:Author>
        <b:NameList>
          <b:Person>
            <b:Last>Pride</b:Last>
            <b:First>W.</b:First>
            <b:Middle>M</b:Middle>
          </b:Person>
          <b:Person>
            <b:Last>Ferrell</b:Last>
            <b:First>O.</b:First>
            <b:Middle>C</b:Middle>
          </b:Person>
        </b:NameList>
      </b:Author>
    </b:Author>
    <b:Title>Marketing</b:Title>
    <b:JournalName>Cengage Learning</b:JournalName>
    <b:Year>2021</b:Year>
    <b:RefOrder>23</b:RefOrder>
  </b:Source>
  <b:Source>
    <b:Tag>Pro20</b:Tag>
    <b:SourceType>JournalArticle</b:SourceType>
    <b:Guid>{E8824C1F-8D04-4B2D-A9FE-A984B72A5901}</b:Guid>
    <b:LCID>0</b:LCID>
    <b:Author>
      <b:Author>
        <b:NameList>
          <b:Person>
            <b:Last>Proctor</b:Last>
            <b:First>T.</b:First>
          </b:Person>
        </b:NameList>
      </b:Author>
    </b:Author>
    <b:Title>Essentials of marketing research</b:Title>
    <b:JournalName>Pearson</b:JournalName>
    <b:Year>2020</b:Year>
    <b:RefOrder>24</b:RefOrder>
  </b:Source>
  <b:Source>
    <b:Tag>Sol19</b:Tag>
    <b:SourceType>JournalArticle</b:SourceType>
    <b:Guid>{CADB30C1-A14C-4A9D-BF30-B940E164B14B}</b:Guid>
    <b:LCID>0</b:LCID>
    <b:Author>
      <b:Author>
        <b:NameList>
          <b:Person>
            <b:Last>Solomon</b:Last>
            <b:First>M.</b:First>
            <b:Middle>R</b:Middle>
          </b:Person>
        </b:NameList>
      </b:Author>
    </b:Author>
    <b:Title>Consumer behavior: Buying, having, and being</b:Title>
    <b:JournalName>Pearson</b:JournalName>
    <b:Year>2019</b:Year>
    <b:RefOrder>21</b:RefOrder>
  </b:Source>
  <b:Source>
    <b:Tag>Zei21</b:Tag>
    <b:SourceType>JournalArticle</b:SourceType>
    <b:Guid>{3DDB38D4-D2C5-4175-A721-6B971506C482}</b:Guid>
    <b:LCID>0</b:LCID>
    <b:Author>
      <b:Author>
        <b:NameList>
          <b:Person>
            <b:Last>Zeithaml</b:Last>
            <b:First>V.</b:First>
            <b:Middle>A.</b:Middle>
          </b:Person>
        </b:NameList>
      </b:Author>
    </b:Author>
    <b:Title>Services marketing</b:Title>
    <b:JournalName>McGraw-Hill Education</b:JournalName>
    <b:Year>2021</b:Year>
    <b:RefOrder>11</b:RefOrder>
  </b:Source>
  <b:Source>
    <b:Tag>Zei19</b:Tag>
    <b:SourceType>JournalArticle</b:SourceType>
    <b:Guid>{F5F61D5E-5155-494D-B9B8-353529B2D7F8}</b:Guid>
    <b:LCID>0</b:LCID>
    <b:Author>
      <b:Author>
        <b:NameList>
          <b:Person>
            <b:Last>Zeithaml</b:Last>
            <b:First>V.</b:First>
            <b:Middle>A</b:Middle>
          </b:Person>
          <b:Person>
            <b:Last>Bitner</b:Last>
            <b:First>M.</b:First>
            <b:Middle>J</b:Middle>
          </b:Person>
          <b:Person>
            <b:Last>Gremler</b:Last>
            <b:First>D.</b:First>
            <b:Middle>D</b:Middle>
          </b:Person>
        </b:NameList>
      </b:Author>
    </b:Author>
    <b:Title>Services Marketing</b:Title>
    <b:JournalName>McGraw-Hill Education</b:JournalName>
    <b:Year>2019</b:Year>
    <b:RefOrder>19</b:RefOrder>
  </b:Source>
  <b:Source>
    <b:Tag>Hoo20</b:Tag>
    <b:SourceType>JournalArticle</b:SourceType>
    <b:Guid>{377AE792-0CC1-4D13-AEA2-4C8365567C54}</b:Guid>
    <b:LCID>0</b:LCID>
    <b:Author>
      <b:Author>
        <b:NameList>
          <b:Person>
            <b:Last>Hooley</b:Last>
            <b:First>Graham</b:First>
            <b:Middle>J</b:Middle>
          </b:Person>
          <b:Person>
            <b:Last>Nicoulaud</b:Last>
          </b:Person>
          <b:Person>
            <b:Last>Brigitte</b:Last>
          </b:Person>
          <b:Person>
            <b:Last>Rudd</b:Last>
            <b:First>John,.</b:First>
            <b:Middle>M</b:Middle>
          </b:Person>
          <b:Person>
            <b:Last>Lee</b:Last>
            <b:First>N</b:First>
          </b:Person>
        </b:NameList>
      </b:Author>
    </b:Author>
    <b:Title>Marketing strategy and competitive positioning Seventh edition</b:Title>
    <b:JournalName>Harlow, England; New York</b:JournalName>
    <b:Year>2020</b:Year>
    <b:RefOrder>9</b:RefOrder>
  </b:Source>
</b:Sources>
</file>

<file path=customXml/itemProps1.xml><?xml version="1.0" encoding="utf-8"?>
<ds:datastoreItem xmlns:ds="http://schemas.openxmlformats.org/officeDocument/2006/customXml" ds:itemID="{5158257D-C2C3-4C85-9D77-F07B2D50D4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6563</Words>
  <Characters>37412</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dc:creator>
  <cp:lastModifiedBy>h</cp:lastModifiedBy>
  <cp:revision>1</cp:revision>
  <dcterms:created xsi:type="dcterms:W3CDTF">2023-08-21T11:48:00Z</dcterms:created>
  <dcterms:modified xsi:type="dcterms:W3CDTF">2023-08-21T11:48:00Z</dcterms:modified>
</cp:coreProperties>
</file>