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68CDBEDA"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5558C7">
        <w:rPr>
          <w:rFonts w:ascii="Arial" w:hAnsi="Arial" w:cs="Arial"/>
          <w:sz w:val="28"/>
          <w:szCs w:val="28"/>
        </w:rPr>
        <w:t xml:space="preserve"> Sana Sahir</w:t>
      </w:r>
    </w:p>
    <w:p w14:paraId="39AA4413" w14:textId="5638BF96"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5558C7">
        <w:rPr>
          <w:rFonts w:ascii="Arial" w:hAnsi="Arial" w:cs="Arial"/>
          <w:sz w:val="28"/>
          <w:szCs w:val="28"/>
        </w:rPr>
        <w:t xml:space="preserve"> 2113495</w:t>
      </w:r>
    </w:p>
    <w:p w14:paraId="76B6655A" w14:textId="174625B2"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5558C7">
        <w:rPr>
          <w:rFonts w:ascii="Arial" w:hAnsi="Arial" w:cs="Arial"/>
          <w:sz w:val="28"/>
          <w:szCs w:val="28"/>
        </w:rPr>
        <w:t>Introduction to Research</w:t>
      </w:r>
    </w:p>
    <w:p w14:paraId="4E5B279A" w14:textId="3B534B87"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5558C7">
        <w:rPr>
          <w:rFonts w:ascii="Arial" w:hAnsi="Arial" w:cs="Arial"/>
          <w:sz w:val="28"/>
          <w:szCs w:val="28"/>
        </w:rPr>
        <w:t xml:space="preserve"> BMHP5005</w:t>
      </w:r>
    </w:p>
    <w:p w14:paraId="1A0B2D2B" w14:textId="7FD0ECA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5558C7">
        <w:rPr>
          <w:rFonts w:ascii="Arial" w:hAnsi="Arial" w:cs="Arial"/>
          <w:sz w:val="28"/>
          <w:szCs w:val="28"/>
        </w:rPr>
        <w:t xml:space="preserve"> Eleni </w:t>
      </w:r>
      <w:proofErr w:type="spellStart"/>
      <w:r w:rsidR="005558C7">
        <w:rPr>
          <w:rFonts w:ascii="Arial" w:hAnsi="Arial" w:cs="Arial"/>
          <w:sz w:val="28"/>
          <w:szCs w:val="28"/>
        </w:rPr>
        <w:t>Koutsogeorgou</w:t>
      </w:r>
      <w:proofErr w:type="spellEnd"/>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sdt>
      <w:sdtPr>
        <w:rPr>
          <w:rFonts w:ascii="Times New Roman" w:eastAsiaTheme="minorHAnsi" w:hAnsi="Times New Roman" w:cstheme="minorBidi"/>
          <w:color w:val="auto"/>
          <w:sz w:val="24"/>
          <w:lang w:eastAsia="en-US"/>
        </w:rPr>
        <w:id w:val="-138504999"/>
        <w:docPartObj>
          <w:docPartGallery w:val="Table of Contents"/>
          <w:docPartUnique/>
        </w:docPartObj>
      </w:sdtPr>
      <w:sdtEndPr>
        <w:rPr>
          <w:b/>
          <w:bCs/>
        </w:rPr>
      </w:sdtEndPr>
      <w:sdtContent>
        <w:p w14:paraId="52943664" w14:textId="77777777" w:rsidR="006F5F2C" w:rsidRDefault="006F5F2C" w:rsidP="00974D61">
          <w:pPr>
            <w:pStyle w:val="TOCHeading"/>
            <w:rPr>
              <w:rFonts w:eastAsiaTheme="minorHAnsi"/>
            </w:rPr>
          </w:pPr>
        </w:p>
        <w:p w14:paraId="257201CA" w14:textId="77777777" w:rsidR="006F5F2C" w:rsidRDefault="006F5F2C" w:rsidP="00974D61">
          <w:pPr>
            <w:pStyle w:val="TOCHeading"/>
            <w:rPr>
              <w:rFonts w:eastAsiaTheme="minorHAnsi"/>
            </w:rPr>
          </w:pPr>
        </w:p>
        <w:p w14:paraId="2FA7F33E" w14:textId="77777777" w:rsidR="006F5F2C" w:rsidRDefault="006F5F2C" w:rsidP="00974D61">
          <w:pPr>
            <w:pStyle w:val="TOCHeading"/>
            <w:rPr>
              <w:rFonts w:eastAsiaTheme="minorHAnsi"/>
            </w:rPr>
          </w:pPr>
        </w:p>
        <w:p w14:paraId="71D3DFAE" w14:textId="77777777" w:rsidR="006F5F2C" w:rsidRDefault="006F5F2C" w:rsidP="00974D61">
          <w:pPr>
            <w:pStyle w:val="TOCHeading"/>
            <w:rPr>
              <w:rFonts w:eastAsiaTheme="minorHAnsi"/>
            </w:rPr>
          </w:pPr>
        </w:p>
        <w:p w14:paraId="46DF9E0D" w14:textId="592B6BD0" w:rsidR="008468BC" w:rsidRPr="00613A62" w:rsidRDefault="008468BC" w:rsidP="00974D61">
          <w:pPr>
            <w:pStyle w:val="TOCHeading"/>
            <w:rPr>
              <w:rFonts w:ascii="Arial" w:hAnsi="Arial" w:cs="Arial"/>
              <w:b/>
              <w:bCs/>
              <w:color w:val="auto"/>
            </w:rPr>
          </w:pPr>
          <w:r w:rsidRPr="00613A62">
            <w:rPr>
              <w:rFonts w:ascii="Arial" w:hAnsi="Arial" w:cs="Arial"/>
              <w:b/>
              <w:bCs/>
              <w:color w:val="auto"/>
            </w:rPr>
            <w:t>Table of Contents</w:t>
          </w:r>
        </w:p>
        <w:p w14:paraId="7FE37C19" w14:textId="08986B8C" w:rsidR="00EB1312" w:rsidRDefault="008468BC">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008083" w:history="1">
            <w:r w:rsidR="00EB1312" w:rsidRPr="009765C6">
              <w:rPr>
                <w:rStyle w:val="Hyperlink"/>
                <w:noProof/>
              </w:rPr>
              <w:t>1. Introduction</w:t>
            </w:r>
            <w:r w:rsidR="00EB1312">
              <w:rPr>
                <w:noProof/>
                <w:webHidden/>
              </w:rPr>
              <w:tab/>
            </w:r>
            <w:r w:rsidR="00EB1312">
              <w:rPr>
                <w:noProof/>
                <w:webHidden/>
              </w:rPr>
              <w:fldChar w:fldCharType="begin"/>
            </w:r>
            <w:r w:rsidR="00EB1312">
              <w:rPr>
                <w:noProof/>
                <w:webHidden/>
              </w:rPr>
              <w:instrText xml:space="preserve"> PAGEREF _Toc134008083 \h </w:instrText>
            </w:r>
            <w:r w:rsidR="00EB1312">
              <w:rPr>
                <w:noProof/>
                <w:webHidden/>
              </w:rPr>
            </w:r>
            <w:r w:rsidR="00EB1312">
              <w:rPr>
                <w:noProof/>
                <w:webHidden/>
              </w:rPr>
              <w:fldChar w:fldCharType="separate"/>
            </w:r>
            <w:r w:rsidR="00EB1312">
              <w:rPr>
                <w:noProof/>
                <w:webHidden/>
              </w:rPr>
              <w:t>3</w:t>
            </w:r>
            <w:r w:rsidR="00EB1312">
              <w:rPr>
                <w:noProof/>
                <w:webHidden/>
              </w:rPr>
              <w:fldChar w:fldCharType="end"/>
            </w:r>
          </w:hyperlink>
        </w:p>
        <w:p w14:paraId="551CD553" w14:textId="329EE776" w:rsidR="00EB1312" w:rsidRDefault="00000000">
          <w:pPr>
            <w:pStyle w:val="TOC1"/>
            <w:tabs>
              <w:tab w:val="right" w:leader="dot" w:pos="9016"/>
            </w:tabs>
            <w:rPr>
              <w:rFonts w:asciiTheme="minorHAnsi" w:eastAsiaTheme="minorEastAsia" w:hAnsiTheme="minorHAnsi"/>
              <w:noProof/>
              <w:sz w:val="22"/>
              <w:lang w:eastAsia="en-GB"/>
            </w:rPr>
          </w:pPr>
          <w:hyperlink w:anchor="_Toc134008084" w:history="1">
            <w:r w:rsidR="00EB1312" w:rsidRPr="009765C6">
              <w:rPr>
                <w:rStyle w:val="Hyperlink"/>
                <w:noProof/>
              </w:rPr>
              <w:t>2. Background</w:t>
            </w:r>
            <w:r w:rsidR="00EB1312">
              <w:rPr>
                <w:noProof/>
                <w:webHidden/>
              </w:rPr>
              <w:tab/>
            </w:r>
            <w:r w:rsidR="00EB1312">
              <w:rPr>
                <w:noProof/>
                <w:webHidden/>
              </w:rPr>
              <w:fldChar w:fldCharType="begin"/>
            </w:r>
            <w:r w:rsidR="00EB1312">
              <w:rPr>
                <w:noProof/>
                <w:webHidden/>
              </w:rPr>
              <w:instrText xml:space="preserve"> PAGEREF _Toc134008084 \h </w:instrText>
            </w:r>
            <w:r w:rsidR="00EB1312">
              <w:rPr>
                <w:noProof/>
                <w:webHidden/>
              </w:rPr>
            </w:r>
            <w:r w:rsidR="00EB1312">
              <w:rPr>
                <w:noProof/>
                <w:webHidden/>
              </w:rPr>
              <w:fldChar w:fldCharType="separate"/>
            </w:r>
            <w:r w:rsidR="00EB1312">
              <w:rPr>
                <w:noProof/>
                <w:webHidden/>
              </w:rPr>
              <w:t>3</w:t>
            </w:r>
            <w:r w:rsidR="00EB1312">
              <w:rPr>
                <w:noProof/>
                <w:webHidden/>
              </w:rPr>
              <w:fldChar w:fldCharType="end"/>
            </w:r>
          </w:hyperlink>
        </w:p>
        <w:p w14:paraId="4E30C6DD" w14:textId="7F395E40" w:rsidR="00EB1312" w:rsidRDefault="00000000">
          <w:pPr>
            <w:pStyle w:val="TOC1"/>
            <w:tabs>
              <w:tab w:val="right" w:leader="dot" w:pos="9016"/>
            </w:tabs>
            <w:rPr>
              <w:rFonts w:asciiTheme="minorHAnsi" w:eastAsiaTheme="minorEastAsia" w:hAnsiTheme="minorHAnsi"/>
              <w:noProof/>
              <w:sz w:val="22"/>
              <w:lang w:eastAsia="en-GB"/>
            </w:rPr>
          </w:pPr>
          <w:hyperlink w:anchor="_Toc134008085" w:history="1">
            <w:r w:rsidR="00EB1312" w:rsidRPr="009765C6">
              <w:rPr>
                <w:rStyle w:val="Hyperlink"/>
                <w:noProof/>
              </w:rPr>
              <w:t>3. Methods</w:t>
            </w:r>
            <w:r w:rsidR="00EB1312">
              <w:rPr>
                <w:noProof/>
                <w:webHidden/>
              </w:rPr>
              <w:tab/>
            </w:r>
            <w:r w:rsidR="00EB1312">
              <w:rPr>
                <w:noProof/>
                <w:webHidden/>
              </w:rPr>
              <w:fldChar w:fldCharType="begin"/>
            </w:r>
            <w:r w:rsidR="00EB1312">
              <w:rPr>
                <w:noProof/>
                <w:webHidden/>
              </w:rPr>
              <w:instrText xml:space="preserve"> PAGEREF _Toc134008085 \h </w:instrText>
            </w:r>
            <w:r w:rsidR="00EB1312">
              <w:rPr>
                <w:noProof/>
                <w:webHidden/>
              </w:rPr>
            </w:r>
            <w:r w:rsidR="00EB1312">
              <w:rPr>
                <w:noProof/>
                <w:webHidden/>
              </w:rPr>
              <w:fldChar w:fldCharType="separate"/>
            </w:r>
            <w:r w:rsidR="00EB1312">
              <w:rPr>
                <w:noProof/>
                <w:webHidden/>
              </w:rPr>
              <w:t>4</w:t>
            </w:r>
            <w:r w:rsidR="00EB1312">
              <w:rPr>
                <w:noProof/>
                <w:webHidden/>
              </w:rPr>
              <w:fldChar w:fldCharType="end"/>
            </w:r>
          </w:hyperlink>
        </w:p>
        <w:p w14:paraId="4049F3D6" w14:textId="673F681A" w:rsidR="00EB1312" w:rsidRDefault="00000000">
          <w:pPr>
            <w:pStyle w:val="TOC1"/>
            <w:tabs>
              <w:tab w:val="right" w:leader="dot" w:pos="9016"/>
            </w:tabs>
            <w:rPr>
              <w:rFonts w:asciiTheme="minorHAnsi" w:eastAsiaTheme="minorEastAsia" w:hAnsiTheme="minorHAnsi"/>
              <w:noProof/>
              <w:sz w:val="22"/>
              <w:lang w:eastAsia="en-GB"/>
            </w:rPr>
          </w:pPr>
          <w:hyperlink w:anchor="_Toc134008086" w:history="1">
            <w:r w:rsidR="00EB1312" w:rsidRPr="009765C6">
              <w:rPr>
                <w:rStyle w:val="Hyperlink"/>
                <w:noProof/>
              </w:rPr>
              <w:t>4.Results</w:t>
            </w:r>
            <w:r w:rsidR="00EB1312">
              <w:rPr>
                <w:noProof/>
                <w:webHidden/>
              </w:rPr>
              <w:tab/>
            </w:r>
            <w:r w:rsidR="00EB1312">
              <w:rPr>
                <w:noProof/>
                <w:webHidden/>
              </w:rPr>
              <w:fldChar w:fldCharType="begin"/>
            </w:r>
            <w:r w:rsidR="00EB1312">
              <w:rPr>
                <w:noProof/>
                <w:webHidden/>
              </w:rPr>
              <w:instrText xml:space="preserve"> PAGEREF _Toc134008086 \h </w:instrText>
            </w:r>
            <w:r w:rsidR="00EB1312">
              <w:rPr>
                <w:noProof/>
                <w:webHidden/>
              </w:rPr>
            </w:r>
            <w:r w:rsidR="00EB1312">
              <w:rPr>
                <w:noProof/>
                <w:webHidden/>
              </w:rPr>
              <w:fldChar w:fldCharType="separate"/>
            </w:r>
            <w:r w:rsidR="00EB1312">
              <w:rPr>
                <w:noProof/>
                <w:webHidden/>
              </w:rPr>
              <w:t>5</w:t>
            </w:r>
            <w:r w:rsidR="00EB1312">
              <w:rPr>
                <w:noProof/>
                <w:webHidden/>
              </w:rPr>
              <w:fldChar w:fldCharType="end"/>
            </w:r>
          </w:hyperlink>
        </w:p>
        <w:p w14:paraId="701C33A1" w14:textId="56F68992" w:rsidR="00EB1312" w:rsidRDefault="00000000">
          <w:pPr>
            <w:pStyle w:val="TOC1"/>
            <w:tabs>
              <w:tab w:val="right" w:leader="dot" w:pos="9016"/>
            </w:tabs>
            <w:rPr>
              <w:rFonts w:asciiTheme="minorHAnsi" w:eastAsiaTheme="minorEastAsia" w:hAnsiTheme="minorHAnsi"/>
              <w:noProof/>
              <w:sz w:val="22"/>
              <w:lang w:eastAsia="en-GB"/>
            </w:rPr>
          </w:pPr>
          <w:hyperlink w:anchor="_Toc134008087" w:history="1">
            <w:r w:rsidR="00EB1312" w:rsidRPr="009765C6">
              <w:rPr>
                <w:rStyle w:val="Hyperlink"/>
                <w:noProof/>
              </w:rPr>
              <w:t>5. Discussion</w:t>
            </w:r>
            <w:r w:rsidR="00EB1312">
              <w:rPr>
                <w:noProof/>
                <w:webHidden/>
              </w:rPr>
              <w:tab/>
            </w:r>
            <w:r w:rsidR="00EB1312">
              <w:rPr>
                <w:noProof/>
                <w:webHidden/>
              </w:rPr>
              <w:fldChar w:fldCharType="begin"/>
            </w:r>
            <w:r w:rsidR="00EB1312">
              <w:rPr>
                <w:noProof/>
                <w:webHidden/>
              </w:rPr>
              <w:instrText xml:space="preserve"> PAGEREF _Toc134008087 \h </w:instrText>
            </w:r>
            <w:r w:rsidR="00EB1312">
              <w:rPr>
                <w:noProof/>
                <w:webHidden/>
              </w:rPr>
            </w:r>
            <w:r w:rsidR="00EB1312">
              <w:rPr>
                <w:noProof/>
                <w:webHidden/>
              </w:rPr>
              <w:fldChar w:fldCharType="separate"/>
            </w:r>
            <w:r w:rsidR="00EB1312">
              <w:rPr>
                <w:noProof/>
                <w:webHidden/>
              </w:rPr>
              <w:t>8</w:t>
            </w:r>
            <w:r w:rsidR="00EB1312">
              <w:rPr>
                <w:noProof/>
                <w:webHidden/>
              </w:rPr>
              <w:fldChar w:fldCharType="end"/>
            </w:r>
          </w:hyperlink>
        </w:p>
        <w:p w14:paraId="04F58DFE" w14:textId="635D895D" w:rsidR="00EB1312" w:rsidRDefault="00000000">
          <w:pPr>
            <w:pStyle w:val="TOC1"/>
            <w:tabs>
              <w:tab w:val="right" w:leader="dot" w:pos="9016"/>
            </w:tabs>
            <w:rPr>
              <w:rFonts w:asciiTheme="minorHAnsi" w:eastAsiaTheme="minorEastAsia" w:hAnsiTheme="minorHAnsi"/>
              <w:noProof/>
              <w:sz w:val="22"/>
              <w:lang w:eastAsia="en-GB"/>
            </w:rPr>
          </w:pPr>
          <w:hyperlink w:anchor="_Toc134008088" w:history="1">
            <w:r w:rsidR="00EB1312" w:rsidRPr="009765C6">
              <w:rPr>
                <w:rStyle w:val="Hyperlink"/>
                <w:noProof/>
              </w:rPr>
              <w:t>6. Conclusion</w:t>
            </w:r>
            <w:r w:rsidR="00EB1312">
              <w:rPr>
                <w:noProof/>
                <w:webHidden/>
              </w:rPr>
              <w:tab/>
            </w:r>
            <w:r w:rsidR="00EB1312">
              <w:rPr>
                <w:noProof/>
                <w:webHidden/>
              </w:rPr>
              <w:fldChar w:fldCharType="begin"/>
            </w:r>
            <w:r w:rsidR="00EB1312">
              <w:rPr>
                <w:noProof/>
                <w:webHidden/>
              </w:rPr>
              <w:instrText xml:space="preserve"> PAGEREF _Toc134008088 \h </w:instrText>
            </w:r>
            <w:r w:rsidR="00EB1312">
              <w:rPr>
                <w:noProof/>
                <w:webHidden/>
              </w:rPr>
            </w:r>
            <w:r w:rsidR="00EB1312">
              <w:rPr>
                <w:noProof/>
                <w:webHidden/>
              </w:rPr>
              <w:fldChar w:fldCharType="separate"/>
            </w:r>
            <w:r w:rsidR="00EB1312">
              <w:rPr>
                <w:noProof/>
                <w:webHidden/>
              </w:rPr>
              <w:t>13</w:t>
            </w:r>
            <w:r w:rsidR="00EB1312">
              <w:rPr>
                <w:noProof/>
                <w:webHidden/>
              </w:rPr>
              <w:fldChar w:fldCharType="end"/>
            </w:r>
          </w:hyperlink>
        </w:p>
        <w:p w14:paraId="5B550F54" w14:textId="6B37E29A" w:rsidR="00EB1312" w:rsidRDefault="00000000">
          <w:pPr>
            <w:pStyle w:val="TOC1"/>
            <w:tabs>
              <w:tab w:val="right" w:leader="dot" w:pos="9016"/>
            </w:tabs>
            <w:rPr>
              <w:rFonts w:asciiTheme="minorHAnsi" w:eastAsiaTheme="minorEastAsia" w:hAnsiTheme="minorHAnsi"/>
              <w:noProof/>
              <w:sz w:val="22"/>
              <w:lang w:eastAsia="en-GB"/>
            </w:rPr>
          </w:pPr>
          <w:hyperlink w:anchor="_Toc134008089" w:history="1">
            <w:r w:rsidR="00EB1312" w:rsidRPr="009765C6">
              <w:rPr>
                <w:rStyle w:val="Hyperlink"/>
                <w:noProof/>
              </w:rPr>
              <w:t>References</w:t>
            </w:r>
            <w:r w:rsidR="00EB1312">
              <w:rPr>
                <w:noProof/>
                <w:webHidden/>
              </w:rPr>
              <w:tab/>
            </w:r>
            <w:r w:rsidR="00EB1312">
              <w:rPr>
                <w:noProof/>
                <w:webHidden/>
              </w:rPr>
              <w:fldChar w:fldCharType="begin"/>
            </w:r>
            <w:r w:rsidR="00EB1312">
              <w:rPr>
                <w:noProof/>
                <w:webHidden/>
              </w:rPr>
              <w:instrText xml:space="preserve"> PAGEREF _Toc134008089 \h </w:instrText>
            </w:r>
            <w:r w:rsidR="00EB1312">
              <w:rPr>
                <w:noProof/>
                <w:webHidden/>
              </w:rPr>
            </w:r>
            <w:r w:rsidR="00EB1312">
              <w:rPr>
                <w:noProof/>
                <w:webHidden/>
              </w:rPr>
              <w:fldChar w:fldCharType="separate"/>
            </w:r>
            <w:r w:rsidR="00EB1312">
              <w:rPr>
                <w:noProof/>
                <w:webHidden/>
              </w:rPr>
              <w:t>13</w:t>
            </w:r>
            <w:r w:rsidR="00EB1312">
              <w:rPr>
                <w:noProof/>
                <w:webHidden/>
              </w:rPr>
              <w:fldChar w:fldCharType="end"/>
            </w:r>
          </w:hyperlink>
        </w:p>
        <w:p w14:paraId="0BBF3FFA" w14:textId="693A0359" w:rsidR="008468BC" w:rsidRDefault="008468BC">
          <w:r>
            <w:rPr>
              <w:b/>
              <w:bCs/>
            </w:rPr>
            <w:fldChar w:fldCharType="end"/>
          </w:r>
        </w:p>
      </w:sdtContent>
    </w:sdt>
    <w:p w14:paraId="68D59CF3" w14:textId="77777777" w:rsidR="000947DC" w:rsidRDefault="000947DC" w:rsidP="0043266D">
      <w:pPr>
        <w:spacing w:line="360" w:lineRule="auto"/>
        <w:jc w:val="both"/>
        <w:rPr>
          <w:rFonts w:ascii="Arial" w:hAnsi="Arial" w:cs="Arial"/>
        </w:rPr>
      </w:pPr>
    </w:p>
    <w:p w14:paraId="13E00080" w14:textId="137FF22A" w:rsidR="00B87E75" w:rsidRDefault="00B87E75" w:rsidP="009146D1">
      <w:pPr>
        <w:spacing w:line="360" w:lineRule="auto"/>
        <w:jc w:val="both"/>
        <w:rPr>
          <w:rFonts w:ascii="Arial" w:hAnsi="Arial" w:cs="Arial"/>
          <w:b/>
          <w:bCs/>
        </w:rPr>
      </w:pPr>
    </w:p>
    <w:p w14:paraId="6AF27762" w14:textId="77777777" w:rsidR="002F4964" w:rsidRPr="001D7C03" w:rsidRDefault="002F4964" w:rsidP="009146D1">
      <w:pPr>
        <w:spacing w:line="360" w:lineRule="auto"/>
        <w:jc w:val="both"/>
        <w:rPr>
          <w:rFonts w:ascii="Arial" w:hAnsi="Arial" w:cs="Arial"/>
          <w:szCs w:val="24"/>
        </w:rPr>
      </w:pPr>
    </w:p>
    <w:p w14:paraId="2E79F7ED" w14:textId="182913C0" w:rsidR="00B87E75" w:rsidRPr="001D7C03" w:rsidRDefault="00B87E75" w:rsidP="001D7C03">
      <w:pPr>
        <w:rPr>
          <w:rFonts w:ascii="Arial" w:hAnsi="Arial" w:cs="Arial"/>
          <w:szCs w:val="24"/>
        </w:rPr>
      </w:pPr>
    </w:p>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2ED51256" w:rsidR="00B87E75" w:rsidRPr="00536A82" w:rsidRDefault="00B87E75" w:rsidP="00536A82">
      <w:pPr>
        <w:pStyle w:val="Heading1"/>
      </w:pPr>
      <w:bookmarkStart w:id="0" w:name="_Toc134008083"/>
      <w:r w:rsidRPr="00536A82">
        <w:lastRenderedPageBreak/>
        <w:t>1. Introduction</w:t>
      </w:r>
      <w:bookmarkEnd w:id="0"/>
    </w:p>
    <w:p w14:paraId="246778B3" w14:textId="45DA8BA6" w:rsidR="000C2F67" w:rsidRPr="00536A82" w:rsidRDefault="000C2F67" w:rsidP="00536A82">
      <w:pPr>
        <w:tabs>
          <w:tab w:val="left" w:pos="6540"/>
        </w:tabs>
        <w:spacing w:line="360" w:lineRule="auto"/>
        <w:jc w:val="both"/>
        <w:rPr>
          <w:rFonts w:ascii="Arial" w:hAnsi="Arial" w:cs="Arial"/>
          <w:sz w:val="22"/>
        </w:rPr>
      </w:pPr>
      <w:r w:rsidRPr="00536A82">
        <w:rPr>
          <w:rFonts w:ascii="Arial" w:hAnsi="Arial" w:cs="Arial"/>
          <w:sz w:val="22"/>
        </w:rPr>
        <w:t>There has been a recent significant rise in the incidence of substantial mental illnesses, such as eating disorders, among young people</w:t>
      </w:r>
      <w:r w:rsidR="0001567B" w:rsidRPr="00536A82">
        <w:rPr>
          <w:rFonts w:ascii="Arial" w:hAnsi="Arial" w:cs="Arial"/>
          <w:sz w:val="22"/>
        </w:rPr>
        <w:t xml:space="preserve"> (Rdash.nhs.uk, 2023).</w:t>
      </w:r>
      <w:r w:rsidR="00FC5541" w:rsidRPr="00536A82">
        <w:rPr>
          <w:rFonts w:ascii="Arial" w:hAnsi="Arial" w:cs="Arial"/>
          <w:sz w:val="22"/>
        </w:rPr>
        <w:t xml:space="preserve"> </w:t>
      </w:r>
      <w:r w:rsidRPr="00536A82">
        <w:rPr>
          <w:rFonts w:ascii="Arial" w:hAnsi="Arial" w:cs="Arial"/>
          <w:sz w:val="22"/>
        </w:rPr>
        <w:t xml:space="preserve"> Historically, outpatient treatment in the United Kingdom was provided by either generalised child and adolescent mental health services (CAMHS) or highly specialised eating disorder programmes, with wide variance in availability between regions. There is increasing proof of the effectiveness of many therapies, but less is known about how various clinical environments affect patients' </w:t>
      </w:r>
      <w:r w:rsidR="00422066" w:rsidRPr="00536A82">
        <w:rPr>
          <w:rFonts w:ascii="Arial" w:hAnsi="Arial" w:cs="Arial"/>
          <w:sz w:val="22"/>
        </w:rPr>
        <w:t>recoveries (</w:t>
      </w:r>
      <w:r w:rsidR="0001567B" w:rsidRPr="00536A82">
        <w:rPr>
          <w:rFonts w:ascii="Arial" w:hAnsi="Arial" w:cs="Arial"/>
          <w:sz w:val="22"/>
        </w:rPr>
        <w:t>Rdash.nhs.uk, 2023).</w:t>
      </w:r>
      <w:r w:rsidRPr="00536A82">
        <w:rPr>
          <w:rFonts w:ascii="Arial" w:hAnsi="Arial" w:cs="Arial"/>
          <w:sz w:val="22"/>
        </w:rPr>
        <w:t xml:space="preserve"> Furthermore, evidence for the claims that specialised service delivery improves case recognition, medical continuity, and efficiency is scant. Dieticians Specialist community eating disorder services for young people have recently invested in throughout all areas of England, but the results of these efforts are undetermined</w:t>
      </w:r>
      <w:r w:rsidR="00945F25" w:rsidRPr="00536A82">
        <w:rPr>
          <w:rFonts w:ascii="Arial" w:hAnsi="Arial" w:cs="Arial"/>
          <w:sz w:val="22"/>
        </w:rPr>
        <w:t xml:space="preserve"> (</w:t>
      </w:r>
      <w:proofErr w:type="spellStart"/>
      <w:r w:rsidR="00945F25" w:rsidRPr="00536A82">
        <w:rPr>
          <w:rFonts w:ascii="Arial" w:hAnsi="Arial" w:cs="Arial"/>
          <w:sz w:val="22"/>
        </w:rPr>
        <w:t>Mitrofan</w:t>
      </w:r>
      <w:proofErr w:type="spellEnd"/>
      <w:r w:rsidR="00945F25" w:rsidRPr="00536A82">
        <w:rPr>
          <w:rFonts w:ascii="Arial" w:hAnsi="Arial" w:cs="Arial"/>
          <w:sz w:val="22"/>
        </w:rPr>
        <w:t xml:space="preserve"> et al., 2019)</w:t>
      </w:r>
      <w:r w:rsidRPr="00536A82">
        <w:rPr>
          <w:rFonts w:ascii="Arial" w:hAnsi="Arial" w:cs="Arial"/>
          <w:sz w:val="22"/>
        </w:rPr>
        <w:t xml:space="preserve">. </w:t>
      </w:r>
      <w:r w:rsidRPr="00536A82">
        <w:rPr>
          <w:rFonts w:ascii="Arial" w:hAnsi="Arial" w:cs="Arial"/>
          <w:sz w:val="22"/>
        </w:rPr>
        <w:lastRenderedPageBreak/>
        <w:t xml:space="preserve">Along with these shifts is an increased focus on patient-led recovery approaches to eating disorders and including patients and carers in the design of </w:t>
      </w:r>
      <w:r w:rsidR="00F4785A" w:rsidRPr="00536A82">
        <w:rPr>
          <w:rFonts w:ascii="Arial" w:hAnsi="Arial" w:cs="Arial"/>
          <w:sz w:val="22"/>
        </w:rPr>
        <w:t>services (</w:t>
      </w:r>
      <w:r w:rsidR="00F52683" w:rsidRPr="00536A82">
        <w:rPr>
          <w:rFonts w:ascii="Arial" w:hAnsi="Arial" w:cs="Arial"/>
          <w:sz w:val="22"/>
        </w:rPr>
        <w:t xml:space="preserve">Health, 2023). </w:t>
      </w:r>
      <w:r w:rsidRPr="00536A82">
        <w:rPr>
          <w:rFonts w:ascii="Arial" w:hAnsi="Arial" w:cs="Arial"/>
          <w:sz w:val="22"/>
        </w:rPr>
        <w:t>As a result of this study, we came up with three major takeaways: first, there is an urgent requirement to move away from an emphasis on weight towards a caring approach that is more comprehensive, individualised, and consistent; second, there is an urgent need to strike a better balance between the early treatment of psychological and physical issues; and third, there is an urgent requirement to improve the knowledge and attitude of medical professionals towards patients and their families at all levels of care, from primary to genuinely specialised</w:t>
      </w:r>
      <w:r w:rsidR="00F52683" w:rsidRPr="00536A82">
        <w:rPr>
          <w:rFonts w:ascii="Arial" w:hAnsi="Arial" w:cs="Arial"/>
          <w:sz w:val="22"/>
        </w:rPr>
        <w:t xml:space="preserve"> (Health, 2023).</w:t>
      </w:r>
    </w:p>
    <w:p w14:paraId="3862DEE1" w14:textId="77777777" w:rsidR="00C0060E" w:rsidRPr="00536A82" w:rsidRDefault="009A1E74" w:rsidP="00536A82">
      <w:pPr>
        <w:pStyle w:val="NormalWeb"/>
        <w:spacing w:before="0" w:beforeAutospacing="0" w:after="0" w:afterAutospacing="0" w:line="360" w:lineRule="auto"/>
        <w:jc w:val="both"/>
        <w:rPr>
          <w:rFonts w:ascii="Arial" w:hAnsi="Arial" w:cs="Arial"/>
          <w:sz w:val="22"/>
          <w:szCs w:val="22"/>
        </w:rPr>
      </w:pPr>
      <w:r w:rsidRPr="00536A82">
        <w:rPr>
          <w:rFonts w:ascii="Arial" w:hAnsi="Arial" w:cs="Arial"/>
          <w:b/>
          <w:bCs/>
          <w:sz w:val="22"/>
          <w:szCs w:val="22"/>
        </w:rPr>
        <w:t>Aim</w:t>
      </w:r>
      <w:r w:rsidRPr="00536A82">
        <w:rPr>
          <w:rFonts w:ascii="Arial" w:hAnsi="Arial" w:cs="Arial"/>
          <w:sz w:val="22"/>
          <w:szCs w:val="22"/>
        </w:rPr>
        <w:t>:</w:t>
      </w:r>
      <w:r w:rsidR="008E4CF0" w:rsidRPr="00536A82">
        <w:rPr>
          <w:rFonts w:ascii="Arial" w:hAnsi="Arial" w:cs="Arial"/>
          <w:sz w:val="22"/>
          <w:szCs w:val="22"/>
        </w:rPr>
        <w:t xml:space="preserve"> </w:t>
      </w:r>
      <w:r w:rsidR="00C0060E" w:rsidRPr="00536A82">
        <w:rPr>
          <w:rFonts w:ascii="Arial" w:eastAsia="Calibri" w:hAnsi="Arial" w:cs="Arial"/>
          <w:color w:val="000000" w:themeColor="text1"/>
          <w:kern w:val="24"/>
          <w:sz w:val="22"/>
          <w:szCs w:val="22"/>
        </w:rPr>
        <w:t>To Explore support for patients with eating disorder and their families.</w:t>
      </w:r>
    </w:p>
    <w:p w14:paraId="00D4F81B" w14:textId="3C47F270" w:rsidR="004173C6" w:rsidRPr="00536A82" w:rsidRDefault="0026393A" w:rsidP="00536A82">
      <w:pPr>
        <w:pStyle w:val="NormalWeb"/>
        <w:spacing w:before="200" w:beforeAutospacing="0" w:after="0" w:afterAutospacing="0" w:line="360" w:lineRule="auto"/>
        <w:jc w:val="both"/>
        <w:rPr>
          <w:rFonts w:ascii="Arial" w:hAnsi="Arial" w:cs="Arial"/>
          <w:sz w:val="22"/>
          <w:szCs w:val="22"/>
        </w:rPr>
      </w:pPr>
      <w:r w:rsidRPr="00536A82">
        <w:rPr>
          <w:rFonts w:ascii="Arial" w:hAnsi="Arial" w:cs="Arial"/>
          <w:b/>
          <w:bCs/>
          <w:sz w:val="22"/>
          <w:szCs w:val="22"/>
        </w:rPr>
        <w:lastRenderedPageBreak/>
        <w:t>Objectives</w:t>
      </w:r>
      <w:r w:rsidR="00E83C64" w:rsidRPr="00536A82">
        <w:rPr>
          <w:rFonts w:ascii="Arial" w:hAnsi="Arial" w:cs="Arial"/>
          <w:sz w:val="22"/>
          <w:szCs w:val="22"/>
        </w:rPr>
        <w:t>:</w:t>
      </w:r>
      <w:r w:rsidR="00E85A16" w:rsidRPr="00536A82">
        <w:rPr>
          <w:rFonts w:ascii="Arial" w:eastAsia="Calibri" w:hAnsi="Arial" w:cs="Arial"/>
          <w:color w:val="000000" w:themeColor="text1"/>
          <w:kern w:val="24"/>
          <w:sz w:val="22"/>
          <w:szCs w:val="22"/>
        </w:rPr>
        <w:t xml:space="preserve"> </w:t>
      </w:r>
      <w:r w:rsidR="00B465B2" w:rsidRPr="00536A82">
        <w:rPr>
          <w:rFonts w:ascii="Arial" w:eastAsia="Calibri" w:hAnsi="Arial" w:cs="Arial"/>
          <w:color w:val="000000" w:themeColor="text1"/>
          <w:kern w:val="24"/>
          <w:sz w:val="22"/>
          <w:szCs w:val="22"/>
        </w:rPr>
        <w:t>This paper investigates the effectiveness of family therapy, which aims to improve mental health and interpersonal relationships, for young adults struggling with an eating disorder.</w:t>
      </w:r>
    </w:p>
    <w:p w14:paraId="232E6A2E" w14:textId="7FA38635" w:rsidR="0026393A" w:rsidRPr="00536A82" w:rsidRDefault="0026393A" w:rsidP="00536A82">
      <w:pPr>
        <w:pStyle w:val="Heading1"/>
      </w:pPr>
      <w:bookmarkStart w:id="1" w:name="_Toc134008084"/>
      <w:r w:rsidRPr="00536A82">
        <w:t>2. Background</w:t>
      </w:r>
      <w:bookmarkEnd w:id="1"/>
    </w:p>
    <w:p w14:paraId="4798D34B" w14:textId="4CEEC461" w:rsidR="007B5EC2" w:rsidRPr="00536A82" w:rsidRDefault="00F03572" w:rsidP="00536A82">
      <w:pPr>
        <w:tabs>
          <w:tab w:val="left" w:pos="6540"/>
        </w:tabs>
        <w:spacing w:line="360" w:lineRule="auto"/>
        <w:jc w:val="both"/>
        <w:rPr>
          <w:rFonts w:ascii="Arial" w:hAnsi="Arial" w:cs="Arial"/>
          <w:sz w:val="22"/>
        </w:rPr>
      </w:pPr>
      <w:r w:rsidRPr="00536A82">
        <w:rPr>
          <w:rFonts w:ascii="Arial" w:hAnsi="Arial" w:cs="Arial"/>
          <w:sz w:val="22"/>
        </w:rPr>
        <w:t>The precise aetiology of anorexia and other eating disorders is unknown. However, an eating issue may be more probable for you if You or a family member has a history of depression, alcoholism, or drug abuse. In addition, you have received criticism for your eating habits, body type, or weight. Ballet dancers, jockeys, models, or sports are examples of people who tend to worry about their weight obsessively. Other examples are those who feel pressure from society or their jobs and people who are too preoccupied with their appearance. (National Health Service, 2021</w:t>
      </w:r>
      <w:r w:rsidR="00310001" w:rsidRPr="00536A82">
        <w:rPr>
          <w:rFonts w:ascii="Arial" w:hAnsi="Arial" w:cs="Arial"/>
          <w:sz w:val="22"/>
        </w:rPr>
        <w:t>).</w:t>
      </w:r>
      <w:r w:rsidR="009872E2" w:rsidRPr="00536A82">
        <w:rPr>
          <w:rFonts w:ascii="Arial" w:hAnsi="Arial" w:cs="Arial"/>
          <w:sz w:val="22"/>
        </w:rPr>
        <w:t xml:space="preserve"> According to the National Institute for Health and Care Excellence (NICE), among those aged 16 and up in </w:t>
      </w:r>
      <w:r w:rsidR="009872E2" w:rsidRPr="00536A82">
        <w:rPr>
          <w:rFonts w:ascii="Arial" w:hAnsi="Arial" w:cs="Arial"/>
          <w:sz w:val="22"/>
        </w:rPr>
        <w:lastRenderedPageBreak/>
        <w:t>the United Kingdom, there are 266,300 instances of anorexia nervosa, 443,800 cases of bulimia nervosa, 1,398,000 cases of binge eating disorder, and 1,309,000 cases of other specified feeding and eating disorders. This suggests that 0.6% of the population suffers from anorexia nervosa, 1.0% from bulimia nervosa, 3.2% from binge eating disorder, and 3% from other eating or feeding disorder. "(Mackey, 2021). According to another NICE research, the global prevalence of eating disorders stands around 700,000. On the other hand, "many instances do not present to health care," therefore "this is undoubtedly an underestimate. “The same NICE data also shows that women comprise 90% of the population suffering from an eating disorder. Adolescents and young adults are at a higher risk than any other age group for having an eating issue "(Mackey, 2021).</w:t>
      </w:r>
      <w:r w:rsidR="007510DF" w:rsidRPr="00536A82">
        <w:rPr>
          <w:rFonts w:ascii="Arial" w:hAnsi="Arial" w:cs="Arial"/>
          <w:sz w:val="22"/>
        </w:rPr>
        <w:t xml:space="preserve"> </w:t>
      </w:r>
    </w:p>
    <w:p w14:paraId="69FEBEAB" w14:textId="6F22C8F6" w:rsidR="00826582" w:rsidRPr="00536A82" w:rsidRDefault="007510DF" w:rsidP="00536A82">
      <w:pPr>
        <w:tabs>
          <w:tab w:val="left" w:pos="6540"/>
        </w:tabs>
        <w:spacing w:line="360" w:lineRule="auto"/>
        <w:jc w:val="both"/>
        <w:rPr>
          <w:rFonts w:ascii="Arial" w:hAnsi="Arial" w:cs="Arial"/>
          <w:sz w:val="22"/>
        </w:rPr>
      </w:pPr>
      <w:r w:rsidRPr="00536A82">
        <w:rPr>
          <w:rFonts w:ascii="Arial" w:hAnsi="Arial" w:cs="Arial"/>
          <w:sz w:val="22"/>
        </w:rPr>
        <w:t xml:space="preserve">Due to the potentially deadly medical and psychological consequences of anorexia, many young people with the disorder </w:t>
      </w:r>
      <w:r w:rsidRPr="00536A82">
        <w:rPr>
          <w:rFonts w:ascii="Arial" w:hAnsi="Arial" w:cs="Arial"/>
          <w:sz w:val="22"/>
        </w:rPr>
        <w:lastRenderedPageBreak/>
        <w:t>present to hospitals in a severely debilitated physical state. In accordance with the latest research (NICE, 2017), While physical symptoms require prompt medical treatment, the patient's emotional and psychological needs must also be met for healing to occur. Anorexia is difficult to treat because it causes the kind of conflicting emotions that might make a young person feel strongly about either seeking or resisting therapy</w:t>
      </w:r>
      <w:r w:rsidR="00F03572" w:rsidRPr="00536A82">
        <w:rPr>
          <w:rFonts w:ascii="Arial" w:hAnsi="Arial" w:cs="Arial"/>
          <w:sz w:val="22"/>
        </w:rPr>
        <w:t xml:space="preserve"> (Williams, Smith and Wright, 2020). Limited data prevent evidence-based practice and service design from fully incorporating young people and their parents' perspectives on what makes a difference in treating eating disorders (</w:t>
      </w:r>
      <w:proofErr w:type="spellStart"/>
      <w:r w:rsidR="00F03572" w:rsidRPr="00536A82">
        <w:rPr>
          <w:rFonts w:ascii="Arial" w:hAnsi="Arial" w:cs="Arial"/>
          <w:sz w:val="22"/>
        </w:rPr>
        <w:t>Mitrofan</w:t>
      </w:r>
      <w:proofErr w:type="spellEnd"/>
      <w:r w:rsidR="00F03572" w:rsidRPr="00536A82">
        <w:rPr>
          <w:rFonts w:ascii="Arial" w:hAnsi="Arial" w:cs="Arial"/>
          <w:sz w:val="22"/>
        </w:rPr>
        <w:t xml:space="preserve"> et al., 2019).</w:t>
      </w:r>
    </w:p>
    <w:p w14:paraId="5DF34CFB" w14:textId="43406120" w:rsidR="00BA2545" w:rsidRPr="00536A82" w:rsidRDefault="0026393A" w:rsidP="00536A82">
      <w:pPr>
        <w:pStyle w:val="Heading1"/>
      </w:pPr>
      <w:bookmarkStart w:id="2" w:name="_Toc134008085"/>
      <w:r w:rsidRPr="00536A82">
        <w:t>3</w:t>
      </w:r>
      <w:r w:rsidR="00B87E75" w:rsidRPr="00536A82">
        <w:t>. Method</w:t>
      </w:r>
      <w:r w:rsidR="003E4ECF" w:rsidRPr="00536A82">
        <w:t>s</w:t>
      </w:r>
      <w:bookmarkEnd w:id="2"/>
    </w:p>
    <w:p w14:paraId="21B645D7" w14:textId="7A5BB054" w:rsidR="00DE3839" w:rsidRPr="00536A82" w:rsidRDefault="00E048D8" w:rsidP="00536A82">
      <w:pPr>
        <w:spacing w:line="360" w:lineRule="auto"/>
        <w:jc w:val="both"/>
        <w:rPr>
          <w:rFonts w:ascii="Arial" w:hAnsi="Arial" w:cs="Arial"/>
          <w:kern w:val="2"/>
          <w:sz w:val="22"/>
          <w14:ligatures w14:val="standardContextual"/>
        </w:rPr>
      </w:pPr>
      <w:r w:rsidRPr="00536A82">
        <w:rPr>
          <w:rFonts w:ascii="Arial" w:hAnsi="Arial" w:cs="Arial"/>
          <w:sz w:val="22"/>
        </w:rPr>
        <w:t>Systematic literature reviews (SRs) provide a transparent and reproducible method of synthesising scientific evidence to address a specific research question by systematically reviewing the relevant literature and critically appraising its quality.</w:t>
      </w:r>
      <w:r w:rsidR="00444F45" w:rsidRPr="00536A82">
        <w:rPr>
          <w:rFonts w:ascii="Arial" w:hAnsi="Arial" w:cs="Arial"/>
          <w:kern w:val="2"/>
          <w:sz w:val="22"/>
          <w14:ligatures w14:val="standardContextual"/>
        </w:rPr>
        <w:t xml:space="preserve"> The</w:t>
      </w:r>
      <w:r w:rsidR="00CC49DE" w:rsidRPr="00536A82">
        <w:rPr>
          <w:rFonts w:ascii="Arial" w:hAnsi="Arial" w:cs="Arial"/>
          <w:kern w:val="2"/>
          <w:sz w:val="22"/>
          <w14:ligatures w14:val="standardContextual"/>
        </w:rPr>
        <w:t xml:space="preserve"> </w:t>
      </w:r>
      <w:r w:rsidR="00CC49DE" w:rsidRPr="00536A82">
        <w:rPr>
          <w:rFonts w:ascii="Arial" w:hAnsi="Arial" w:cs="Arial"/>
          <w:kern w:val="2"/>
          <w:sz w:val="22"/>
          <w14:ligatures w14:val="standardContextual"/>
        </w:rPr>
        <w:lastRenderedPageBreak/>
        <w:t>search was conducted of scientific publications to locate articles and journals investigating topics relevant to eating disorders such as anorexia nervosa in adolescents or young adults. This strategy was used to find individuals who were likely to have taken advantage of a range of eating problem services that were made available. For example, individuals who have or have suffered from an eating problem have sought treatment from a medical professional due to their condition, as well as the parents of young people in this age range (</w:t>
      </w:r>
      <w:proofErr w:type="spellStart"/>
      <w:r w:rsidR="00CC49DE" w:rsidRPr="00536A82">
        <w:rPr>
          <w:rFonts w:ascii="Arial" w:hAnsi="Arial" w:cs="Arial"/>
          <w:kern w:val="2"/>
          <w:sz w:val="22"/>
          <w14:ligatures w14:val="standardContextual"/>
        </w:rPr>
        <w:t>Mitrofan</w:t>
      </w:r>
      <w:proofErr w:type="spellEnd"/>
      <w:r w:rsidR="00CC49DE" w:rsidRPr="00536A82">
        <w:rPr>
          <w:rFonts w:ascii="Arial" w:hAnsi="Arial" w:cs="Arial"/>
          <w:kern w:val="2"/>
          <w:sz w:val="22"/>
          <w14:ligatures w14:val="standardContextual"/>
        </w:rPr>
        <w:t xml:space="preserve"> et al., 2019). A search was conducted on the many online sources available; in particular, the following online sites were accessed: ProQuest, PubMed, and the UWTSD Library. Articles that included the keywords "Anorexia nervosa</w:t>
      </w:r>
      <w:r w:rsidR="0050703B" w:rsidRPr="00536A82">
        <w:rPr>
          <w:rFonts w:ascii="Arial" w:eastAsiaTheme="minorEastAsia" w:hAnsi="Arial" w:cs="Arial"/>
          <w:color w:val="000000" w:themeColor="text1"/>
          <w:kern w:val="24"/>
          <w:sz w:val="22"/>
        </w:rPr>
        <w:t>; young Adults; Care; Therapy; Parents preceptive; Family</w:t>
      </w:r>
      <w:r w:rsidR="00CC49DE" w:rsidRPr="00536A82">
        <w:rPr>
          <w:rFonts w:ascii="Arial" w:hAnsi="Arial" w:cs="Arial"/>
          <w:kern w:val="2"/>
          <w:sz w:val="22"/>
          <w14:ligatures w14:val="standardContextual"/>
        </w:rPr>
        <w:t xml:space="preserve"> in their abstracts or titles; articles that were published in the English language between January 2013 and March 2023; abstracts that contained in</w:t>
      </w:r>
      <w:r w:rsidR="00CC49DE" w:rsidRPr="00536A82">
        <w:rPr>
          <w:rFonts w:ascii="Arial" w:hAnsi="Arial" w:cs="Arial"/>
          <w:kern w:val="2"/>
          <w:sz w:val="22"/>
          <w14:ligatures w14:val="standardContextual"/>
        </w:rPr>
        <w:lastRenderedPageBreak/>
        <w:t>formation that was relevant to the research questions of the current study; these were the inclusion criteria that were chosen for the electronic literature</w:t>
      </w:r>
      <w:r w:rsidR="00C65C50" w:rsidRPr="00536A82">
        <w:rPr>
          <w:rFonts w:ascii="Arial" w:hAnsi="Arial" w:cs="Arial"/>
          <w:kern w:val="2"/>
          <w:sz w:val="22"/>
          <w14:ligatures w14:val="standardContextual"/>
        </w:rPr>
        <w:t xml:space="preserve"> </w:t>
      </w:r>
      <w:r w:rsidR="00CC49DE" w:rsidRPr="00536A82">
        <w:rPr>
          <w:rFonts w:ascii="Arial" w:hAnsi="Arial" w:cs="Arial"/>
          <w:kern w:val="2"/>
          <w:sz w:val="22"/>
          <w14:ligatures w14:val="standardContextual"/>
        </w:rPr>
        <w:t>search.</w:t>
      </w:r>
      <w:r w:rsidR="000A41EC" w:rsidRPr="00536A82">
        <w:rPr>
          <w:rFonts w:ascii="Arial" w:hAnsi="Arial" w:cs="Arial"/>
          <w:kern w:val="2"/>
          <w:sz w:val="22"/>
          <w14:ligatures w14:val="standardContextual"/>
        </w:rPr>
        <w:t xml:space="preserve"> </w:t>
      </w:r>
      <w:r w:rsidR="00DE3839" w:rsidRPr="00536A82">
        <w:rPr>
          <w:rFonts w:ascii="Arial" w:hAnsi="Arial" w:cs="Arial"/>
          <w:kern w:val="2"/>
          <w:sz w:val="22"/>
          <w14:ligatures w14:val="standardContextual"/>
        </w:rPr>
        <w:t>Article titles and abstracts were reviewed for eligibility in the United Kingdom, and only articles were written in English.</w:t>
      </w:r>
    </w:p>
    <w:p w14:paraId="4DE73AFD" w14:textId="68A20280" w:rsidR="00910A32" w:rsidRPr="00536A82" w:rsidRDefault="00DE3839" w:rsidP="00536A82">
      <w:pPr>
        <w:spacing w:line="360" w:lineRule="auto"/>
        <w:jc w:val="both"/>
        <w:rPr>
          <w:rFonts w:ascii="Arial" w:hAnsi="Arial" w:cs="Arial"/>
          <w:b/>
          <w:bCs/>
          <w:sz w:val="22"/>
        </w:rPr>
      </w:pPr>
      <w:r w:rsidRPr="00536A82">
        <w:rPr>
          <w:rFonts w:ascii="Arial" w:hAnsi="Arial" w:cs="Arial"/>
          <w:kern w:val="2"/>
          <w:sz w:val="22"/>
          <w14:ligatures w14:val="standardContextual"/>
        </w:rPr>
        <w:t>Additionally, these articles were based on the experience of young adults with eating disorders, and the support their families and loved ones are getting from Therapies.</w:t>
      </w:r>
    </w:p>
    <w:p w14:paraId="4BF5D18C" w14:textId="03CC947F" w:rsidR="00DB4F70" w:rsidRPr="00536A82" w:rsidRDefault="00924B0E" w:rsidP="00536A82">
      <w:pPr>
        <w:shd w:val="clear" w:color="auto" w:fill="FFFFFF" w:themeFill="background1"/>
        <w:spacing w:line="360" w:lineRule="auto"/>
        <w:jc w:val="both"/>
        <w:rPr>
          <w:rFonts w:ascii="Arial" w:hAnsi="Arial" w:cs="Arial"/>
          <w:kern w:val="2"/>
          <w:sz w:val="22"/>
          <w14:ligatures w14:val="standardContextual"/>
        </w:rPr>
      </w:pPr>
      <w:r w:rsidRPr="00536A82">
        <w:rPr>
          <w:rFonts w:ascii="Arial" w:hAnsi="Arial" w:cs="Arial"/>
          <w:b/>
          <w:bCs/>
          <w:kern w:val="2"/>
          <w:sz w:val="22"/>
          <w14:ligatures w14:val="standardContextual"/>
        </w:rPr>
        <w:t xml:space="preserve">Data </w:t>
      </w:r>
      <w:r w:rsidR="00FF7769" w:rsidRPr="00536A82">
        <w:rPr>
          <w:rFonts w:ascii="Arial" w:hAnsi="Arial" w:cs="Arial"/>
          <w:b/>
          <w:bCs/>
          <w:kern w:val="2"/>
          <w:sz w:val="22"/>
          <w14:ligatures w14:val="standardContextual"/>
        </w:rPr>
        <w:t>collection</w:t>
      </w:r>
      <w:r w:rsidR="00114FEA" w:rsidRPr="00536A82">
        <w:rPr>
          <w:rFonts w:ascii="Arial" w:hAnsi="Arial" w:cs="Arial"/>
          <w:b/>
          <w:bCs/>
          <w:kern w:val="2"/>
          <w:sz w:val="22"/>
          <w14:ligatures w14:val="standardContextual"/>
        </w:rPr>
        <w:t>:</w:t>
      </w:r>
      <w:r w:rsidR="00B3538B" w:rsidRPr="00536A82">
        <w:rPr>
          <w:rFonts w:ascii="Arial" w:hAnsi="Arial" w:cs="Arial"/>
          <w:b/>
          <w:bCs/>
          <w:kern w:val="2"/>
          <w:sz w:val="22"/>
          <w14:ligatures w14:val="standardContextual"/>
        </w:rPr>
        <w:t xml:space="preserve"> </w:t>
      </w:r>
      <w:r w:rsidR="00B3538B" w:rsidRPr="00536A82">
        <w:rPr>
          <w:rFonts w:ascii="Arial" w:hAnsi="Arial" w:cs="Arial"/>
          <w:kern w:val="2"/>
          <w:sz w:val="22"/>
          <w14:ligatures w14:val="standardContextual"/>
        </w:rPr>
        <w:t>Data collection</w:t>
      </w:r>
      <w:r w:rsidR="00E95E95" w:rsidRPr="00536A82">
        <w:rPr>
          <w:rFonts w:ascii="Arial" w:hAnsi="Arial" w:cs="Arial"/>
          <w:kern w:val="2"/>
          <w:sz w:val="22"/>
          <w14:ligatures w14:val="standardContextual"/>
        </w:rPr>
        <w:t xml:space="preserve"> </w:t>
      </w:r>
      <w:r w:rsidR="00DD7EDD" w:rsidRPr="00536A82">
        <w:rPr>
          <w:rFonts w:ascii="Arial" w:hAnsi="Arial" w:cs="Arial"/>
          <w:kern w:val="2"/>
          <w:sz w:val="22"/>
          <w14:ligatures w14:val="standardContextual"/>
        </w:rPr>
        <w:t xml:space="preserve">is the process of inspecting, </w:t>
      </w:r>
      <w:r w:rsidR="00EB3B0E" w:rsidRPr="00536A82">
        <w:rPr>
          <w:rFonts w:ascii="Arial" w:hAnsi="Arial" w:cs="Arial"/>
          <w:kern w:val="2"/>
          <w:sz w:val="22"/>
          <w14:ligatures w14:val="standardContextual"/>
        </w:rPr>
        <w:t>cleansing, transforming</w:t>
      </w:r>
      <w:r w:rsidR="00DD7EDD" w:rsidRPr="00536A82">
        <w:rPr>
          <w:rFonts w:ascii="Arial" w:hAnsi="Arial" w:cs="Arial"/>
          <w:kern w:val="2"/>
          <w:sz w:val="22"/>
          <w14:ligatures w14:val="standardContextual"/>
        </w:rPr>
        <w:t>,</w:t>
      </w:r>
      <w:r w:rsidR="00E122A9" w:rsidRPr="00536A82">
        <w:rPr>
          <w:rFonts w:ascii="Arial" w:hAnsi="Arial" w:cs="Arial"/>
          <w:kern w:val="2"/>
          <w:sz w:val="22"/>
          <w14:ligatures w14:val="standardContextual"/>
        </w:rPr>
        <w:t xml:space="preserve"> and </w:t>
      </w:r>
      <w:r w:rsidR="00D253B3" w:rsidRPr="00536A82">
        <w:rPr>
          <w:rFonts w:ascii="Arial" w:hAnsi="Arial" w:cs="Arial"/>
          <w:kern w:val="2"/>
          <w:sz w:val="22"/>
          <w14:ligatures w14:val="standardContextual"/>
        </w:rPr>
        <w:t>modelling</w:t>
      </w:r>
      <w:r w:rsidR="00E122A9" w:rsidRPr="00536A82">
        <w:rPr>
          <w:rFonts w:ascii="Arial" w:hAnsi="Arial" w:cs="Arial"/>
          <w:kern w:val="2"/>
          <w:sz w:val="22"/>
          <w14:ligatures w14:val="standardContextual"/>
        </w:rPr>
        <w:t xml:space="preserve"> data with the goal of discovering </w:t>
      </w:r>
      <w:r w:rsidR="00190E26" w:rsidRPr="00536A82">
        <w:rPr>
          <w:rFonts w:ascii="Arial" w:hAnsi="Arial" w:cs="Arial"/>
          <w:kern w:val="2"/>
          <w:sz w:val="22"/>
          <w14:ligatures w14:val="standardContextual"/>
        </w:rPr>
        <w:t xml:space="preserve">useful information, drawing conclusion, </w:t>
      </w:r>
      <w:r w:rsidR="00502E9E" w:rsidRPr="00536A82">
        <w:rPr>
          <w:rFonts w:ascii="Arial" w:hAnsi="Arial" w:cs="Arial"/>
          <w:kern w:val="2"/>
          <w:sz w:val="22"/>
          <w14:ligatures w14:val="standardContextual"/>
        </w:rPr>
        <w:t>and supporting decision making</w:t>
      </w:r>
      <w:r w:rsidR="00EB3B0E" w:rsidRPr="00536A82">
        <w:rPr>
          <w:rFonts w:ascii="Arial" w:hAnsi="Arial" w:cs="Arial"/>
          <w:kern w:val="2"/>
          <w:sz w:val="22"/>
          <w14:ligatures w14:val="standardContextual"/>
        </w:rPr>
        <w:t>. In involves a variety of technique</w:t>
      </w:r>
      <w:r w:rsidR="00604E07" w:rsidRPr="00536A82">
        <w:rPr>
          <w:rFonts w:ascii="Arial" w:hAnsi="Arial" w:cs="Arial"/>
          <w:kern w:val="2"/>
          <w:sz w:val="22"/>
          <w14:ligatures w14:val="standardContextual"/>
        </w:rPr>
        <w:t>s and methods including statistic</w:t>
      </w:r>
      <w:r w:rsidR="001507D9" w:rsidRPr="00536A82">
        <w:rPr>
          <w:rFonts w:ascii="Arial" w:hAnsi="Arial" w:cs="Arial"/>
          <w:kern w:val="2"/>
          <w:sz w:val="22"/>
          <w14:ligatures w14:val="standardContextual"/>
        </w:rPr>
        <w:t xml:space="preserve">al analysis, machine learning, </w:t>
      </w:r>
      <w:r w:rsidR="005602DF" w:rsidRPr="00536A82">
        <w:rPr>
          <w:rFonts w:ascii="Arial" w:hAnsi="Arial" w:cs="Arial"/>
          <w:kern w:val="2"/>
          <w:sz w:val="22"/>
          <w14:ligatures w14:val="standardContextual"/>
        </w:rPr>
        <w:t xml:space="preserve">data mining, </w:t>
      </w:r>
      <w:r w:rsidR="00790976" w:rsidRPr="00536A82">
        <w:rPr>
          <w:rFonts w:ascii="Arial" w:hAnsi="Arial" w:cs="Arial"/>
          <w:kern w:val="2"/>
          <w:sz w:val="22"/>
          <w14:ligatures w14:val="standardContextual"/>
        </w:rPr>
        <w:t>and data visualiz</w:t>
      </w:r>
      <w:r w:rsidR="00AC32A5" w:rsidRPr="00536A82">
        <w:rPr>
          <w:rFonts w:ascii="Arial" w:hAnsi="Arial" w:cs="Arial"/>
          <w:kern w:val="2"/>
          <w:sz w:val="22"/>
          <w14:ligatures w14:val="standardContextual"/>
        </w:rPr>
        <w:t>ation</w:t>
      </w:r>
      <w:r w:rsidR="00255223" w:rsidRPr="00536A82">
        <w:rPr>
          <w:rFonts w:ascii="Arial" w:hAnsi="Arial" w:cs="Arial"/>
          <w:kern w:val="2"/>
          <w:sz w:val="22"/>
          <w14:ligatures w14:val="standardContextual"/>
        </w:rPr>
        <w:t xml:space="preserve"> among others</w:t>
      </w:r>
      <w:r w:rsidR="00C0439F" w:rsidRPr="00536A82">
        <w:rPr>
          <w:rFonts w:ascii="Arial" w:hAnsi="Arial" w:cs="Arial"/>
          <w:kern w:val="2"/>
          <w:sz w:val="22"/>
          <w14:ligatures w14:val="standardContextual"/>
        </w:rPr>
        <w:t>.</w:t>
      </w:r>
      <w:r w:rsidR="008F77F1" w:rsidRPr="00536A82">
        <w:rPr>
          <w:rFonts w:ascii="Arial" w:hAnsi="Arial" w:cs="Arial"/>
          <w:kern w:val="2"/>
          <w:sz w:val="22"/>
          <w14:ligatures w14:val="standardContextual"/>
        </w:rPr>
        <w:t xml:space="preserve"> </w:t>
      </w:r>
    </w:p>
    <w:p w14:paraId="73EC545D" w14:textId="4319EF50" w:rsidR="00CC49DE" w:rsidRPr="00536A82" w:rsidRDefault="0092372E" w:rsidP="00536A82">
      <w:pPr>
        <w:shd w:val="clear" w:color="auto" w:fill="FFFFFF" w:themeFill="background1"/>
        <w:spacing w:line="360" w:lineRule="auto"/>
        <w:jc w:val="both"/>
        <w:rPr>
          <w:rFonts w:ascii="Arial" w:hAnsi="Arial" w:cs="Arial"/>
          <w:sz w:val="22"/>
        </w:rPr>
      </w:pPr>
      <w:r w:rsidRPr="00536A82">
        <w:rPr>
          <w:rFonts w:ascii="Arial" w:hAnsi="Arial" w:cs="Arial"/>
          <w:b/>
          <w:bCs/>
          <w:kern w:val="2"/>
          <w:sz w:val="22"/>
          <w14:ligatures w14:val="standardContextual"/>
        </w:rPr>
        <w:lastRenderedPageBreak/>
        <w:t>Data analysis</w:t>
      </w:r>
      <w:r w:rsidR="00114FEA" w:rsidRPr="00536A82">
        <w:rPr>
          <w:rFonts w:ascii="Arial" w:hAnsi="Arial" w:cs="Arial"/>
          <w:b/>
          <w:bCs/>
          <w:kern w:val="2"/>
          <w:sz w:val="22"/>
          <w14:ligatures w14:val="standardContextual"/>
        </w:rPr>
        <w:t>:</w:t>
      </w:r>
      <w:r w:rsidR="00D9635B" w:rsidRPr="00536A82">
        <w:rPr>
          <w:rFonts w:ascii="Arial" w:hAnsi="Arial" w:cs="Arial"/>
          <w:b/>
          <w:bCs/>
          <w:kern w:val="2"/>
          <w:sz w:val="22"/>
          <w14:ligatures w14:val="standardContextual"/>
        </w:rPr>
        <w:t xml:space="preserve"> </w:t>
      </w:r>
      <w:r w:rsidR="0012399C" w:rsidRPr="00536A82">
        <w:rPr>
          <w:rFonts w:ascii="Arial" w:hAnsi="Arial" w:cs="Arial"/>
          <w:sz w:val="22"/>
        </w:rPr>
        <w:t>Qualitative research methods like thematic analysis can reveal meaning in non-numerical data like audio, video, and text. Data analysis involves transforming and interpreting raw data to find relevant information and trends. Unlike other qualitative analysis methods, exploratory research has no theories, research questions, or data collection methods</w:t>
      </w:r>
      <w:r w:rsidR="0012399C" w:rsidRPr="00536A82">
        <w:rPr>
          <w:rStyle w:val="Strong"/>
          <w:rFonts w:ascii="Arial" w:hAnsi="Arial" w:cs="Arial"/>
          <w:color w:val="0E101A"/>
          <w:sz w:val="22"/>
        </w:rPr>
        <w:t>. </w:t>
      </w:r>
      <w:r w:rsidR="0012399C" w:rsidRPr="00536A82">
        <w:rPr>
          <w:rFonts w:ascii="Arial" w:hAnsi="Arial" w:cs="Arial"/>
          <w:sz w:val="22"/>
        </w:rPr>
        <w:t xml:space="preserve">In this report, Articles were read in their entirety, and then fragments of text were taken that were either totally or partly related to the purpose of the study. These text chunks have their meanings analysed and sorted by subject. Latent-level analysis was done by categorising text fragments into themes according to the overarching idea they conveyed (Joffe and Yardley, 2004). </w:t>
      </w:r>
    </w:p>
    <w:p w14:paraId="234450B6" w14:textId="0512F3A7" w:rsidR="00842B4B" w:rsidRPr="00536A82" w:rsidRDefault="000E511A" w:rsidP="00536A82">
      <w:pPr>
        <w:spacing w:line="360" w:lineRule="auto"/>
        <w:jc w:val="both"/>
        <w:rPr>
          <w:rFonts w:ascii="Arial" w:hAnsi="Arial" w:cs="Arial"/>
          <w:b/>
          <w:bCs/>
          <w:sz w:val="22"/>
        </w:rPr>
      </w:pPr>
      <w:r w:rsidRPr="00536A82">
        <w:rPr>
          <w:rFonts w:ascii="Arial" w:hAnsi="Arial" w:cs="Arial"/>
          <w:b/>
          <w:bCs/>
          <w:sz w:val="22"/>
        </w:rPr>
        <w:t>Ethics</w:t>
      </w:r>
      <w:r w:rsidR="006E6F0E" w:rsidRPr="00536A82">
        <w:rPr>
          <w:rFonts w:ascii="Arial" w:hAnsi="Arial" w:cs="Arial"/>
          <w:b/>
          <w:bCs/>
          <w:sz w:val="22"/>
        </w:rPr>
        <w:t>:</w:t>
      </w:r>
      <w:r w:rsidR="00114FEA" w:rsidRPr="00536A82">
        <w:rPr>
          <w:rFonts w:ascii="Arial" w:hAnsi="Arial" w:cs="Arial"/>
          <w:b/>
          <w:bCs/>
          <w:sz w:val="22"/>
        </w:rPr>
        <w:t xml:space="preserve"> </w:t>
      </w:r>
      <w:r w:rsidR="00842B4B" w:rsidRPr="00536A82">
        <w:rPr>
          <w:rFonts w:ascii="Arial" w:hAnsi="Arial" w:cs="Arial"/>
          <w:sz w:val="22"/>
        </w:rPr>
        <w:t>Ethics are critical in research because they ensure that the study is conducted in a manner that protects the rights, safety, and welfare of the participants, as well as the integrity and quality of the research.</w:t>
      </w:r>
    </w:p>
    <w:p w14:paraId="714BFF94" w14:textId="76A1677A" w:rsidR="00A207FF" w:rsidRPr="00536A82" w:rsidRDefault="00A207FF" w:rsidP="00536A82">
      <w:pPr>
        <w:pStyle w:val="Heading1"/>
      </w:pPr>
      <w:bookmarkStart w:id="3" w:name="_Toc134008086"/>
      <w:r w:rsidRPr="00536A82">
        <w:lastRenderedPageBreak/>
        <w:t>4.Results</w:t>
      </w:r>
      <w:bookmarkStart w:id="4" w:name="_Hlk133843165"/>
      <w:bookmarkEnd w:id="3"/>
    </w:p>
    <w:p w14:paraId="5AD1FD3F" w14:textId="68306A46" w:rsidR="00C02363" w:rsidRPr="00536A82" w:rsidRDefault="001330A8" w:rsidP="00536A82">
      <w:pPr>
        <w:spacing w:line="360" w:lineRule="auto"/>
        <w:jc w:val="both"/>
        <w:rPr>
          <w:rFonts w:ascii="Arial" w:hAnsi="Arial" w:cs="Arial"/>
          <w:sz w:val="22"/>
        </w:rPr>
      </w:pPr>
      <w:r w:rsidRPr="00536A82">
        <w:rPr>
          <w:rFonts w:ascii="Arial" w:hAnsi="Arial" w:cs="Arial"/>
          <w:sz w:val="22"/>
        </w:rPr>
        <w:t>The online search conducted found four articles. Table 1 contains information about these four studies, including the names of their authors as well as their goals, objectives, and main findings</w:t>
      </w:r>
      <w:r w:rsidR="00C65C50" w:rsidRPr="00536A82">
        <w:rPr>
          <w:rFonts w:ascii="Arial" w:hAnsi="Arial" w:cs="Arial"/>
          <w:sz w:val="22"/>
        </w:rPr>
        <w:t>.</w:t>
      </w:r>
    </w:p>
    <w:p w14:paraId="1127CC5E" w14:textId="77777777" w:rsidR="00A50858" w:rsidRPr="00536A82" w:rsidRDefault="00A50858" w:rsidP="00536A82">
      <w:pPr>
        <w:spacing w:line="360" w:lineRule="auto"/>
        <w:jc w:val="both"/>
        <w:rPr>
          <w:rFonts w:ascii="Arial" w:hAnsi="Arial" w:cs="Arial"/>
          <w:sz w:val="22"/>
        </w:rPr>
      </w:pPr>
    </w:p>
    <w:p w14:paraId="7E7F3B0A" w14:textId="77777777" w:rsidR="00A50858" w:rsidRPr="00536A82" w:rsidRDefault="00A50858" w:rsidP="00536A82">
      <w:pPr>
        <w:spacing w:line="360" w:lineRule="auto"/>
        <w:jc w:val="both"/>
        <w:rPr>
          <w:rFonts w:ascii="Arial" w:hAnsi="Arial" w:cs="Arial"/>
          <w:sz w:val="22"/>
        </w:rPr>
      </w:pPr>
    </w:p>
    <w:p w14:paraId="5B777CCC" w14:textId="77777777" w:rsidR="00A50858" w:rsidRPr="00536A82" w:rsidRDefault="00A50858" w:rsidP="00536A82">
      <w:pPr>
        <w:spacing w:line="360" w:lineRule="auto"/>
        <w:jc w:val="both"/>
        <w:rPr>
          <w:rFonts w:ascii="Arial" w:hAnsi="Arial" w:cs="Arial"/>
          <w:sz w:val="22"/>
        </w:rPr>
      </w:pPr>
    </w:p>
    <w:p w14:paraId="13FDD40C" w14:textId="77777777" w:rsidR="00A357DB" w:rsidRPr="00536A82" w:rsidRDefault="00A357DB" w:rsidP="00536A82">
      <w:pPr>
        <w:spacing w:line="360" w:lineRule="auto"/>
        <w:jc w:val="both"/>
        <w:rPr>
          <w:rFonts w:ascii="Arial" w:hAnsi="Arial" w:cs="Arial"/>
          <w:sz w:val="22"/>
        </w:rPr>
      </w:pPr>
    </w:p>
    <w:tbl>
      <w:tblPr>
        <w:tblStyle w:val="TableGrid"/>
        <w:tblpPr w:leftFromText="180" w:rightFromText="180" w:vertAnchor="text" w:horzAnchor="margin" w:tblpXSpec="center" w:tblpY="166"/>
        <w:tblW w:w="11771" w:type="dxa"/>
        <w:tblLook w:val="04A0" w:firstRow="1" w:lastRow="0" w:firstColumn="1" w:lastColumn="0" w:noHBand="0" w:noVBand="1"/>
      </w:tblPr>
      <w:tblGrid>
        <w:gridCol w:w="3253"/>
        <w:gridCol w:w="2276"/>
        <w:gridCol w:w="2823"/>
        <w:gridCol w:w="3419"/>
      </w:tblGrid>
      <w:tr w:rsidR="00A357DB" w:rsidRPr="00536A82" w14:paraId="2FABF12D" w14:textId="77777777" w:rsidTr="00A357DB">
        <w:trPr>
          <w:trHeight w:val="1126"/>
        </w:trPr>
        <w:tc>
          <w:tcPr>
            <w:tcW w:w="3253" w:type="dxa"/>
          </w:tcPr>
          <w:p w14:paraId="7D081814" w14:textId="77777777" w:rsidR="00A357DB" w:rsidRPr="00536A82" w:rsidRDefault="00A357DB" w:rsidP="00536A82">
            <w:pPr>
              <w:spacing w:line="360" w:lineRule="auto"/>
              <w:jc w:val="both"/>
              <w:rPr>
                <w:rFonts w:ascii="Arial" w:hAnsi="Arial" w:cs="Arial"/>
                <w:sz w:val="22"/>
              </w:rPr>
            </w:pPr>
            <w:r w:rsidRPr="00536A82">
              <w:rPr>
                <w:rFonts w:ascii="Arial" w:hAnsi="Arial" w:cs="Arial"/>
                <w:b/>
                <w:bCs/>
                <w:sz w:val="22"/>
              </w:rPr>
              <w:t>Author(s), title, and year of publication</w:t>
            </w:r>
          </w:p>
          <w:p w14:paraId="3A90BC90" w14:textId="77777777" w:rsidR="00A357DB" w:rsidRPr="00536A82" w:rsidRDefault="00A357DB" w:rsidP="00536A82">
            <w:pPr>
              <w:spacing w:line="360" w:lineRule="auto"/>
              <w:jc w:val="both"/>
              <w:rPr>
                <w:rFonts w:ascii="Arial" w:hAnsi="Arial" w:cs="Arial"/>
                <w:sz w:val="22"/>
              </w:rPr>
            </w:pPr>
          </w:p>
        </w:tc>
        <w:tc>
          <w:tcPr>
            <w:tcW w:w="2276" w:type="dxa"/>
          </w:tcPr>
          <w:p w14:paraId="5D9EBF8B" w14:textId="77777777" w:rsidR="00A357DB" w:rsidRPr="00536A82" w:rsidRDefault="00A357DB" w:rsidP="00536A82">
            <w:pPr>
              <w:spacing w:line="360" w:lineRule="auto"/>
              <w:jc w:val="both"/>
              <w:rPr>
                <w:rFonts w:ascii="Arial" w:hAnsi="Arial" w:cs="Arial"/>
                <w:sz w:val="22"/>
              </w:rPr>
            </w:pPr>
            <w:r w:rsidRPr="00536A82">
              <w:rPr>
                <w:rFonts w:ascii="Arial" w:hAnsi="Arial" w:cs="Arial"/>
                <w:b/>
                <w:bCs/>
                <w:sz w:val="22"/>
              </w:rPr>
              <w:t xml:space="preserve">      Aim of study</w:t>
            </w:r>
          </w:p>
          <w:p w14:paraId="2E273288" w14:textId="77777777" w:rsidR="00A357DB" w:rsidRPr="00536A82" w:rsidRDefault="00A357DB" w:rsidP="00536A82">
            <w:pPr>
              <w:spacing w:line="360" w:lineRule="auto"/>
              <w:jc w:val="both"/>
              <w:rPr>
                <w:rFonts w:ascii="Arial" w:hAnsi="Arial" w:cs="Arial"/>
                <w:sz w:val="22"/>
              </w:rPr>
            </w:pPr>
          </w:p>
        </w:tc>
        <w:tc>
          <w:tcPr>
            <w:tcW w:w="2823" w:type="dxa"/>
          </w:tcPr>
          <w:p w14:paraId="30CA48A0" w14:textId="77777777" w:rsidR="00A357DB" w:rsidRPr="00536A82" w:rsidRDefault="00A357DB" w:rsidP="00536A82">
            <w:pPr>
              <w:spacing w:line="360" w:lineRule="auto"/>
              <w:jc w:val="both"/>
              <w:rPr>
                <w:rFonts w:ascii="Arial" w:hAnsi="Arial" w:cs="Arial"/>
                <w:sz w:val="22"/>
              </w:rPr>
            </w:pPr>
            <w:r w:rsidRPr="00536A82">
              <w:rPr>
                <w:rFonts w:ascii="Arial" w:hAnsi="Arial" w:cs="Arial"/>
                <w:b/>
                <w:bCs/>
                <w:sz w:val="22"/>
              </w:rPr>
              <w:t xml:space="preserve"> Methods and Sample size and characteristics</w:t>
            </w:r>
          </w:p>
          <w:p w14:paraId="5B50E4F6" w14:textId="77777777" w:rsidR="00A357DB" w:rsidRPr="00536A82" w:rsidRDefault="00A357DB" w:rsidP="00536A82">
            <w:pPr>
              <w:spacing w:line="360" w:lineRule="auto"/>
              <w:jc w:val="both"/>
              <w:rPr>
                <w:rFonts w:ascii="Arial" w:hAnsi="Arial" w:cs="Arial"/>
                <w:sz w:val="22"/>
              </w:rPr>
            </w:pPr>
          </w:p>
        </w:tc>
        <w:tc>
          <w:tcPr>
            <w:tcW w:w="3419" w:type="dxa"/>
          </w:tcPr>
          <w:p w14:paraId="496C8C1B" w14:textId="77777777" w:rsidR="00A357DB" w:rsidRPr="00536A82" w:rsidRDefault="00A357DB" w:rsidP="00536A82">
            <w:pPr>
              <w:spacing w:line="360" w:lineRule="auto"/>
              <w:jc w:val="both"/>
              <w:rPr>
                <w:rFonts w:ascii="Arial" w:hAnsi="Arial" w:cs="Arial"/>
                <w:sz w:val="22"/>
              </w:rPr>
            </w:pPr>
            <w:r w:rsidRPr="00536A82">
              <w:rPr>
                <w:rFonts w:ascii="Arial" w:hAnsi="Arial" w:cs="Arial"/>
                <w:b/>
                <w:bCs/>
                <w:sz w:val="22"/>
              </w:rPr>
              <w:t>Summary of main findings</w:t>
            </w:r>
          </w:p>
          <w:p w14:paraId="6447C05F" w14:textId="77777777" w:rsidR="00A357DB" w:rsidRPr="00536A82" w:rsidRDefault="00A357DB" w:rsidP="00536A82">
            <w:pPr>
              <w:spacing w:line="360" w:lineRule="auto"/>
              <w:jc w:val="both"/>
              <w:rPr>
                <w:rFonts w:ascii="Arial" w:hAnsi="Arial" w:cs="Arial"/>
                <w:sz w:val="22"/>
              </w:rPr>
            </w:pPr>
          </w:p>
        </w:tc>
      </w:tr>
      <w:tr w:rsidR="00A357DB" w:rsidRPr="00536A82" w14:paraId="201E20FA" w14:textId="77777777" w:rsidTr="002555D0">
        <w:trPr>
          <w:trHeight w:val="2684"/>
        </w:trPr>
        <w:tc>
          <w:tcPr>
            <w:tcW w:w="3253" w:type="dxa"/>
          </w:tcPr>
          <w:p w14:paraId="72501E11"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w:t>
            </w:r>
            <w:proofErr w:type="spellStart"/>
            <w:r w:rsidRPr="00536A82">
              <w:rPr>
                <w:rFonts w:ascii="Arial" w:hAnsi="Arial" w:cs="Arial"/>
                <w:sz w:val="22"/>
              </w:rPr>
              <w:t>Oana</w:t>
            </w:r>
            <w:proofErr w:type="spellEnd"/>
            <w:r w:rsidRPr="00536A82">
              <w:rPr>
                <w:rFonts w:ascii="Arial" w:hAnsi="Arial" w:cs="Arial"/>
                <w:sz w:val="22"/>
              </w:rPr>
              <w:t xml:space="preserve"> </w:t>
            </w:r>
            <w:proofErr w:type="spellStart"/>
            <w:r w:rsidRPr="00536A82">
              <w:rPr>
                <w:rFonts w:ascii="Arial" w:hAnsi="Arial" w:cs="Arial"/>
                <w:sz w:val="22"/>
              </w:rPr>
              <w:t>Mitrofan</w:t>
            </w:r>
            <w:proofErr w:type="spellEnd"/>
            <w:r w:rsidRPr="00536A82">
              <w:rPr>
                <w:rFonts w:ascii="Arial" w:hAnsi="Arial" w:cs="Arial"/>
                <w:sz w:val="22"/>
              </w:rPr>
              <w:t>, 2019).</w:t>
            </w:r>
          </w:p>
          <w:p w14:paraId="069E6066" w14:textId="77777777" w:rsidR="00A357DB" w:rsidRPr="00536A82" w:rsidRDefault="00A357DB" w:rsidP="00536A82">
            <w:pPr>
              <w:spacing w:line="360" w:lineRule="auto"/>
              <w:jc w:val="both"/>
              <w:rPr>
                <w:rFonts w:ascii="Arial" w:hAnsi="Arial" w:cs="Arial"/>
                <w:sz w:val="22"/>
              </w:rPr>
            </w:pPr>
          </w:p>
        </w:tc>
        <w:tc>
          <w:tcPr>
            <w:tcW w:w="2276" w:type="dxa"/>
          </w:tcPr>
          <w:p w14:paraId="04E4E407"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To explore patients and parent’s perspective for care of young people with eating disorder</w:t>
            </w:r>
          </w:p>
          <w:p w14:paraId="5C0C9225" w14:textId="77777777" w:rsidR="00A357DB" w:rsidRPr="00536A82" w:rsidRDefault="00A357DB" w:rsidP="00536A82">
            <w:pPr>
              <w:spacing w:line="360" w:lineRule="auto"/>
              <w:jc w:val="both"/>
              <w:rPr>
                <w:rFonts w:ascii="Arial" w:hAnsi="Arial" w:cs="Arial"/>
                <w:sz w:val="22"/>
              </w:rPr>
            </w:pPr>
          </w:p>
        </w:tc>
        <w:tc>
          <w:tcPr>
            <w:tcW w:w="2823" w:type="dxa"/>
          </w:tcPr>
          <w:p w14:paraId="6DCC83B4" w14:textId="77777777" w:rsidR="000D1980" w:rsidRPr="00536A82" w:rsidRDefault="000D1980" w:rsidP="00536A82">
            <w:pPr>
              <w:spacing w:line="360" w:lineRule="auto"/>
              <w:jc w:val="both"/>
              <w:rPr>
                <w:rFonts w:ascii="Arial" w:hAnsi="Arial" w:cs="Arial"/>
                <w:sz w:val="22"/>
              </w:rPr>
            </w:pPr>
            <w:r w:rsidRPr="00536A82">
              <w:rPr>
                <w:rFonts w:ascii="Arial" w:hAnsi="Arial" w:cs="Arial"/>
                <w:sz w:val="22"/>
              </w:rPr>
              <w:t>(16-25) years old and 11 parents participated.</w:t>
            </w:r>
          </w:p>
          <w:p w14:paraId="28D71E89" w14:textId="77777777" w:rsidR="00A357DB" w:rsidRPr="00536A82" w:rsidRDefault="00A357DB" w:rsidP="00536A82">
            <w:pPr>
              <w:spacing w:line="360" w:lineRule="auto"/>
              <w:jc w:val="both"/>
              <w:rPr>
                <w:rFonts w:ascii="Arial" w:hAnsi="Arial" w:cs="Arial"/>
                <w:sz w:val="22"/>
              </w:rPr>
            </w:pPr>
          </w:p>
        </w:tc>
        <w:tc>
          <w:tcPr>
            <w:tcW w:w="3419" w:type="dxa"/>
          </w:tcPr>
          <w:p w14:paraId="5FBB32A1"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Young individuals with eating disorders need a treatment approach that prioritises psychological needs and individualised care, as defined by both young people and their parents, rather than weight.</w:t>
            </w:r>
          </w:p>
          <w:p w14:paraId="2B92218E" w14:textId="77777777" w:rsidR="00A357DB" w:rsidRPr="00536A82" w:rsidRDefault="00A357DB" w:rsidP="00536A82">
            <w:pPr>
              <w:spacing w:line="360" w:lineRule="auto"/>
              <w:jc w:val="both"/>
              <w:rPr>
                <w:rFonts w:ascii="Arial" w:hAnsi="Arial" w:cs="Arial"/>
                <w:sz w:val="22"/>
              </w:rPr>
            </w:pPr>
          </w:p>
        </w:tc>
      </w:tr>
      <w:tr w:rsidR="00A357DB" w:rsidRPr="00536A82" w14:paraId="6B6146BB" w14:textId="77777777" w:rsidTr="00A357DB">
        <w:trPr>
          <w:trHeight w:val="2318"/>
        </w:trPr>
        <w:tc>
          <w:tcPr>
            <w:tcW w:w="3253" w:type="dxa"/>
          </w:tcPr>
          <w:p w14:paraId="3EE3C8DF"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lastRenderedPageBreak/>
              <w:t>(</w:t>
            </w:r>
            <w:bookmarkStart w:id="5" w:name="_Hlk134086505"/>
            <w:r w:rsidRPr="00536A82">
              <w:rPr>
                <w:rFonts w:ascii="Arial" w:hAnsi="Arial" w:cs="Arial"/>
                <w:sz w:val="22"/>
              </w:rPr>
              <w:t xml:space="preserve">Emily </w:t>
            </w:r>
            <w:proofErr w:type="spellStart"/>
            <w:r w:rsidRPr="00536A82">
              <w:rPr>
                <w:rFonts w:ascii="Arial" w:hAnsi="Arial" w:cs="Arial"/>
                <w:sz w:val="22"/>
              </w:rPr>
              <w:t>Coopey</w:t>
            </w:r>
            <w:proofErr w:type="spellEnd"/>
            <w:r w:rsidRPr="00536A82">
              <w:rPr>
                <w:rFonts w:ascii="Arial" w:hAnsi="Arial" w:cs="Arial"/>
                <w:sz w:val="22"/>
              </w:rPr>
              <w:t>, and George Johnson, 2022).</w:t>
            </w:r>
          </w:p>
          <w:bookmarkEnd w:id="5"/>
          <w:p w14:paraId="439DF9BD" w14:textId="77777777" w:rsidR="00A357DB" w:rsidRPr="00536A82" w:rsidRDefault="00A357DB" w:rsidP="00536A82">
            <w:pPr>
              <w:spacing w:line="360" w:lineRule="auto"/>
              <w:jc w:val="both"/>
              <w:rPr>
                <w:rFonts w:ascii="Arial" w:hAnsi="Arial" w:cs="Arial"/>
                <w:sz w:val="22"/>
              </w:rPr>
            </w:pPr>
          </w:p>
        </w:tc>
        <w:tc>
          <w:tcPr>
            <w:tcW w:w="2276" w:type="dxa"/>
          </w:tcPr>
          <w:p w14:paraId="1E82A2A0"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Examined young people's inpatient FT-AN and MFT experiences to better understand their perceptions of the therapies and treatment acceptability.</w:t>
            </w:r>
          </w:p>
        </w:tc>
        <w:tc>
          <w:tcPr>
            <w:tcW w:w="2823" w:type="dxa"/>
          </w:tcPr>
          <w:p w14:paraId="1A8222DB" w14:textId="77777777" w:rsidR="000D1980" w:rsidRPr="00536A82" w:rsidRDefault="000D1980" w:rsidP="00536A82">
            <w:pPr>
              <w:spacing w:line="360" w:lineRule="auto"/>
              <w:jc w:val="both"/>
              <w:rPr>
                <w:rFonts w:ascii="Arial" w:hAnsi="Arial" w:cs="Arial"/>
                <w:sz w:val="22"/>
              </w:rPr>
            </w:pPr>
            <w:r w:rsidRPr="00536A82">
              <w:rPr>
                <w:rFonts w:ascii="Arial" w:hAnsi="Arial" w:cs="Arial"/>
                <w:sz w:val="22"/>
              </w:rPr>
              <w:t>5 young people receiving FT-AN and MFT.</w:t>
            </w:r>
          </w:p>
          <w:p w14:paraId="14A59B3C" w14:textId="425DCA6E" w:rsidR="00A357DB" w:rsidRPr="00536A82" w:rsidRDefault="00A357DB" w:rsidP="00536A82">
            <w:pPr>
              <w:spacing w:line="360" w:lineRule="auto"/>
              <w:jc w:val="both"/>
              <w:rPr>
                <w:rFonts w:ascii="Arial" w:hAnsi="Arial" w:cs="Arial"/>
                <w:sz w:val="22"/>
              </w:rPr>
            </w:pPr>
          </w:p>
        </w:tc>
        <w:tc>
          <w:tcPr>
            <w:tcW w:w="3419" w:type="dxa"/>
          </w:tcPr>
          <w:p w14:paraId="30410EBC" w14:textId="1EB339D3" w:rsidR="00A357DB" w:rsidRPr="00536A82" w:rsidRDefault="000D1980" w:rsidP="00536A82">
            <w:pPr>
              <w:spacing w:line="360" w:lineRule="auto"/>
              <w:jc w:val="both"/>
              <w:rPr>
                <w:rFonts w:ascii="Arial" w:hAnsi="Arial" w:cs="Arial"/>
                <w:sz w:val="22"/>
              </w:rPr>
            </w:pPr>
            <w:r w:rsidRPr="00536A82">
              <w:rPr>
                <w:rFonts w:ascii="Arial" w:hAnsi="Arial" w:cs="Arial"/>
                <w:sz w:val="22"/>
              </w:rPr>
              <w:t>Interactions within families were the primary focus of the Understanding and Renewing Connection Process.</w:t>
            </w:r>
          </w:p>
          <w:p w14:paraId="4ADF1624" w14:textId="77777777" w:rsidR="00A357DB" w:rsidRPr="00536A82" w:rsidRDefault="00A357DB" w:rsidP="00536A82">
            <w:pPr>
              <w:spacing w:line="360" w:lineRule="auto"/>
              <w:jc w:val="both"/>
              <w:rPr>
                <w:rFonts w:ascii="Arial" w:hAnsi="Arial" w:cs="Arial"/>
                <w:sz w:val="22"/>
              </w:rPr>
            </w:pPr>
          </w:p>
        </w:tc>
      </w:tr>
      <w:tr w:rsidR="00A357DB" w:rsidRPr="00536A82" w14:paraId="0486A9B3" w14:textId="77777777" w:rsidTr="00A357DB">
        <w:trPr>
          <w:trHeight w:val="2584"/>
        </w:trPr>
        <w:tc>
          <w:tcPr>
            <w:tcW w:w="3253" w:type="dxa"/>
          </w:tcPr>
          <w:p w14:paraId="0DE3641B"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 xml:space="preserve">(Ivan Eisler </w:t>
            </w:r>
            <w:proofErr w:type="spellStart"/>
            <w:r w:rsidRPr="00536A82">
              <w:rPr>
                <w:rFonts w:ascii="Arial" w:hAnsi="Arial" w:cs="Arial"/>
                <w:sz w:val="22"/>
              </w:rPr>
              <w:t>Mima</w:t>
            </w:r>
            <w:proofErr w:type="spellEnd"/>
            <w:r w:rsidRPr="00536A82">
              <w:rPr>
                <w:rFonts w:ascii="Arial" w:hAnsi="Arial" w:cs="Arial"/>
                <w:sz w:val="22"/>
              </w:rPr>
              <w:t xml:space="preserve"> </w:t>
            </w:r>
            <w:proofErr w:type="spellStart"/>
            <w:r w:rsidRPr="00536A82">
              <w:rPr>
                <w:rFonts w:ascii="Arial" w:hAnsi="Arial" w:cs="Arial"/>
                <w:sz w:val="22"/>
              </w:rPr>
              <w:t>Simic</w:t>
            </w:r>
            <w:proofErr w:type="spellEnd"/>
            <w:r w:rsidRPr="00536A82">
              <w:rPr>
                <w:rFonts w:ascii="Arial" w:hAnsi="Arial" w:cs="Arial"/>
                <w:sz w:val="22"/>
              </w:rPr>
              <w:t>, 2016).</w:t>
            </w:r>
          </w:p>
          <w:p w14:paraId="67841023" w14:textId="77777777" w:rsidR="00A357DB" w:rsidRPr="00536A82" w:rsidRDefault="00A357DB" w:rsidP="00536A82">
            <w:pPr>
              <w:spacing w:line="360" w:lineRule="auto"/>
              <w:jc w:val="both"/>
              <w:rPr>
                <w:rFonts w:ascii="Arial" w:hAnsi="Arial" w:cs="Arial"/>
                <w:sz w:val="22"/>
              </w:rPr>
            </w:pPr>
          </w:p>
        </w:tc>
        <w:tc>
          <w:tcPr>
            <w:tcW w:w="2276" w:type="dxa"/>
          </w:tcPr>
          <w:p w14:paraId="506BEE9F"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 xml:space="preserve">Family Therapy </w:t>
            </w:r>
          </w:p>
          <w:p w14:paraId="57AE36C8"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FT-MT outcome</w:t>
            </w:r>
          </w:p>
          <w:p w14:paraId="51787B82" w14:textId="77777777" w:rsidR="00A357DB" w:rsidRPr="00536A82" w:rsidRDefault="00A357DB" w:rsidP="00536A82">
            <w:pPr>
              <w:spacing w:line="360" w:lineRule="auto"/>
              <w:jc w:val="both"/>
              <w:rPr>
                <w:rFonts w:ascii="Arial" w:hAnsi="Arial" w:cs="Arial"/>
                <w:sz w:val="22"/>
              </w:rPr>
            </w:pPr>
          </w:p>
        </w:tc>
        <w:tc>
          <w:tcPr>
            <w:tcW w:w="2823" w:type="dxa"/>
          </w:tcPr>
          <w:p w14:paraId="41F66914" w14:textId="77777777" w:rsidR="000D1980" w:rsidRPr="00536A82" w:rsidRDefault="000D1980" w:rsidP="00536A82">
            <w:pPr>
              <w:spacing w:line="360" w:lineRule="auto"/>
              <w:jc w:val="both"/>
              <w:rPr>
                <w:rFonts w:ascii="Arial" w:hAnsi="Arial" w:cs="Arial"/>
                <w:sz w:val="22"/>
              </w:rPr>
            </w:pPr>
            <w:r w:rsidRPr="00536A82">
              <w:rPr>
                <w:rFonts w:ascii="Arial" w:hAnsi="Arial" w:cs="Arial"/>
                <w:sz w:val="22"/>
              </w:rPr>
              <w:t>Family therapy for 169 DSM-IV adolescents</w:t>
            </w:r>
          </w:p>
          <w:p w14:paraId="74A27183" w14:textId="77777777" w:rsidR="00A357DB" w:rsidRPr="00536A82" w:rsidRDefault="00A357DB" w:rsidP="00536A82">
            <w:pPr>
              <w:spacing w:line="360" w:lineRule="auto"/>
              <w:jc w:val="both"/>
              <w:rPr>
                <w:rFonts w:ascii="Arial" w:hAnsi="Arial" w:cs="Arial"/>
                <w:sz w:val="22"/>
              </w:rPr>
            </w:pPr>
          </w:p>
        </w:tc>
        <w:tc>
          <w:tcPr>
            <w:tcW w:w="3419" w:type="dxa"/>
          </w:tcPr>
          <w:p w14:paraId="16E9B3E4"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This study supports family therapy for eating disorders and the benefits of grouped families to maximise resources and support for better outcomes.</w:t>
            </w:r>
          </w:p>
          <w:p w14:paraId="1EA6EAB3" w14:textId="77777777" w:rsidR="00A357DB" w:rsidRPr="00536A82" w:rsidRDefault="00A357DB" w:rsidP="00536A82">
            <w:pPr>
              <w:spacing w:line="360" w:lineRule="auto"/>
              <w:jc w:val="both"/>
              <w:rPr>
                <w:rFonts w:ascii="Arial" w:hAnsi="Arial" w:cs="Arial"/>
                <w:sz w:val="22"/>
              </w:rPr>
            </w:pPr>
          </w:p>
        </w:tc>
      </w:tr>
      <w:tr w:rsidR="00A357DB" w:rsidRPr="00536A82" w14:paraId="49816A45" w14:textId="77777777" w:rsidTr="002555D0">
        <w:trPr>
          <w:trHeight w:val="2557"/>
        </w:trPr>
        <w:tc>
          <w:tcPr>
            <w:tcW w:w="3253" w:type="dxa"/>
          </w:tcPr>
          <w:p w14:paraId="3D28F53F"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(Anna </w:t>
            </w:r>
            <w:proofErr w:type="spellStart"/>
            <w:r w:rsidRPr="00536A82">
              <w:rPr>
                <w:rFonts w:ascii="Arial" w:hAnsi="Arial" w:cs="Arial"/>
                <w:sz w:val="22"/>
              </w:rPr>
              <w:t>Konstantellou</w:t>
            </w:r>
            <w:proofErr w:type="spellEnd"/>
            <w:r w:rsidRPr="00536A82">
              <w:rPr>
                <w:rFonts w:ascii="Arial" w:hAnsi="Arial" w:cs="Arial"/>
                <w:sz w:val="22"/>
              </w:rPr>
              <w:t>, 2021).</w:t>
            </w:r>
          </w:p>
          <w:p w14:paraId="675534B8" w14:textId="77777777" w:rsidR="00A357DB" w:rsidRPr="00536A82" w:rsidRDefault="00A357DB" w:rsidP="00536A82">
            <w:pPr>
              <w:spacing w:line="360" w:lineRule="auto"/>
              <w:jc w:val="both"/>
              <w:rPr>
                <w:rFonts w:ascii="Arial" w:hAnsi="Arial" w:cs="Arial"/>
                <w:sz w:val="22"/>
              </w:rPr>
            </w:pPr>
          </w:p>
        </w:tc>
        <w:tc>
          <w:tcPr>
            <w:tcW w:w="2276" w:type="dxa"/>
          </w:tcPr>
          <w:p w14:paraId="4AD477F2"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This study examined how parents of restricting eating disorder (ED) children handle uncertainty. children handle uncertainty.</w:t>
            </w:r>
          </w:p>
          <w:p w14:paraId="540A577A" w14:textId="77777777" w:rsidR="00A357DB" w:rsidRPr="00536A82" w:rsidRDefault="00A357DB" w:rsidP="00536A82">
            <w:pPr>
              <w:spacing w:line="360" w:lineRule="auto"/>
              <w:jc w:val="both"/>
              <w:rPr>
                <w:rFonts w:ascii="Arial" w:hAnsi="Arial" w:cs="Arial"/>
                <w:sz w:val="22"/>
              </w:rPr>
            </w:pPr>
          </w:p>
        </w:tc>
        <w:tc>
          <w:tcPr>
            <w:tcW w:w="2823" w:type="dxa"/>
          </w:tcPr>
          <w:p w14:paraId="2BCAD7FC"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17 Parents of young people with restrictive ED experienced uncertainty prior and after illness.</w:t>
            </w:r>
          </w:p>
          <w:p w14:paraId="1FCCB145" w14:textId="77777777" w:rsidR="00A357DB" w:rsidRPr="00536A82" w:rsidRDefault="00A357DB" w:rsidP="00536A82">
            <w:pPr>
              <w:spacing w:line="360" w:lineRule="auto"/>
              <w:jc w:val="both"/>
              <w:rPr>
                <w:rFonts w:ascii="Arial" w:hAnsi="Arial" w:cs="Arial"/>
                <w:sz w:val="22"/>
              </w:rPr>
            </w:pPr>
          </w:p>
        </w:tc>
        <w:tc>
          <w:tcPr>
            <w:tcW w:w="3419" w:type="dxa"/>
          </w:tcPr>
          <w:p w14:paraId="0AB96BED" w14:textId="77777777" w:rsidR="00A357DB" w:rsidRPr="00536A82" w:rsidRDefault="00A357DB" w:rsidP="00536A82">
            <w:pPr>
              <w:spacing w:line="360" w:lineRule="auto"/>
              <w:jc w:val="both"/>
              <w:rPr>
                <w:rFonts w:ascii="Arial" w:hAnsi="Arial" w:cs="Arial"/>
                <w:sz w:val="22"/>
              </w:rPr>
            </w:pPr>
            <w:r w:rsidRPr="00536A82">
              <w:rPr>
                <w:rFonts w:ascii="Arial" w:hAnsi="Arial" w:cs="Arial"/>
                <w:sz w:val="22"/>
              </w:rPr>
              <w:t>Increased parental efficacy and decreased inclusive behaviours can improve treatment outcomes by focusing on parents' intolerance of uncertainty.</w:t>
            </w:r>
          </w:p>
          <w:p w14:paraId="066E1DFF" w14:textId="77777777" w:rsidR="00A357DB" w:rsidRPr="00536A82" w:rsidRDefault="00A357DB" w:rsidP="00536A82">
            <w:pPr>
              <w:spacing w:line="360" w:lineRule="auto"/>
              <w:jc w:val="both"/>
              <w:rPr>
                <w:rFonts w:ascii="Arial" w:hAnsi="Arial" w:cs="Arial"/>
                <w:sz w:val="22"/>
              </w:rPr>
            </w:pPr>
          </w:p>
        </w:tc>
      </w:tr>
      <w:bookmarkEnd w:id="4"/>
    </w:tbl>
    <w:p w14:paraId="6F73A087" w14:textId="77777777" w:rsidR="00C65C50" w:rsidRPr="00536A82" w:rsidRDefault="00C65C50" w:rsidP="00536A82">
      <w:pPr>
        <w:spacing w:line="360" w:lineRule="auto"/>
        <w:jc w:val="both"/>
        <w:rPr>
          <w:rFonts w:ascii="Arial" w:hAnsi="Arial" w:cs="Arial"/>
          <w:sz w:val="22"/>
        </w:rPr>
      </w:pPr>
    </w:p>
    <w:p w14:paraId="724B2A97" w14:textId="77777777" w:rsidR="000D1980" w:rsidRPr="00536A82" w:rsidRDefault="000D1980" w:rsidP="00536A82">
      <w:pPr>
        <w:spacing w:line="360" w:lineRule="auto"/>
        <w:jc w:val="both"/>
        <w:rPr>
          <w:rFonts w:ascii="Arial" w:hAnsi="Arial" w:cs="Arial"/>
          <w:sz w:val="22"/>
        </w:rPr>
      </w:pPr>
      <w:r w:rsidRPr="00536A82">
        <w:rPr>
          <w:rFonts w:ascii="Arial" w:hAnsi="Arial" w:cs="Arial"/>
          <w:sz w:val="22"/>
        </w:rPr>
        <w:t xml:space="preserve">Adolescents with AN should initially undergo FT-AN treatment. In FT-AN, parents are taught by a therapist how to properly feed their children in a one-on-one setting once a week. In three easy steps, teens and young adults can learn to make healthier food choices again. Another family-focused group therapy with its acronym, multi-family therapy (MFT), has been developed alongside FT-AN. During a typical group therapy session, two therapists will work with anywhere from four to eight families on a wide range of issues. Compared to the control treatment, FT-AN was rated significantly better at both the 6- and 12-month follow-ups, and so was MFT </w:t>
      </w:r>
      <w:bookmarkStart w:id="6" w:name="_Hlk134086608"/>
      <w:r w:rsidRPr="00536A82">
        <w:rPr>
          <w:rFonts w:ascii="Arial" w:hAnsi="Arial" w:cs="Arial"/>
          <w:sz w:val="22"/>
        </w:rPr>
        <w:t xml:space="preserve">(Anna </w:t>
      </w:r>
      <w:proofErr w:type="spellStart"/>
      <w:r w:rsidRPr="00536A82">
        <w:rPr>
          <w:rFonts w:ascii="Arial" w:hAnsi="Arial" w:cs="Arial"/>
          <w:sz w:val="22"/>
        </w:rPr>
        <w:t>Konstantellou</w:t>
      </w:r>
      <w:proofErr w:type="spellEnd"/>
      <w:r w:rsidRPr="00536A82">
        <w:rPr>
          <w:rFonts w:ascii="Arial" w:hAnsi="Arial" w:cs="Arial"/>
          <w:sz w:val="22"/>
        </w:rPr>
        <w:t>, 2021).</w:t>
      </w:r>
      <w:bookmarkEnd w:id="6"/>
    </w:p>
    <w:p w14:paraId="21F9070D" w14:textId="1F61FEC2" w:rsidR="00C65C50" w:rsidRPr="00536A82" w:rsidRDefault="000D1980" w:rsidP="00536A82">
      <w:pPr>
        <w:spacing w:line="360" w:lineRule="auto"/>
        <w:jc w:val="both"/>
        <w:rPr>
          <w:rFonts w:ascii="Arial" w:hAnsi="Arial" w:cs="Arial"/>
          <w:sz w:val="22"/>
        </w:rPr>
      </w:pPr>
      <w:r w:rsidRPr="00536A82">
        <w:rPr>
          <w:rFonts w:ascii="Arial" w:hAnsi="Arial" w:cs="Arial"/>
          <w:sz w:val="22"/>
        </w:rPr>
        <w:t xml:space="preserve"> Only seven randomised controlled trials (RCTs) involving adolescents were included in the meta-analysis. Only 27 studies were included in the most recent systematic review of MFT; only </w:t>
      </w:r>
      <w:r w:rsidRPr="00536A82">
        <w:rPr>
          <w:rFonts w:ascii="Arial" w:hAnsi="Arial" w:cs="Arial"/>
          <w:sz w:val="22"/>
        </w:rPr>
        <w:lastRenderedPageBreak/>
        <w:t>2 were randomised controlled trials (RCTs), and only 2 were performed in an inpatient setting</w:t>
      </w:r>
      <w:r w:rsidR="00B6782E" w:rsidRPr="00536A82">
        <w:rPr>
          <w:rFonts w:ascii="Arial" w:hAnsi="Arial" w:cs="Arial"/>
          <w:sz w:val="22"/>
        </w:rPr>
        <w:t xml:space="preserve"> (Anna </w:t>
      </w:r>
      <w:proofErr w:type="spellStart"/>
      <w:r w:rsidR="00B6782E" w:rsidRPr="00536A82">
        <w:rPr>
          <w:rFonts w:ascii="Arial" w:hAnsi="Arial" w:cs="Arial"/>
          <w:sz w:val="22"/>
        </w:rPr>
        <w:t>Konstantellou</w:t>
      </w:r>
      <w:proofErr w:type="spellEnd"/>
      <w:r w:rsidR="00B6782E" w:rsidRPr="00536A82">
        <w:rPr>
          <w:rFonts w:ascii="Arial" w:hAnsi="Arial" w:cs="Arial"/>
          <w:sz w:val="22"/>
        </w:rPr>
        <w:t>, 2021).</w:t>
      </w:r>
    </w:p>
    <w:p w14:paraId="5F85F3D6" w14:textId="325F2284" w:rsidR="00B04B30" w:rsidRPr="00536A82" w:rsidRDefault="00B04B30" w:rsidP="00536A82">
      <w:pPr>
        <w:spacing w:line="360" w:lineRule="auto"/>
        <w:jc w:val="both"/>
        <w:rPr>
          <w:rFonts w:ascii="Arial" w:hAnsi="Arial" w:cs="Arial"/>
          <w:sz w:val="22"/>
        </w:rPr>
      </w:pPr>
      <w:r w:rsidRPr="00536A82">
        <w:rPr>
          <w:rFonts w:ascii="Arial" w:hAnsi="Arial" w:cs="Arial"/>
          <w:sz w:val="22"/>
        </w:rPr>
        <w:t>The data analysis revealed two main themes: "Process of awareness" and "Reviving Connection." Each subject will be given in greater depth with supporting quotations to aid in the growth of the study.</w:t>
      </w:r>
    </w:p>
    <w:p w14:paraId="476A68FD" w14:textId="04A933E5" w:rsidR="00146769" w:rsidRPr="00536A82" w:rsidRDefault="006D7F44" w:rsidP="00536A82">
      <w:pPr>
        <w:pStyle w:val="NormalWeb"/>
        <w:spacing w:before="0" w:beforeAutospacing="0" w:after="0" w:afterAutospacing="0" w:line="360" w:lineRule="auto"/>
        <w:jc w:val="both"/>
        <w:rPr>
          <w:rFonts w:ascii="Arial" w:hAnsi="Arial" w:cs="Arial"/>
          <w:sz w:val="22"/>
          <w:szCs w:val="22"/>
        </w:rPr>
      </w:pPr>
      <w:r w:rsidRPr="00536A82">
        <w:rPr>
          <w:rFonts w:ascii="Arial" w:eastAsiaTheme="minorEastAsia" w:hAnsi="Arial" w:cs="Arial"/>
          <w:b/>
          <w:bCs/>
          <w:color w:val="000000" w:themeColor="text1"/>
          <w:kern w:val="24"/>
          <w:sz w:val="22"/>
          <w:szCs w:val="22"/>
        </w:rPr>
        <w:t xml:space="preserve">Theme 1: Process of </w:t>
      </w:r>
      <w:r w:rsidR="00F21CB0" w:rsidRPr="00536A82">
        <w:rPr>
          <w:rFonts w:ascii="Arial" w:eastAsiaTheme="minorEastAsia" w:hAnsi="Arial" w:cs="Arial"/>
          <w:b/>
          <w:bCs/>
          <w:color w:val="000000" w:themeColor="text1"/>
          <w:kern w:val="24"/>
          <w:sz w:val="22"/>
          <w:szCs w:val="22"/>
        </w:rPr>
        <w:t>understanding</w:t>
      </w:r>
      <w:r w:rsidR="001146C4" w:rsidRPr="00536A82">
        <w:rPr>
          <w:rFonts w:ascii="Arial" w:hAnsi="Arial" w:cs="Arial"/>
          <w:sz w:val="22"/>
          <w:szCs w:val="22"/>
        </w:rPr>
        <w:t xml:space="preserve"> </w:t>
      </w:r>
    </w:p>
    <w:p w14:paraId="22C3AF13" w14:textId="74731D74" w:rsidR="00D91343" w:rsidRPr="00536A82" w:rsidRDefault="00BA6D39" w:rsidP="00536A82">
      <w:pPr>
        <w:pStyle w:val="NormalWeb"/>
        <w:spacing w:before="0" w:beforeAutospacing="0" w:after="0" w:afterAutospacing="0" w:line="360" w:lineRule="auto"/>
        <w:jc w:val="both"/>
        <w:textAlignment w:val="top"/>
        <w:rPr>
          <w:rFonts w:ascii="Arial" w:hAnsi="Arial" w:cs="Arial"/>
          <w:sz w:val="22"/>
          <w:szCs w:val="22"/>
        </w:rPr>
      </w:pPr>
      <w:r w:rsidRPr="00536A82">
        <w:rPr>
          <w:rFonts w:ascii="Arial" w:hAnsi="Arial" w:cs="Arial"/>
          <w:sz w:val="22"/>
          <w:szCs w:val="22"/>
        </w:rPr>
        <w:t>According to</w:t>
      </w:r>
      <w:r w:rsidRPr="00536A82">
        <w:rPr>
          <w:rFonts w:ascii="Arial" w:eastAsiaTheme="minorEastAsia" w:hAnsi="Arial" w:cs="Arial"/>
          <w:color w:val="000000" w:themeColor="text1"/>
          <w:kern w:val="24"/>
          <w:sz w:val="22"/>
          <w:szCs w:val="22"/>
        </w:rPr>
        <w:t xml:space="preserve"> </w:t>
      </w:r>
      <w:r w:rsidR="00263BF3" w:rsidRPr="00536A82">
        <w:rPr>
          <w:rFonts w:ascii="Arial" w:eastAsiaTheme="minorEastAsia" w:hAnsi="Arial" w:cs="Arial"/>
          <w:color w:val="000000" w:themeColor="text1"/>
          <w:kern w:val="24"/>
          <w:sz w:val="22"/>
          <w:szCs w:val="22"/>
        </w:rPr>
        <w:t>(</w:t>
      </w:r>
      <w:r w:rsidRPr="00536A82">
        <w:rPr>
          <w:rFonts w:ascii="Arial" w:eastAsiaTheme="minorEastAsia" w:hAnsi="Arial" w:cs="Arial"/>
          <w:color w:val="000000" w:themeColor="text1"/>
          <w:kern w:val="24"/>
          <w:sz w:val="22"/>
          <w:szCs w:val="22"/>
        </w:rPr>
        <w:t xml:space="preserve">Emily </w:t>
      </w:r>
      <w:proofErr w:type="spellStart"/>
      <w:r w:rsidRPr="00536A82">
        <w:rPr>
          <w:rFonts w:ascii="Arial" w:eastAsiaTheme="minorEastAsia" w:hAnsi="Arial" w:cs="Arial"/>
          <w:color w:val="000000" w:themeColor="text1"/>
          <w:kern w:val="24"/>
          <w:sz w:val="22"/>
          <w:szCs w:val="22"/>
        </w:rPr>
        <w:t>Coopey</w:t>
      </w:r>
      <w:proofErr w:type="spellEnd"/>
      <w:r w:rsidRPr="00536A82">
        <w:rPr>
          <w:rFonts w:ascii="Arial" w:eastAsiaTheme="minorEastAsia" w:hAnsi="Arial" w:cs="Arial"/>
          <w:color w:val="000000" w:themeColor="text1"/>
          <w:kern w:val="24"/>
          <w:sz w:val="22"/>
          <w:szCs w:val="22"/>
        </w:rPr>
        <w:t>, and George Johnson, 2022</w:t>
      </w:r>
      <w:r w:rsidR="00263BF3" w:rsidRPr="00536A82">
        <w:rPr>
          <w:rFonts w:ascii="Arial" w:eastAsiaTheme="minorEastAsia" w:hAnsi="Arial" w:cs="Arial"/>
          <w:color w:val="000000" w:themeColor="text1"/>
          <w:kern w:val="24"/>
          <w:sz w:val="22"/>
          <w:szCs w:val="22"/>
        </w:rPr>
        <w:t>)</w:t>
      </w:r>
      <w:r w:rsidRPr="00536A82">
        <w:rPr>
          <w:rFonts w:ascii="Arial" w:hAnsi="Arial" w:cs="Arial"/>
          <w:sz w:val="22"/>
          <w:szCs w:val="22"/>
        </w:rPr>
        <w:t xml:space="preserve"> </w:t>
      </w:r>
      <w:r w:rsidR="006F13D5" w:rsidRPr="00536A82">
        <w:rPr>
          <w:rFonts w:ascii="Arial" w:hAnsi="Arial" w:cs="Arial"/>
          <w:sz w:val="22"/>
          <w:szCs w:val="22"/>
        </w:rPr>
        <w:t>'Process of understanding' relates to the young people's perspective that after others started to learn more about the ED, the young person felt more understood. Realising you have support</w:t>
      </w:r>
      <w:r w:rsidR="001146C4" w:rsidRPr="00536A82">
        <w:rPr>
          <w:rFonts w:ascii="Arial" w:hAnsi="Arial" w:cs="Arial"/>
          <w:sz w:val="22"/>
          <w:szCs w:val="22"/>
        </w:rPr>
        <w:t xml:space="preserve"> </w:t>
      </w:r>
      <w:r w:rsidR="006F13D5" w:rsidRPr="00536A82">
        <w:rPr>
          <w:rFonts w:ascii="Arial" w:hAnsi="Arial" w:cs="Arial"/>
          <w:sz w:val="22"/>
          <w:szCs w:val="22"/>
        </w:rPr>
        <w:t xml:space="preserve">elaborating on the theme "Understanding you are not alone" that emerged from an understanding of </w:t>
      </w:r>
      <w:r w:rsidR="00D91343" w:rsidRPr="00536A82">
        <w:rPr>
          <w:rFonts w:ascii="Arial" w:hAnsi="Arial" w:cs="Arial"/>
          <w:sz w:val="22"/>
          <w:szCs w:val="22"/>
        </w:rPr>
        <w:t>MFT</w:t>
      </w:r>
      <w:r w:rsidR="00D91343" w:rsidRPr="00536A82">
        <w:rPr>
          <w:rFonts w:ascii="Arial" w:eastAsiaTheme="minorEastAsia" w:hAnsi="Arial" w:cs="Arial"/>
          <w:color w:val="000000" w:themeColor="text1"/>
          <w:kern w:val="24"/>
          <w:sz w:val="22"/>
          <w:szCs w:val="22"/>
        </w:rPr>
        <w:t>.</w:t>
      </w:r>
    </w:p>
    <w:p w14:paraId="3CD7711E" w14:textId="77777777" w:rsidR="00825EDB" w:rsidRPr="00536A82" w:rsidRDefault="006F13D5" w:rsidP="00536A82">
      <w:pPr>
        <w:pStyle w:val="NormalWeb"/>
        <w:spacing w:before="0" w:beforeAutospacing="0" w:after="0" w:afterAutospacing="0" w:line="360" w:lineRule="auto"/>
        <w:jc w:val="both"/>
        <w:textAlignment w:val="top"/>
        <w:rPr>
          <w:rFonts w:ascii="Arial" w:hAnsi="Arial" w:cs="Arial"/>
          <w:sz w:val="22"/>
          <w:szCs w:val="22"/>
        </w:rPr>
      </w:pPr>
      <w:r w:rsidRPr="00536A82">
        <w:rPr>
          <w:rFonts w:ascii="Arial" w:hAnsi="Arial" w:cs="Arial"/>
          <w:sz w:val="22"/>
          <w:szCs w:val="22"/>
        </w:rPr>
        <w:t>. It helps individuals and staff to understand and helps to cope with things a bit better,". Multi-Family therapy is more for parents. This sentiment persisted throughout the theme, suggest</w:t>
      </w:r>
      <w:r w:rsidRPr="00536A82">
        <w:rPr>
          <w:rFonts w:ascii="Arial" w:hAnsi="Arial" w:cs="Arial"/>
          <w:sz w:val="22"/>
          <w:szCs w:val="22"/>
        </w:rPr>
        <w:lastRenderedPageBreak/>
        <w:t xml:space="preserve">ing that the young people saw the treatment's benefit in how it helped their parents understand.  Despite the benefits of social interaction, there were </w:t>
      </w:r>
      <w:r w:rsidR="00EA2B7F" w:rsidRPr="00536A82">
        <w:rPr>
          <w:rFonts w:ascii="Arial" w:hAnsi="Arial" w:cs="Arial"/>
          <w:sz w:val="22"/>
          <w:szCs w:val="22"/>
        </w:rPr>
        <w:t>occasions w</w:t>
      </w:r>
      <w:r w:rsidRPr="00536A82">
        <w:rPr>
          <w:rFonts w:ascii="Arial" w:hAnsi="Arial" w:cs="Arial"/>
          <w:sz w:val="22"/>
          <w:szCs w:val="22"/>
        </w:rPr>
        <w:t xml:space="preserve">hen it was counterproductive: "...to hear people who had got readmitted..."  difficulty in learning about </w:t>
      </w:r>
      <w:r w:rsidR="001146C4" w:rsidRPr="00536A82">
        <w:rPr>
          <w:rFonts w:ascii="Arial" w:hAnsi="Arial" w:cs="Arial"/>
          <w:sz w:val="22"/>
          <w:szCs w:val="22"/>
        </w:rPr>
        <w:t>relapse, parents</w:t>
      </w:r>
      <w:r w:rsidRPr="00536A82">
        <w:rPr>
          <w:rFonts w:ascii="Arial" w:hAnsi="Arial" w:cs="Arial"/>
          <w:sz w:val="22"/>
          <w:szCs w:val="22"/>
        </w:rPr>
        <w:t xml:space="preserve"> gained a deeper comprehension of the ED as a result of this experience. It was thought that the youth would benefit from helping others gain insight.</w:t>
      </w:r>
      <w:r w:rsidR="006476FC" w:rsidRPr="00536A82">
        <w:rPr>
          <w:rFonts w:ascii="Arial" w:hAnsi="Arial" w:cs="Arial"/>
          <w:sz w:val="22"/>
          <w:szCs w:val="22"/>
        </w:rPr>
        <w:t xml:space="preserve"> One participant suggested that his mother had revised her interpretation of his behaviours </w:t>
      </w:r>
      <w:r w:rsidR="0019420C" w:rsidRPr="00536A82">
        <w:rPr>
          <w:rFonts w:ascii="Arial" w:hAnsi="Arial" w:cs="Arial"/>
          <w:sz w:val="22"/>
          <w:szCs w:val="22"/>
        </w:rPr>
        <w:t>considering</w:t>
      </w:r>
      <w:r w:rsidR="006476FC" w:rsidRPr="00536A82">
        <w:rPr>
          <w:rFonts w:ascii="Arial" w:hAnsi="Arial" w:cs="Arial"/>
          <w:sz w:val="22"/>
          <w:szCs w:val="22"/>
        </w:rPr>
        <w:t xml:space="preserve"> their newfound knowledge. However, there was a marked improvement in parent-child communication when the parents gained a better grasp of their child's situation in the ED</w:t>
      </w:r>
      <w:bookmarkStart w:id="7" w:name="_Hlk133952904"/>
      <w:r w:rsidR="003C6534" w:rsidRPr="00536A82">
        <w:rPr>
          <w:rFonts w:ascii="Arial" w:eastAsiaTheme="minorEastAsia" w:hAnsi="Arial" w:cs="Arial"/>
          <w:color w:val="000000" w:themeColor="text1"/>
          <w:kern w:val="24"/>
          <w:sz w:val="22"/>
          <w:szCs w:val="22"/>
        </w:rPr>
        <w:t>.</w:t>
      </w:r>
      <w:bookmarkEnd w:id="7"/>
    </w:p>
    <w:p w14:paraId="346B70B2" w14:textId="19C53037" w:rsidR="007E33D4" w:rsidRPr="00536A82" w:rsidRDefault="003860D3" w:rsidP="00536A82">
      <w:pPr>
        <w:pStyle w:val="NormalWeb"/>
        <w:spacing w:before="0" w:beforeAutospacing="0" w:after="0" w:afterAutospacing="0" w:line="360" w:lineRule="auto"/>
        <w:jc w:val="both"/>
        <w:textAlignment w:val="top"/>
        <w:rPr>
          <w:rFonts w:ascii="Arial" w:hAnsi="Arial" w:cs="Arial"/>
          <w:sz w:val="22"/>
          <w:szCs w:val="22"/>
        </w:rPr>
      </w:pPr>
      <w:r w:rsidRPr="00536A82">
        <w:rPr>
          <w:rFonts w:ascii="Arial" w:eastAsiaTheme="minorEastAsia" w:hAnsi="Arial" w:cs="Arial"/>
          <w:b/>
          <w:bCs/>
          <w:color w:val="000000" w:themeColor="text1"/>
          <w:kern w:val="24"/>
          <w:sz w:val="22"/>
          <w:szCs w:val="22"/>
        </w:rPr>
        <w:t>Theme 2: Reviving connection</w:t>
      </w:r>
    </w:p>
    <w:p w14:paraId="719ACDEE" w14:textId="0D6CCBDE" w:rsidR="005D1BE3" w:rsidRPr="00536A82" w:rsidRDefault="003860D3" w:rsidP="00536A82">
      <w:pPr>
        <w:pStyle w:val="NormalWeb"/>
        <w:spacing w:before="0" w:beforeAutospacing="0" w:after="0" w:afterAutospacing="0" w:line="360" w:lineRule="auto"/>
        <w:jc w:val="both"/>
        <w:textAlignment w:val="top"/>
        <w:rPr>
          <w:rFonts w:ascii="Arial" w:hAnsi="Arial" w:cs="Arial"/>
          <w:sz w:val="22"/>
          <w:szCs w:val="22"/>
        </w:rPr>
      </w:pPr>
      <w:r w:rsidRPr="00536A82">
        <w:rPr>
          <w:rFonts w:ascii="Arial" w:eastAsiaTheme="minorEastAsia" w:hAnsi="Arial" w:cs="Arial"/>
          <w:color w:val="000000" w:themeColor="text1"/>
          <w:kern w:val="24"/>
          <w:sz w:val="22"/>
          <w:szCs w:val="22"/>
        </w:rPr>
        <w:t xml:space="preserve">For the feeling of isolation to improve, the system must be altered, and this is something that can only happen with the help </w:t>
      </w:r>
      <w:r w:rsidRPr="00536A82">
        <w:rPr>
          <w:rFonts w:ascii="Arial" w:eastAsiaTheme="minorEastAsia" w:hAnsi="Arial" w:cs="Arial"/>
          <w:color w:val="000000" w:themeColor="text1"/>
          <w:kern w:val="24"/>
          <w:sz w:val="22"/>
          <w:szCs w:val="22"/>
        </w:rPr>
        <w:lastRenderedPageBreak/>
        <w:t>of FT-AN and MFT</w:t>
      </w:r>
      <w:r w:rsidR="005C4F08" w:rsidRPr="00536A82">
        <w:rPr>
          <w:rFonts w:ascii="Arial" w:eastAsiaTheme="minorEastAsia" w:hAnsi="Arial" w:cs="Arial"/>
          <w:color w:val="000000" w:themeColor="text1"/>
          <w:kern w:val="24"/>
          <w:sz w:val="22"/>
          <w:szCs w:val="22"/>
        </w:rPr>
        <w:t>,</w:t>
      </w:r>
      <w:r w:rsidR="00555BD3" w:rsidRPr="00536A82">
        <w:rPr>
          <w:rFonts w:ascii="Arial" w:eastAsiaTheme="minorEastAsia" w:hAnsi="Arial" w:cs="Arial"/>
          <w:color w:val="000000" w:themeColor="text1"/>
          <w:kern w:val="24"/>
          <w:sz w:val="22"/>
          <w:szCs w:val="22"/>
        </w:rPr>
        <w:t xml:space="preserve"> according to</w:t>
      </w:r>
      <w:r w:rsidR="00FD2EAD" w:rsidRPr="00536A82">
        <w:rPr>
          <w:rFonts w:ascii="Arial" w:eastAsiaTheme="minorEastAsia" w:hAnsi="Arial" w:cs="Arial"/>
          <w:color w:val="000000" w:themeColor="text1"/>
          <w:kern w:val="24"/>
          <w:sz w:val="22"/>
          <w:szCs w:val="22"/>
        </w:rPr>
        <w:t xml:space="preserve"> </w:t>
      </w:r>
      <w:r w:rsidR="005D1BE3" w:rsidRPr="00536A82">
        <w:rPr>
          <w:rFonts w:ascii="Arial" w:eastAsiaTheme="minorEastAsia" w:hAnsi="Arial" w:cs="Arial"/>
          <w:color w:val="000000" w:themeColor="text1"/>
          <w:kern w:val="24"/>
          <w:sz w:val="22"/>
          <w:szCs w:val="22"/>
        </w:rPr>
        <w:t xml:space="preserve">(Emily </w:t>
      </w:r>
      <w:proofErr w:type="spellStart"/>
      <w:r w:rsidR="005D1BE3" w:rsidRPr="00536A82">
        <w:rPr>
          <w:rFonts w:ascii="Arial" w:eastAsiaTheme="minorEastAsia" w:hAnsi="Arial" w:cs="Arial"/>
          <w:color w:val="000000" w:themeColor="text1"/>
          <w:kern w:val="24"/>
          <w:sz w:val="22"/>
          <w:szCs w:val="22"/>
        </w:rPr>
        <w:t>Coopey</w:t>
      </w:r>
      <w:proofErr w:type="spellEnd"/>
      <w:r w:rsidR="005D1BE3" w:rsidRPr="00536A82">
        <w:rPr>
          <w:rFonts w:ascii="Arial" w:eastAsiaTheme="minorEastAsia" w:hAnsi="Arial" w:cs="Arial"/>
          <w:color w:val="000000" w:themeColor="text1"/>
          <w:kern w:val="24"/>
          <w:sz w:val="22"/>
          <w:szCs w:val="22"/>
        </w:rPr>
        <w:t xml:space="preserve"> and George Johnson, 2022).</w:t>
      </w:r>
    </w:p>
    <w:p w14:paraId="18A7ECBB" w14:textId="230B2D0F" w:rsidR="00E6031B" w:rsidRPr="00536A82" w:rsidRDefault="00552C6C" w:rsidP="00536A82">
      <w:pPr>
        <w:pStyle w:val="NormalWeb"/>
        <w:spacing w:before="0" w:beforeAutospacing="0" w:after="0" w:afterAutospacing="0" w:line="360" w:lineRule="auto"/>
        <w:jc w:val="both"/>
        <w:textAlignment w:val="top"/>
        <w:rPr>
          <w:rFonts w:ascii="Arial" w:hAnsi="Arial" w:cs="Arial"/>
          <w:sz w:val="22"/>
          <w:szCs w:val="22"/>
        </w:rPr>
      </w:pPr>
      <w:r w:rsidRPr="00536A82">
        <w:rPr>
          <w:rFonts w:ascii="Arial" w:hAnsi="Arial" w:cs="Arial"/>
          <w:sz w:val="22"/>
          <w:szCs w:val="22"/>
        </w:rPr>
        <w:t>The superordinate theme of 'Reviving connection' centred on the idea that the youth and their families were experiencing a new kind of connection. Disconnection occurred by some procedure, but the treatment had changed the system's behaviour enough to restore the link.</w:t>
      </w:r>
      <w:r w:rsidR="00FD2EAD" w:rsidRPr="00536A82">
        <w:rPr>
          <w:rFonts w:ascii="Arial" w:eastAsiaTheme="minorEastAsia" w:hAnsi="Arial" w:cs="Arial"/>
          <w:color w:val="000000" w:themeColor="text1"/>
          <w:kern w:val="24"/>
          <w:sz w:val="22"/>
          <w:szCs w:val="22"/>
        </w:rPr>
        <w:t xml:space="preserve"> </w:t>
      </w:r>
      <w:r w:rsidRPr="00536A82">
        <w:rPr>
          <w:rFonts w:ascii="Arial" w:hAnsi="Arial" w:cs="Arial"/>
          <w:sz w:val="22"/>
          <w:szCs w:val="22"/>
        </w:rPr>
        <w:t xml:space="preserve">The young people recognised the adjustments in family systems as a result of new viewpoints and deeper comprehension, and they began to comprehend what this meant for their families in the long run, figuring out how to implement the alterations. Different actions were taken by the family systems as a result of an outside voice entering the system and adjusting perceptions. For example, one of the participants reports "getting closer again" with her sibling, and another participant said, my family's got closer with each other as well..." both describing gains in significant relationships. </w:t>
      </w:r>
      <w:r w:rsidRPr="00536A82">
        <w:rPr>
          <w:rFonts w:ascii="Arial" w:hAnsi="Arial" w:cs="Arial"/>
          <w:sz w:val="22"/>
          <w:szCs w:val="22"/>
        </w:rPr>
        <w:lastRenderedPageBreak/>
        <w:t>Another participant discussed the shifts that had taken place in her family, such as "... being able to have more conversations, have like a brother as a friend rather than someone to compete against." This statement exemplifies the restoration of a sibling connection and the feeling that a new normal is emerging. Although the youth saw the changes as beneficial, it was clear that they were difficult and would require work to incorporate into new family rituals. "Building on creating almost a new element of the family is really difficult and still is," one participant said.</w:t>
      </w:r>
      <w:r w:rsidR="00FD2EAD" w:rsidRPr="00536A82">
        <w:rPr>
          <w:rFonts w:ascii="Arial" w:hAnsi="Arial" w:cs="Arial"/>
          <w:sz w:val="22"/>
          <w:szCs w:val="22"/>
        </w:rPr>
        <w:t xml:space="preserve"> </w:t>
      </w:r>
      <w:r w:rsidRPr="00536A82">
        <w:rPr>
          <w:rFonts w:ascii="Arial" w:hAnsi="Arial" w:cs="Arial"/>
          <w:sz w:val="22"/>
          <w:szCs w:val="22"/>
        </w:rPr>
        <w:t>The word "building" reinforces the idea that the process of change is laborious and requires careful consideration, both of which are brought to light to show the family's struggle</w:t>
      </w:r>
      <w:r w:rsidR="005D1BE3" w:rsidRPr="00536A82">
        <w:rPr>
          <w:rFonts w:ascii="Arial" w:hAnsi="Arial" w:cs="Arial"/>
          <w:sz w:val="22"/>
          <w:szCs w:val="22"/>
        </w:rPr>
        <w:t xml:space="preserve"> </w:t>
      </w:r>
      <w:r w:rsidR="00E6031B" w:rsidRPr="00536A82">
        <w:rPr>
          <w:rFonts w:ascii="Arial" w:eastAsiaTheme="minorEastAsia" w:hAnsi="Arial" w:cs="Arial"/>
          <w:color w:val="000000" w:themeColor="text1"/>
          <w:kern w:val="24"/>
          <w:sz w:val="22"/>
          <w:szCs w:val="22"/>
        </w:rPr>
        <w:t xml:space="preserve">(Emily </w:t>
      </w:r>
      <w:proofErr w:type="spellStart"/>
      <w:r w:rsidR="00E6031B" w:rsidRPr="00536A82">
        <w:rPr>
          <w:rFonts w:ascii="Arial" w:eastAsiaTheme="minorEastAsia" w:hAnsi="Arial" w:cs="Arial"/>
          <w:color w:val="000000" w:themeColor="text1"/>
          <w:kern w:val="24"/>
          <w:sz w:val="22"/>
          <w:szCs w:val="22"/>
        </w:rPr>
        <w:t>Coopey</w:t>
      </w:r>
      <w:proofErr w:type="spellEnd"/>
      <w:r w:rsidR="00E6031B" w:rsidRPr="00536A82">
        <w:rPr>
          <w:rFonts w:ascii="Arial" w:eastAsiaTheme="minorEastAsia" w:hAnsi="Arial" w:cs="Arial"/>
          <w:color w:val="000000" w:themeColor="text1"/>
          <w:kern w:val="24"/>
          <w:sz w:val="22"/>
          <w:szCs w:val="22"/>
        </w:rPr>
        <w:t>, and George Johnson, 2022).</w:t>
      </w:r>
    </w:p>
    <w:p w14:paraId="5C43254D" w14:textId="3E8578C7" w:rsidR="00B87E75" w:rsidRPr="00536A82" w:rsidRDefault="004A736E" w:rsidP="00536A82">
      <w:pPr>
        <w:pStyle w:val="Heading1"/>
      </w:pPr>
      <w:bookmarkStart w:id="8" w:name="_Toc134008087"/>
      <w:r w:rsidRPr="00536A82">
        <w:t>5</w:t>
      </w:r>
      <w:r w:rsidR="00B87E75" w:rsidRPr="00536A82">
        <w:t>. Discussion</w:t>
      </w:r>
      <w:bookmarkEnd w:id="8"/>
    </w:p>
    <w:p w14:paraId="7CA24708" w14:textId="77777777" w:rsidR="00777AA0" w:rsidRPr="00536A82" w:rsidRDefault="00F95CEF" w:rsidP="00536A82">
      <w:pPr>
        <w:spacing w:line="360" w:lineRule="auto"/>
        <w:jc w:val="both"/>
        <w:rPr>
          <w:rFonts w:ascii="Arial" w:hAnsi="Arial" w:cs="Arial"/>
          <w:sz w:val="22"/>
        </w:rPr>
      </w:pPr>
      <w:r w:rsidRPr="00536A82">
        <w:rPr>
          <w:rFonts w:ascii="Arial" w:hAnsi="Arial" w:cs="Arial"/>
          <w:sz w:val="22"/>
        </w:rPr>
        <w:t>Data analysis resulted in two superordinate themes within two overarching concepts</w:t>
      </w:r>
      <w:r w:rsidR="001003BF" w:rsidRPr="00536A82">
        <w:rPr>
          <w:rFonts w:ascii="Arial" w:hAnsi="Arial" w:cs="Arial"/>
          <w:sz w:val="22"/>
        </w:rPr>
        <w:t xml:space="preserve">: </w:t>
      </w:r>
      <w:r w:rsidRPr="00536A82">
        <w:rPr>
          <w:rFonts w:ascii="Arial" w:hAnsi="Arial" w:cs="Arial"/>
          <w:sz w:val="22"/>
        </w:rPr>
        <w:t>the process of awareness and Reviv</w:t>
      </w:r>
      <w:r w:rsidRPr="00536A82">
        <w:rPr>
          <w:rFonts w:ascii="Arial" w:hAnsi="Arial" w:cs="Arial"/>
          <w:sz w:val="22"/>
        </w:rPr>
        <w:lastRenderedPageBreak/>
        <w:t>ing connection. According to the themes that emerged from this study, young people cared more about being heard and having broken bonds between them mended. In contrast, they cared less about the significance of change and their own responsibility within it.</w:t>
      </w:r>
      <w:r w:rsidR="00E36496" w:rsidRPr="00536A82">
        <w:rPr>
          <w:rFonts w:ascii="Arial" w:hAnsi="Arial" w:cs="Arial"/>
          <w:sz w:val="22"/>
        </w:rPr>
        <w:t xml:space="preserve"> </w:t>
      </w:r>
    </w:p>
    <w:p w14:paraId="06B3DCBD" w14:textId="77777777" w:rsidR="00E049E8" w:rsidRPr="00536A82" w:rsidRDefault="00777AA0" w:rsidP="00536A82">
      <w:pPr>
        <w:spacing w:line="360" w:lineRule="auto"/>
        <w:jc w:val="both"/>
        <w:rPr>
          <w:rFonts w:ascii="Arial" w:hAnsi="Arial" w:cs="Arial"/>
          <w:b/>
          <w:bCs/>
          <w:sz w:val="22"/>
        </w:rPr>
      </w:pPr>
      <w:r w:rsidRPr="00536A82">
        <w:rPr>
          <w:rFonts w:ascii="Arial" w:hAnsi="Arial" w:cs="Arial"/>
          <w:b/>
          <w:bCs/>
          <w:sz w:val="22"/>
        </w:rPr>
        <w:t>Method</w:t>
      </w:r>
      <w:r w:rsidR="00096C6A" w:rsidRPr="00536A82">
        <w:rPr>
          <w:rFonts w:ascii="Arial" w:hAnsi="Arial" w:cs="Arial"/>
          <w:b/>
          <w:bCs/>
          <w:sz w:val="22"/>
        </w:rPr>
        <w:t xml:space="preserve"> </w:t>
      </w:r>
    </w:p>
    <w:p w14:paraId="2F58160F" w14:textId="5296B681" w:rsidR="00777AA0" w:rsidRPr="00536A82" w:rsidRDefault="00096C6A" w:rsidP="00536A82">
      <w:pPr>
        <w:spacing w:line="360" w:lineRule="auto"/>
        <w:jc w:val="both"/>
        <w:rPr>
          <w:rFonts w:ascii="Arial" w:hAnsi="Arial" w:cs="Arial"/>
          <w:b/>
          <w:bCs/>
          <w:sz w:val="22"/>
        </w:rPr>
      </w:pPr>
      <w:r w:rsidRPr="00536A82">
        <w:rPr>
          <w:rFonts w:ascii="Arial" w:hAnsi="Arial" w:cs="Arial"/>
          <w:sz w:val="22"/>
        </w:rPr>
        <w:t>The primary goal of th</w:t>
      </w:r>
      <w:r w:rsidR="00881600" w:rsidRPr="00536A82">
        <w:rPr>
          <w:rFonts w:ascii="Arial" w:hAnsi="Arial" w:cs="Arial"/>
          <w:sz w:val="22"/>
        </w:rPr>
        <w:t xml:space="preserve">ese </w:t>
      </w:r>
      <w:r w:rsidR="002D11E1" w:rsidRPr="00536A82">
        <w:rPr>
          <w:rFonts w:ascii="Arial" w:hAnsi="Arial" w:cs="Arial"/>
          <w:sz w:val="22"/>
        </w:rPr>
        <w:t xml:space="preserve">articles </w:t>
      </w:r>
      <w:r w:rsidRPr="00536A82">
        <w:rPr>
          <w:rFonts w:ascii="Arial" w:hAnsi="Arial" w:cs="Arial"/>
          <w:sz w:val="22"/>
        </w:rPr>
        <w:t>was to investigate young people's inpatient experience with FT-AN and MFT in order to get insight into how these therapies make sense to them and how they feel about receiving them</w:t>
      </w:r>
      <w:r w:rsidRPr="00536A82">
        <w:rPr>
          <w:rFonts w:ascii="Arial" w:hAnsi="Arial" w:cs="Arial"/>
          <w:b/>
          <w:bCs/>
          <w:sz w:val="22"/>
        </w:rPr>
        <w:t>.</w:t>
      </w:r>
    </w:p>
    <w:p w14:paraId="2F388D9D" w14:textId="77777777" w:rsidR="00825EDB" w:rsidRPr="00536A82" w:rsidRDefault="007278C0" w:rsidP="00536A82">
      <w:pPr>
        <w:spacing w:line="360" w:lineRule="auto"/>
        <w:jc w:val="both"/>
        <w:rPr>
          <w:rFonts w:ascii="Arial" w:hAnsi="Arial" w:cs="Arial"/>
          <w:b/>
          <w:bCs/>
          <w:sz w:val="22"/>
        </w:rPr>
      </w:pPr>
      <w:r w:rsidRPr="00536A82">
        <w:rPr>
          <w:rFonts w:ascii="Arial" w:hAnsi="Arial" w:cs="Arial"/>
          <w:b/>
          <w:bCs/>
          <w:sz w:val="22"/>
        </w:rPr>
        <w:t>Participants</w:t>
      </w:r>
    </w:p>
    <w:p w14:paraId="6B12AADE" w14:textId="44C7FAF0" w:rsidR="00E049E8" w:rsidRPr="00536A82" w:rsidRDefault="007278C0" w:rsidP="00536A82">
      <w:pPr>
        <w:spacing w:line="360" w:lineRule="auto"/>
        <w:jc w:val="both"/>
        <w:rPr>
          <w:rFonts w:ascii="Arial" w:hAnsi="Arial" w:cs="Arial"/>
          <w:sz w:val="22"/>
        </w:rPr>
      </w:pPr>
      <w:r w:rsidRPr="00536A82">
        <w:rPr>
          <w:rFonts w:ascii="Arial" w:hAnsi="Arial" w:cs="Arial"/>
          <w:sz w:val="22"/>
        </w:rPr>
        <w:t xml:space="preserve"> </w:t>
      </w:r>
      <w:r w:rsidR="00825EDB" w:rsidRPr="00536A82">
        <w:rPr>
          <w:rFonts w:ascii="Arial" w:hAnsi="Arial" w:cs="Arial"/>
          <w:sz w:val="22"/>
        </w:rPr>
        <w:t xml:space="preserve">Five NHS inpatients with eating disorders (ED) were selected using purposeful sampling. Inpatient care for AN included both FT-AN and MFT. Patients received five days of MFT and manualized FT-AN in the AN pathway. Five days had passed after </w:t>
      </w:r>
      <w:r w:rsidR="00825EDB" w:rsidRPr="00536A82">
        <w:rPr>
          <w:rFonts w:ascii="Arial" w:hAnsi="Arial" w:cs="Arial"/>
          <w:sz w:val="22"/>
        </w:rPr>
        <w:lastRenderedPageBreak/>
        <w:t>four weeks, bringing release closer. Eight families were seen by two clinicians in a multifamily group therapy session. Sick people were referred to the hospital's inpatient unit by the community team. Until they were well enough to re-join their community team, the teenagers were isolated from their families and had to live in the hospital unit. Family members were welcome to visit and participate in therapies. Many people suffer from AN and related eating disorders. The average age of the five (10-18 years old) was 14.6% female and 15.4% male. After completing MFT and FT-AN, two participants were released.</w:t>
      </w:r>
    </w:p>
    <w:p w14:paraId="682A3E1A" w14:textId="42205EA8" w:rsidR="00755C27" w:rsidRPr="00536A82" w:rsidRDefault="00755C27" w:rsidP="00536A82">
      <w:pPr>
        <w:spacing w:line="360" w:lineRule="auto"/>
        <w:jc w:val="both"/>
        <w:rPr>
          <w:rFonts w:ascii="Arial" w:hAnsi="Arial" w:cs="Arial"/>
          <w:b/>
          <w:bCs/>
          <w:sz w:val="22"/>
        </w:rPr>
      </w:pPr>
      <w:r w:rsidRPr="00536A82">
        <w:rPr>
          <w:rFonts w:ascii="Arial" w:hAnsi="Arial" w:cs="Arial"/>
          <w:b/>
          <w:bCs/>
          <w:sz w:val="22"/>
        </w:rPr>
        <w:t>Data collection</w:t>
      </w:r>
    </w:p>
    <w:p w14:paraId="385E20C0" w14:textId="4729398B" w:rsidR="000F7AEE" w:rsidRPr="00536A82" w:rsidRDefault="000F7AEE" w:rsidP="00536A82">
      <w:pPr>
        <w:spacing w:line="360" w:lineRule="auto"/>
        <w:jc w:val="both"/>
        <w:rPr>
          <w:rFonts w:ascii="Arial" w:hAnsi="Arial" w:cs="Arial"/>
          <w:sz w:val="22"/>
        </w:rPr>
      </w:pPr>
      <w:r w:rsidRPr="00536A82">
        <w:rPr>
          <w:rFonts w:ascii="Arial" w:hAnsi="Arial" w:cs="Arial"/>
          <w:sz w:val="22"/>
        </w:rPr>
        <w:t>Semi-structured interviews explored the young person's treatment and change experience. Experienced interviewers co-created the guide. The interviews lasted 24–76 min, with a mean of 37 min.</w:t>
      </w:r>
    </w:p>
    <w:p w14:paraId="39049335" w14:textId="5E149F2B" w:rsidR="00FD7B45" w:rsidRPr="00536A82" w:rsidRDefault="00090D88" w:rsidP="00536A82">
      <w:pPr>
        <w:spacing w:line="360" w:lineRule="auto"/>
        <w:jc w:val="both"/>
        <w:rPr>
          <w:rFonts w:ascii="Arial" w:hAnsi="Arial" w:cs="Arial"/>
          <w:sz w:val="22"/>
        </w:rPr>
      </w:pPr>
      <w:r w:rsidRPr="00536A82">
        <w:rPr>
          <w:rFonts w:ascii="Arial" w:hAnsi="Arial" w:cs="Arial"/>
          <w:sz w:val="22"/>
        </w:rPr>
        <w:lastRenderedPageBreak/>
        <w:t>Further information and quotations that support up the themes' growth.</w:t>
      </w:r>
    </w:p>
    <w:p w14:paraId="2ACF6F6F" w14:textId="77777777" w:rsidR="0088370E" w:rsidRPr="00536A82" w:rsidRDefault="0088370E" w:rsidP="00536A82">
      <w:pPr>
        <w:spacing w:line="360" w:lineRule="auto"/>
        <w:jc w:val="both"/>
        <w:rPr>
          <w:rFonts w:ascii="Arial" w:hAnsi="Arial" w:cs="Arial"/>
          <w:b/>
          <w:bCs/>
          <w:sz w:val="22"/>
        </w:rPr>
      </w:pPr>
      <w:r w:rsidRPr="00536A82">
        <w:rPr>
          <w:rFonts w:ascii="Arial" w:hAnsi="Arial" w:cs="Arial"/>
          <w:b/>
          <w:bCs/>
          <w:sz w:val="22"/>
        </w:rPr>
        <w:t>Themes</w:t>
      </w:r>
    </w:p>
    <w:p w14:paraId="08ECB31C" w14:textId="016C1788" w:rsidR="00AB6CA3" w:rsidRPr="00536A82" w:rsidRDefault="00AB6CA3" w:rsidP="00536A82">
      <w:pPr>
        <w:spacing w:line="360" w:lineRule="auto"/>
        <w:jc w:val="both"/>
        <w:rPr>
          <w:rFonts w:ascii="Arial" w:hAnsi="Arial" w:cs="Arial"/>
          <w:b/>
          <w:bCs/>
          <w:sz w:val="22"/>
        </w:rPr>
      </w:pPr>
      <w:r w:rsidRPr="00536A82">
        <w:rPr>
          <w:rFonts w:ascii="Arial" w:hAnsi="Arial" w:cs="Arial"/>
          <w:b/>
          <w:bCs/>
          <w:sz w:val="22"/>
        </w:rPr>
        <w:t>Process of Understanding</w:t>
      </w:r>
    </w:p>
    <w:p w14:paraId="6BDF484E" w14:textId="260F5D96" w:rsidR="00FD79B2" w:rsidRPr="00536A82" w:rsidRDefault="00790325" w:rsidP="00536A82">
      <w:pPr>
        <w:pStyle w:val="NormalWeb"/>
        <w:spacing w:before="0" w:beforeAutospacing="0" w:after="0" w:afterAutospacing="0" w:line="360" w:lineRule="auto"/>
        <w:jc w:val="both"/>
        <w:rPr>
          <w:rFonts w:ascii="Arial" w:hAnsi="Arial" w:cs="Arial"/>
          <w:sz w:val="22"/>
          <w:szCs w:val="22"/>
        </w:rPr>
      </w:pPr>
      <w:r w:rsidRPr="00536A82">
        <w:rPr>
          <w:rFonts w:ascii="Arial" w:hAnsi="Arial" w:cs="Arial"/>
          <w:sz w:val="22"/>
          <w:szCs w:val="22"/>
        </w:rPr>
        <w:t xml:space="preserve">The superordinate theme </w:t>
      </w:r>
      <w:r w:rsidR="00A5570B" w:rsidRPr="00536A82">
        <w:rPr>
          <w:rFonts w:ascii="Arial" w:hAnsi="Arial" w:cs="Arial"/>
          <w:sz w:val="22"/>
          <w:szCs w:val="22"/>
        </w:rPr>
        <w:t xml:space="preserve">of </w:t>
      </w:r>
      <w:r w:rsidR="00FD79B2" w:rsidRPr="00536A82">
        <w:rPr>
          <w:rFonts w:ascii="Arial" w:eastAsiaTheme="minorEastAsia" w:hAnsi="Arial" w:cs="Arial"/>
          <w:color w:val="000000" w:themeColor="text1"/>
          <w:kern w:val="24"/>
          <w:sz w:val="22"/>
          <w:szCs w:val="22"/>
        </w:rPr>
        <w:t>Process of understanding," related to the young people's perception that they felt more understood once others learned more about ED.</w:t>
      </w:r>
    </w:p>
    <w:p w14:paraId="060A40A5" w14:textId="630FFE71" w:rsidR="00AF3810" w:rsidRPr="00536A82" w:rsidRDefault="003D7FE4" w:rsidP="00536A82">
      <w:pPr>
        <w:spacing w:line="360" w:lineRule="auto"/>
        <w:jc w:val="both"/>
        <w:rPr>
          <w:rFonts w:ascii="Arial" w:hAnsi="Arial" w:cs="Arial"/>
          <w:b/>
          <w:bCs/>
          <w:sz w:val="22"/>
        </w:rPr>
      </w:pPr>
      <w:r w:rsidRPr="00536A82">
        <w:rPr>
          <w:rFonts w:ascii="Arial" w:hAnsi="Arial" w:cs="Arial"/>
          <w:b/>
          <w:bCs/>
          <w:sz w:val="22"/>
        </w:rPr>
        <w:t>Understanding you are not alone</w:t>
      </w:r>
      <w:r w:rsidR="00E6228B" w:rsidRPr="00536A82">
        <w:rPr>
          <w:rFonts w:ascii="Arial" w:hAnsi="Arial" w:cs="Arial"/>
          <w:b/>
          <w:bCs/>
          <w:sz w:val="22"/>
        </w:rPr>
        <w:t>.</w:t>
      </w:r>
    </w:p>
    <w:p w14:paraId="0412577B" w14:textId="42BFD95A" w:rsidR="00B6782E" w:rsidRPr="00536A82" w:rsidRDefault="00715D15" w:rsidP="00536A82">
      <w:pPr>
        <w:spacing w:line="360" w:lineRule="auto"/>
        <w:jc w:val="both"/>
        <w:rPr>
          <w:rFonts w:ascii="Arial" w:hAnsi="Arial" w:cs="Arial"/>
          <w:sz w:val="22"/>
        </w:rPr>
      </w:pPr>
      <w:r w:rsidRPr="00536A82">
        <w:rPr>
          <w:rFonts w:ascii="Arial" w:hAnsi="Arial" w:cs="Arial"/>
          <w:sz w:val="22"/>
        </w:rPr>
        <w:t>The topic of "Understanding you are not alone" originated from the belief that social interaction, whether with experts or peers, promotes growth and development. They gave them the tools they needed to move forward; hearing from other people and parents helped them feel like they weren't alone, and the experience helped them gain perspective on their situation. When asked about the impact the meetings had on his parents' un</w:t>
      </w:r>
      <w:r w:rsidRPr="00536A82">
        <w:rPr>
          <w:rFonts w:ascii="Arial" w:hAnsi="Arial" w:cs="Arial"/>
          <w:sz w:val="22"/>
        </w:rPr>
        <w:lastRenderedPageBreak/>
        <w:t>derstanding, another group member said, "Groups and stuff for like parents to understand and stuff... it helps like with my parents and stuff to understand and helps me to like to try and deal with things a bit better." According to one of the focus group members, "It was almost Multi-Family therapy was less for us, more for our parents, or at least that's what we felt." This overarching sentiment suggests that the young people viewed the treatment's benefits primarily in terms of its effect on their parents' capacity for comprehension</w:t>
      </w:r>
      <w:r w:rsidR="00B6782E" w:rsidRPr="00536A82">
        <w:rPr>
          <w:rFonts w:ascii="Arial" w:hAnsi="Arial" w:cs="Arial"/>
          <w:sz w:val="22"/>
        </w:rPr>
        <w:t xml:space="preserve"> Emily </w:t>
      </w:r>
      <w:proofErr w:type="spellStart"/>
      <w:r w:rsidR="00B6782E" w:rsidRPr="00536A82">
        <w:rPr>
          <w:rFonts w:ascii="Arial" w:hAnsi="Arial" w:cs="Arial"/>
          <w:sz w:val="22"/>
        </w:rPr>
        <w:t>Coopey</w:t>
      </w:r>
      <w:proofErr w:type="spellEnd"/>
      <w:r w:rsidR="00B6782E" w:rsidRPr="00536A82">
        <w:rPr>
          <w:rFonts w:ascii="Arial" w:hAnsi="Arial" w:cs="Arial"/>
          <w:sz w:val="22"/>
        </w:rPr>
        <w:t>, and George Johnson, 2022).</w:t>
      </w:r>
    </w:p>
    <w:p w14:paraId="6644CF7A" w14:textId="4EB2AA6D" w:rsidR="0088370E" w:rsidRPr="00536A82" w:rsidRDefault="0088370E" w:rsidP="00536A82">
      <w:pPr>
        <w:spacing w:line="360" w:lineRule="auto"/>
        <w:jc w:val="both"/>
        <w:rPr>
          <w:rFonts w:ascii="Arial" w:hAnsi="Arial" w:cs="Arial"/>
          <w:sz w:val="22"/>
        </w:rPr>
      </w:pPr>
    </w:p>
    <w:p w14:paraId="6D6CF02B" w14:textId="78D8560E" w:rsidR="003D7FE4" w:rsidRPr="00536A82" w:rsidRDefault="003D7FE4" w:rsidP="00536A82">
      <w:pPr>
        <w:spacing w:line="360" w:lineRule="auto"/>
        <w:jc w:val="both"/>
        <w:rPr>
          <w:rFonts w:ascii="Arial" w:hAnsi="Arial" w:cs="Arial"/>
          <w:b/>
          <w:bCs/>
          <w:sz w:val="22"/>
        </w:rPr>
      </w:pPr>
      <w:r w:rsidRPr="00536A82">
        <w:rPr>
          <w:rFonts w:ascii="Arial" w:hAnsi="Arial" w:cs="Arial"/>
          <w:b/>
          <w:bCs/>
          <w:sz w:val="22"/>
        </w:rPr>
        <w:t>Others understanding</w:t>
      </w:r>
    </w:p>
    <w:p w14:paraId="4E69F803" w14:textId="76781967" w:rsidR="00B6782E" w:rsidRPr="00536A82" w:rsidRDefault="00715D15" w:rsidP="00536A82">
      <w:pPr>
        <w:spacing w:line="360" w:lineRule="auto"/>
        <w:jc w:val="both"/>
        <w:rPr>
          <w:rFonts w:ascii="Arial" w:hAnsi="Arial" w:cs="Arial"/>
          <w:sz w:val="22"/>
        </w:rPr>
      </w:pPr>
      <w:r w:rsidRPr="00536A82">
        <w:rPr>
          <w:rFonts w:ascii="Arial" w:hAnsi="Arial" w:cs="Arial"/>
          <w:sz w:val="22"/>
        </w:rPr>
        <w:t xml:space="preserve">The methods outlined in "Understanding You are not alone" encouraged young people to share their stories and made them realise they were not alone. They probably feel differently about </w:t>
      </w:r>
      <w:r w:rsidRPr="00536A82">
        <w:rPr>
          <w:rFonts w:ascii="Arial" w:hAnsi="Arial" w:cs="Arial"/>
          <w:sz w:val="22"/>
        </w:rPr>
        <w:lastRenderedPageBreak/>
        <w:t>anorexia now than they did before... A person who took part in the study described it as a mental disorder</w:t>
      </w:r>
      <w:r w:rsidR="00B6782E" w:rsidRPr="00536A82">
        <w:rPr>
          <w:rFonts w:ascii="Arial" w:hAnsi="Arial" w:cs="Arial"/>
          <w:sz w:val="22"/>
        </w:rPr>
        <w:t xml:space="preserve"> Emily </w:t>
      </w:r>
      <w:proofErr w:type="spellStart"/>
      <w:r w:rsidR="00B6782E" w:rsidRPr="00536A82">
        <w:rPr>
          <w:rFonts w:ascii="Arial" w:hAnsi="Arial" w:cs="Arial"/>
          <w:sz w:val="22"/>
        </w:rPr>
        <w:t>Coopey</w:t>
      </w:r>
      <w:proofErr w:type="spellEnd"/>
      <w:r w:rsidR="00B6782E" w:rsidRPr="00536A82">
        <w:rPr>
          <w:rFonts w:ascii="Arial" w:hAnsi="Arial" w:cs="Arial"/>
          <w:sz w:val="22"/>
        </w:rPr>
        <w:t>, and George Johnson, 2022).</w:t>
      </w:r>
    </w:p>
    <w:p w14:paraId="2D499AB8" w14:textId="525C58DD" w:rsidR="00715D15" w:rsidRPr="00536A82" w:rsidRDefault="00715D15" w:rsidP="00536A82">
      <w:pPr>
        <w:spacing w:line="360" w:lineRule="auto"/>
        <w:jc w:val="both"/>
        <w:rPr>
          <w:rFonts w:ascii="Arial" w:hAnsi="Arial" w:cs="Arial"/>
          <w:sz w:val="22"/>
        </w:rPr>
      </w:pPr>
      <w:r w:rsidRPr="00536A82">
        <w:rPr>
          <w:rFonts w:ascii="Arial" w:hAnsi="Arial" w:cs="Arial"/>
          <w:sz w:val="22"/>
        </w:rPr>
        <w:t xml:space="preserve"> The parents better understood the seriousness of the illness. "it's helped them" comprehend the ED, but "obviously you can never be 100%..." The child appreciated their parents' knowledge of the illness because it allowed them to feel more understood.</w:t>
      </w:r>
    </w:p>
    <w:p w14:paraId="24AAE5E3" w14:textId="77777777" w:rsidR="00825EDB" w:rsidRPr="00536A82" w:rsidRDefault="00825EDB" w:rsidP="00536A82">
      <w:pPr>
        <w:spacing w:line="360" w:lineRule="auto"/>
        <w:jc w:val="both"/>
        <w:rPr>
          <w:rFonts w:ascii="Arial" w:hAnsi="Arial" w:cs="Arial"/>
          <w:b/>
          <w:bCs/>
          <w:sz w:val="22"/>
        </w:rPr>
      </w:pPr>
    </w:p>
    <w:p w14:paraId="3ED0C656" w14:textId="77777777" w:rsidR="00825EDB" w:rsidRPr="00536A82" w:rsidRDefault="00825EDB" w:rsidP="00536A82">
      <w:pPr>
        <w:spacing w:line="360" w:lineRule="auto"/>
        <w:jc w:val="both"/>
        <w:rPr>
          <w:rFonts w:ascii="Arial" w:hAnsi="Arial" w:cs="Arial"/>
          <w:b/>
          <w:bCs/>
          <w:sz w:val="22"/>
        </w:rPr>
      </w:pPr>
    </w:p>
    <w:p w14:paraId="2371936E" w14:textId="4B420543" w:rsidR="00715D15" w:rsidRPr="00536A82" w:rsidRDefault="000E2C60" w:rsidP="00536A82">
      <w:pPr>
        <w:spacing w:line="360" w:lineRule="auto"/>
        <w:jc w:val="both"/>
        <w:rPr>
          <w:rFonts w:ascii="Arial" w:hAnsi="Arial" w:cs="Arial"/>
          <w:b/>
          <w:bCs/>
          <w:sz w:val="22"/>
        </w:rPr>
      </w:pPr>
      <w:r w:rsidRPr="00536A82">
        <w:rPr>
          <w:rFonts w:ascii="Arial" w:hAnsi="Arial" w:cs="Arial"/>
          <w:b/>
          <w:bCs/>
          <w:sz w:val="22"/>
        </w:rPr>
        <w:t>Reviving connections</w:t>
      </w:r>
    </w:p>
    <w:p w14:paraId="2DB36064" w14:textId="13B136D3" w:rsidR="00B6782E" w:rsidRPr="00536A82" w:rsidRDefault="00715D15" w:rsidP="00536A82">
      <w:pPr>
        <w:spacing w:line="360" w:lineRule="auto"/>
        <w:jc w:val="both"/>
        <w:rPr>
          <w:rFonts w:ascii="Arial" w:hAnsi="Arial" w:cs="Arial"/>
          <w:sz w:val="22"/>
        </w:rPr>
      </w:pPr>
      <w:r w:rsidRPr="00536A82">
        <w:rPr>
          <w:rFonts w:ascii="Arial" w:hAnsi="Arial" w:cs="Arial"/>
          <w:sz w:val="22"/>
        </w:rPr>
        <w:t xml:space="preserve">The overarching concept of "Reviving connection" was that young people and their families were developing closer ties to one another. The effects of treatment were to alter and </w:t>
      </w:r>
      <w:r w:rsidRPr="00536A82">
        <w:rPr>
          <w:rFonts w:ascii="Arial" w:hAnsi="Arial" w:cs="Arial"/>
          <w:sz w:val="22"/>
        </w:rPr>
        <w:lastRenderedPageBreak/>
        <w:t>reconnect the system</w:t>
      </w:r>
      <w:r w:rsidR="00B6782E" w:rsidRPr="00536A82">
        <w:rPr>
          <w:rFonts w:ascii="Arial" w:hAnsi="Arial" w:cs="Arial"/>
          <w:sz w:val="22"/>
        </w:rPr>
        <w:t xml:space="preserve"> (Emily </w:t>
      </w:r>
      <w:proofErr w:type="spellStart"/>
      <w:r w:rsidR="00B6782E" w:rsidRPr="00536A82">
        <w:rPr>
          <w:rFonts w:ascii="Arial" w:hAnsi="Arial" w:cs="Arial"/>
          <w:sz w:val="22"/>
        </w:rPr>
        <w:t>Coopey</w:t>
      </w:r>
      <w:proofErr w:type="spellEnd"/>
      <w:r w:rsidR="00B6782E" w:rsidRPr="00536A82">
        <w:rPr>
          <w:rFonts w:ascii="Arial" w:hAnsi="Arial" w:cs="Arial"/>
          <w:sz w:val="22"/>
        </w:rPr>
        <w:t>, and George Johnson, 2022).</w:t>
      </w:r>
    </w:p>
    <w:p w14:paraId="701C1E3C" w14:textId="5585B711" w:rsidR="00715D15" w:rsidRPr="00536A82" w:rsidRDefault="00715D15" w:rsidP="00536A82">
      <w:pPr>
        <w:spacing w:line="360" w:lineRule="auto"/>
        <w:jc w:val="both"/>
        <w:rPr>
          <w:rFonts w:ascii="Arial" w:hAnsi="Arial" w:cs="Arial"/>
          <w:b/>
          <w:bCs/>
          <w:sz w:val="22"/>
        </w:rPr>
      </w:pPr>
    </w:p>
    <w:p w14:paraId="2E6EDC6A" w14:textId="08107C9A" w:rsidR="006427AA" w:rsidRPr="00536A82" w:rsidRDefault="00576CC3" w:rsidP="00536A82">
      <w:pPr>
        <w:spacing w:line="360" w:lineRule="auto"/>
        <w:jc w:val="both"/>
        <w:rPr>
          <w:rFonts w:ascii="Arial" w:hAnsi="Arial" w:cs="Arial"/>
          <w:b/>
          <w:bCs/>
          <w:sz w:val="22"/>
        </w:rPr>
      </w:pPr>
      <w:r w:rsidRPr="00536A82">
        <w:rPr>
          <w:rFonts w:ascii="Arial" w:hAnsi="Arial" w:cs="Arial"/>
          <w:b/>
          <w:bCs/>
          <w:sz w:val="22"/>
        </w:rPr>
        <w:t>Altering the system</w:t>
      </w:r>
    </w:p>
    <w:p w14:paraId="406DDBA3" w14:textId="66D3BE25" w:rsidR="00B6782E" w:rsidRPr="00536A82" w:rsidRDefault="00715D15" w:rsidP="00536A82">
      <w:pPr>
        <w:spacing w:line="360" w:lineRule="auto"/>
        <w:jc w:val="both"/>
        <w:rPr>
          <w:rFonts w:ascii="Arial" w:hAnsi="Arial" w:cs="Arial"/>
          <w:sz w:val="22"/>
        </w:rPr>
      </w:pPr>
      <w:r w:rsidRPr="00536A82">
        <w:rPr>
          <w:rFonts w:ascii="Arial" w:hAnsi="Arial" w:cs="Arial"/>
          <w:sz w:val="22"/>
        </w:rPr>
        <w:t xml:space="preserve">The system was modified through FT-AN and MFT interventions to reduce feelings of isolation. As a result, they understand even when I don't say what I think; as one participant said, "Having someone from a third-party label it... makes it much easier to have conversations." additional participants mentioned the importance of "...having a voice from someone else...you need someone else to kind of have an input." Another member of the group remarked, "... we did a role play... we were the parents [okay], and I think that sort of opened it up for a lot of us, sort of actually seeing sort of what it must be like in your parents' perspective..." My perspective changed after receiving </w:t>
      </w:r>
      <w:r w:rsidRPr="00536A82">
        <w:rPr>
          <w:rFonts w:ascii="Arial" w:hAnsi="Arial" w:cs="Arial"/>
          <w:sz w:val="22"/>
        </w:rPr>
        <w:lastRenderedPageBreak/>
        <w:t>treatment. Others report that they can see things from their parent's point of view and that communication within their families has improved. As if the family's scripts or narratives were becoming more malleable due to outside input, this would lend credence to the idea that therapy has helped shift perspectives and allowed the family system to act differently</w:t>
      </w:r>
      <w:r w:rsidR="00B6782E" w:rsidRPr="00536A82">
        <w:rPr>
          <w:rFonts w:ascii="Arial" w:hAnsi="Arial" w:cs="Arial"/>
          <w:sz w:val="22"/>
        </w:rPr>
        <w:t xml:space="preserve"> (Emily </w:t>
      </w:r>
      <w:proofErr w:type="spellStart"/>
      <w:r w:rsidR="00B6782E" w:rsidRPr="00536A82">
        <w:rPr>
          <w:rFonts w:ascii="Arial" w:hAnsi="Arial" w:cs="Arial"/>
          <w:sz w:val="22"/>
        </w:rPr>
        <w:t>Coopey</w:t>
      </w:r>
      <w:proofErr w:type="spellEnd"/>
      <w:r w:rsidR="00B6782E" w:rsidRPr="00536A82">
        <w:rPr>
          <w:rFonts w:ascii="Arial" w:hAnsi="Arial" w:cs="Arial"/>
          <w:sz w:val="22"/>
        </w:rPr>
        <w:t>, and George Johnson, 2022).</w:t>
      </w:r>
    </w:p>
    <w:p w14:paraId="0ADF33BC" w14:textId="518FC26C" w:rsidR="00715D15" w:rsidRPr="00536A82" w:rsidRDefault="00715D15" w:rsidP="00536A82">
      <w:pPr>
        <w:spacing w:line="360" w:lineRule="auto"/>
        <w:jc w:val="both"/>
        <w:rPr>
          <w:rFonts w:ascii="Arial" w:hAnsi="Arial" w:cs="Arial"/>
          <w:sz w:val="22"/>
        </w:rPr>
      </w:pPr>
    </w:p>
    <w:p w14:paraId="7D63753C" w14:textId="04FD34F6" w:rsidR="0012184F" w:rsidRPr="00536A82" w:rsidRDefault="0012184F" w:rsidP="00536A82">
      <w:pPr>
        <w:spacing w:line="360" w:lineRule="auto"/>
        <w:jc w:val="both"/>
        <w:rPr>
          <w:rFonts w:ascii="Arial" w:hAnsi="Arial" w:cs="Arial"/>
          <w:b/>
          <w:bCs/>
          <w:sz w:val="22"/>
        </w:rPr>
      </w:pPr>
      <w:r w:rsidRPr="00536A82">
        <w:rPr>
          <w:rFonts w:ascii="Arial" w:hAnsi="Arial" w:cs="Arial"/>
          <w:b/>
          <w:bCs/>
          <w:sz w:val="22"/>
        </w:rPr>
        <w:t>Taking it forward</w:t>
      </w:r>
    </w:p>
    <w:p w14:paraId="7734FF9A" w14:textId="11FA93BC" w:rsidR="00B6782E" w:rsidRPr="00536A82" w:rsidRDefault="000A1501" w:rsidP="00536A82">
      <w:pPr>
        <w:spacing w:line="360" w:lineRule="auto"/>
        <w:jc w:val="both"/>
        <w:rPr>
          <w:rFonts w:ascii="Arial" w:hAnsi="Arial" w:cs="Arial"/>
          <w:sz w:val="22"/>
        </w:rPr>
      </w:pPr>
      <w:r w:rsidRPr="00536A82">
        <w:rPr>
          <w:rFonts w:ascii="Arial" w:hAnsi="Arial" w:cs="Arial"/>
          <w:sz w:val="22"/>
        </w:rPr>
        <w:t>The young people began to understand what this meant for their families in the long run and how to implement the changes. An outside voice and new perspectives changed the family systems</w:t>
      </w:r>
      <w:r w:rsidR="00B6782E" w:rsidRPr="00536A82">
        <w:rPr>
          <w:rFonts w:ascii="Arial" w:hAnsi="Arial" w:cs="Arial"/>
          <w:sz w:val="22"/>
        </w:rPr>
        <w:t xml:space="preserve"> (Emily </w:t>
      </w:r>
      <w:proofErr w:type="spellStart"/>
      <w:r w:rsidR="00B6782E" w:rsidRPr="00536A82">
        <w:rPr>
          <w:rFonts w:ascii="Arial" w:hAnsi="Arial" w:cs="Arial"/>
          <w:sz w:val="22"/>
        </w:rPr>
        <w:t>Coopey</w:t>
      </w:r>
      <w:proofErr w:type="spellEnd"/>
      <w:r w:rsidR="00B6782E" w:rsidRPr="00536A82">
        <w:rPr>
          <w:rFonts w:ascii="Arial" w:hAnsi="Arial" w:cs="Arial"/>
          <w:sz w:val="22"/>
        </w:rPr>
        <w:t>, and George Johnson, 2022).</w:t>
      </w:r>
    </w:p>
    <w:p w14:paraId="4D295BDE" w14:textId="473EB9FF" w:rsidR="000A1501" w:rsidRPr="00536A82" w:rsidRDefault="000A1501" w:rsidP="00536A82">
      <w:pPr>
        <w:spacing w:line="360" w:lineRule="auto"/>
        <w:jc w:val="both"/>
        <w:rPr>
          <w:rFonts w:ascii="Arial" w:hAnsi="Arial" w:cs="Arial"/>
          <w:sz w:val="22"/>
        </w:rPr>
      </w:pPr>
    </w:p>
    <w:p w14:paraId="4723C334" w14:textId="5D9DCD55" w:rsidR="00F66E1B" w:rsidRPr="00536A82" w:rsidRDefault="00F66E1B" w:rsidP="00536A82">
      <w:pPr>
        <w:tabs>
          <w:tab w:val="left" w:pos="6540"/>
        </w:tabs>
        <w:spacing w:line="360" w:lineRule="auto"/>
        <w:jc w:val="both"/>
        <w:rPr>
          <w:rFonts w:ascii="Arial" w:hAnsi="Arial" w:cs="Arial"/>
          <w:b/>
          <w:bCs/>
          <w:sz w:val="22"/>
        </w:rPr>
      </w:pPr>
      <w:r w:rsidRPr="00536A82">
        <w:rPr>
          <w:rFonts w:ascii="Arial" w:hAnsi="Arial" w:cs="Arial"/>
          <w:b/>
          <w:bCs/>
          <w:sz w:val="22"/>
        </w:rPr>
        <w:lastRenderedPageBreak/>
        <w:t>Recommendations for future policy and health and social care practice</w:t>
      </w:r>
      <w:r w:rsidR="00E011D1" w:rsidRPr="00536A82">
        <w:rPr>
          <w:rFonts w:ascii="Arial" w:hAnsi="Arial" w:cs="Arial"/>
          <w:b/>
          <w:bCs/>
          <w:sz w:val="22"/>
        </w:rPr>
        <w:t>.</w:t>
      </w:r>
    </w:p>
    <w:p w14:paraId="008BB39F" w14:textId="35F3CE19" w:rsidR="003B733F" w:rsidRPr="00536A82" w:rsidRDefault="003B733F" w:rsidP="00536A82">
      <w:p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Anorexia nervosa is a severe mental health disorder that has increased among young adults in the United Kingdom over the past decade. Family-based therapy (FBT) effectively treats anorexia nervosa in young adults. This therapy involves working with the family to support the patient's recovery and improve their overall well-being</w:t>
      </w:r>
      <w:r w:rsidR="007E0924" w:rsidRPr="00536A82">
        <w:rPr>
          <w:rFonts w:ascii="Arial" w:eastAsia="Times New Roman" w:hAnsi="Arial" w:cs="Arial"/>
          <w:color w:val="0E101A"/>
          <w:sz w:val="22"/>
          <w:lang w:eastAsia="en-GB"/>
        </w:rPr>
        <w:t xml:space="preserve"> (psycnet.apa.org, 2023).</w:t>
      </w:r>
      <w:r w:rsidRPr="00536A82">
        <w:rPr>
          <w:rFonts w:ascii="Arial" w:eastAsia="Times New Roman" w:hAnsi="Arial" w:cs="Arial"/>
          <w:color w:val="0E101A"/>
          <w:sz w:val="22"/>
          <w:lang w:eastAsia="en-GB"/>
        </w:rPr>
        <w:t xml:space="preserve"> Based on current research, here are some recommendations for future policy and health and social care practice regarding anorexia nervosa and family therapy in young adults in the United Kingdom:</w:t>
      </w:r>
    </w:p>
    <w:p w14:paraId="0A7696C8" w14:textId="77777777" w:rsidR="003B733F" w:rsidRPr="00536A82" w:rsidRDefault="003B733F" w:rsidP="00536A82">
      <w:pPr>
        <w:numPr>
          <w:ilvl w:val="0"/>
          <w:numId w:val="3"/>
        </w:num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 xml:space="preserve">Early Intervention: Early intervention is crucial in the treatment of anorexia nervosa. This means that healthcare professionals, such as general practitioners and mental health specialists, must be able to identify the early signs of anorexia nervosa and provide prompt intervention. This </w:t>
      </w:r>
      <w:r w:rsidRPr="00536A82">
        <w:rPr>
          <w:rFonts w:ascii="Arial" w:eastAsia="Times New Roman" w:hAnsi="Arial" w:cs="Arial"/>
          <w:color w:val="0E101A"/>
          <w:sz w:val="22"/>
          <w:lang w:eastAsia="en-GB"/>
        </w:rPr>
        <w:lastRenderedPageBreak/>
        <w:t>may involve educating families and caregivers on the warning signs of anorexia nervosa and providing them with resources for support.</w:t>
      </w:r>
    </w:p>
    <w:p w14:paraId="02833D18" w14:textId="654BC695" w:rsidR="003B733F" w:rsidRPr="00536A82" w:rsidRDefault="003B733F" w:rsidP="00536A82">
      <w:pPr>
        <w:numPr>
          <w:ilvl w:val="0"/>
          <w:numId w:val="3"/>
        </w:num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Accessible and Affordable Treatment: The availability of accessible and affordable treatment is essential to the successful treatment of anorexia nervosa. The government should consider investing in mental health services to ensure that patients have access to evidence-based treatment, such as family-based therapy, and that the cost of treatment is not a barrier to care</w:t>
      </w:r>
      <w:r w:rsidR="00F755E8" w:rsidRPr="00536A82">
        <w:rPr>
          <w:rFonts w:ascii="Arial" w:hAnsi="Arial" w:cs="Arial"/>
          <w:sz w:val="22"/>
        </w:rPr>
        <w:t xml:space="preserve"> </w:t>
      </w:r>
      <w:r w:rsidR="00F755E8" w:rsidRPr="00536A82">
        <w:rPr>
          <w:rFonts w:ascii="Arial" w:eastAsia="Times New Roman" w:hAnsi="Arial" w:cs="Arial"/>
          <w:color w:val="0E101A"/>
          <w:sz w:val="22"/>
          <w:lang w:eastAsia="en-GB"/>
        </w:rPr>
        <w:t>(Watson et al., 2019).</w:t>
      </w:r>
    </w:p>
    <w:p w14:paraId="7FCB76CD" w14:textId="7110F8B2" w:rsidR="003B733F" w:rsidRPr="00536A82" w:rsidRDefault="003B733F" w:rsidP="00536A82">
      <w:pPr>
        <w:numPr>
          <w:ilvl w:val="0"/>
          <w:numId w:val="3"/>
        </w:num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 xml:space="preserve">Multidisciplinary Approach: Anorexia nervosa is a complex disorder requiring an interdisciplinary treatment approach. In addition to family-based therapy, patients may benefit from working with dietitians, psychologists, and psychiatrists. The healthcare system should promote collaboration among professionals to provide comprehensive </w:t>
      </w:r>
      <w:r w:rsidRPr="00536A82">
        <w:rPr>
          <w:rFonts w:ascii="Arial" w:eastAsia="Times New Roman" w:hAnsi="Arial" w:cs="Arial"/>
          <w:color w:val="0E101A"/>
          <w:sz w:val="22"/>
          <w:lang w:eastAsia="en-GB"/>
        </w:rPr>
        <w:lastRenderedPageBreak/>
        <w:t>patient care</w:t>
      </w:r>
      <w:r w:rsidR="00856E5B" w:rsidRPr="00536A82">
        <w:rPr>
          <w:rFonts w:ascii="Arial" w:eastAsia="Times New Roman" w:hAnsi="Arial" w:cs="Arial"/>
          <w:color w:val="0E101A"/>
          <w:sz w:val="22"/>
          <w:lang w:eastAsia="en-GB"/>
        </w:rPr>
        <w:t xml:space="preserve"> (National Institute for Health and Care Excellence, 2017).</w:t>
      </w:r>
    </w:p>
    <w:p w14:paraId="3B999E0F" w14:textId="3D5BFBCC" w:rsidR="003B733F" w:rsidRPr="00536A82" w:rsidRDefault="003B733F" w:rsidP="00536A82">
      <w:pPr>
        <w:numPr>
          <w:ilvl w:val="0"/>
          <w:numId w:val="3"/>
        </w:num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Involvement of Family and Caregivers: Family-based therapy involves working with the family and caregivers of the patient to support their recovery. Healthcare professionals should include families and caregivers in the treatment process and provide them with the necessary skills and resources to help their loved ones throughout recovery</w:t>
      </w:r>
      <w:r w:rsidR="00CA5A22" w:rsidRPr="00536A82">
        <w:rPr>
          <w:rFonts w:ascii="Arial" w:hAnsi="Arial" w:cs="Arial"/>
          <w:sz w:val="22"/>
        </w:rPr>
        <w:t xml:space="preserve"> </w:t>
      </w:r>
      <w:r w:rsidR="00CA5A22" w:rsidRPr="00536A82">
        <w:rPr>
          <w:rFonts w:ascii="Arial" w:eastAsia="Times New Roman" w:hAnsi="Arial" w:cs="Arial"/>
          <w:color w:val="0E101A"/>
          <w:sz w:val="22"/>
          <w:lang w:eastAsia="en-GB"/>
        </w:rPr>
        <w:t>(Treasure and Schmidt, 2013).</w:t>
      </w:r>
    </w:p>
    <w:p w14:paraId="0F5176E6" w14:textId="271BD594" w:rsidR="003B733F" w:rsidRPr="00536A82" w:rsidRDefault="003B733F" w:rsidP="00536A82">
      <w:pPr>
        <w:numPr>
          <w:ilvl w:val="0"/>
          <w:numId w:val="3"/>
        </w:num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t>Long-term Follow-up: Anorexia nervosa is a chronic disorder, and patients require long-term follow-up to prevent relapse. Healthcare professionals should provide patients with ongoing support and resources to maintain their recovery and avoid relapse</w:t>
      </w:r>
      <w:r w:rsidR="00856E5B" w:rsidRPr="00536A82">
        <w:rPr>
          <w:rFonts w:ascii="Arial" w:hAnsi="Arial" w:cs="Arial"/>
          <w:sz w:val="22"/>
        </w:rPr>
        <w:t xml:space="preserve"> </w:t>
      </w:r>
      <w:r w:rsidR="00856E5B" w:rsidRPr="00536A82">
        <w:rPr>
          <w:rFonts w:ascii="Arial" w:eastAsia="Times New Roman" w:hAnsi="Arial" w:cs="Arial"/>
          <w:color w:val="0E101A"/>
          <w:sz w:val="22"/>
          <w:lang w:eastAsia="en-GB"/>
        </w:rPr>
        <w:t>(National Institute for Health and Care Excellence, 2017).</w:t>
      </w:r>
    </w:p>
    <w:p w14:paraId="434B1A0A" w14:textId="7B7A4066" w:rsidR="003B733F" w:rsidRPr="00536A82" w:rsidRDefault="003B733F" w:rsidP="00536A82">
      <w:pPr>
        <w:spacing w:after="0" w:line="360" w:lineRule="auto"/>
        <w:jc w:val="both"/>
        <w:rPr>
          <w:rFonts w:ascii="Arial" w:eastAsia="Times New Roman" w:hAnsi="Arial" w:cs="Arial"/>
          <w:color w:val="0E101A"/>
          <w:sz w:val="22"/>
          <w:lang w:eastAsia="en-GB"/>
        </w:rPr>
      </w:pPr>
      <w:r w:rsidRPr="00536A82">
        <w:rPr>
          <w:rFonts w:ascii="Arial" w:eastAsia="Times New Roman" w:hAnsi="Arial" w:cs="Arial"/>
          <w:color w:val="0E101A"/>
          <w:sz w:val="22"/>
          <w:lang w:eastAsia="en-GB"/>
        </w:rPr>
        <w:lastRenderedPageBreak/>
        <w:t>In conclusion, anorexia nervosa is a complex disorder that requires a comprehensive and multidisciplinary approach to treatment. Family-based therapy is an effective treatment for anorexia nervosa in young adults, and healthcare professionals should promote the involvement of families and caregivers in the treatment process. The government should consider investing in mental health services to ensure patients can access evidence-based treatment. Finally, healthcare professionals should provide ongoing support to patients to prevent relapse</w:t>
      </w:r>
      <w:r w:rsidR="00F755E8" w:rsidRPr="00536A82">
        <w:rPr>
          <w:rFonts w:ascii="Arial" w:hAnsi="Arial" w:cs="Arial"/>
          <w:sz w:val="22"/>
        </w:rPr>
        <w:t xml:space="preserve"> </w:t>
      </w:r>
      <w:r w:rsidR="00F755E8" w:rsidRPr="00536A82">
        <w:rPr>
          <w:rFonts w:ascii="Arial" w:eastAsia="Times New Roman" w:hAnsi="Arial" w:cs="Arial"/>
          <w:color w:val="0E101A"/>
          <w:sz w:val="22"/>
          <w:lang w:eastAsia="en-GB"/>
        </w:rPr>
        <w:t>(Watson et al., 2019).</w:t>
      </w:r>
    </w:p>
    <w:p w14:paraId="144BD5D8" w14:textId="1865714B" w:rsidR="00CC55E5" w:rsidRPr="00536A82" w:rsidRDefault="001D7C03" w:rsidP="00536A82">
      <w:pPr>
        <w:tabs>
          <w:tab w:val="left" w:pos="6540"/>
        </w:tabs>
        <w:spacing w:line="360" w:lineRule="auto"/>
        <w:jc w:val="both"/>
        <w:rPr>
          <w:rFonts w:ascii="Arial" w:hAnsi="Arial" w:cs="Arial"/>
          <w:b/>
          <w:bCs/>
          <w:sz w:val="22"/>
        </w:rPr>
      </w:pPr>
      <w:r w:rsidRPr="00536A82">
        <w:rPr>
          <w:rFonts w:ascii="Arial" w:hAnsi="Arial" w:cs="Arial"/>
          <w:b/>
          <w:bCs/>
          <w:sz w:val="22"/>
        </w:rPr>
        <w:t>Importance of the findings</w:t>
      </w:r>
      <w:r w:rsidR="003E4ECF" w:rsidRPr="00536A82">
        <w:rPr>
          <w:rFonts w:ascii="Arial" w:hAnsi="Arial" w:cs="Arial"/>
          <w:b/>
          <w:bCs/>
          <w:sz w:val="22"/>
        </w:rPr>
        <w:t xml:space="preserve"> for health and social care</w:t>
      </w:r>
    </w:p>
    <w:p w14:paraId="14C82A19" w14:textId="77777777" w:rsidR="00CC55E5" w:rsidRPr="00536A82" w:rsidRDefault="003E4ECF" w:rsidP="00536A82">
      <w:pPr>
        <w:tabs>
          <w:tab w:val="left" w:pos="6540"/>
        </w:tabs>
        <w:spacing w:line="360" w:lineRule="auto"/>
        <w:jc w:val="both"/>
        <w:rPr>
          <w:rFonts w:ascii="Arial" w:hAnsi="Arial" w:cs="Arial"/>
          <w:sz w:val="22"/>
        </w:rPr>
      </w:pPr>
      <w:r w:rsidRPr="00536A82">
        <w:rPr>
          <w:rFonts w:ascii="Arial" w:hAnsi="Arial" w:cs="Arial"/>
          <w:sz w:val="22"/>
        </w:rPr>
        <w:t xml:space="preserve"> </w:t>
      </w:r>
      <w:r w:rsidR="00CC55E5" w:rsidRPr="00536A82">
        <w:rPr>
          <w:rFonts w:ascii="Arial" w:hAnsi="Arial" w:cs="Arial"/>
          <w:sz w:val="22"/>
        </w:rPr>
        <w:t xml:space="preserve">Young adults with anorexia nervosa benefit from family therapy. Family therapy involves anorexics and their families. It improves family communication and addresses the psychological and emotional causes of the disorder. Family therapy improves weight gain, eating behaviour, and psychological well-being in </w:t>
      </w:r>
      <w:r w:rsidR="00CC55E5" w:rsidRPr="00536A82">
        <w:rPr>
          <w:rFonts w:ascii="Arial" w:hAnsi="Arial" w:cs="Arial"/>
          <w:sz w:val="22"/>
        </w:rPr>
        <w:lastRenderedPageBreak/>
        <w:t>anorexia nervosa patients (National Institute for Health and Care Excellence, 2017).</w:t>
      </w:r>
    </w:p>
    <w:p w14:paraId="5E03AF63" w14:textId="77777777" w:rsidR="00CC55E5" w:rsidRPr="00536A82" w:rsidRDefault="00CC55E5" w:rsidP="00536A82">
      <w:pPr>
        <w:tabs>
          <w:tab w:val="left" w:pos="6540"/>
        </w:tabs>
        <w:spacing w:line="360" w:lineRule="auto"/>
        <w:jc w:val="both"/>
        <w:rPr>
          <w:rFonts w:ascii="Arial" w:hAnsi="Arial" w:cs="Arial"/>
          <w:sz w:val="22"/>
        </w:rPr>
      </w:pPr>
      <w:r w:rsidRPr="00536A82">
        <w:rPr>
          <w:rFonts w:ascii="Arial" w:hAnsi="Arial" w:cs="Arial"/>
          <w:sz w:val="22"/>
        </w:rPr>
        <w:t>Family therapy is the first-line treatment for young adults with anorexia nervosa in the UK (NICE, 2017). A physician, dietitian, psychologist, and other healthcare professionals should treat anorexia nervosa patients, according to NICE. This team-based approach to anorexia nervosa treatment addresses physical, psychological, and social needs.</w:t>
      </w:r>
    </w:p>
    <w:p w14:paraId="07474FD3" w14:textId="4E6C4C8B" w:rsidR="00B87E75" w:rsidRPr="00536A82" w:rsidRDefault="00CC55E5" w:rsidP="00536A82">
      <w:pPr>
        <w:tabs>
          <w:tab w:val="left" w:pos="6540"/>
        </w:tabs>
        <w:spacing w:line="360" w:lineRule="auto"/>
        <w:jc w:val="both"/>
        <w:rPr>
          <w:rFonts w:ascii="Arial" w:hAnsi="Arial" w:cs="Arial"/>
          <w:b/>
          <w:bCs/>
          <w:sz w:val="22"/>
        </w:rPr>
      </w:pPr>
      <w:r w:rsidRPr="00536A82">
        <w:rPr>
          <w:rFonts w:ascii="Arial" w:hAnsi="Arial" w:cs="Arial"/>
          <w:sz w:val="22"/>
        </w:rPr>
        <w:t>UK health and social care policies must prioritise anorexia nervosa and other eating disorders. This includes providing evidence-based treatments like family therapy to those who need them. It also promotes early intervention and awareness of eating disorder symptoms. The UK can reduce anorexia nervosa mortality by prioritising eating disorder treatment</w:t>
      </w:r>
      <w:r w:rsidRPr="00536A82">
        <w:rPr>
          <w:rFonts w:ascii="Arial" w:hAnsi="Arial" w:cs="Arial"/>
          <w:b/>
          <w:bCs/>
          <w:sz w:val="22"/>
        </w:rPr>
        <w:t>.</w:t>
      </w:r>
    </w:p>
    <w:p w14:paraId="596135D9" w14:textId="5C0F3505" w:rsidR="001D7C03" w:rsidRPr="00536A82" w:rsidRDefault="003E4ECF" w:rsidP="00536A82">
      <w:pPr>
        <w:tabs>
          <w:tab w:val="left" w:pos="6540"/>
        </w:tabs>
        <w:spacing w:line="360" w:lineRule="auto"/>
        <w:jc w:val="both"/>
        <w:rPr>
          <w:rFonts w:ascii="Arial" w:hAnsi="Arial" w:cs="Arial"/>
          <w:b/>
          <w:bCs/>
          <w:sz w:val="22"/>
        </w:rPr>
      </w:pPr>
      <w:r w:rsidRPr="00536A82">
        <w:rPr>
          <w:rFonts w:ascii="Arial" w:hAnsi="Arial" w:cs="Arial"/>
          <w:b/>
          <w:bCs/>
          <w:sz w:val="22"/>
        </w:rPr>
        <w:t xml:space="preserve">Limitations </w:t>
      </w:r>
    </w:p>
    <w:p w14:paraId="10A54B69" w14:textId="705FD83E" w:rsidR="00142855" w:rsidRPr="00536A82" w:rsidRDefault="00A81394" w:rsidP="00536A82">
      <w:pPr>
        <w:tabs>
          <w:tab w:val="left" w:pos="6540"/>
        </w:tabs>
        <w:spacing w:line="360" w:lineRule="auto"/>
        <w:jc w:val="both"/>
        <w:rPr>
          <w:rFonts w:ascii="Arial" w:hAnsi="Arial" w:cs="Arial"/>
          <w:sz w:val="22"/>
        </w:rPr>
      </w:pPr>
      <w:r w:rsidRPr="00536A82">
        <w:rPr>
          <w:rFonts w:ascii="Arial" w:hAnsi="Arial" w:cs="Arial"/>
          <w:sz w:val="22"/>
        </w:rPr>
        <w:lastRenderedPageBreak/>
        <w:t>Even though</w:t>
      </w:r>
      <w:r w:rsidR="00587C6F" w:rsidRPr="00536A82">
        <w:rPr>
          <w:rFonts w:ascii="Arial" w:hAnsi="Arial" w:cs="Arial"/>
          <w:sz w:val="22"/>
        </w:rPr>
        <w:t xml:space="preserve"> family therapy was a keyword, it received less attention than other types of therapy. This may be due to a number of factors, including cultural differences, misunderstandings among family members, and reluctance on the part of families to become involved. Anorexia is more often viewed as a medical condition and treated with pharmaceuticals than therapy.</w:t>
      </w:r>
    </w:p>
    <w:p w14:paraId="16FAF0EA" w14:textId="451AD53D" w:rsidR="00B87E75" w:rsidRPr="00536A82" w:rsidRDefault="004A736E" w:rsidP="00536A82">
      <w:pPr>
        <w:pStyle w:val="Heading1"/>
      </w:pPr>
      <w:bookmarkStart w:id="9" w:name="_Toc134008088"/>
      <w:r w:rsidRPr="00536A82">
        <w:t>6</w:t>
      </w:r>
      <w:r w:rsidR="00B87E75" w:rsidRPr="00536A82">
        <w:t>. Conclusion</w:t>
      </w:r>
      <w:bookmarkEnd w:id="9"/>
    </w:p>
    <w:p w14:paraId="40897D90" w14:textId="216F0EF2" w:rsidR="006F5F2C" w:rsidRPr="00536A82" w:rsidRDefault="00AB1507" w:rsidP="00536A82">
      <w:pPr>
        <w:spacing w:line="360" w:lineRule="auto"/>
        <w:jc w:val="both"/>
        <w:rPr>
          <w:rFonts w:ascii="Arial" w:hAnsi="Arial" w:cs="Arial"/>
          <w:sz w:val="22"/>
        </w:rPr>
      </w:pPr>
      <w:r w:rsidRPr="00536A82">
        <w:rPr>
          <w:rFonts w:ascii="Arial" w:hAnsi="Arial" w:cs="Arial"/>
          <w:sz w:val="22"/>
        </w:rPr>
        <w:t xml:space="preserve">In order to evaluate current eating disorder interventions and therapies, this literature review considered the perspectives of those with eating disorders and their loved ones. The study examined two themes: perceptions of current treatment options and their efficacy, factors affecting treatment outcomes, and strategies for improving treatment effectiveness. Many eating disorder sufferers are dissatisfied with current treatment options and have trouble getting the right care, according to the findings. Eating disorder patients benefited from CBT, DBT, and </w:t>
      </w:r>
      <w:r w:rsidRPr="00536A82">
        <w:rPr>
          <w:rFonts w:ascii="Arial" w:hAnsi="Arial" w:cs="Arial"/>
          <w:sz w:val="22"/>
        </w:rPr>
        <w:lastRenderedPageBreak/>
        <w:t>family-based therapies. However, stigma, social support, and co-occurring illnesses can affect therapy success. Based on the study's findings, culturally appropriate treatment programmes, eating disorder care expansion, and evidence-based therapies in clinical practice are recommended.</w:t>
      </w:r>
    </w:p>
    <w:p w14:paraId="044437E9" w14:textId="77777777" w:rsidR="006F5F2C" w:rsidRPr="00536A82" w:rsidRDefault="006F5F2C" w:rsidP="00536A82">
      <w:pPr>
        <w:spacing w:line="360" w:lineRule="auto"/>
        <w:jc w:val="both"/>
        <w:rPr>
          <w:rFonts w:ascii="Arial" w:hAnsi="Arial" w:cs="Arial"/>
          <w:sz w:val="22"/>
        </w:rPr>
      </w:pPr>
    </w:p>
    <w:p w14:paraId="33F8F0BD" w14:textId="39FCE1BA" w:rsidR="00B87E75" w:rsidRPr="00974D61" w:rsidRDefault="00B87E75" w:rsidP="00974D61">
      <w:pPr>
        <w:pStyle w:val="Heading1"/>
      </w:pPr>
      <w:bookmarkStart w:id="10" w:name="_Toc134008089"/>
      <w:r w:rsidRPr="00974D61">
        <w:t>References</w:t>
      </w:r>
      <w:bookmarkEnd w:id="10"/>
    </w:p>
    <w:p w14:paraId="57CFF24C" w14:textId="77777777" w:rsidR="00685A33" w:rsidRDefault="00685A33" w:rsidP="00434953">
      <w:pPr>
        <w:pStyle w:val="NormalWeb"/>
        <w:spacing w:before="0" w:beforeAutospacing="0" w:after="240" w:afterAutospacing="0" w:line="360" w:lineRule="auto"/>
      </w:pPr>
      <w:r>
        <w:t xml:space="preserve">Adult Eating Disorders: Community, Inpatient and Intensive Day Patient Care Guidance for commissioners and providers. (2023). Available at: </w:t>
      </w:r>
      <w:hyperlink r:id="rId10" w:history="1">
        <w:r w:rsidRPr="002C7714">
          <w:rPr>
            <w:rStyle w:val="Hyperlink"/>
          </w:rPr>
          <w:t>https://www.england.nhs.uk/wp-content/uploads/2019/08/aed-guidance.pdf</w:t>
        </w:r>
      </w:hyperlink>
      <w:r>
        <w:t>.</w:t>
      </w:r>
    </w:p>
    <w:p w14:paraId="5F8F2B58" w14:textId="77777777" w:rsidR="00685A33" w:rsidRDefault="00685A33" w:rsidP="00F96DD5">
      <w:proofErr w:type="spellStart"/>
      <w:r w:rsidRPr="00AF4970">
        <w:t>Agh</w:t>
      </w:r>
      <w:proofErr w:type="spellEnd"/>
      <w:r w:rsidRPr="00AF4970">
        <w:t xml:space="preserve">, T., </w:t>
      </w:r>
      <w:proofErr w:type="spellStart"/>
      <w:r w:rsidRPr="00AF4970">
        <w:t>Kovács</w:t>
      </w:r>
      <w:proofErr w:type="spellEnd"/>
      <w:r w:rsidRPr="00AF4970">
        <w:t xml:space="preserve">, G., </w:t>
      </w:r>
      <w:proofErr w:type="spellStart"/>
      <w:r w:rsidRPr="00AF4970">
        <w:t>Pawaskar</w:t>
      </w:r>
      <w:proofErr w:type="spellEnd"/>
      <w:r w:rsidRPr="00AF4970">
        <w:t xml:space="preserve">, M., </w:t>
      </w:r>
      <w:proofErr w:type="spellStart"/>
      <w:r w:rsidRPr="00AF4970">
        <w:t>Supina</w:t>
      </w:r>
      <w:proofErr w:type="spellEnd"/>
      <w:r w:rsidRPr="00AF4970">
        <w:t xml:space="preserve">, D., </w:t>
      </w:r>
      <w:proofErr w:type="spellStart"/>
      <w:r w:rsidRPr="00AF4970">
        <w:t>Inotai</w:t>
      </w:r>
      <w:proofErr w:type="spellEnd"/>
      <w:r w:rsidRPr="00AF4970">
        <w:t xml:space="preserve">, A. and </w:t>
      </w:r>
      <w:proofErr w:type="spellStart"/>
      <w:r w:rsidRPr="00AF4970">
        <w:t>Vokó</w:t>
      </w:r>
      <w:proofErr w:type="spellEnd"/>
      <w:r w:rsidRPr="00AF4970">
        <w:t>, Z., 2015. Epidemiology, health-related quality of life and economic burden of binge eating disorder: a systematic litera</w:t>
      </w:r>
      <w:r w:rsidRPr="00AF4970">
        <w:lastRenderedPageBreak/>
        <w:t>ture review. </w:t>
      </w:r>
      <w:r w:rsidRPr="00AF4970">
        <w:rPr>
          <w:i/>
          <w:iCs/>
        </w:rPr>
        <w:t>Eating and Weight Disorders-Studies on Anorexia, Bulimia and Obesity</w:t>
      </w:r>
      <w:r w:rsidRPr="00AF4970">
        <w:t>, </w:t>
      </w:r>
      <w:r w:rsidRPr="00AF4970">
        <w:rPr>
          <w:i/>
          <w:iCs/>
        </w:rPr>
        <w:t>20</w:t>
      </w:r>
      <w:r w:rsidRPr="00AF4970">
        <w:t>, pp.1-12.</w:t>
      </w:r>
    </w:p>
    <w:p w14:paraId="127EB1BA" w14:textId="77777777" w:rsidR="00685A33" w:rsidRDefault="00685A33" w:rsidP="00395E5B">
      <w:pPr>
        <w:pStyle w:val="NormalWeb"/>
        <w:spacing w:before="0" w:beforeAutospacing="0" w:after="240" w:afterAutospacing="0" w:line="360" w:lineRule="auto"/>
      </w:pPr>
      <w:r>
        <w:t xml:space="preserve"> Batchelor, R., </w:t>
      </w:r>
      <w:proofErr w:type="spellStart"/>
      <w:r>
        <w:t>Cribben</w:t>
      </w:r>
      <w:proofErr w:type="spellEnd"/>
      <w:r>
        <w:t xml:space="preserve">, H., Macdonald, P., Treasure, J., </w:t>
      </w:r>
      <w:proofErr w:type="spellStart"/>
      <w:r>
        <w:t>Cini</w:t>
      </w:r>
      <w:proofErr w:type="spellEnd"/>
      <w:r>
        <w:t xml:space="preserve">, E., Nicholls, D. and Kan, C. (2022). The experiential perspectives of siblings and partners caring for a loved one with an eating disorder in the UK. </w:t>
      </w:r>
      <w:proofErr w:type="spellStart"/>
      <w:r>
        <w:rPr>
          <w:i/>
          <w:iCs/>
        </w:rPr>
        <w:t>BJPsych</w:t>
      </w:r>
      <w:proofErr w:type="spellEnd"/>
      <w:r>
        <w:rPr>
          <w:i/>
          <w:iCs/>
        </w:rPr>
        <w:t xml:space="preserve"> Open</w:t>
      </w:r>
      <w:r>
        <w:t xml:space="preserve">, [online] 8(2). </w:t>
      </w:r>
      <w:proofErr w:type="spellStart"/>
      <w:r>
        <w:t>doi:https</w:t>
      </w:r>
      <w:proofErr w:type="spellEnd"/>
      <w:r>
        <w:t>://doi.org/10.1192/bjo.2022.43.</w:t>
      </w:r>
    </w:p>
    <w:p w14:paraId="2174EF7C" w14:textId="77777777" w:rsidR="00685A33" w:rsidRDefault="00685A33" w:rsidP="00F96DD5">
      <w:r w:rsidRPr="00814835">
        <w:t xml:space="preserve">Batchelor, R., </w:t>
      </w:r>
      <w:proofErr w:type="spellStart"/>
      <w:r w:rsidRPr="00814835">
        <w:t>Cribben</w:t>
      </w:r>
      <w:proofErr w:type="spellEnd"/>
      <w:r w:rsidRPr="00814835">
        <w:t xml:space="preserve">, H., Macdonald, P., Treasure, J., </w:t>
      </w:r>
      <w:proofErr w:type="spellStart"/>
      <w:r w:rsidRPr="00814835">
        <w:t>Cini</w:t>
      </w:r>
      <w:proofErr w:type="spellEnd"/>
      <w:r w:rsidRPr="00814835">
        <w:t>, E., Nicholls, D. and Kan, C., 2022. The experiential perspectives of siblings and partners caring for a loved one with an eating disorder in the UK. </w:t>
      </w:r>
      <w:proofErr w:type="spellStart"/>
      <w:r w:rsidRPr="00814835">
        <w:rPr>
          <w:i/>
          <w:iCs/>
        </w:rPr>
        <w:t>BJPsych</w:t>
      </w:r>
      <w:proofErr w:type="spellEnd"/>
      <w:r w:rsidRPr="00814835">
        <w:rPr>
          <w:i/>
          <w:iCs/>
        </w:rPr>
        <w:t xml:space="preserve"> Open</w:t>
      </w:r>
      <w:r w:rsidRPr="00814835">
        <w:t>, </w:t>
      </w:r>
      <w:r w:rsidRPr="00814835">
        <w:rPr>
          <w:i/>
          <w:iCs/>
        </w:rPr>
        <w:t>8</w:t>
      </w:r>
      <w:r w:rsidRPr="00814835">
        <w:t>(2), p.e76.</w:t>
      </w:r>
    </w:p>
    <w:p w14:paraId="1E142364" w14:textId="77777777" w:rsidR="00685A33" w:rsidRDefault="00685A33" w:rsidP="00F96DD5">
      <w:proofErr w:type="spellStart"/>
      <w:r w:rsidRPr="00814835">
        <w:t>Bezance</w:t>
      </w:r>
      <w:proofErr w:type="spellEnd"/>
      <w:r w:rsidRPr="00814835">
        <w:t>, J. and Holliday, J., 2013. Adolescents with anorexia nervosa have their say: a review of qualitative studies on treatment and recovery from anorexia nervosa. </w:t>
      </w:r>
      <w:r w:rsidRPr="00814835">
        <w:rPr>
          <w:i/>
          <w:iCs/>
        </w:rPr>
        <w:t>European Eating Disorders Review</w:t>
      </w:r>
      <w:r w:rsidRPr="00814835">
        <w:t>, </w:t>
      </w:r>
      <w:r w:rsidRPr="00814835">
        <w:rPr>
          <w:i/>
          <w:iCs/>
        </w:rPr>
        <w:t>21</w:t>
      </w:r>
      <w:r w:rsidRPr="00814835">
        <w:t>(5), pp.352-360.</w:t>
      </w:r>
    </w:p>
    <w:p w14:paraId="059E87C7" w14:textId="77777777" w:rsidR="00685A33" w:rsidRDefault="00685A33" w:rsidP="00F96DD5">
      <w:proofErr w:type="spellStart"/>
      <w:r w:rsidRPr="00814835">
        <w:t>Brelet</w:t>
      </w:r>
      <w:proofErr w:type="spellEnd"/>
      <w:r w:rsidRPr="00814835">
        <w:t xml:space="preserve">, L., </w:t>
      </w:r>
      <w:proofErr w:type="spellStart"/>
      <w:r w:rsidRPr="00814835">
        <w:t>Flaudias</w:t>
      </w:r>
      <w:proofErr w:type="spellEnd"/>
      <w:r w:rsidRPr="00814835">
        <w:t xml:space="preserve">, V., </w:t>
      </w:r>
      <w:proofErr w:type="spellStart"/>
      <w:r w:rsidRPr="00814835">
        <w:t>Désert</w:t>
      </w:r>
      <w:proofErr w:type="spellEnd"/>
      <w:r w:rsidRPr="00814835">
        <w:t xml:space="preserve">, M., Guillaume, S., </w:t>
      </w:r>
      <w:proofErr w:type="spellStart"/>
      <w:r w:rsidRPr="00814835">
        <w:t>Llorca</w:t>
      </w:r>
      <w:proofErr w:type="spellEnd"/>
      <w:r w:rsidRPr="00814835">
        <w:t xml:space="preserve">, P.M. and </w:t>
      </w:r>
      <w:proofErr w:type="spellStart"/>
      <w:r w:rsidRPr="00814835">
        <w:t>Boirie</w:t>
      </w:r>
      <w:proofErr w:type="spellEnd"/>
      <w:r w:rsidRPr="00814835">
        <w:t>, Y., 2021. Stigmatization toward People with Ano</w:t>
      </w:r>
      <w:r w:rsidRPr="00814835">
        <w:lastRenderedPageBreak/>
        <w:t>rexia Nervosa, Bulimia Nervosa, and binge eating disorder: a scoping review. </w:t>
      </w:r>
      <w:r w:rsidRPr="00814835">
        <w:rPr>
          <w:i/>
          <w:iCs/>
        </w:rPr>
        <w:t>Nutrients</w:t>
      </w:r>
      <w:r w:rsidRPr="00814835">
        <w:t>, </w:t>
      </w:r>
      <w:r w:rsidRPr="00814835">
        <w:rPr>
          <w:i/>
          <w:iCs/>
        </w:rPr>
        <w:t>13</w:t>
      </w:r>
      <w:r w:rsidRPr="00814835">
        <w:t>(8), p.2834.</w:t>
      </w:r>
    </w:p>
    <w:p w14:paraId="2DCB859B" w14:textId="77777777" w:rsidR="00685A33" w:rsidRDefault="00685A33" w:rsidP="00F96DD5">
      <w:r w:rsidRPr="00AF4970">
        <w:t>Gale, C., Gilbert, P., Read, N. and Goss, K., 2014. An evaluation of the impact of introducing compassion focused therapy to a standard treatment programme for people with eating disorders. </w:t>
      </w:r>
      <w:r w:rsidRPr="00AF4970">
        <w:rPr>
          <w:i/>
          <w:iCs/>
        </w:rPr>
        <w:t>Clinical psychology &amp; psychotherapy</w:t>
      </w:r>
      <w:r w:rsidRPr="00AF4970">
        <w:t>, </w:t>
      </w:r>
      <w:r w:rsidRPr="00AF4970">
        <w:rPr>
          <w:i/>
          <w:iCs/>
        </w:rPr>
        <w:t>21</w:t>
      </w:r>
      <w:r w:rsidRPr="00AF4970">
        <w:t>(1), pp.1-12.</w:t>
      </w:r>
    </w:p>
    <w:p w14:paraId="73D15A81" w14:textId="77777777" w:rsidR="00685A33" w:rsidRDefault="00685A33" w:rsidP="00F96DD5">
      <w:r w:rsidRPr="00814835">
        <w:t xml:space="preserve">Gale, C.R., Cooper, C. and </w:t>
      </w:r>
      <w:proofErr w:type="spellStart"/>
      <w:r w:rsidRPr="00814835">
        <w:t>Aihie</w:t>
      </w:r>
      <w:proofErr w:type="spellEnd"/>
      <w:r w:rsidRPr="00814835">
        <w:t xml:space="preserve"> Sayer, A., 2014. Prevalence of frailty and disability: findings from the English Longitudinal Study of Ageing. </w:t>
      </w:r>
      <w:r w:rsidRPr="00814835">
        <w:rPr>
          <w:i/>
          <w:iCs/>
        </w:rPr>
        <w:t>Age and ageing</w:t>
      </w:r>
      <w:r w:rsidRPr="00814835">
        <w:t>, </w:t>
      </w:r>
      <w:r w:rsidRPr="00814835">
        <w:rPr>
          <w:i/>
          <w:iCs/>
        </w:rPr>
        <w:t>44</w:t>
      </w:r>
      <w:r w:rsidRPr="00814835">
        <w:t>(1), pp.162-165.</w:t>
      </w:r>
    </w:p>
    <w:p w14:paraId="418A06D7" w14:textId="77777777" w:rsidR="00685A33" w:rsidRDefault="00685A33" w:rsidP="0000437F">
      <w:pPr>
        <w:pStyle w:val="NormalWeb"/>
        <w:spacing w:before="0" w:beforeAutospacing="0" w:after="240" w:afterAutospacing="0" w:line="360" w:lineRule="auto"/>
      </w:pPr>
      <w:r>
        <w:t xml:space="preserve">Jenkins, J. and Ogden, J. (2011). Becoming ‘whole’ again: A qualitative study of women’s views of recovering from anorexia nervosa. </w:t>
      </w:r>
      <w:r>
        <w:rPr>
          <w:i/>
          <w:iCs/>
        </w:rPr>
        <w:t>European Eating Disorders Review</w:t>
      </w:r>
      <w:r>
        <w:t xml:space="preserve">, 20(1), pp.e23–e31. </w:t>
      </w:r>
      <w:proofErr w:type="spellStart"/>
      <w:r>
        <w:t>doi:https</w:t>
      </w:r>
      <w:proofErr w:type="spellEnd"/>
      <w:r>
        <w:t>://doi.org/10.1002/erv.1085.</w:t>
      </w:r>
    </w:p>
    <w:p w14:paraId="6735493C" w14:textId="77777777" w:rsidR="00685A33" w:rsidRDefault="00685A33" w:rsidP="00716959">
      <w:pPr>
        <w:pStyle w:val="NormalWeb"/>
        <w:spacing w:before="0" w:beforeAutospacing="0" w:after="240" w:afterAutospacing="0" w:line="360" w:lineRule="auto"/>
      </w:pPr>
      <w:r>
        <w:t xml:space="preserve">Jones, W.R., </w:t>
      </w:r>
      <w:proofErr w:type="spellStart"/>
      <w:r>
        <w:t>Saeidi</w:t>
      </w:r>
      <w:proofErr w:type="spellEnd"/>
      <w:r>
        <w:t xml:space="preserve">, S. and Morgan, J.F. (2012). Knowledge and Attitudes of Psychiatrists Towards Eating Disorders. </w:t>
      </w:r>
      <w:r>
        <w:rPr>
          <w:i/>
          <w:iCs/>
        </w:rPr>
        <w:t xml:space="preserve">European </w:t>
      </w:r>
      <w:r>
        <w:rPr>
          <w:i/>
          <w:iCs/>
        </w:rPr>
        <w:lastRenderedPageBreak/>
        <w:t>Eating Disorders Review</w:t>
      </w:r>
      <w:r>
        <w:t xml:space="preserve">, 21(1), pp.84–88. </w:t>
      </w:r>
      <w:proofErr w:type="spellStart"/>
      <w:r>
        <w:t>doi:https</w:t>
      </w:r>
      <w:proofErr w:type="spellEnd"/>
      <w:r>
        <w:t>://doi.org/10.1002/erv.2155.</w:t>
      </w:r>
    </w:p>
    <w:p w14:paraId="0247688E" w14:textId="77777777" w:rsidR="00685A33" w:rsidRDefault="00685A33" w:rsidP="00CC747C">
      <w:pPr>
        <w:pStyle w:val="NormalWeb"/>
        <w:spacing w:before="0" w:beforeAutospacing="0" w:after="240" w:afterAutospacing="0" w:line="360" w:lineRule="auto"/>
      </w:pPr>
      <w:r>
        <w:t xml:space="preserve">Le Grange, D., Lock, J., Loeb, K. and Nicholls, D. (2023). Academy for eating disorders position paper: The role of the family in eating disorders. </w:t>
      </w:r>
      <w:r>
        <w:rPr>
          <w:i/>
          <w:iCs/>
        </w:rPr>
        <w:t>International Journal of Eating Disorders</w:t>
      </w:r>
      <w:r>
        <w:t xml:space="preserve">, 43(1), p.NA-NA. </w:t>
      </w:r>
      <w:proofErr w:type="spellStart"/>
      <w:r>
        <w:t>doi:https</w:t>
      </w:r>
      <w:proofErr w:type="spellEnd"/>
      <w:r>
        <w:t>://doi.org/10.1002/eat.20751.</w:t>
      </w:r>
    </w:p>
    <w:p w14:paraId="0882B654" w14:textId="77777777" w:rsidR="00685A33" w:rsidRDefault="00685A33" w:rsidP="0037656F">
      <w:pPr>
        <w:pStyle w:val="NormalWeb"/>
        <w:spacing w:before="0" w:beforeAutospacing="0" w:after="240" w:afterAutospacing="0" w:line="360" w:lineRule="auto"/>
      </w:pPr>
      <w:r>
        <w:t xml:space="preserve">MacKey, B. (2021). </w:t>
      </w:r>
      <w:r>
        <w:rPr>
          <w:i/>
          <w:iCs/>
        </w:rPr>
        <w:t>Eating disorder statistics UK - Rehab 4 Addiction</w:t>
      </w:r>
      <w:r>
        <w:t>. [online] www.rehab4addiction.co.uk. Available at: https://www.rehab4addiction.co.uk/blog/eating-disorder-statistics-uk# [Accessed 14 Mar. 2023].</w:t>
      </w:r>
    </w:p>
    <w:p w14:paraId="1999647A" w14:textId="77777777" w:rsidR="00685A33" w:rsidRDefault="00685A33" w:rsidP="0037656F">
      <w:pPr>
        <w:pStyle w:val="NormalWeb"/>
        <w:spacing w:before="0" w:beforeAutospacing="0" w:after="240" w:afterAutospacing="0" w:line="360" w:lineRule="auto"/>
      </w:pPr>
      <w:proofErr w:type="spellStart"/>
      <w:r>
        <w:t>Mitrofan</w:t>
      </w:r>
      <w:proofErr w:type="spellEnd"/>
      <w:r>
        <w:t xml:space="preserve">, O., </w:t>
      </w:r>
      <w:proofErr w:type="spellStart"/>
      <w:r>
        <w:t>Petkova</w:t>
      </w:r>
      <w:proofErr w:type="spellEnd"/>
      <w:r>
        <w:t xml:space="preserve">, H., Janssens, A., Kelly, J., Edwards, E., Nicholls, D., McNicholas, F., </w:t>
      </w:r>
      <w:proofErr w:type="spellStart"/>
      <w:r>
        <w:t>Simic</w:t>
      </w:r>
      <w:proofErr w:type="spellEnd"/>
      <w:r>
        <w:t xml:space="preserve">, M., Eisler, I., Ford, T. and Byford, S. (2019). Care experiences of young people with eating disorders and their parents: qualitative study. </w:t>
      </w:r>
      <w:proofErr w:type="spellStart"/>
      <w:r>
        <w:rPr>
          <w:i/>
          <w:iCs/>
        </w:rPr>
        <w:t>BJPsych</w:t>
      </w:r>
      <w:proofErr w:type="spellEnd"/>
      <w:r>
        <w:rPr>
          <w:i/>
          <w:iCs/>
        </w:rPr>
        <w:t xml:space="preserve"> Open</w:t>
      </w:r>
      <w:r>
        <w:t xml:space="preserve">, </w:t>
      </w:r>
      <w:r>
        <w:lastRenderedPageBreak/>
        <w:t xml:space="preserve">[online] 5(1). Available at: </w:t>
      </w:r>
      <w:hyperlink r:id="rId11" w:history="1">
        <w:r w:rsidRPr="00E03F1E">
          <w:rPr>
            <w:rStyle w:val="Hyperlink"/>
          </w:rPr>
          <w:t>https://www.ncbi.nlm.nih.gov/pmc/articles/PMC6343117/</w:t>
        </w:r>
      </w:hyperlink>
      <w:r>
        <w:t>.</w:t>
      </w:r>
    </w:p>
    <w:p w14:paraId="2CB04A05" w14:textId="77777777" w:rsidR="00685A33" w:rsidRDefault="00685A33" w:rsidP="0037656F">
      <w:pPr>
        <w:pStyle w:val="NormalWeb"/>
        <w:spacing w:before="0" w:beforeAutospacing="0" w:after="240" w:afterAutospacing="0" w:line="360" w:lineRule="auto"/>
      </w:pPr>
      <w:r>
        <w:t xml:space="preserve">National Health Service (2021). </w:t>
      </w:r>
      <w:r>
        <w:rPr>
          <w:i/>
          <w:iCs/>
        </w:rPr>
        <w:t>Overview - Anorexia</w:t>
      </w:r>
      <w:r>
        <w:t>. [online] nhs.uk. Available at: https://www.nhs.uk/mental-health/conditions/anorexia/overview/ [Accessed 14 Mar. 2023].</w:t>
      </w:r>
    </w:p>
    <w:p w14:paraId="021464C5" w14:textId="77777777" w:rsidR="00685A33" w:rsidRDefault="00685A33" w:rsidP="0023444A">
      <w:pPr>
        <w:pStyle w:val="NormalWeb"/>
        <w:spacing w:before="0" w:beforeAutospacing="0" w:after="240" w:afterAutospacing="0" w:line="360" w:lineRule="auto"/>
      </w:pPr>
      <w:r>
        <w:t xml:space="preserve">NHS England (2023). </w:t>
      </w:r>
      <w:r>
        <w:rPr>
          <w:i/>
          <w:iCs/>
        </w:rPr>
        <w:t>NHS England» We are the NHS: People Plan for 2020/2021 – action for us all</w:t>
      </w:r>
      <w:r>
        <w:t>. [online] www.england.nhs.uk. Available at: https://www.england.nhs.uk/ournhspeople/ [Accessed 18 Apr. 2023].</w:t>
      </w:r>
    </w:p>
    <w:p w14:paraId="636A8536" w14:textId="77777777" w:rsidR="00685A33" w:rsidRDefault="00685A33" w:rsidP="0017405C">
      <w:pPr>
        <w:pStyle w:val="NormalWeb"/>
        <w:spacing w:before="0" w:beforeAutospacing="0" w:after="240" w:afterAutospacing="0" w:line="360" w:lineRule="auto"/>
      </w:pPr>
      <w:r>
        <w:t xml:space="preserve">psycnet.apa.org. (2023). </w:t>
      </w:r>
      <w:r>
        <w:rPr>
          <w:i/>
          <w:iCs/>
        </w:rPr>
        <w:t xml:space="preserve">APA </w:t>
      </w:r>
      <w:proofErr w:type="spellStart"/>
      <w:r>
        <w:rPr>
          <w:i/>
          <w:iCs/>
        </w:rPr>
        <w:t>PsycNet</w:t>
      </w:r>
      <w:proofErr w:type="spellEnd"/>
      <w:r>
        <w:t>. [online] Available at: https://psycnet.apa.org/record/2012-22461-000 [Accessed 18 Apr. 2023].</w:t>
      </w:r>
    </w:p>
    <w:p w14:paraId="08854E30" w14:textId="77777777" w:rsidR="00685A33" w:rsidRDefault="00685A33" w:rsidP="00422066">
      <w:pPr>
        <w:pStyle w:val="NormalWeb"/>
        <w:spacing w:before="0" w:beforeAutospacing="0" w:after="240" w:afterAutospacing="0" w:line="360" w:lineRule="auto"/>
      </w:pPr>
      <w:r>
        <w:t xml:space="preserve">  Rdash.nhs.uk. (2023). Available at: https://camhs.rdash.nhs.uk/eating-disorders/                [Accessed 23 Mar. 2023].</w:t>
      </w:r>
    </w:p>
    <w:p w14:paraId="353494D0" w14:textId="77777777" w:rsidR="00A948F8" w:rsidRDefault="00A948F8" w:rsidP="00C262FD">
      <w:pPr>
        <w:pStyle w:val="NormalWeb"/>
        <w:spacing w:before="0" w:beforeAutospacing="0" w:after="240" w:afterAutospacing="0" w:line="360" w:lineRule="auto"/>
      </w:pPr>
    </w:p>
    <w:p w14:paraId="04283FD4" w14:textId="77777777" w:rsidR="00A948F8" w:rsidRDefault="00A948F8" w:rsidP="00C262FD">
      <w:pPr>
        <w:pStyle w:val="NormalWeb"/>
        <w:spacing w:before="0" w:beforeAutospacing="0" w:after="240" w:afterAutospacing="0" w:line="360" w:lineRule="auto"/>
      </w:pPr>
    </w:p>
    <w:p w14:paraId="7D1546E6" w14:textId="3D3DBA7E" w:rsidR="00685A33" w:rsidRDefault="00685A33" w:rsidP="00C262FD">
      <w:pPr>
        <w:pStyle w:val="NormalWeb"/>
        <w:spacing w:before="0" w:beforeAutospacing="0" w:after="240" w:afterAutospacing="0" w:line="360" w:lineRule="auto"/>
      </w:pPr>
      <w:r>
        <w:t xml:space="preserve">Treasure, J. and Schmidt, U. (2013). The cognitive-interpersonal maintenance model of anorexia nervosa revisited: a summary of the evidence for cognitive, socio-emotional and interpersonal predisposing and perpetuating factors. </w:t>
      </w:r>
      <w:r>
        <w:rPr>
          <w:i/>
          <w:iCs/>
        </w:rPr>
        <w:t>Journal of Eating Disorders</w:t>
      </w:r>
      <w:r>
        <w:t xml:space="preserve">, 1(1). </w:t>
      </w:r>
      <w:proofErr w:type="spellStart"/>
      <w:r>
        <w:t>doi:https</w:t>
      </w:r>
      <w:proofErr w:type="spellEnd"/>
      <w:r>
        <w:t>://doi.org/10.1186/2050-2974-1-13.</w:t>
      </w:r>
    </w:p>
    <w:p w14:paraId="344DDFFD" w14:textId="77777777" w:rsidR="00685A33" w:rsidRDefault="00685A33" w:rsidP="001304DF">
      <w:pPr>
        <w:pStyle w:val="NormalWeb"/>
        <w:spacing w:before="0" w:beforeAutospacing="0" w:after="240" w:afterAutospacing="0" w:line="360" w:lineRule="auto"/>
      </w:pPr>
      <w:r>
        <w:t xml:space="preserve">Watson, H.J., Yilmaz, Z., Thornton, L.M., </w:t>
      </w:r>
      <w:proofErr w:type="spellStart"/>
      <w:r>
        <w:t>Hübel</w:t>
      </w:r>
      <w:proofErr w:type="spellEnd"/>
      <w:r>
        <w:t xml:space="preserve">, C., Coleman, J.R.I., Gaspar, H.A., </w:t>
      </w:r>
      <w:proofErr w:type="spellStart"/>
      <w:r>
        <w:t>Bryois</w:t>
      </w:r>
      <w:proofErr w:type="spellEnd"/>
      <w:r>
        <w:t xml:space="preserve">, J., </w:t>
      </w:r>
      <w:proofErr w:type="spellStart"/>
      <w:r>
        <w:t>Hinney</w:t>
      </w:r>
      <w:proofErr w:type="spellEnd"/>
      <w:r>
        <w:t xml:space="preserve">, A., </w:t>
      </w:r>
      <w:proofErr w:type="spellStart"/>
      <w:r>
        <w:t>Leppä</w:t>
      </w:r>
      <w:proofErr w:type="spellEnd"/>
      <w:r>
        <w:t xml:space="preserve">, V.M., </w:t>
      </w:r>
      <w:proofErr w:type="spellStart"/>
      <w:r>
        <w:t>Mattheisen</w:t>
      </w:r>
      <w:proofErr w:type="spellEnd"/>
      <w:r>
        <w:t xml:space="preserve">, M., </w:t>
      </w:r>
      <w:proofErr w:type="spellStart"/>
      <w:r>
        <w:t>Medland</w:t>
      </w:r>
      <w:proofErr w:type="spellEnd"/>
      <w:r>
        <w:t xml:space="preserve">, S.E., </w:t>
      </w:r>
      <w:proofErr w:type="spellStart"/>
      <w:r>
        <w:t>Ripke</w:t>
      </w:r>
      <w:proofErr w:type="spellEnd"/>
      <w:r>
        <w:t xml:space="preserve">, S., Yao, S., Giusti-Rodríguez, P., </w:t>
      </w:r>
      <w:proofErr w:type="spellStart"/>
      <w:r>
        <w:t>Hanscombe</w:t>
      </w:r>
      <w:proofErr w:type="spellEnd"/>
      <w:r>
        <w:t xml:space="preserve">, K.B., Purves, K.L., Adan, R.A.H., Alfredsson, L., Ando, T. and </w:t>
      </w:r>
      <w:proofErr w:type="spellStart"/>
      <w:r>
        <w:t>Andreassen</w:t>
      </w:r>
      <w:proofErr w:type="spellEnd"/>
      <w:r>
        <w:t xml:space="preserve">, O.A. (2019). Genome-wide association study identifies eight risk loci and implicates </w:t>
      </w:r>
      <w:proofErr w:type="spellStart"/>
      <w:r>
        <w:t>metabo</w:t>
      </w:r>
      <w:proofErr w:type="spellEnd"/>
      <w:r>
        <w:t xml:space="preserve">-psychiatric origins for anorexia nervosa. </w:t>
      </w:r>
      <w:r>
        <w:rPr>
          <w:i/>
          <w:iCs/>
        </w:rPr>
        <w:t>Nature Genetics</w:t>
      </w:r>
      <w:r>
        <w:t xml:space="preserve">, 51(8), pp.1207–1214. </w:t>
      </w:r>
      <w:proofErr w:type="spellStart"/>
      <w:r>
        <w:t>doi:https</w:t>
      </w:r>
      <w:proofErr w:type="spellEnd"/>
      <w:r>
        <w:t>://doi.org/10.1038/s41588-019-0439-2.</w:t>
      </w:r>
    </w:p>
    <w:p w14:paraId="2A96BF42" w14:textId="77777777" w:rsidR="00685A33" w:rsidRDefault="00685A33" w:rsidP="0037656F">
      <w:pPr>
        <w:pStyle w:val="NormalWeb"/>
        <w:spacing w:before="0" w:beforeAutospacing="0" w:after="240" w:afterAutospacing="0" w:line="360" w:lineRule="auto"/>
      </w:pPr>
      <w:r>
        <w:t xml:space="preserve">Williams, R., Smith, M. and Wright, D. (2020). Anorexia: a literature review of young people’s experiences of hospital treatment. </w:t>
      </w:r>
      <w:r>
        <w:rPr>
          <w:i/>
          <w:iCs/>
        </w:rPr>
        <w:t>Nursing Children and Young People</w:t>
      </w:r>
      <w:r>
        <w:t xml:space="preserve">. Doi: </w:t>
      </w:r>
      <w:hyperlink r:id="rId12" w:history="1">
        <w:r w:rsidRPr="00BF08C0">
          <w:rPr>
            <w:rStyle w:val="Hyperlink"/>
          </w:rPr>
          <w:t>HTTPs://doi.org/10.7748/ncyp.2020.e1313</w:t>
        </w:r>
      </w:hyperlink>
      <w:r>
        <w:t>.</w:t>
      </w:r>
    </w:p>
    <w:p w14:paraId="7A02E6F6" w14:textId="77777777" w:rsidR="00F96DD5" w:rsidRDefault="00F96DD5" w:rsidP="00422066">
      <w:pPr>
        <w:pStyle w:val="NormalWeb"/>
        <w:spacing w:before="0" w:beforeAutospacing="0" w:after="240" w:afterAutospacing="0" w:line="360" w:lineRule="auto"/>
      </w:pPr>
    </w:p>
    <w:p w14:paraId="4E38DF75" w14:textId="77777777" w:rsidR="00422066" w:rsidRDefault="00422066" w:rsidP="00CB1CF3">
      <w:pPr>
        <w:pStyle w:val="NormalWeb"/>
        <w:spacing w:before="0" w:beforeAutospacing="0" w:after="240" w:afterAutospacing="0" w:line="360" w:lineRule="auto"/>
        <w:ind w:left="720"/>
      </w:pPr>
    </w:p>
    <w:p w14:paraId="4D57BB77" w14:textId="77777777" w:rsidR="00CB1CF3" w:rsidRDefault="00CB1CF3" w:rsidP="00CB1CF3">
      <w:pPr>
        <w:pStyle w:val="NormalWeb"/>
        <w:spacing w:before="0" w:beforeAutospacing="0" w:after="240" w:afterAutospacing="0" w:line="360" w:lineRule="auto"/>
        <w:ind w:left="720"/>
      </w:pPr>
    </w:p>
    <w:p w14:paraId="3FB56DF7" w14:textId="77777777" w:rsidR="00826582" w:rsidRDefault="00826582" w:rsidP="00265D27">
      <w:pPr>
        <w:pStyle w:val="NormalWeb"/>
        <w:spacing w:before="0" w:beforeAutospacing="0" w:after="240" w:afterAutospacing="0" w:line="360" w:lineRule="auto"/>
      </w:pPr>
    </w:p>
    <w:p w14:paraId="240DB401" w14:textId="77777777" w:rsidR="00265D27" w:rsidRDefault="00265D27" w:rsidP="00E83C64">
      <w:pPr>
        <w:pStyle w:val="NormalWeb"/>
        <w:spacing w:before="0" w:beforeAutospacing="0" w:after="240" w:afterAutospacing="0" w:line="360" w:lineRule="auto"/>
      </w:pPr>
    </w:p>
    <w:p w14:paraId="1425F4AC" w14:textId="6695D929" w:rsidR="001D7C03" w:rsidRPr="001D7C03" w:rsidRDefault="001D7C03" w:rsidP="009D052C">
      <w:pPr>
        <w:tabs>
          <w:tab w:val="left" w:pos="6540"/>
        </w:tabs>
        <w:spacing w:line="360" w:lineRule="auto"/>
        <w:rPr>
          <w:rFonts w:ascii="Arial" w:hAnsi="Arial" w:cs="Arial"/>
          <w:szCs w:val="24"/>
        </w:rPr>
      </w:pPr>
    </w:p>
    <w:sectPr w:rsidR="001D7C03" w:rsidRPr="001D7C0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6ACF9" w14:textId="77777777" w:rsidR="00D07736" w:rsidRDefault="00D07736" w:rsidP="003E4ECF">
      <w:pPr>
        <w:spacing w:after="0" w:line="240" w:lineRule="auto"/>
      </w:pPr>
      <w:r>
        <w:separator/>
      </w:r>
    </w:p>
  </w:endnote>
  <w:endnote w:type="continuationSeparator" w:id="0">
    <w:p w14:paraId="523A3CB3" w14:textId="77777777" w:rsidR="00D07736" w:rsidRDefault="00D0773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703D4" w14:textId="77777777" w:rsidR="00D07736" w:rsidRDefault="00D07736" w:rsidP="003E4ECF">
      <w:pPr>
        <w:spacing w:after="0" w:line="240" w:lineRule="auto"/>
      </w:pPr>
      <w:r>
        <w:separator/>
      </w:r>
    </w:p>
  </w:footnote>
  <w:footnote w:type="continuationSeparator" w:id="0">
    <w:p w14:paraId="57DF8556" w14:textId="77777777" w:rsidR="00D07736" w:rsidRDefault="00D0773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C0D7E"/>
    <w:multiLevelType w:val="multilevel"/>
    <w:tmpl w:val="BA549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F72CF9"/>
    <w:multiLevelType w:val="hybridMultilevel"/>
    <w:tmpl w:val="F5626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EF1F5F"/>
    <w:multiLevelType w:val="hybridMultilevel"/>
    <w:tmpl w:val="DBCCDC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1909859">
    <w:abstractNumId w:val="1"/>
  </w:num>
  <w:num w:numId="2" w16cid:durableId="1248002278">
    <w:abstractNumId w:val="2"/>
  </w:num>
  <w:num w:numId="3" w16cid:durableId="834539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437F"/>
    <w:rsid w:val="00010814"/>
    <w:rsid w:val="0001567B"/>
    <w:rsid w:val="00025CB4"/>
    <w:rsid w:val="0003176C"/>
    <w:rsid w:val="00035449"/>
    <w:rsid w:val="000378DE"/>
    <w:rsid w:val="00042FED"/>
    <w:rsid w:val="000460D9"/>
    <w:rsid w:val="00074402"/>
    <w:rsid w:val="00090D88"/>
    <w:rsid w:val="000947DC"/>
    <w:rsid w:val="00096C6A"/>
    <w:rsid w:val="000A1501"/>
    <w:rsid w:val="000A41EC"/>
    <w:rsid w:val="000A6B41"/>
    <w:rsid w:val="000C2F67"/>
    <w:rsid w:val="000C6395"/>
    <w:rsid w:val="000D1980"/>
    <w:rsid w:val="000E2C60"/>
    <w:rsid w:val="000E511A"/>
    <w:rsid w:val="000F3586"/>
    <w:rsid w:val="000F6BD5"/>
    <w:rsid w:val="000F7AEE"/>
    <w:rsid w:val="001003BF"/>
    <w:rsid w:val="001028DF"/>
    <w:rsid w:val="00107C59"/>
    <w:rsid w:val="001146C4"/>
    <w:rsid w:val="00114FEA"/>
    <w:rsid w:val="00115977"/>
    <w:rsid w:val="0012184F"/>
    <w:rsid w:val="0012399C"/>
    <w:rsid w:val="00125A0B"/>
    <w:rsid w:val="00125F01"/>
    <w:rsid w:val="00127C70"/>
    <w:rsid w:val="001304DF"/>
    <w:rsid w:val="001330A8"/>
    <w:rsid w:val="00142855"/>
    <w:rsid w:val="00145F11"/>
    <w:rsid w:val="00146769"/>
    <w:rsid w:val="001506B7"/>
    <w:rsid w:val="001507D9"/>
    <w:rsid w:val="001604B3"/>
    <w:rsid w:val="001659CC"/>
    <w:rsid w:val="00171F74"/>
    <w:rsid w:val="0017405C"/>
    <w:rsid w:val="0017534E"/>
    <w:rsid w:val="00190E26"/>
    <w:rsid w:val="0019420C"/>
    <w:rsid w:val="00196D84"/>
    <w:rsid w:val="001B75E7"/>
    <w:rsid w:val="001C38BF"/>
    <w:rsid w:val="001D1F74"/>
    <w:rsid w:val="001D7C03"/>
    <w:rsid w:val="00211C92"/>
    <w:rsid w:val="00216C85"/>
    <w:rsid w:val="00224837"/>
    <w:rsid w:val="0023444A"/>
    <w:rsid w:val="00236443"/>
    <w:rsid w:val="00255223"/>
    <w:rsid w:val="002555D0"/>
    <w:rsid w:val="002570AE"/>
    <w:rsid w:val="002575C0"/>
    <w:rsid w:val="0026393A"/>
    <w:rsid w:val="00263BF3"/>
    <w:rsid w:val="00265D27"/>
    <w:rsid w:val="00270BE9"/>
    <w:rsid w:val="00273EDD"/>
    <w:rsid w:val="002755FF"/>
    <w:rsid w:val="0029685A"/>
    <w:rsid w:val="002A05FA"/>
    <w:rsid w:val="002A1675"/>
    <w:rsid w:val="002A6C47"/>
    <w:rsid w:val="002C3965"/>
    <w:rsid w:val="002D11E1"/>
    <w:rsid w:val="002D5750"/>
    <w:rsid w:val="002D6D88"/>
    <w:rsid w:val="002F1331"/>
    <w:rsid w:val="002F4964"/>
    <w:rsid w:val="0030155D"/>
    <w:rsid w:val="00310001"/>
    <w:rsid w:val="00321C4C"/>
    <w:rsid w:val="00325E1E"/>
    <w:rsid w:val="00342EB2"/>
    <w:rsid w:val="00350CD5"/>
    <w:rsid w:val="00375B47"/>
    <w:rsid w:val="0037656F"/>
    <w:rsid w:val="003860D3"/>
    <w:rsid w:val="00392BBC"/>
    <w:rsid w:val="00395E5B"/>
    <w:rsid w:val="003965D7"/>
    <w:rsid w:val="003B4274"/>
    <w:rsid w:val="003B733F"/>
    <w:rsid w:val="003B7A25"/>
    <w:rsid w:val="003C44DB"/>
    <w:rsid w:val="003C6534"/>
    <w:rsid w:val="003C66B4"/>
    <w:rsid w:val="003D1D88"/>
    <w:rsid w:val="003D7FE4"/>
    <w:rsid w:val="003E3155"/>
    <w:rsid w:val="003E4ECF"/>
    <w:rsid w:val="00400EDC"/>
    <w:rsid w:val="004173C6"/>
    <w:rsid w:val="00422066"/>
    <w:rsid w:val="00423DB9"/>
    <w:rsid w:val="00427F18"/>
    <w:rsid w:val="0043266D"/>
    <w:rsid w:val="004335CB"/>
    <w:rsid w:val="00433D26"/>
    <w:rsid w:val="00434953"/>
    <w:rsid w:val="00444F45"/>
    <w:rsid w:val="00447472"/>
    <w:rsid w:val="0045002A"/>
    <w:rsid w:val="004860EC"/>
    <w:rsid w:val="004A410A"/>
    <w:rsid w:val="004A681D"/>
    <w:rsid w:val="004A736E"/>
    <w:rsid w:val="004C46DD"/>
    <w:rsid w:val="004F487C"/>
    <w:rsid w:val="00501CD6"/>
    <w:rsid w:val="00502E9E"/>
    <w:rsid w:val="0050703B"/>
    <w:rsid w:val="00512098"/>
    <w:rsid w:val="005155E2"/>
    <w:rsid w:val="00521E1A"/>
    <w:rsid w:val="00533D5D"/>
    <w:rsid w:val="00536A82"/>
    <w:rsid w:val="005413EA"/>
    <w:rsid w:val="00551522"/>
    <w:rsid w:val="00552C6C"/>
    <w:rsid w:val="005558C7"/>
    <w:rsid w:val="00555BD3"/>
    <w:rsid w:val="005602DF"/>
    <w:rsid w:val="00562D59"/>
    <w:rsid w:val="0057531A"/>
    <w:rsid w:val="00575A54"/>
    <w:rsid w:val="005761FC"/>
    <w:rsid w:val="00576CC3"/>
    <w:rsid w:val="00577C67"/>
    <w:rsid w:val="00587C6F"/>
    <w:rsid w:val="00592A2C"/>
    <w:rsid w:val="00597157"/>
    <w:rsid w:val="005C4F08"/>
    <w:rsid w:val="005C760E"/>
    <w:rsid w:val="005D1BE3"/>
    <w:rsid w:val="005F29AB"/>
    <w:rsid w:val="005F3FD3"/>
    <w:rsid w:val="006004CD"/>
    <w:rsid w:val="00604E07"/>
    <w:rsid w:val="00613A62"/>
    <w:rsid w:val="0062709E"/>
    <w:rsid w:val="00627636"/>
    <w:rsid w:val="00631390"/>
    <w:rsid w:val="00633219"/>
    <w:rsid w:val="0063561F"/>
    <w:rsid w:val="006427AA"/>
    <w:rsid w:val="006476FC"/>
    <w:rsid w:val="00650F42"/>
    <w:rsid w:val="006538D9"/>
    <w:rsid w:val="00656431"/>
    <w:rsid w:val="00681C86"/>
    <w:rsid w:val="006827E5"/>
    <w:rsid w:val="00685A33"/>
    <w:rsid w:val="00686EDE"/>
    <w:rsid w:val="006925AA"/>
    <w:rsid w:val="006A2949"/>
    <w:rsid w:val="006A3092"/>
    <w:rsid w:val="006C183D"/>
    <w:rsid w:val="006D7F44"/>
    <w:rsid w:val="006E0809"/>
    <w:rsid w:val="006E6F0E"/>
    <w:rsid w:val="006F13D5"/>
    <w:rsid w:val="006F5F2C"/>
    <w:rsid w:val="00702294"/>
    <w:rsid w:val="00705660"/>
    <w:rsid w:val="00705828"/>
    <w:rsid w:val="00715D15"/>
    <w:rsid w:val="00716959"/>
    <w:rsid w:val="007278C0"/>
    <w:rsid w:val="007510DF"/>
    <w:rsid w:val="00755C27"/>
    <w:rsid w:val="00770DF1"/>
    <w:rsid w:val="00770E0B"/>
    <w:rsid w:val="00777AA0"/>
    <w:rsid w:val="00790325"/>
    <w:rsid w:val="00790976"/>
    <w:rsid w:val="007937A4"/>
    <w:rsid w:val="007B0689"/>
    <w:rsid w:val="007B1467"/>
    <w:rsid w:val="007B555C"/>
    <w:rsid w:val="007B5EC2"/>
    <w:rsid w:val="007C3C90"/>
    <w:rsid w:val="007D28A5"/>
    <w:rsid w:val="007D504C"/>
    <w:rsid w:val="007E0924"/>
    <w:rsid w:val="007E33D4"/>
    <w:rsid w:val="007E5A3A"/>
    <w:rsid w:val="007E752D"/>
    <w:rsid w:val="007E7C1A"/>
    <w:rsid w:val="007F2F85"/>
    <w:rsid w:val="007F79DA"/>
    <w:rsid w:val="007F7D26"/>
    <w:rsid w:val="00814282"/>
    <w:rsid w:val="00817F51"/>
    <w:rsid w:val="008215A6"/>
    <w:rsid w:val="00825777"/>
    <w:rsid w:val="00825EDB"/>
    <w:rsid w:val="00826582"/>
    <w:rsid w:val="00842B4B"/>
    <w:rsid w:val="008468BC"/>
    <w:rsid w:val="00846CCF"/>
    <w:rsid w:val="00856E5B"/>
    <w:rsid w:val="00864EAE"/>
    <w:rsid w:val="00867EEE"/>
    <w:rsid w:val="00870892"/>
    <w:rsid w:val="00881600"/>
    <w:rsid w:val="0088284C"/>
    <w:rsid w:val="0088370E"/>
    <w:rsid w:val="00891D87"/>
    <w:rsid w:val="0089727D"/>
    <w:rsid w:val="008A2C3D"/>
    <w:rsid w:val="008C2861"/>
    <w:rsid w:val="008C3171"/>
    <w:rsid w:val="008D0788"/>
    <w:rsid w:val="008D4728"/>
    <w:rsid w:val="008D5067"/>
    <w:rsid w:val="008E4CF0"/>
    <w:rsid w:val="008E5572"/>
    <w:rsid w:val="008E7703"/>
    <w:rsid w:val="008F2B2F"/>
    <w:rsid w:val="008F2C37"/>
    <w:rsid w:val="008F77F1"/>
    <w:rsid w:val="0090040D"/>
    <w:rsid w:val="00903568"/>
    <w:rsid w:val="00907883"/>
    <w:rsid w:val="00910A32"/>
    <w:rsid w:val="009146D1"/>
    <w:rsid w:val="00914935"/>
    <w:rsid w:val="00917C74"/>
    <w:rsid w:val="00920B48"/>
    <w:rsid w:val="0092372E"/>
    <w:rsid w:val="00924B0E"/>
    <w:rsid w:val="00932DBE"/>
    <w:rsid w:val="00934A6C"/>
    <w:rsid w:val="00945F25"/>
    <w:rsid w:val="0095745E"/>
    <w:rsid w:val="0096146C"/>
    <w:rsid w:val="00965CEC"/>
    <w:rsid w:val="00967DD0"/>
    <w:rsid w:val="0097357B"/>
    <w:rsid w:val="00974D61"/>
    <w:rsid w:val="00983A6B"/>
    <w:rsid w:val="009872E2"/>
    <w:rsid w:val="0099357D"/>
    <w:rsid w:val="00994FF5"/>
    <w:rsid w:val="009A1E74"/>
    <w:rsid w:val="009B0DAA"/>
    <w:rsid w:val="009C2750"/>
    <w:rsid w:val="009C5777"/>
    <w:rsid w:val="009D052C"/>
    <w:rsid w:val="009D1D1E"/>
    <w:rsid w:val="009D239D"/>
    <w:rsid w:val="009D38FC"/>
    <w:rsid w:val="009E0398"/>
    <w:rsid w:val="009E101F"/>
    <w:rsid w:val="009E74D4"/>
    <w:rsid w:val="009F6505"/>
    <w:rsid w:val="009F75F7"/>
    <w:rsid w:val="00A02BFE"/>
    <w:rsid w:val="00A02F1F"/>
    <w:rsid w:val="00A035FD"/>
    <w:rsid w:val="00A15DC6"/>
    <w:rsid w:val="00A17EE6"/>
    <w:rsid w:val="00A207FF"/>
    <w:rsid w:val="00A21FAF"/>
    <w:rsid w:val="00A22342"/>
    <w:rsid w:val="00A2420E"/>
    <w:rsid w:val="00A246BD"/>
    <w:rsid w:val="00A2518C"/>
    <w:rsid w:val="00A357DB"/>
    <w:rsid w:val="00A35E2D"/>
    <w:rsid w:val="00A47800"/>
    <w:rsid w:val="00A50858"/>
    <w:rsid w:val="00A5570B"/>
    <w:rsid w:val="00A62546"/>
    <w:rsid w:val="00A81394"/>
    <w:rsid w:val="00A948F8"/>
    <w:rsid w:val="00A95D55"/>
    <w:rsid w:val="00AA3101"/>
    <w:rsid w:val="00AA6544"/>
    <w:rsid w:val="00AB0CFA"/>
    <w:rsid w:val="00AB1507"/>
    <w:rsid w:val="00AB5BDA"/>
    <w:rsid w:val="00AB6CA3"/>
    <w:rsid w:val="00AC32A5"/>
    <w:rsid w:val="00AC7EFD"/>
    <w:rsid w:val="00AE292D"/>
    <w:rsid w:val="00AE48B5"/>
    <w:rsid w:val="00AF2F4A"/>
    <w:rsid w:val="00AF3810"/>
    <w:rsid w:val="00B04B30"/>
    <w:rsid w:val="00B07D6A"/>
    <w:rsid w:val="00B21F98"/>
    <w:rsid w:val="00B25A2C"/>
    <w:rsid w:val="00B26C6F"/>
    <w:rsid w:val="00B3538B"/>
    <w:rsid w:val="00B37DC3"/>
    <w:rsid w:val="00B448E3"/>
    <w:rsid w:val="00B44EA3"/>
    <w:rsid w:val="00B465B2"/>
    <w:rsid w:val="00B646AE"/>
    <w:rsid w:val="00B672F5"/>
    <w:rsid w:val="00B6782E"/>
    <w:rsid w:val="00B715F2"/>
    <w:rsid w:val="00B87E75"/>
    <w:rsid w:val="00BA2545"/>
    <w:rsid w:val="00BA3002"/>
    <w:rsid w:val="00BA6D39"/>
    <w:rsid w:val="00BE55A0"/>
    <w:rsid w:val="00BF0FBC"/>
    <w:rsid w:val="00C0060E"/>
    <w:rsid w:val="00C02363"/>
    <w:rsid w:val="00C03605"/>
    <w:rsid w:val="00C0439F"/>
    <w:rsid w:val="00C262FD"/>
    <w:rsid w:val="00C410F2"/>
    <w:rsid w:val="00C5447A"/>
    <w:rsid w:val="00C65C50"/>
    <w:rsid w:val="00C7016F"/>
    <w:rsid w:val="00C91A15"/>
    <w:rsid w:val="00C92752"/>
    <w:rsid w:val="00C95888"/>
    <w:rsid w:val="00CA5A22"/>
    <w:rsid w:val="00CB1CF3"/>
    <w:rsid w:val="00CC49DE"/>
    <w:rsid w:val="00CC4F26"/>
    <w:rsid w:val="00CC55E5"/>
    <w:rsid w:val="00CC747C"/>
    <w:rsid w:val="00CD6667"/>
    <w:rsid w:val="00CD6B1E"/>
    <w:rsid w:val="00CE6009"/>
    <w:rsid w:val="00D07736"/>
    <w:rsid w:val="00D24DBE"/>
    <w:rsid w:val="00D253B3"/>
    <w:rsid w:val="00D36440"/>
    <w:rsid w:val="00D45F4D"/>
    <w:rsid w:val="00D91343"/>
    <w:rsid w:val="00D93CB0"/>
    <w:rsid w:val="00D9635B"/>
    <w:rsid w:val="00DB4F70"/>
    <w:rsid w:val="00DC02F1"/>
    <w:rsid w:val="00DC3AB8"/>
    <w:rsid w:val="00DD27FF"/>
    <w:rsid w:val="00DD7EDD"/>
    <w:rsid w:val="00DE3839"/>
    <w:rsid w:val="00DE6266"/>
    <w:rsid w:val="00DF2159"/>
    <w:rsid w:val="00DF3552"/>
    <w:rsid w:val="00DF573A"/>
    <w:rsid w:val="00E00FE4"/>
    <w:rsid w:val="00E011D1"/>
    <w:rsid w:val="00E048D8"/>
    <w:rsid w:val="00E049E8"/>
    <w:rsid w:val="00E11382"/>
    <w:rsid w:val="00E122A9"/>
    <w:rsid w:val="00E2169F"/>
    <w:rsid w:val="00E21B94"/>
    <w:rsid w:val="00E267C9"/>
    <w:rsid w:val="00E36496"/>
    <w:rsid w:val="00E46576"/>
    <w:rsid w:val="00E54B81"/>
    <w:rsid w:val="00E6031B"/>
    <w:rsid w:val="00E6228B"/>
    <w:rsid w:val="00E623DB"/>
    <w:rsid w:val="00E67427"/>
    <w:rsid w:val="00E73A30"/>
    <w:rsid w:val="00E83C64"/>
    <w:rsid w:val="00E85A16"/>
    <w:rsid w:val="00E85FC9"/>
    <w:rsid w:val="00E92B9E"/>
    <w:rsid w:val="00E94C1E"/>
    <w:rsid w:val="00E95E95"/>
    <w:rsid w:val="00EA1B79"/>
    <w:rsid w:val="00EA2B7F"/>
    <w:rsid w:val="00EB1312"/>
    <w:rsid w:val="00EB29CD"/>
    <w:rsid w:val="00EB3B0E"/>
    <w:rsid w:val="00ED4783"/>
    <w:rsid w:val="00EE0BD6"/>
    <w:rsid w:val="00EE177D"/>
    <w:rsid w:val="00F0115C"/>
    <w:rsid w:val="00F03572"/>
    <w:rsid w:val="00F06C41"/>
    <w:rsid w:val="00F21CB0"/>
    <w:rsid w:val="00F22513"/>
    <w:rsid w:val="00F23DFB"/>
    <w:rsid w:val="00F26365"/>
    <w:rsid w:val="00F40AAA"/>
    <w:rsid w:val="00F43B53"/>
    <w:rsid w:val="00F4785A"/>
    <w:rsid w:val="00F52683"/>
    <w:rsid w:val="00F53C33"/>
    <w:rsid w:val="00F66E1B"/>
    <w:rsid w:val="00F731C8"/>
    <w:rsid w:val="00F755E8"/>
    <w:rsid w:val="00F8053D"/>
    <w:rsid w:val="00F875A1"/>
    <w:rsid w:val="00F91427"/>
    <w:rsid w:val="00F95844"/>
    <w:rsid w:val="00F95CEF"/>
    <w:rsid w:val="00F96DD5"/>
    <w:rsid w:val="00FA5C3D"/>
    <w:rsid w:val="00FB7E3F"/>
    <w:rsid w:val="00FC5541"/>
    <w:rsid w:val="00FC5F33"/>
    <w:rsid w:val="00FD2EAD"/>
    <w:rsid w:val="00FD79B2"/>
    <w:rsid w:val="00FD7B45"/>
    <w:rsid w:val="00FF26A4"/>
    <w:rsid w:val="00FF2DCB"/>
    <w:rsid w:val="00FF3151"/>
    <w:rsid w:val="00FF7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74D61"/>
    <w:pPr>
      <w:keepNext/>
      <w:keepLines/>
      <w:spacing w:before="240" w:after="0" w:line="360" w:lineRule="auto"/>
      <w:jc w:val="both"/>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D61"/>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E83C64"/>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CB1CF3"/>
    <w:rPr>
      <w:color w:val="0563C1" w:themeColor="hyperlink"/>
      <w:u w:val="single"/>
    </w:rPr>
  </w:style>
  <w:style w:type="character" w:styleId="UnresolvedMention">
    <w:name w:val="Unresolved Mention"/>
    <w:basedOn w:val="DefaultParagraphFont"/>
    <w:uiPriority w:val="99"/>
    <w:semiHidden/>
    <w:unhideWhenUsed/>
    <w:rsid w:val="00CB1CF3"/>
    <w:rPr>
      <w:color w:val="605E5C"/>
      <w:shd w:val="clear" w:color="auto" w:fill="E1DFDD"/>
    </w:rPr>
  </w:style>
  <w:style w:type="paragraph" w:styleId="ListParagraph">
    <w:name w:val="List Paragraph"/>
    <w:basedOn w:val="Normal"/>
    <w:uiPriority w:val="34"/>
    <w:qFormat/>
    <w:rsid w:val="00CC49DE"/>
    <w:pPr>
      <w:ind w:left="720"/>
      <w:contextualSpacing/>
    </w:pPr>
  </w:style>
  <w:style w:type="table" w:styleId="TableGrid">
    <w:name w:val="Table Grid"/>
    <w:basedOn w:val="TableNormal"/>
    <w:uiPriority w:val="39"/>
    <w:rsid w:val="008D4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2399C"/>
    <w:rPr>
      <w:b/>
      <w:bCs/>
    </w:rPr>
  </w:style>
  <w:style w:type="paragraph" w:styleId="TOCHeading">
    <w:name w:val="TOC Heading"/>
    <w:basedOn w:val="Heading1"/>
    <w:next w:val="Normal"/>
    <w:uiPriority w:val="39"/>
    <w:unhideWhenUsed/>
    <w:qFormat/>
    <w:rsid w:val="008468BC"/>
    <w:pPr>
      <w:spacing w:line="259" w:lineRule="auto"/>
      <w:jc w:val="left"/>
      <w:outlineLvl w:val="9"/>
    </w:pPr>
    <w:rPr>
      <w:rFonts w:asciiTheme="majorHAnsi" w:hAnsiTheme="majorHAnsi" w:cstheme="majorBidi"/>
      <w:b w:val="0"/>
      <w:color w:val="2F5496" w:themeColor="accent1" w:themeShade="BF"/>
      <w:lang w:eastAsia="en-GB"/>
    </w:rPr>
  </w:style>
  <w:style w:type="paragraph" w:styleId="TOC1">
    <w:name w:val="toc 1"/>
    <w:basedOn w:val="Normal"/>
    <w:next w:val="Normal"/>
    <w:autoRedefine/>
    <w:uiPriority w:val="39"/>
    <w:unhideWhenUsed/>
    <w:rsid w:val="008468B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26439">
      <w:bodyDiv w:val="1"/>
      <w:marLeft w:val="0"/>
      <w:marRight w:val="0"/>
      <w:marTop w:val="0"/>
      <w:marBottom w:val="0"/>
      <w:divBdr>
        <w:top w:val="none" w:sz="0" w:space="0" w:color="auto"/>
        <w:left w:val="none" w:sz="0" w:space="0" w:color="auto"/>
        <w:bottom w:val="none" w:sz="0" w:space="0" w:color="auto"/>
        <w:right w:val="none" w:sz="0" w:space="0" w:color="auto"/>
      </w:divBdr>
    </w:div>
    <w:div w:id="112293443">
      <w:bodyDiv w:val="1"/>
      <w:marLeft w:val="0"/>
      <w:marRight w:val="0"/>
      <w:marTop w:val="0"/>
      <w:marBottom w:val="0"/>
      <w:divBdr>
        <w:top w:val="none" w:sz="0" w:space="0" w:color="auto"/>
        <w:left w:val="none" w:sz="0" w:space="0" w:color="auto"/>
        <w:bottom w:val="none" w:sz="0" w:space="0" w:color="auto"/>
        <w:right w:val="none" w:sz="0" w:space="0" w:color="auto"/>
      </w:divBdr>
    </w:div>
    <w:div w:id="160632576">
      <w:bodyDiv w:val="1"/>
      <w:marLeft w:val="0"/>
      <w:marRight w:val="0"/>
      <w:marTop w:val="0"/>
      <w:marBottom w:val="0"/>
      <w:divBdr>
        <w:top w:val="none" w:sz="0" w:space="0" w:color="auto"/>
        <w:left w:val="none" w:sz="0" w:space="0" w:color="auto"/>
        <w:bottom w:val="none" w:sz="0" w:space="0" w:color="auto"/>
        <w:right w:val="none" w:sz="0" w:space="0" w:color="auto"/>
      </w:divBdr>
    </w:div>
    <w:div w:id="182594986">
      <w:bodyDiv w:val="1"/>
      <w:marLeft w:val="0"/>
      <w:marRight w:val="0"/>
      <w:marTop w:val="0"/>
      <w:marBottom w:val="0"/>
      <w:divBdr>
        <w:top w:val="none" w:sz="0" w:space="0" w:color="auto"/>
        <w:left w:val="none" w:sz="0" w:space="0" w:color="auto"/>
        <w:bottom w:val="none" w:sz="0" w:space="0" w:color="auto"/>
        <w:right w:val="none" w:sz="0" w:space="0" w:color="auto"/>
      </w:divBdr>
      <w:divsChild>
        <w:div w:id="443815000">
          <w:marLeft w:val="0"/>
          <w:marRight w:val="0"/>
          <w:marTop w:val="0"/>
          <w:marBottom w:val="0"/>
          <w:divBdr>
            <w:top w:val="none" w:sz="0" w:space="0" w:color="auto"/>
            <w:left w:val="none" w:sz="0" w:space="0" w:color="auto"/>
            <w:bottom w:val="none" w:sz="0" w:space="0" w:color="auto"/>
            <w:right w:val="none" w:sz="0" w:space="0" w:color="auto"/>
          </w:divBdr>
        </w:div>
      </w:divsChild>
    </w:div>
    <w:div w:id="184289708">
      <w:bodyDiv w:val="1"/>
      <w:marLeft w:val="0"/>
      <w:marRight w:val="0"/>
      <w:marTop w:val="0"/>
      <w:marBottom w:val="0"/>
      <w:divBdr>
        <w:top w:val="none" w:sz="0" w:space="0" w:color="auto"/>
        <w:left w:val="none" w:sz="0" w:space="0" w:color="auto"/>
        <w:bottom w:val="none" w:sz="0" w:space="0" w:color="auto"/>
        <w:right w:val="none" w:sz="0" w:space="0" w:color="auto"/>
      </w:divBdr>
    </w:div>
    <w:div w:id="207573694">
      <w:bodyDiv w:val="1"/>
      <w:marLeft w:val="0"/>
      <w:marRight w:val="0"/>
      <w:marTop w:val="0"/>
      <w:marBottom w:val="0"/>
      <w:divBdr>
        <w:top w:val="none" w:sz="0" w:space="0" w:color="auto"/>
        <w:left w:val="none" w:sz="0" w:space="0" w:color="auto"/>
        <w:bottom w:val="none" w:sz="0" w:space="0" w:color="auto"/>
        <w:right w:val="none" w:sz="0" w:space="0" w:color="auto"/>
      </w:divBdr>
    </w:div>
    <w:div w:id="225915766">
      <w:bodyDiv w:val="1"/>
      <w:marLeft w:val="0"/>
      <w:marRight w:val="0"/>
      <w:marTop w:val="0"/>
      <w:marBottom w:val="0"/>
      <w:divBdr>
        <w:top w:val="none" w:sz="0" w:space="0" w:color="auto"/>
        <w:left w:val="none" w:sz="0" w:space="0" w:color="auto"/>
        <w:bottom w:val="none" w:sz="0" w:space="0" w:color="auto"/>
        <w:right w:val="none" w:sz="0" w:space="0" w:color="auto"/>
      </w:divBdr>
    </w:div>
    <w:div w:id="254094961">
      <w:bodyDiv w:val="1"/>
      <w:marLeft w:val="0"/>
      <w:marRight w:val="0"/>
      <w:marTop w:val="0"/>
      <w:marBottom w:val="0"/>
      <w:divBdr>
        <w:top w:val="none" w:sz="0" w:space="0" w:color="auto"/>
        <w:left w:val="none" w:sz="0" w:space="0" w:color="auto"/>
        <w:bottom w:val="none" w:sz="0" w:space="0" w:color="auto"/>
        <w:right w:val="none" w:sz="0" w:space="0" w:color="auto"/>
      </w:divBdr>
    </w:div>
    <w:div w:id="296960741">
      <w:bodyDiv w:val="1"/>
      <w:marLeft w:val="0"/>
      <w:marRight w:val="0"/>
      <w:marTop w:val="0"/>
      <w:marBottom w:val="0"/>
      <w:divBdr>
        <w:top w:val="none" w:sz="0" w:space="0" w:color="auto"/>
        <w:left w:val="none" w:sz="0" w:space="0" w:color="auto"/>
        <w:bottom w:val="none" w:sz="0" w:space="0" w:color="auto"/>
        <w:right w:val="none" w:sz="0" w:space="0" w:color="auto"/>
      </w:divBdr>
      <w:divsChild>
        <w:div w:id="289359580">
          <w:marLeft w:val="0"/>
          <w:marRight w:val="0"/>
          <w:marTop w:val="0"/>
          <w:marBottom w:val="0"/>
          <w:divBdr>
            <w:top w:val="none" w:sz="0" w:space="0" w:color="auto"/>
            <w:left w:val="none" w:sz="0" w:space="0" w:color="auto"/>
            <w:bottom w:val="none" w:sz="0" w:space="0" w:color="auto"/>
            <w:right w:val="none" w:sz="0" w:space="0" w:color="auto"/>
          </w:divBdr>
        </w:div>
      </w:divsChild>
    </w:div>
    <w:div w:id="299265305">
      <w:bodyDiv w:val="1"/>
      <w:marLeft w:val="0"/>
      <w:marRight w:val="0"/>
      <w:marTop w:val="0"/>
      <w:marBottom w:val="0"/>
      <w:divBdr>
        <w:top w:val="none" w:sz="0" w:space="0" w:color="auto"/>
        <w:left w:val="none" w:sz="0" w:space="0" w:color="auto"/>
        <w:bottom w:val="none" w:sz="0" w:space="0" w:color="auto"/>
        <w:right w:val="none" w:sz="0" w:space="0" w:color="auto"/>
      </w:divBdr>
    </w:div>
    <w:div w:id="318506206">
      <w:bodyDiv w:val="1"/>
      <w:marLeft w:val="0"/>
      <w:marRight w:val="0"/>
      <w:marTop w:val="0"/>
      <w:marBottom w:val="0"/>
      <w:divBdr>
        <w:top w:val="none" w:sz="0" w:space="0" w:color="auto"/>
        <w:left w:val="none" w:sz="0" w:space="0" w:color="auto"/>
        <w:bottom w:val="none" w:sz="0" w:space="0" w:color="auto"/>
        <w:right w:val="none" w:sz="0" w:space="0" w:color="auto"/>
      </w:divBdr>
    </w:div>
    <w:div w:id="396711702">
      <w:bodyDiv w:val="1"/>
      <w:marLeft w:val="0"/>
      <w:marRight w:val="0"/>
      <w:marTop w:val="0"/>
      <w:marBottom w:val="0"/>
      <w:divBdr>
        <w:top w:val="none" w:sz="0" w:space="0" w:color="auto"/>
        <w:left w:val="none" w:sz="0" w:space="0" w:color="auto"/>
        <w:bottom w:val="none" w:sz="0" w:space="0" w:color="auto"/>
        <w:right w:val="none" w:sz="0" w:space="0" w:color="auto"/>
      </w:divBdr>
      <w:divsChild>
        <w:div w:id="412245126">
          <w:marLeft w:val="0"/>
          <w:marRight w:val="0"/>
          <w:marTop w:val="0"/>
          <w:marBottom w:val="0"/>
          <w:divBdr>
            <w:top w:val="none" w:sz="0" w:space="0" w:color="auto"/>
            <w:left w:val="none" w:sz="0" w:space="0" w:color="auto"/>
            <w:bottom w:val="none" w:sz="0" w:space="0" w:color="auto"/>
            <w:right w:val="none" w:sz="0" w:space="0" w:color="auto"/>
          </w:divBdr>
        </w:div>
      </w:divsChild>
    </w:div>
    <w:div w:id="396823267">
      <w:bodyDiv w:val="1"/>
      <w:marLeft w:val="0"/>
      <w:marRight w:val="0"/>
      <w:marTop w:val="0"/>
      <w:marBottom w:val="0"/>
      <w:divBdr>
        <w:top w:val="none" w:sz="0" w:space="0" w:color="auto"/>
        <w:left w:val="none" w:sz="0" w:space="0" w:color="auto"/>
        <w:bottom w:val="none" w:sz="0" w:space="0" w:color="auto"/>
        <w:right w:val="none" w:sz="0" w:space="0" w:color="auto"/>
      </w:divBdr>
    </w:div>
    <w:div w:id="446581482">
      <w:bodyDiv w:val="1"/>
      <w:marLeft w:val="0"/>
      <w:marRight w:val="0"/>
      <w:marTop w:val="0"/>
      <w:marBottom w:val="0"/>
      <w:divBdr>
        <w:top w:val="none" w:sz="0" w:space="0" w:color="auto"/>
        <w:left w:val="none" w:sz="0" w:space="0" w:color="auto"/>
        <w:bottom w:val="none" w:sz="0" w:space="0" w:color="auto"/>
        <w:right w:val="none" w:sz="0" w:space="0" w:color="auto"/>
      </w:divBdr>
    </w:div>
    <w:div w:id="474833205">
      <w:bodyDiv w:val="1"/>
      <w:marLeft w:val="0"/>
      <w:marRight w:val="0"/>
      <w:marTop w:val="0"/>
      <w:marBottom w:val="0"/>
      <w:divBdr>
        <w:top w:val="none" w:sz="0" w:space="0" w:color="auto"/>
        <w:left w:val="none" w:sz="0" w:space="0" w:color="auto"/>
        <w:bottom w:val="none" w:sz="0" w:space="0" w:color="auto"/>
        <w:right w:val="none" w:sz="0" w:space="0" w:color="auto"/>
      </w:divBdr>
    </w:div>
    <w:div w:id="513885035">
      <w:bodyDiv w:val="1"/>
      <w:marLeft w:val="0"/>
      <w:marRight w:val="0"/>
      <w:marTop w:val="0"/>
      <w:marBottom w:val="0"/>
      <w:divBdr>
        <w:top w:val="none" w:sz="0" w:space="0" w:color="auto"/>
        <w:left w:val="none" w:sz="0" w:space="0" w:color="auto"/>
        <w:bottom w:val="none" w:sz="0" w:space="0" w:color="auto"/>
        <w:right w:val="none" w:sz="0" w:space="0" w:color="auto"/>
      </w:divBdr>
    </w:div>
    <w:div w:id="525607242">
      <w:bodyDiv w:val="1"/>
      <w:marLeft w:val="0"/>
      <w:marRight w:val="0"/>
      <w:marTop w:val="0"/>
      <w:marBottom w:val="0"/>
      <w:divBdr>
        <w:top w:val="none" w:sz="0" w:space="0" w:color="auto"/>
        <w:left w:val="none" w:sz="0" w:space="0" w:color="auto"/>
        <w:bottom w:val="none" w:sz="0" w:space="0" w:color="auto"/>
        <w:right w:val="none" w:sz="0" w:space="0" w:color="auto"/>
      </w:divBdr>
    </w:div>
    <w:div w:id="535657370">
      <w:bodyDiv w:val="1"/>
      <w:marLeft w:val="0"/>
      <w:marRight w:val="0"/>
      <w:marTop w:val="0"/>
      <w:marBottom w:val="0"/>
      <w:divBdr>
        <w:top w:val="none" w:sz="0" w:space="0" w:color="auto"/>
        <w:left w:val="none" w:sz="0" w:space="0" w:color="auto"/>
        <w:bottom w:val="none" w:sz="0" w:space="0" w:color="auto"/>
        <w:right w:val="none" w:sz="0" w:space="0" w:color="auto"/>
      </w:divBdr>
      <w:divsChild>
        <w:div w:id="68424643">
          <w:marLeft w:val="0"/>
          <w:marRight w:val="0"/>
          <w:marTop w:val="0"/>
          <w:marBottom w:val="0"/>
          <w:divBdr>
            <w:top w:val="none" w:sz="0" w:space="0" w:color="auto"/>
            <w:left w:val="none" w:sz="0" w:space="0" w:color="auto"/>
            <w:bottom w:val="none" w:sz="0" w:space="0" w:color="auto"/>
            <w:right w:val="none" w:sz="0" w:space="0" w:color="auto"/>
          </w:divBdr>
        </w:div>
      </w:divsChild>
    </w:div>
    <w:div w:id="546768669">
      <w:bodyDiv w:val="1"/>
      <w:marLeft w:val="0"/>
      <w:marRight w:val="0"/>
      <w:marTop w:val="0"/>
      <w:marBottom w:val="0"/>
      <w:divBdr>
        <w:top w:val="none" w:sz="0" w:space="0" w:color="auto"/>
        <w:left w:val="none" w:sz="0" w:space="0" w:color="auto"/>
        <w:bottom w:val="none" w:sz="0" w:space="0" w:color="auto"/>
        <w:right w:val="none" w:sz="0" w:space="0" w:color="auto"/>
      </w:divBdr>
      <w:divsChild>
        <w:div w:id="1510758260">
          <w:marLeft w:val="0"/>
          <w:marRight w:val="0"/>
          <w:marTop w:val="0"/>
          <w:marBottom w:val="0"/>
          <w:divBdr>
            <w:top w:val="none" w:sz="0" w:space="0" w:color="auto"/>
            <w:left w:val="none" w:sz="0" w:space="0" w:color="auto"/>
            <w:bottom w:val="none" w:sz="0" w:space="0" w:color="auto"/>
            <w:right w:val="none" w:sz="0" w:space="0" w:color="auto"/>
          </w:divBdr>
        </w:div>
      </w:divsChild>
    </w:div>
    <w:div w:id="549269571">
      <w:bodyDiv w:val="1"/>
      <w:marLeft w:val="0"/>
      <w:marRight w:val="0"/>
      <w:marTop w:val="0"/>
      <w:marBottom w:val="0"/>
      <w:divBdr>
        <w:top w:val="none" w:sz="0" w:space="0" w:color="auto"/>
        <w:left w:val="none" w:sz="0" w:space="0" w:color="auto"/>
        <w:bottom w:val="none" w:sz="0" w:space="0" w:color="auto"/>
        <w:right w:val="none" w:sz="0" w:space="0" w:color="auto"/>
      </w:divBdr>
      <w:divsChild>
        <w:div w:id="39480315">
          <w:marLeft w:val="0"/>
          <w:marRight w:val="0"/>
          <w:marTop w:val="0"/>
          <w:marBottom w:val="0"/>
          <w:divBdr>
            <w:top w:val="none" w:sz="0" w:space="0" w:color="auto"/>
            <w:left w:val="none" w:sz="0" w:space="0" w:color="auto"/>
            <w:bottom w:val="none" w:sz="0" w:space="0" w:color="auto"/>
            <w:right w:val="none" w:sz="0" w:space="0" w:color="auto"/>
          </w:divBdr>
        </w:div>
      </w:divsChild>
    </w:div>
    <w:div w:id="550769553">
      <w:bodyDiv w:val="1"/>
      <w:marLeft w:val="0"/>
      <w:marRight w:val="0"/>
      <w:marTop w:val="0"/>
      <w:marBottom w:val="0"/>
      <w:divBdr>
        <w:top w:val="none" w:sz="0" w:space="0" w:color="auto"/>
        <w:left w:val="none" w:sz="0" w:space="0" w:color="auto"/>
        <w:bottom w:val="none" w:sz="0" w:space="0" w:color="auto"/>
        <w:right w:val="none" w:sz="0" w:space="0" w:color="auto"/>
      </w:divBdr>
    </w:div>
    <w:div w:id="586380378">
      <w:bodyDiv w:val="1"/>
      <w:marLeft w:val="0"/>
      <w:marRight w:val="0"/>
      <w:marTop w:val="0"/>
      <w:marBottom w:val="0"/>
      <w:divBdr>
        <w:top w:val="none" w:sz="0" w:space="0" w:color="auto"/>
        <w:left w:val="none" w:sz="0" w:space="0" w:color="auto"/>
        <w:bottom w:val="none" w:sz="0" w:space="0" w:color="auto"/>
        <w:right w:val="none" w:sz="0" w:space="0" w:color="auto"/>
      </w:divBdr>
      <w:divsChild>
        <w:div w:id="991788759">
          <w:marLeft w:val="0"/>
          <w:marRight w:val="0"/>
          <w:marTop w:val="0"/>
          <w:marBottom w:val="0"/>
          <w:divBdr>
            <w:top w:val="none" w:sz="0" w:space="0" w:color="auto"/>
            <w:left w:val="none" w:sz="0" w:space="0" w:color="auto"/>
            <w:bottom w:val="none" w:sz="0" w:space="0" w:color="auto"/>
            <w:right w:val="none" w:sz="0" w:space="0" w:color="auto"/>
          </w:divBdr>
        </w:div>
      </w:divsChild>
    </w:div>
    <w:div w:id="598221282">
      <w:bodyDiv w:val="1"/>
      <w:marLeft w:val="0"/>
      <w:marRight w:val="0"/>
      <w:marTop w:val="0"/>
      <w:marBottom w:val="0"/>
      <w:divBdr>
        <w:top w:val="none" w:sz="0" w:space="0" w:color="auto"/>
        <w:left w:val="none" w:sz="0" w:space="0" w:color="auto"/>
        <w:bottom w:val="none" w:sz="0" w:space="0" w:color="auto"/>
        <w:right w:val="none" w:sz="0" w:space="0" w:color="auto"/>
      </w:divBdr>
    </w:div>
    <w:div w:id="791022778">
      <w:bodyDiv w:val="1"/>
      <w:marLeft w:val="0"/>
      <w:marRight w:val="0"/>
      <w:marTop w:val="0"/>
      <w:marBottom w:val="0"/>
      <w:divBdr>
        <w:top w:val="none" w:sz="0" w:space="0" w:color="auto"/>
        <w:left w:val="none" w:sz="0" w:space="0" w:color="auto"/>
        <w:bottom w:val="none" w:sz="0" w:space="0" w:color="auto"/>
        <w:right w:val="none" w:sz="0" w:space="0" w:color="auto"/>
      </w:divBdr>
    </w:div>
    <w:div w:id="1071123583">
      <w:bodyDiv w:val="1"/>
      <w:marLeft w:val="0"/>
      <w:marRight w:val="0"/>
      <w:marTop w:val="0"/>
      <w:marBottom w:val="0"/>
      <w:divBdr>
        <w:top w:val="none" w:sz="0" w:space="0" w:color="auto"/>
        <w:left w:val="none" w:sz="0" w:space="0" w:color="auto"/>
        <w:bottom w:val="none" w:sz="0" w:space="0" w:color="auto"/>
        <w:right w:val="none" w:sz="0" w:space="0" w:color="auto"/>
      </w:divBdr>
    </w:div>
    <w:div w:id="1091584553">
      <w:bodyDiv w:val="1"/>
      <w:marLeft w:val="0"/>
      <w:marRight w:val="0"/>
      <w:marTop w:val="0"/>
      <w:marBottom w:val="0"/>
      <w:divBdr>
        <w:top w:val="none" w:sz="0" w:space="0" w:color="auto"/>
        <w:left w:val="none" w:sz="0" w:space="0" w:color="auto"/>
        <w:bottom w:val="none" w:sz="0" w:space="0" w:color="auto"/>
        <w:right w:val="none" w:sz="0" w:space="0" w:color="auto"/>
      </w:divBdr>
    </w:div>
    <w:div w:id="1150635450">
      <w:bodyDiv w:val="1"/>
      <w:marLeft w:val="0"/>
      <w:marRight w:val="0"/>
      <w:marTop w:val="0"/>
      <w:marBottom w:val="0"/>
      <w:divBdr>
        <w:top w:val="none" w:sz="0" w:space="0" w:color="auto"/>
        <w:left w:val="none" w:sz="0" w:space="0" w:color="auto"/>
        <w:bottom w:val="none" w:sz="0" w:space="0" w:color="auto"/>
        <w:right w:val="none" w:sz="0" w:space="0" w:color="auto"/>
      </w:divBdr>
    </w:div>
    <w:div w:id="1219248565">
      <w:bodyDiv w:val="1"/>
      <w:marLeft w:val="0"/>
      <w:marRight w:val="0"/>
      <w:marTop w:val="0"/>
      <w:marBottom w:val="0"/>
      <w:divBdr>
        <w:top w:val="none" w:sz="0" w:space="0" w:color="auto"/>
        <w:left w:val="none" w:sz="0" w:space="0" w:color="auto"/>
        <w:bottom w:val="none" w:sz="0" w:space="0" w:color="auto"/>
        <w:right w:val="none" w:sz="0" w:space="0" w:color="auto"/>
      </w:divBdr>
      <w:divsChild>
        <w:div w:id="1809400378">
          <w:marLeft w:val="0"/>
          <w:marRight w:val="0"/>
          <w:marTop w:val="0"/>
          <w:marBottom w:val="0"/>
          <w:divBdr>
            <w:top w:val="none" w:sz="0" w:space="0" w:color="auto"/>
            <w:left w:val="none" w:sz="0" w:space="0" w:color="auto"/>
            <w:bottom w:val="none" w:sz="0" w:space="0" w:color="auto"/>
            <w:right w:val="none" w:sz="0" w:space="0" w:color="auto"/>
          </w:divBdr>
        </w:div>
      </w:divsChild>
    </w:div>
    <w:div w:id="1252350360">
      <w:bodyDiv w:val="1"/>
      <w:marLeft w:val="0"/>
      <w:marRight w:val="0"/>
      <w:marTop w:val="0"/>
      <w:marBottom w:val="0"/>
      <w:divBdr>
        <w:top w:val="none" w:sz="0" w:space="0" w:color="auto"/>
        <w:left w:val="none" w:sz="0" w:space="0" w:color="auto"/>
        <w:bottom w:val="none" w:sz="0" w:space="0" w:color="auto"/>
        <w:right w:val="none" w:sz="0" w:space="0" w:color="auto"/>
      </w:divBdr>
      <w:divsChild>
        <w:div w:id="1915771362">
          <w:marLeft w:val="0"/>
          <w:marRight w:val="0"/>
          <w:marTop w:val="0"/>
          <w:marBottom w:val="0"/>
          <w:divBdr>
            <w:top w:val="none" w:sz="0" w:space="0" w:color="auto"/>
            <w:left w:val="none" w:sz="0" w:space="0" w:color="auto"/>
            <w:bottom w:val="none" w:sz="0" w:space="0" w:color="auto"/>
            <w:right w:val="none" w:sz="0" w:space="0" w:color="auto"/>
          </w:divBdr>
        </w:div>
      </w:divsChild>
    </w:div>
    <w:div w:id="1325233022">
      <w:bodyDiv w:val="1"/>
      <w:marLeft w:val="0"/>
      <w:marRight w:val="0"/>
      <w:marTop w:val="0"/>
      <w:marBottom w:val="0"/>
      <w:divBdr>
        <w:top w:val="none" w:sz="0" w:space="0" w:color="auto"/>
        <w:left w:val="none" w:sz="0" w:space="0" w:color="auto"/>
        <w:bottom w:val="none" w:sz="0" w:space="0" w:color="auto"/>
        <w:right w:val="none" w:sz="0" w:space="0" w:color="auto"/>
      </w:divBdr>
    </w:div>
    <w:div w:id="1328366756">
      <w:bodyDiv w:val="1"/>
      <w:marLeft w:val="0"/>
      <w:marRight w:val="0"/>
      <w:marTop w:val="0"/>
      <w:marBottom w:val="0"/>
      <w:divBdr>
        <w:top w:val="none" w:sz="0" w:space="0" w:color="auto"/>
        <w:left w:val="none" w:sz="0" w:space="0" w:color="auto"/>
        <w:bottom w:val="none" w:sz="0" w:space="0" w:color="auto"/>
        <w:right w:val="none" w:sz="0" w:space="0" w:color="auto"/>
      </w:divBdr>
    </w:div>
    <w:div w:id="1330868623">
      <w:bodyDiv w:val="1"/>
      <w:marLeft w:val="0"/>
      <w:marRight w:val="0"/>
      <w:marTop w:val="0"/>
      <w:marBottom w:val="0"/>
      <w:divBdr>
        <w:top w:val="none" w:sz="0" w:space="0" w:color="auto"/>
        <w:left w:val="none" w:sz="0" w:space="0" w:color="auto"/>
        <w:bottom w:val="none" w:sz="0" w:space="0" w:color="auto"/>
        <w:right w:val="none" w:sz="0" w:space="0" w:color="auto"/>
      </w:divBdr>
    </w:div>
    <w:div w:id="1355111264">
      <w:bodyDiv w:val="1"/>
      <w:marLeft w:val="0"/>
      <w:marRight w:val="0"/>
      <w:marTop w:val="0"/>
      <w:marBottom w:val="0"/>
      <w:divBdr>
        <w:top w:val="none" w:sz="0" w:space="0" w:color="auto"/>
        <w:left w:val="none" w:sz="0" w:space="0" w:color="auto"/>
        <w:bottom w:val="none" w:sz="0" w:space="0" w:color="auto"/>
        <w:right w:val="none" w:sz="0" w:space="0" w:color="auto"/>
      </w:divBdr>
      <w:divsChild>
        <w:div w:id="223108191">
          <w:marLeft w:val="0"/>
          <w:marRight w:val="0"/>
          <w:marTop w:val="0"/>
          <w:marBottom w:val="0"/>
          <w:divBdr>
            <w:top w:val="none" w:sz="0" w:space="0" w:color="auto"/>
            <w:left w:val="none" w:sz="0" w:space="0" w:color="auto"/>
            <w:bottom w:val="none" w:sz="0" w:space="0" w:color="auto"/>
            <w:right w:val="none" w:sz="0" w:space="0" w:color="auto"/>
          </w:divBdr>
        </w:div>
      </w:divsChild>
    </w:div>
    <w:div w:id="1370492125">
      <w:bodyDiv w:val="1"/>
      <w:marLeft w:val="0"/>
      <w:marRight w:val="0"/>
      <w:marTop w:val="0"/>
      <w:marBottom w:val="0"/>
      <w:divBdr>
        <w:top w:val="none" w:sz="0" w:space="0" w:color="auto"/>
        <w:left w:val="none" w:sz="0" w:space="0" w:color="auto"/>
        <w:bottom w:val="none" w:sz="0" w:space="0" w:color="auto"/>
        <w:right w:val="none" w:sz="0" w:space="0" w:color="auto"/>
      </w:divBdr>
    </w:div>
    <w:div w:id="1473324555">
      <w:bodyDiv w:val="1"/>
      <w:marLeft w:val="0"/>
      <w:marRight w:val="0"/>
      <w:marTop w:val="0"/>
      <w:marBottom w:val="0"/>
      <w:divBdr>
        <w:top w:val="none" w:sz="0" w:space="0" w:color="auto"/>
        <w:left w:val="none" w:sz="0" w:space="0" w:color="auto"/>
        <w:bottom w:val="none" w:sz="0" w:space="0" w:color="auto"/>
        <w:right w:val="none" w:sz="0" w:space="0" w:color="auto"/>
      </w:divBdr>
    </w:div>
    <w:div w:id="1514032234">
      <w:bodyDiv w:val="1"/>
      <w:marLeft w:val="0"/>
      <w:marRight w:val="0"/>
      <w:marTop w:val="0"/>
      <w:marBottom w:val="0"/>
      <w:divBdr>
        <w:top w:val="none" w:sz="0" w:space="0" w:color="auto"/>
        <w:left w:val="none" w:sz="0" w:space="0" w:color="auto"/>
        <w:bottom w:val="none" w:sz="0" w:space="0" w:color="auto"/>
        <w:right w:val="none" w:sz="0" w:space="0" w:color="auto"/>
      </w:divBdr>
    </w:div>
    <w:div w:id="1522158747">
      <w:bodyDiv w:val="1"/>
      <w:marLeft w:val="0"/>
      <w:marRight w:val="0"/>
      <w:marTop w:val="0"/>
      <w:marBottom w:val="0"/>
      <w:divBdr>
        <w:top w:val="none" w:sz="0" w:space="0" w:color="auto"/>
        <w:left w:val="none" w:sz="0" w:space="0" w:color="auto"/>
        <w:bottom w:val="none" w:sz="0" w:space="0" w:color="auto"/>
        <w:right w:val="none" w:sz="0" w:space="0" w:color="auto"/>
      </w:divBdr>
    </w:div>
    <w:div w:id="1607036261">
      <w:bodyDiv w:val="1"/>
      <w:marLeft w:val="0"/>
      <w:marRight w:val="0"/>
      <w:marTop w:val="0"/>
      <w:marBottom w:val="0"/>
      <w:divBdr>
        <w:top w:val="none" w:sz="0" w:space="0" w:color="auto"/>
        <w:left w:val="none" w:sz="0" w:space="0" w:color="auto"/>
        <w:bottom w:val="none" w:sz="0" w:space="0" w:color="auto"/>
        <w:right w:val="none" w:sz="0" w:space="0" w:color="auto"/>
      </w:divBdr>
    </w:div>
    <w:div w:id="1639264155">
      <w:bodyDiv w:val="1"/>
      <w:marLeft w:val="0"/>
      <w:marRight w:val="0"/>
      <w:marTop w:val="0"/>
      <w:marBottom w:val="0"/>
      <w:divBdr>
        <w:top w:val="none" w:sz="0" w:space="0" w:color="auto"/>
        <w:left w:val="none" w:sz="0" w:space="0" w:color="auto"/>
        <w:bottom w:val="none" w:sz="0" w:space="0" w:color="auto"/>
        <w:right w:val="none" w:sz="0" w:space="0" w:color="auto"/>
      </w:divBdr>
      <w:divsChild>
        <w:div w:id="197016489">
          <w:marLeft w:val="0"/>
          <w:marRight w:val="0"/>
          <w:marTop w:val="0"/>
          <w:marBottom w:val="0"/>
          <w:divBdr>
            <w:top w:val="none" w:sz="0" w:space="0" w:color="auto"/>
            <w:left w:val="none" w:sz="0" w:space="0" w:color="auto"/>
            <w:bottom w:val="none" w:sz="0" w:space="0" w:color="auto"/>
            <w:right w:val="none" w:sz="0" w:space="0" w:color="auto"/>
          </w:divBdr>
        </w:div>
      </w:divsChild>
    </w:div>
    <w:div w:id="1706369841">
      <w:bodyDiv w:val="1"/>
      <w:marLeft w:val="0"/>
      <w:marRight w:val="0"/>
      <w:marTop w:val="0"/>
      <w:marBottom w:val="0"/>
      <w:divBdr>
        <w:top w:val="none" w:sz="0" w:space="0" w:color="auto"/>
        <w:left w:val="none" w:sz="0" w:space="0" w:color="auto"/>
        <w:bottom w:val="none" w:sz="0" w:space="0" w:color="auto"/>
        <w:right w:val="none" w:sz="0" w:space="0" w:color="auto"/>
      </w:divBdr>
    </w:div>
    <w:div w:id="1718503665">
      <w:bodyDiv w:val="1"/>
      <w:marLeft w:val="0"/>
      <w:marRight w:val="0"/>
      <w:marTop w:val="0"/>
      <w:marBottom w:val="0"/>
      <w:divBdr>
        <w:top w:val="none" w:sz="0" w:space="0" w:color="auto"/>
        <w:left w:val="none" w:sz="0" w:space="0" w:color="auto"/>
        <w:bottom w:val="none" w:sz="0" w:space="0" w:color="auto"/>
        <w:right w:val="none" w:sz="0" w:space="0" w:color="auto"/>
      </w:divBdr>
      <w:divsChild>
        <w:div w:id="1042829377">
          <w:marLeft w:val="0"/>
          <w:marRight w:val="0"/>
          <w:marTop w:val="0"/>
          <w:marBottom w:val="0"/>
          <w:divBdr>
            <w:top w:val="none" w:sz="0" w:space="0" w:color="auto"/>
            <w:left w:val="none" w:sz="0" w:space="0" w:color="auto"/>
            <w:bottom w:val="none" w:sz="0" w:space="0" w:color="auto"/>
            <w:right w:val="none" w:sz="0" w:space="0" w:color="auto"/>
          </w:divBdr>
        </w:div>
      </w:divsChild>
    </w:div>
    <w:div w:id="1740251854">
      <w:bodyDiv w:val="1"/>
      <w:marLeft w:val="0"/>
      <w:marRight w:val="0"/>
      <w:marTop w:val="0"/>
      <w:marBottom w:val="0"/>
      <w:divBdr>
        <w:top w:val="none" w:sz="0" w:space="0" w:color="auto"/>
        <w:left w:val="none" w:sz="0" w:space="0" w:color="auto"/>
        <w:bottom w:val="none" w:sz="0" w:space="0" w:color="auto"/>
        <w:right w:val="none" w:sz="0" w:space="0" w:color="auto"/>
      </w:divBdr>
      <w:divsChild>
        <w:div w:id="1808545104">
          <w:marLeft w:val="0"/>
          <w:marRight w:val="0"/>
          <w:marTop w:val="0"/>
          <w:marBottom w:val="0"/>
          <w:divBdr>
            <w:top w:val="none" w:sz="0" w:space="0" w:color="auto"/>
            <w:left w:val="none" w:sz="0" w:space="0" w:color="auto"/>
            <w:bottom w:val="none" w:sz="0" w:space="0" w:color="auto"/>
            <w:right w:val="none" w:sz="0" w:space="0" w:color="auto"/>
          </w:divBdr>
        </w:div>
      </w:divsChild>
    </w:div>
    <w:div w:id="1756591282">
      <w:bodyDiv w:val="1"/>
      <w:marLeft w:val="0"/>
      <w:marRight w:val="0"/>
      <w:marTop w:val="0"/>
      <w:marBottom w:val="0"/>
      <w:divBdr>
        <w:top w:val="none" w:sz="0" w:space="0" w:color="auto"/>
        <w:left w:val="none" w:sz="0" w:space="0" w:color="auto"/>
        <w:bottom w:val="none" w:sz="0" w:space="0" w:color="auto"/>
        <w:right w:val="none" w:sz="0" w:space="0" w:color="auto"/>
      </w:divBdr>
    </w:div>
    <w:div w:id="1785998298">
      <w:bodyDiv w:val="1"/>
      <w:marLeft w:val="0"/>
      <w:marRight w:val="0"/>
      <w:marTop w:val="0"/>
      <w:marBottom w:val="0"/>
      <w:divBdr>
        <w:top w:val="none" w:sz="0" w:space="0" w:color="auto"/>
        <w:left w:val="none" w:sz="0" w:space="0" w:color="auto"/>
        <w:bottom w:val="none" w:sz="0" w:space="0" w:color="auto"/>
        <w:right w:val="none" w:sz="0" w:space="0" w:color="auto"/>
      </w:divBdr>
    </w:div>
    <w:div w:id="1804230530">
      <w:bodyDiv w:val="1"/>
      <w:marLeft w:val="0"/>
      <w:marRight w:val="0"/>
      <w:marTop w:val="0"/>
      <w:marBottom w:val="0"/>
      <w:divBdr>
        <w:top w:val="none" w:sz="0" w:space="0" w:color="auto"/>
        <w:left w:val="none" w:sz="0" w:space="0" w:color="auto"/>
        <w:bottom w:val="none" w:sz="0" w:space="0" w:color="auto"/>
        <w:right w:val="none" w:sz="0" w:space="0" w:color="auto"/>
      </w:divBdr>
      <w:divsChild>
        <w:div w:id="1106194675">
          <w:marLeft w:val="0"/>
          <w:marRight w:val="0"/>
          <w:marTop w:val="0"/>
          <w:marBottom w:val="0"/>
          <w:divBdr>
            <w:top w:val="none" w:sz="0" w:space="0" w:color="auto"/>
            <w:left w:val="none" w:sz="0" w:space="0" w:color="auto"/>
            <w:bottom w:val="none" w:sz="0" w:space="0" w:color="auto"/>
            <w:right w:val="none" w:sz="0" w:space="0" w:color="auto"/>
          </w:divBdr>
        </w:div>
      </w:divsChild>
    </w:div>
    <w:div w:id="1868249865">
      <w:bodyDiv w:val="1"/>
      <w:marLeft w:val="0"/>
      <w:marRight w:val="0"/>
      <w:marTop w:val="0"/>
      <w:marBottom w:val="0"/>
      <w:divBdr>
        <w:top w:val="none" w:sz="0" w:space="0" w:color="auto"/>
        <w:left w:val="none" w:sz="0" w:space="0" w:color="auto"/>
        <w:bottom w:val="none" w:sz="0" w:space="0" w:color="auto"/>
        <w:right w:val="none" w:sz="0" w:space="0" w:color="auto"/>
      </w:divBdr>
    </w:div>
    <w:div w:id="1909270211">
      <w:bodyDiv w:val="1"/>
      <w:marLeft w:val="0"/>
      <w:marRight w:val="0"/>
      <w:marTop w:val="0"/>
      <w:marBottom w:val="0"/>
      <w:divBdr>
        <w:top w:val="none" w:sz="0" w:space="0" w:color="auto"/>
        <w:left w:val="none" w:sz="0" w:space="0" w:color="auto"/>
        <w:bottom w:val="none" w:sz="0" w:space="0" w:color="auto"/>
        <w:right w:val="none" w:sz="0" w:space="0" w:color="auto"/>
      </w:divBdr>
      <w:divsChild>
        <w:div w:id="694310948">
          <w:marLeft w:val="0"/>
          <w:marRight w:val="0"/>
          <w:marTop w:val="0"/>
          <w:marBottom w:val="0"/>
          <w:divBdr>
            <w:top w:val="none" w:sz="0" w:space="0" w:color="auto"/>
            <w:left w:val="none" w:sz="0" w:space="0" w:color="auto"/>
            <w:bottom w:val="none" w:sz="0" w:space="0" w:color="auto"/>
            <w:right w:val="none" w:sz="0" w:space="0" w:color="auto"/>
          </w:divBdr>
        </w:div>
      </w:divsChild>
    </w:div>
    <w:div w:id="2042634124">
      <w:bodyDiv w:val="1"/>
      <w:marLeft w:val="0"/>
      <w:marRight w:val="0"/>
      <w:marTop w:val="0"/>
      <w:marBottom w:val="0"/>
      <w:divBdr>
        <w:top w:val="none" w:sz="0" w:space="0" w:color="auto"/>
        <w:left w:val="none" w:sz="0" w:space="0" w:color="auto"/>
        <w:bottom w:val="none" w:sz="0" w:space="0" w:color="auto"/>
        <w:right w:val="none" w:sz="0" w:space="0" w:color="auto"/>
      </w:divBdr>
      <w:divsChild>
        <w:div w:id="822355443">
          <w:marLeft w:val="0"/>
          <w:marRight w:val="0"/>
          <w:marTop w:val="0"/>
          <w:marBottom w:val="0"/>
          <w:divBdr>
            <w:top w:val="none" w:sz="0" w:space="0" w:color="auto"/>
            <w:left w:val="none" w:sz="0" w:space="0" w:color="auto"/>
            <w:bottom w:val="none" w:sz="0" w:space="0" w:color="auto"/>
            <w:right w:val="none" w:sz="0" w:space="0" w:color="auto"/>
          </w:divBdr>
        </w:div>
      </w:divsChild>
    </w:div>
    <w:div w:id="2047174436">
      <w:bodyDiv w:val="1"/>
      <w:marLeft w:val="0"/>
      <w:marRight w:val="0"/>
      <w:marTop w:val="0"/>
      <w:marBottom w:val="0"/>
      <w:divBdr>
        <w:top w:val="none" w:sz="0" w:space="0" w:color="auto"/>
        <w:left w:val="none" w:sz="0" w:space="0" w:color="auto"/>
        <w:bottom w:val="none" w:sz="0" w:space="0" w:color="auto"/>
        <w:right w:val="none" w:sz="0" w:space="0" w:color="auto"/>
      </w:divBdr>
    </w:div>
    <w:div w:id="2121102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7748/ncyp.2020.e131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6343117/"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ngland.nhs.uk/wp-content/uploads/2019/08/aed-guidance.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1A04D-4579-434D-83C1-7E93B0AD4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37</Pages>
  <Words>4463</Words>
  <Characters>25444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sana mushtaq</cp:lastModifiedBy>
  <cp:revision>20</cp:revision>
  <dcterms:created xsi:type="dcterms:W3CDTF">2023-05-04T08:47:00Z</dcterms:created>
  <dcterms:modified xsi:type="dcterms:W3CDTF">2023-05-04T10:20:00Z</dcterms:modified>
</cp:coreProperties>
</file>