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17A26A" w14:textId="787C2DF4" w:rsidR="008C6E01" w:rsidRDefault="00640C3D">
      <w:pPr>
        <w:rPr>
          <w:lang w:val="en-US"/>
        </w:rPr>
      </w:pPr>
      <w:r>
        <w:rPr>
          <w:lang w:val="en-US"/>
        </w:rPr>
        <w:t>Q1)</w:t>
      </w:r>
    </w:p>
    <w:p w14:paraId="4EFBD6BC" w14:textId="76795A3D" w:rsidR="00640C3D" w:rsidRDefault="00CD43DD">
      <w:pPr>
        <w:rPr>
          <w:lang w:val="en-US"/>
        </w:rPr>
      </w:pPr>
      <w:r>
        <w:rPr>
          <w:lang w:val="en-US"/>
        </w:rPr>
        <w:t>First, Fred, through his offer is presenting and invitation to treat through advertisement of his Blue Ray player. Fred has let it be known that he has a Blue ray player for sale but does not state a price, this means he is open to offers or an interpretation on the price of the player. (</w:t>
      </w:r>
      <w:r w:rsidRPr="00CD43DD">
        <w:rPr>
          <w:lang w:val="en-US"/>
        </w:rPr>
        <w:t>Partridge v Crittenden [1968]</w:t>
      </w:r>
      <w:r>
        <w:rPr>
          <w:lang w:val="en-US"/>
        </w:rPr>
        <w:t>) George presents a</w:t>
      </w:r>
      <w:r w:rsidR="005820C7">
        <w:rPr>
          <w:lang w:val="en-US"/>
        </w:rPr>
        <w:t xml:space="preserve">n </w:t>
      </w:r>
      <w:r>
        <w:rPr>
          <w:lang w:val="en-US"/>
        </w:rPr>
        <w:t>offer to Fred of £20 for the player</w:t>
      </w:r>
      <w:r w:rsidR="005820C7">
        <w:rPr>
          <w:lang w:val="en-US"/>
        </w:rPr>
        <w:t xml:space="preserve"> (communication of offers)</w:t>
      </w:r>
      <w:r>
        <w:rPr>
          <w:lang w:val="en-US"/>
        </w:rPr>
        <w:t xml:space="preserve">, which </w:t>
      </w:r>
      <w:r w:rsidR="006A025E">
        <w:rPr>
          <w:lang w:val="en-US"/>
        </w:rPr>
        <w:t>Fred</w:t>
      </w:r>
      <w:r>
        <w:rPr>
          <w:lang w:val="en-US"/>
        </w:rPr>
        <w:t xml:space="preserve"> replies</w:t>
      </w:r>
      <w:r w:rsidR="005820C7">
        <w:rPr>
          <w:lang w:val="en-US"/>
        </w:rPr>
        <w:t xml:space="preserve"> with a counteroffer,</w:t>
      </w:r>
      <w:r>
        <w:rPr>
          <w:lang w:val="en-US"/>
        </w:rPr>
        <w:t xml:space="preserve"> and will only accept a minimum of £35 pounds. </w:t>
      </w:r>
      <w:r w:rsidR="005820C7">
        <w:rPr>
          <w:lang w:val="en-US"/>
        </w:rPr>
        <w:t xml:space="preserve">Fred does not reply to George regarding the counteroffer, which cannot amount to an acceptance. </w:t>
      </w:r>
    </w:p>
    <w:p w14:paraId="50737BDA" w14:textId="47B1556E" w:rsidR="005820C7" w:rsidRDefault="005820C7">
      <w:pPr>
        <w:rPr>
          <w:lang w:val="en-US"/>
        </w:rPr>
      </w:pPr>
      <w:r>
        <w:rPr>
          <w:lang w:val="en-US"/>
        </w:rPr>
        <w:t>George is passing the local TV and video shop and sees a DVD player in the window with a price tag of £30. This represents a form on invitation to treat through advertisement and in this case through a shop window. (</w:t>
      </w:r>
      <w:r w:rsidR="006A025E" w:rsidRPr="006A025E">
        <w:rPr>
          <w:lang w:val="en-US"/>
        </w:rPr>
        <w:t>P.S.G.B. v Boots Chemists [1953]</w:t>
      </w:r>
      <w:r w:rsidR="006A025E">
        <w:rPr>
          <w:lang w:val="en-US"/>
        </w:rPr>
        <w:t>)</w:t>
      </w:r>
      <w:r>
        <w:rPr>
          <w:lang w:val="en-US"/>
        </w:rPr>
        <w:t xml:space="preserve">. </w:t>
      </w:r>
      <w:r w:rsidR="006A025E">
        <w:rPr>
          <w:lang w:val="en-US"/>
        </w:rPr>
        <w:t xml:space="preserve">When attempting to buy the product George discovers the offer has been terminated through revocation as the pricing is wrong. This is upsetting, however, Mike, the shop owner has the power to do so as he has not accepted the offer of sale of the good. </w:t>
      </w:r>
    </w:p>
    <w:p w14:paraId="477C501D" w14:textId="125CFC10" w:rsidR="006A1E7C" w:rsidRDefault="006A1E7C">
      <w:pPr>
        <w:rPr>
          <w:lang w:val="en-US"/>
        </w:rPr>
      </w:pPr>
      <w:r>
        <w:rPr>
          <w:lang w:val="en-US"/>
        </w:rPr>
        <w:t>George then returns to the shop the following morning and decides to buy the player for £</w:t>
      </w:r>
      <w:r w:rsidR="00D97602">
        <w:rPr>
          <w:lang w:val="en-US"/>
        </w:rPr>
        <w:t>4</w:t>
      </w:r>
      <w:r>
        <w:rPr>
          <w:lang w:val="en-US"/>
        </w:rPr>
        <w:t xml:space="preserve">0. </w:t>
      </w:r>
      <w:r w:rsidR="00D97602">
        <w:rPr>
          <w:lang w:val="en-US"/>
        </w:rPr>
        <w:t>George</w:t>
      </w:r>
      <w:r>
        <w:rPr>
          <w:lang w:val="en-US"/>
        </w:rPr>
        <w:t xml:space="preserve"> accepts the counteroffer of £</w:t>
      </w:r>
      <w:r w:rsidR="00D97602">
        <w:rPr>
          <w:lang w:val="en-US"/>
        </w:rPr>
        <w:t>4</w:t>
      </w:r>
      <w:r>
        <w:rPr>
          <w:lang w:val="en-US"/>
        </w:rPr>
        <w:t>0. This completes the bilateral contract, both parties have met the requirements, promises of each other.</w:t>
      </w:r>
    </w:p>
    <w:p w14:paraId="7927367F" w14:textId="1F80AE09" w:rsidR="006A1E7C" w:rsidRDefault="006A1E7C">
      <w:pPr>
        <w:rPr>
          <w:lang w:val="en-US"/>
        </w:rPr>
      </w:pPr>
      <w:r>
        <w:rPr>
          <w:lang w:val="en-US"/>
        </w:rPr>
        <w:t>Fred’s letter of acceptance by post does not legally stand up. First, Fred made a counteroffer to George of a minimum £35, this meaning the original offer of £20 is the quashed</w:t>
      </w:r>
      <w:r w:rsidR="00951767">
        <w:rPr>
          <w:lang w:val="en-US"/>
        </w:rPr>
        <w:t xml:space="preserve"> and the acceptance of this offer via post void</w:t>
      </w:r>
      <w:r>
        <w:rPr>
          <w:lang w:val="en-US"/>
        </w:rPr>
        <w:t xml:space="preserve">. Furthermore, it is noted that the postal rule may apply to the acceptance of offers however, as stated silence </w:t>
      </w:r>
      <w:r w:rsidR="00951767">
        <w:rPr>
          <w:lang w:val="en-US"/>
        </w:rPr>
        <w:t xml:space="preserve">cannot amount to acceptance (George not replying to Fred over the counteroffer) and additionally, the requirement for acceptance by post was not mentioned or stated, even though the offer of £20 had already been quashed. </w:t>
      </w:r>
    </w:p>
    <w:p w14:paraId="499D4F0D" w14:textId="32EE8302" w:rsidR="00951767" w:rsidRDefault="00951767">
      <w:pPr>
        <w:rPr>
          <w:lang w:val="en-US"/>
        </w:rPr>
      </w:pPr>
    </w:p>
    <w:p w14:paraId="0324C30A" w14:textId="73884B4F" w:rsidR="00951767" w:rsidRDefault="00951767">
      <w:pPr>
        <w:rPr>
          <w:lang w:val="en-US"/>
        </w:rPr>
      </w:pPr>
      <w:r>
        <w:rPr>
          <w:lang w:val="en-US"/>
        </w:rPr>
        <w:t>Q2)</w:t>
      </w:r>
    </w:p>
    <w:p w14:paraId="4EBE00D9" w14:textId="38608971" w:rsidR="00951767" w:rsidRDefault="00951767">
      <w:pPr>
        <w:rPr>
          <w:lang w:val="en-US"/>
        </w:rPr>
      </w:pPr>
      <w:r>
        <w:rPr>
          <w:lang w:val="en-US"/>
        </w:rPr>
        <w:t>a)</w:t>
      </w:r>
    </w:p>
    <w:p w14:paraId="6A8598FA" w14:textId="7874BFCC" w:rsidR="00951767" w:rsidRDefault="00951767">
      <w:pPr>
        <w:rPr>
          <w:lang w:val="en-US"/>
        </w:rPr>
      </w:pPr>
      <w:proofErr w:type="spellStart"/>
      <w:r>
        <w:rPr>
          <w:lang w:val="en-US"/>
        </w:rPr>
        <w:t>Cuttler</w:t>
      </w:r>
      <w:proofErr w:type="spellEnd"/>
      <w:r>
        <w:rPr>
          <w:lang w:val="en-US"/>
        </w:rPr>
        <w:t xml:space="preserve"> v Powell (1795)</w:t>
      </w:r>
    </w:p>
    <w:p w14:paraId="216DBF49" w14:textId="7E8109FB" w:rsidR="00951767" w:rsidRDefault="00951767" w:rsidP="00951767">
      <w:pPr>
        <w:rPr>
          <w:lang w:val="en-US"/>
        </w:rPr>
      </w:pPr>
      <w:r>
        <w:rPr>
          <w:lang w:val="en-US"/>
        </w:rPr>
        <w:t xml:space="preserve">The claimant’s husband had agreed via contract </w:t>
      </w:r>
      <w:r w:rsidR="00D97602">
        <w:rPr>
          <w:lang w:val="en-US"/>
        </w:rPr>
        <w:t xml:space="preserve">to act as a second mate on a ship – ‘Governor Parry’ on a return sail from Jamaica to Liverpool. The sale duration was 8 weeks and was agreed to be paid on completion. The contract stated that ; </w:t>
      </w:r>
      <w:r w:rsidRPr="00951767">
        <w:rPr>
          <w:lang w:val="en-US"/>
        </w:rPr>
        <w:t>"Ten days after the ship 'Governor Parry,' myself master, arrives at Liverpool, I promise to pay to Mr. T. Cutter the sum of thirty guineas, provided he proceeds, continues and does his duty as second mate in the said ship from hence to the port of Liverpool. Kingston, July 31st, 1793."</w:t>
      </w:r>
    </w:p>
    <w:p w14:paraId="3768D98C" w14:textId="59A2C69B" w:rsidR="00D97602" w:rsidRDefault="00D97602" w:rsidP="00951767">
      <w:pPr>
        <w:rPr>
          <w:lang w:val="en-US"/>
        </w:rPr>
      </w:pPr>
      <w:r>
        <w:rPr>
          <w:lang w:val="en-US"/>
        </w:rPr>
        <w:t xml:space="preserve">Six weeks into the sail, the claimants husband died, the claimant sought to claim a sum to represent the six weeks work undertaken. </w:t>
      </w:r>
    </w:p>
    <w:p w14:paraId="54AA20F1" w14:textId="47E42307" w:rsidR="00D97602" w:rsidRDefault="00D97602" w:rsidP="00951767">
      <w:pPr>
        <w:rPr>
          <w:lang w:val="en-US"/>
        </w:rPr>
      </w:pPr>
      <w:r>
        <w:rPr>
          <w:lang w:val="en-US"/>
        </w:rPr>
        <w:t>Bolton v Mahadeva (1972)</w:t>
      </w:r>
    </w:p>
    <w:p w14:paraId="16209A2A" w14:textId="2E906FA8" w:rsidR="00D97602" w:rsidRDefault="00D97602" w:rsidP="00951767">
      <w:pPr>
        <w:rPr>
          <w:lang w:val="en-US"/>
        </w:rPr>
      </w:pPr>
      <w:r>
        <w:rPr>
          <w:lang w:val="en-US"/>
        </w:rPr>
        <w:t xml:space="preserve">The claimant installed a central heating system in the </w:t>
      </w:r>
      <w:r w:rsidR="00744A67">
        <w:rPr>
          <w:lang w:val="en-US"/>
        </w:rPr>
        <w:t>defendant’s</w:t>
      </w:r>
      <w:r>
        <w:rPr>
          <w:lang w:val="en-US"/>
        </w:rPr>
        <w:t xml:space="preserve"> home, the agreed price</w:t>
      </w:r>
      <w:r w:rsidR="00744A67">
        <w:rPr>
          <w:lang w:val="en-US"/>
        </w:rPr>
        <w:t xml:space="preserve"> was £560 for the work to be carried out. The standard of work did not meet the defendant’s requirements and therefore refused to pay for the work. The defects in the work amounted to £174, the claimant tried to enforce the payment for the work completed. </w:t>
      </w:r>
    </w:p>
    <w:p w14:paraId="1DFF83C1" w14:textId="51D0C5AE" w:rsidR="00247EF1" w:rsidRDefault="00744A67" w:rsidP="00247EF1">
      <w:pPr>
        <w:rPr>
          <w:lang w:val="en-US"/>
        </w:rPr>
      </w:pPr>
      <w:r>
        <w:rPr>
          <w:lang w:val="en-US"/>
        </w:rPr>
        <w:t xml:space="preserve">In the case of </w:t>
      </w:r>
      <w:proofErr w:type="spellStart"/>
      <w:r>
        <w:rPr>
          <w:lang w:val="en-US"/>
        </w:rPr>
        <w:t>Cuttler</w:t>
      </w:r>
      <w:proofErr w:type="spellEnd"/>
      <w:r>
        <w:rPr>
          <w:lang w:val="en-US"/>
        </w:rPr>
        <w:t xml:space="preserve"> v Powell the wife’s (claimant) action failed because the contract stated the payment was on condition that he worked the ship to Liverpool and since he was unable to fulfil this </w:t>
      </w:r>
      <w:r>
        <w:rPr>
          <w:lang w:val="en-US"/>
        </w:rPr>
        <w:lastRenderedPageBreak/>
        <w:t xml:space="preserve">condition, the widow was entitled to nothing. This case study is an example of discharge by performance </w:t>
      </w:r>
      <w:r w:rsidR="00247EF1">
        <w:rPr>
          <w:lang w:val="en-US"/>
        </w:rPr>
        <w:t xml:space="preserve">through exceptions of the strict rule and further linked to only partial performance of the agreed role. Furthermore, this case also applied to discharge through frustration, frustrating events, and a change in circumstances. </w:t>
      </w:r>
    </w:p>
    <w:p w14:paraId="6B62DF69" w14:textId="77777777" w:rsidR="00247EF1" w:rsidRDefault="00247EF1">
      <w:pPr>
        <w:rPr>
          <w:lang w:val="en-US"/>
        </w:rPr>
      </w:pPr>
      <w:r>
        <w:rPr>
          <w:lang w:val="en-US"/>
        </w:rPr>
        <w:t>In the case of Bolton v Mahadeva (1972), the action to enforce the payment via the claimant failed because the court held there was no substantial performance and therefore a discharge of contract.</w:t>
      </w:r>
    </w:p>
    <w:p w14:paraId="6DD48912" w14:textId="55D0B1DE" w:rsidR="00A82E34" w:rsidRDefault="00A82E34">
      <w:pPr>
        <w:rPr>
          <w:lang w:val="en-US"/>
        </w:rPr>
      </w:pPr>
      <w:r>
        <w:rPr>
          <w:lang w:val="en-US"/>
        </w:rPr>
        <w:t xml:space="preserve">In the current day, the outcomes of the above cases may be different due to the Law Reform Act (Frustrated Contracts) 1943. The act governs the liabilities and the rights of the parties involved in frustrated contracts in the UK. The act provides a different approach to common law, allowing frustrated parties within a contract to recover the money that had been paid before a contract becomes impossible to perform. </w:t>
      </w:r>
    </w:p>
    <w:p w14:paraId="42446C89" w14:textId="6A784AF4" w:rsidR="00D86109" w:rsidRDefault="00D86109">
      <w:pPr>
        <w:rPr>
          <w:lang w:val="en-US"/>
        </w:rPr>
      </w:pPr>
      <w:r>
        <w:rPr>
          <w:lang w:val="en-US"/>
        </w:rPr>
        <w:t xml:space="preserve">The aim of the Act is to provide protection for parties which are paying a sum of money based on a contractual agreement in the circumstances where the contract has been frustrated. This is particularly aimed to be a remedy for unfortunate cases and situations that could not be foreseen such as the case between (Avery v Bowden 1856). </w:t>
      </w:r>
    </w:p>
    <w:p w14:paraId="23E066B5" w14:textId="76B6068A" w:rsidR="00926657" w:rsidRDefault="00926657">
      <w:pPr>
        <w:rPr>
          <w:lang w:val="en-US"/>
        </w:rPr>
      </w:pPr>
      <w:r>
        <w:rPr>
          <w:lang w:val="en-US"/>
        </w:rPr>
        <w:t xml:space="preserve">In the case of </w:t>
      </w:r>
      <w:proofErr w:type="spellStart"/>
      <w:r>
        <w:rPr>
          <w:lang w:val="en-US"/>
        </w:rPr>
        <w:t>Cuttler</w:t>
      </w:r>
      <w:proofErr w:type="spellEnd"/>
      <w:r>
        <w:rPr>
          <w:lang w:val="en-US"/>
        </w:rPr>
        <w:t xml:space="preserve"> v Powell (1795) the Law Reform act 1943 section 1 (3) deals with situations where parties have benefited, other than the payment of money , ahead of a frustrating event – change in circumstances such as (Avery v Bowden 1856)</w:t>
      </w:r>
      <w:r w:rsidR="001E7205">
        <w:rPr>
          <w:lang w:val="en-US"/>
        </w:rPr>
        <w:t xml:space="preserve"> and </w:t>
      </w:r>
      <w:r w:rsidR="001E7205" w:rsidRPr="001E7205">
        <w:rPr>
          <w:lang w:val="en-US"/>
        </w:rPr>
        <w:t>Taylor v Caldwell (1863)</w:t>
      </w:r>
      <w:r>
        <w:rPr>
          <w:lang w:val="en-US"/>
        </w:rPr>
        <w:t xml:space="preserve">. </w:t>
      </w:r>
      <w:r w:rsidR="001E7205">
        <w:rPr>
          <w:lang w:val="en-US"/>
        </w:rPr>
        <w:t xml:space="preserve">The act would have allowed the widow -claimant to recover the sum payable for the benefit of the work completed by her husband on the </w:t>
      </w:r>
      <w:proofErr w:type="spellStart"/>
      <w:r w:rsidR="001E7205">
        <w:rPr>
          <w:lang w:val="en-US"/>
        </w:rPr>
        <w:t>Governory</w:t>
      </w:r>
      <w:proofErr w:type="spellEnd"/>
      <w:r w:rsidR="001E7205">
        <w:rPr>
          <w:lang w:val="en-US"/>
        </w:rPr>
        <w:t xml:space="preserve"> Parry. </w:t>
      </w:r>
    </w:p>
    <w:p w14:paraId="3068618C" w14:textId="45BB18CF" w:rsidR="00D86109" w:rsidRDefault="00D86109">
      <w:pPr>
        <w:rPr>
          <w:lang w:val="en-US"/>
        </w:rPr>
      </w:pPr>
      <w:r>
        <w:rPr>
          <w:lang w:val="en-US"/>
        </w:rPr>
        <w:t xml:space="preserve">In the case of Bolton v Mahadeva (1972) the Law Reform act 1943 (section 1) </w:t>
      </w:r>
      <w:r w:rsidR="00926657">
        <w:rPr>
          <w:lang w:val="en-US"/>
        </w:rPr>
        <w:t xml:space="preserve">(2) </w:t>
      </w:r>
      <w:r>
        <w:rPr>
          <w:lang w:val="en-US"/>
        </w:rPr>
        <w:t xml:space="preserve">states that sums of money paid before the contract was discharged can be recoverable from the claimant, however, it does allow for the </w:t>
      </w:r>
      <w:r w:rsidR="00926657">
        <w:rPr>
          <w:lang w:val="en-US"/>
        </w:rPr>
        <w:t>claimant to retain a portion of the money for any expenses/damages they have incurred during the carrying out of the contract. This means, the claimant would have been able to recover the expenses in which were invested into the work; however, the cost of defects and expenses would be drawn from this sum of money</w:t>
      </w:r>
      <w:r w:rsidR="001E7205">
        <w:rPr>
          <w:lang w:val="en-US"/>
        </w:rPr>
        <w:t xml:space="preserve"> to protect the defendant</w:t>
      </w:r>
      <w:r w:rsidR="00926657">
        <w:rPr>
          <w:lang w:val="en-US"/>
        </w:rPr>
        <w:t xml:space="preserve">. </w:t>
      </w:r>
    </w:p>
    <w:p w14:paraId="5E9441F9" w14:textId="20ABF707" w:rsidR="00353AC1" w:rsidRDefault="001E7205" w:rsidP="00353AC1">
      <w:pPr>
        <w:rPr>
          <w:lang w:val="en-US"/>
        </w:rPr>
      </w:pPr>
      <w:r>
        <w:rPr>
          <w:lang w:val="en-US"/>
        </w:rPr>
        <w:t>b)</w:t>
      </w:r>
    </w:p>
    <w:p w14:paraId="003090E7" w14:textId="69261F56" w:rsidR="00353AC1" w:rsidRDefault="00353AC1" w:rsidP="00353AC1">
      <w:pPr>
        <w:rPr>
          <w:lang w:val="en-US"/>
        </w:rPr>
      </w:pPr>
      <w:r>
        <w:rPr>
          <w:lang w:val="en-US"/>
        </w:rPr>
        <w:t xml:space="preserve">Bilateral discharge represents a situation where both parties in a contract have some right to surrender an agreement and it has various effects. Parties may intend to rescind their agreement and nothing more. Other effects include rescission, variation, and waiver. </w:t>
      </w:r>
    </w:p>
    <w:p w14:paraId="768D205F" w14:textId="54380B27" w:rsidR="00353AC1" w:rsidRPr="00353AC1" w:rsidRDefault="00353AC1" w:rsidP="00353AC1">
      <w:pPr>
        <w:rPr>
          <w:lang w:val="en-US"/>
        </w:rPr>
      </w:pPr>
      <w:r>
        <w:rPr>
          <w:lang w:val="en-US"/>
        </w:rPr>
        <w:t xml:space="preserve">Unilateral discharge allows only one party to have the rights to surrender. </w:t>
      </w:r>
      <w:r w:rsidR="00D71EE5">
        <w:rPr>
          <w:lang w:val="en-US"/>
        </w:rPr>
        <w:t>If this</w:t>
      </w:r>
      <w:r>
        <w:rPr>
          <w:lang w:val="en-US"/>
        </w:rPr>
        <w:t xml:space="preserve"> party has fully completed its side of the agreement, therefore, is no longer under any obligation but remains to have rights to compel a performance agreement of others. </w:t>
      </w:r>
      <w:r w:rsidR="00D71EE5">
        <w:rPr>
          <w:lang w:val="en-US"/>
        </w:rPr>
        <w:t xml:space="preserve">Unilateral discharge must include consideration, which is the one exception to the rule. </w:t>
      </w:r>
    </w:p>
    <w:p w14:paraId="24E8B529" w14:textId="4FD8FC8F" w:rsidR="00353AC1" w:rsidRDefault="00D71EE5" w:rsidP="00353AC1">
      <w:pPr>
        <w:rPr>
          <w:lang w:val="en-US"/>
        </w:rPr>
      </w:pPr>
      <w:r>
        <w:rPr>
          <w:lang w:val="en-US"/>
        </w:rPr>
        <w:t>Q3)</w:t>
      </w:r>
    </w:p>
    <w:p w14:paraId="525DE4CC" w14:textId="7ED8ED5E" w:rsidR="00A449D8" w:rsidRDefault="00A449D8" w:rsidP="00353AC1">
      <w:pPr>
        <w:rPr>
          <w:lang w:val="en-US"/>
        </w:rPr>
      </w:pPr>
      <w:r>
        <w:rPr>
          <w:lang w:val="en-US"/>
        </w:rPr>
        <w:t>a)</w:t>
      </w:r>
    </w:p>
    <w:p w14:paraId="2FB0C85F" w14:textId="6BA6D322" w:rsidR="00CB074B" w:rsidRDefault="00CB074B" w:rsidP="00353AC1">
      <w:pPr>
        <w:rPr>
          <w:lang w:val="en-US"/>
        </w:rPr>
      </w:pPr>
      <w:r>
        <w:rPr>
          <w:lang w:val="en-US"/>
        </w:rPr>
        <w:t xml:space="preserve">Terms and representations provide remedies for aggrieved parties. </w:t>
      </w:r>
    </w:p>
    <w:p w14:paraId="53CD82D0" w14:textId="67C22014" w:rsidR="00CB074B" w:rsidRDefault="00CB074B" w:rsidP="00353AC1">
      <w:r>
        <w:rPr>
          <w:lang w:val="en-US"/>
        </w:rPr>
        <w:t>A term</w:t>
      </w:r>
      <w:r w:rsidRPr="00CB074B">
        <w:t xml:space="preserve"> </w:t>
      </w:r>
      <w:r>
        <w:t xml:space="preserve">of a contract can be determined as promise to the statement of the truth. A representation does not include a promise; however, the statement induces the making of the contract.  </w:t>
      </w:r>
    </w:p>
    <w:p w14:paraId="16785450" w14:textId="534C340A" w:rsidR="00CB074B" w:rsidRDefault="00CB074B" w:rsidP="00CB074B">
      <w:r>
        <w:t xml:space="preserve">There are 2 basic types of terms which can be categorised as; Expressed terms which are laid down by the parties themselves and Implied terms which are read into the contract by the court on the </w:t>
      </w:r>
      <w:r>
        <w:lastRenderedPageBreak/>
        <w:t>basis that the nature of the agreement and the parties apparent intentions or</w:t>
      </w:r>
      <w:r w:rsidR="005A6E3A">
        <w:t xml:space="preserve"> on the basis of law on certain types of contract.</w:t>
      </w:r>
    </w:p>
    <w:p w14:paraId="2D755407" w14:textId="7FE373AB" w:rsidR="005A6E3A" w:rsidRDefault="005A6E3A" w:rsidP="00CB074B">
      <w:r>
        <w:t>The key issues to note when considering oral expressed statements made during negotiations prior to the conclusion of the contract are: first of all the importance of the statement, if the statement is so important that a part should not have entered into a contract. (</w:t>
      </w:r>
      <w:r w:rsidRPr="005A6E3A">
        <w:t>Bannerman v White (1861)</w:t>
      </w:r>
      <w:r>
        <w:t>)</w:t>
      </w:r>
      <w:r w:rsidR="00A449D8">
        <w:t xml:space="preserve"> One part specifically asked for hops not to be produced via the use of sulphur and was agreed they wouldn’t be, however sulphur was in fact use in the production- therefore the part should never have entered into the contract due to the fact that he could not uphold the requirement of production. </w:t>
      </w:r>
    </w:p>
    <w:p w14:paraId="421EAB9F" w14:textId="4CFFDD82" w:rsidR="005A6E3A" w:rsidRDefault="005A6E3A" w:rsidP="005A6E3A">
      <w:r>
        <w:t>Secondly, the timing of statement. The less time between the timing of the statement and the formation / conclusion of the contract the better in terms of being held as a term within the contract. A good example of this can be found when looking at the case of (</w:t>
      </w:r>
      <w:r w:rsidRPr="005A6E3A">
        <w:t>Routledge v. McKay (1954)</w:t>
      </w:r>
      <w:r>
        <w:t xml:space="preserve">) However, if a statement is strong and important it can sometimes overrule the delay of the statement, this can been seen in the case of </w:t>
      </w:r>
      <w:proofErr w:type="spellStart"/>
      <w:r>
        <w:t>Schawel</w:t>
      </w:r>
      <w:proofErr w:type="spellEnd"/>
      <w:r>
        <w:t xml:space="preserve"> v Reade (1913)</w:t>
      </w:r>
      <w:r>
        <w:t>.</w:t>
      </w:r>
    </w:p>
    <w:p w14:paraId="0EE19381" w14:textId="3E07036D" w:rsidR="005A6E3A" w:rsidRDefault="005A6E3A" w:rsidP="005A6E3A">
      <w:r>
        <w:t>If an oral statement is made via an expert opinion on the matter this can also be considered a strong and important term within a contract</w:t>
      </w:r>
      <w:r w:rsidR="00A449D8">
        <w:t xml:space="preserve">, it is more likely to be considered a more accurate statement than that of someone’s opinion or with no expertise on the matter. An example of this can be found within the case of </w:t>
      </w:r>
      <w:r w:rsidR="00A449D8" w:rsidRPr="00A449D8">
        <w:t>Bentley Productions Ltd. v. Harold Smith (Motors) Ltd. (1965).</w:t>
      </w:r>
    </w:p>
    <w:p w14:paraId="17586CA3" w14:textId="08E74582" w:rsidR="00A449D8" w:rsidRDefault="00A449D8" w:rsidP="00A449D8">
      <w:r>
        <w:t>If a contract is put in writing any statement appearing in the written agreement will be regarded as a term. Any oral statement which is not repeated in the written agreement will usually be regarded as a representation and the assumption that if a statement is left out of the written agreement the parties must not have viewed the statements important. (</w:t>
      </w:r>
      <w:r>
        <w:t xml:space="preserve">Routledge v. McKay </w:t>
      </w:r>
      <w:r>
        <w:t>(1954))</w:t>
      </w:r>
    </w:p>
    <w:p w14:paraId="1D816736" w14:textId="0B2315DE" w:rsidR="00A449D8" w:rsidRDefault="00A449D8" w:rsidP="00A449D8">
      <w:r>
        <w:t>b)</w:t>
      </w:r>
    </w:p>
    <w:p w14:paraId="5C0A966D" w14:textId="4324ACF4" w:rsidR="0002016A" w:rsidRDefault="0002016A" w:rsidP="00A449D8">
      <w:r>
        <w:t xml:space="preserve">There are 3 main groups of implied </w:t>
      </w:r>
      <w:proofErr w:type="gramStart"/>
      <w:r>
        <w:t>terms;</w:t>
      </w:r>
      <w:proofErr w:type="gramEnd"/>
      <w:r>
        <w:t xml:space="preserve"> </w:t>
      </w:r>
    </w:p>
    <w:p w14:paraId="2BE0DCDA" w14:textId="77777777" w:rsidR="0002016A" w:rsidRDefault="0002016A" w:rsidP="0002016A">
      <w:r>
        <w:t>1. Implied by fact</w:t>
      </w:r>
    </w:p>
    <w:p w14:paraId="6C85584E" w14:textId="77777777" w:rsidR="0002016A" w:rsidRDefault="0002016A" w:rsidP="0002016A">
      <w:r>
        <w:t>2. Implied by law</w:t>
      </w:r>
    </w:p>
    <w:p w14:paraId="5299A29E" w14:textId="77777777" w:rsidR="0002016A" w:rsidRDefault="0002016A" w:rsidP="0002016A">
      <w:r>
        <w:t>3. Implied by custom</w:t>
      </w:r>
    </w:p>
    <w:p w14:paraId="20129D9B" w14:textId="77777777" w:rsidR="0002016A" w:rsidRDefault="0002016A" w:rsidP="0002016A">
      <w:r>
        <w:t>Terms implied by fact:</w:t>
      </w:r>
    </w:p>
    <w:p w14:paraId="5947E01B" w14:textId="6991477E" w:rsidR="0002016A" w:rsidRDefault="0002016A" w:rsidP="0002016A">
      <w:r>
        <w:t>These are terms that courts assume both parties would have intended to</w:t>
      </w:r>
      <w:r>
        <w:t xml:space="preserve"> </w:t>
      </w:r>
      <w:r>
        <w:t xml:space="preserve">include in the contract had they thought about the issue. They are </w:t>
      </w:r>
      <w:r>
        <w:t>implied on</w:t>
      </w:r>
      <w:r>
        <w:t xml:space="preserve"> a “one-off” basis. Two overlapping tests have been trad</w:t>
      </w:r>
      <w:r>
        <w:t>itional and are</w:t>
      </w:r>
      <w:r>
        <w:t xml:space="preserve"> used to ascertain parties’ intention:</w:t>
      </w:r>
    </w:p>
    <w:p w14:paraId="47CC4CBF" w14:textId="7C4F86B7" w:rsidR="0002016A" w:rsidRDefault="0002016A" w:rsidP="0002016A">
      <w:r>
        <w:t xml:space="preserve">• </w:t>
      </w:r>
      <w:r>
        <w:t>‘’</w:t>
      </w:r>
      <w:r>
        <w:t>Officious bystander test: “if, while the parties were making the bargain,</w:t>
      </w:r>
      <w:r>
        <w:t xml:space="preserve"> </w:t>
      </w:r>
      <w:r>
        <w:t>an officious bystander were to suggest some express provision for it in</w:t>
      </w:r>
      <w:r>
        <w:t xml:space="preserve"> </w:t>
      </w:r>
      <w:r>
        <w:t xml:space="preserve">the agreement, they would testily suppress him with a common “Oh, </w:t>
      </w:r>
      <w:proofErr w:type="spellStart"/>
      <w:r>
        <w:t>ofcourse</w:t>
      </w:r>
      <w:proofErr w:type="spellEnd"/>
      <w:r>
        <w:t>!” (</w:t>
      </w:r>
      <w:proofErr w:type="spellStart"/>
      <w:r>
        <w:t>Shirlaw</w:t>
      </w:r>
      <w:proofErr w:type="spellEnd"/>
      <w:r>
        <w:t xml:space="preserve"> v. Southern Foundries (1926) per MacKinnon LJ).</w:t>
      </w:r>
      <w:r>
        <w:t>’’</w:t>
      </w:r>
    </w:p>
    <w:p w14:paraId="210054C0" w14:textId="05708A4A" w:rsidR="0002016A" w:rsidRDefault="0002016A" w:rsidP="0002016A">
      <w:r>
        <w:t>• Business efficacy test: terms must be implied to make contract work.</w:t>
      </w:r>
      <w:r>
        <w:t xml:space="preserve"> </w:t>
      </w:r>
      <w:proofErr w:type="gramStart"/>
      <w:r>
        <w:t>This terms</w:t>
      </w:r>
      <w:proofErr w:type="gramEnd"/>
      <w:r>
        <w:t xml:space="preserve"> makes it clear that the term is only implied id the contract cannot work without it; not sufficient that terms make contract fairer or more sensible. </w:t>
      </w:r>
    </w:p>
    <w:p w14:paraId="4975E05F" w14:textId="4A2D6BC9" w:rsidR="0002016A" w:rsidRDefault="0002016A" w:rsidP="0002016A"/>
    <w:p w14:paraId="40ACAEC5" w14:textId="77777777" w:rsidR="0002016A" w:rsidRDefault="0002016A"/>
    <w:p w14:paraId="6D00BB9B" w14:textId="3BD2FC02" w:rsidR="00D86109" w:rsidRDefault="0002016A">
      <w:r>
        <w:lastRenderedPageBreak/>
        <w:t>Implied by law:</w:t>
      </w:r>
    </w:p>
    <w:p w14:paraId="49AE5F09" w14:textId="72C5A1E1" w:rsidR="0002016A" w:rsidRDefault="0002016A" w:rsidP="00C517BF">
      <w:pPr>
        <w:rPr>
          <w:lang w:val="en-US"/>
        </w:rPr>
      </w:pPr>
      <w:r w:rsidRPr="0002016A">
        <w:rPr>
          <w:lang w:val="en-US"/>
        </w:rPr>
        <w:t>These are terms which the law requires present in certain types of</w:t>
      </w:r>
      <w:r>
        <w:rPr>
          <w:lang w:val="en-US"/>
        </w:rPr>
        <w:t xml:space="preserve"> </w:t>
      </w:r>
      <w:r w:rsidRPr="0002016A">
        <w:rPr>
          <w:lang w:val="en-US"/>
        </w:rPr>
        <w:t>contracts (i.e. not just on “one-off” basis and sometimes irrespective of the</w:t>
      </w:r>
      <w:r w:rsidR="00C517BF">
        <w:rPr>
          <w:lang w:val="en-US"/>
        </w:rPr>
        <w:t xml:space="preserve"> </w:t>
      </w:r>
      <w:r w:rsidRPr="0002016A">
        <w:rPr>
          <w:lang w:val="en-US"/>
        </w:rPr>
        <w:t xml:space="preserve">wishes of the parties). </w:t>
      </w:r>
      <w:r w:rsidR="00C517BF">
        <w:rPr>
          <w:lang w:val="en-US"/>
        </w:rPr>
        <w:t>For example,</w:t>
      </w:r>
      <w:r w:rsidRPr="0002016A">
        <w:rPr>
          <w:lang w:val="en-US"/>
        </w:rPr>
        <w:t xml:space="preserve"> tenancy agreements will include implied term</w:t>
      </w:r>
      <w:r w:rsidR="00C517BF">
        <w:rPr>
          <w:lang w:val="en-US"/>
        </w:rPr>
        <w:t xml:space="preserve"> </w:t>
      </w:r>
      <w:r w:rsidRPr="0002016A">
        <w:rPr>
          <w:lang w:val="en-US"/>
        </w:rPr>
        <w:t>that the landlord must take reasonable care to keep common parts of</w:t>
      </w:r>
      <w:r w:rsidR="00C517BF">
        <w:rPr>
          <w:lang w:val="en-US"/>
        </w:rPr>
        <w:t xml:space="preserve"> </w:t>
      </w:r>
      <w:r w:rsidRPr="0002016A">
        <w:rPr>
          <w:lang w:val="en-US"/>
        </w:rPr>
        <w:t>property in good repair (Liverpool City Council v. Irwin (1977));</w:t>
      </w:r>
      <w:r w:rsidR="00C517BF">
        <w:rPr>
          <w:lang w:val="en-US"/>
        </w:rPr>
        <w:t xml:space="preserve"> </w:t>
      </w:r>
      <w:r w:rsidRPr="0002016A">
        <w:rPr>
          <w:lang w:val="en-US"/>
        </w:rPr>
        <w:t>contracts of employment will include implied term that employer will give</w:t>
      </w:r>
      <w:r w:rsidR="00C517BF">
        <w:rPr>
          <w:lang w:val="en-US"/>
        </w:rPr>
        <w:t xml:space="preserve"> a </w:t>
      </w:r>
      <w:r w:rsidRPr="0002016A">
        <w:rPr>
          <w:lang w:val="en-US"/>
        </w:rPr>
        <w:t>departing employee a job reference and implied term that employer and employee will not act in ways</w:t>
      </w:r>
      <w:r w:rsidR="00C517BF">
        <w:rPr>
          <w:lang w:val="en-US"/>
        </w:rPr>
        <w:t xml:space="preserve"> </w:t>
      </w:r>
      <w:r w:rsidRPr="0002016A">
        <w:rPr>
          <w:lang w:val="en-US"/>
        </w:rPr>
        <w:t>“likely to undermine the trust and confidence required if the employment</w:t>
      </w:r>
      <w:r w:rsidR="00C517BF">
        <w:rPr>
          <w:lang w:val="en-US"/>
        </w:rPr>
        <w:t xml:space="preserve"> </w:t>
      </w:r>
      <w:r w:rsidRPr="0002016A">
        <w:rPr>
          <w:lang w:val="en-US"/>
        </w:rPr>
        <w:t>relationship is to continue”</w:t>
      </w:r>
      <w:r w:rsidR="00C517BF">
        <w:rPr>
          <w:lang w:val="en-US"/>
        </w:rPr>
        <w:t>.</w:t>
      </w:r>
    </w:p>
    <w:p w14:paraId="22E02A14" w14:textId="19ECF912" w:rsidR="00C517BF" w:rsidRDefault="00C517BF" w:rsidP="00C517BF">
      <w:pPr>
        <w:rPr>
          <w:lang w:val="en-US"/>
        </w:rPr>
      </w:pPr>
      <w:r>
        <w:rPr>
          <w:lang w:val="en-US"/>
        </w:rPr>
        <w:t>Implied by Custom:</w:t>
      </w:r>
    </w:p>
    <w:p w14:paraId="331BEE6C" w14:textId="09114FB9" w:rsidR="00E616B1" w:rsidRDefault="00E616B1" w:rsidP="00C517BF">
      <w:pPr>
        <w:rPr>
          <w:lang w:val="en-US"/>
        </w:rPr>
      </w:pPr>
      <w:r>
        <w:rPr>
          <w:lang w:val="en-US"/>
        </w:rPr>
        <w:t xml:space="preserve">A custom implied term is the prevalent in a trade where the courts may imply a term in a contract of the same type in that trade, a good example can be found in the case of </w:t>
      </w:r>
      <w:r w:rsidRPr="00E616B1">
        <w:rPr>
          <w:lang w:val="en-US"/>
        </w:rPr>
        <w:t>Hutton v Warren (1836)</w:t>
      </w:r>
      <w:r>
        <w:rPr>
          <w:lang w:val="en-US"/>
        </w:rPr>
        <w:t>. The courts may imply a custom term like the example of Hutton vs Warren whereby the cl</w:t>
      </w:r>
      <w:r w:rsidRPr="00E616B1">
        <w:rPr>
          <w:lang w:val="en-US"/>
        </w:rPr>
        <w:t>aimant had planted corn and Barley on the fields and worked the fields to ensure the crops would grow. Before the field was due to be harvested the tenancy was terminated. The claimant then submitted a bill to the defendant for the work and cost of seed spent on the field as was customary in farming tenancies</w:t>
      </w:r>
      <w:r>
        <w:rPr>
          <w:lang w:val="en-US"/>
        </w:rPr>
        <w:t xml:space="preserve">. The court </w:t>
      </w:r>
      <w:r w:rsidRPr="00E616B1">
        <w:rPr>
          <w:lang w:val="en-US"/>
        </w:rPr>
        <w:t>implied a term into the tenancy providing for compensation for the work and expenses undertaken in growing the crops. The term was implied as it was common practice for farming tenancies to contain such a clause.</w:t>
      </w:r>
    </w:p>
    <w:p w14:paraId="782C2C0B" w14:textId="666ACF58" w:rsidR="00E616B1" w:rsidRDefault="00E616B1" w:rsidP="00C517BF">
      <w:pPr>
        <w:rPr>
          <w:lang w:val="en-US"/>
        </w:rPr>
      </w:pPr>
      <w:r>
        <w:rPr>
          <w:lang w:val="en-US"/>
        </w:rPr>
        <w:t>Q4)</w:t>
      </w:r>
    </w:p>
    <w:p w14:paraId="2AA13DC9" w14:textId="111A98A3" w:rsidR="00E616B1" w:rsidRDefault="00E616B1" w:rsidP="00C517BF">
      <w:pPr>
        <w:rPr>
          <w:lang w:val="en-US"/>
        </w:rPr>
      </w:pPr>
      <w:r>
        <w:rPr>
          <w:lang w:val="en-US"/>
        </w:rPr>
        <w:t xml:space="preserve">The three types of misrepresentation </w:t>
      </w:r>
      <w:proofErr w:type="gramStart"/>
      <w:r>
        <w:rPr>
          <w:lang w:val="en-US"/>
        </w:rPr>
        <w:t>are;</w:t>
      </w:r>
      <w:proofErr w:type="gramEnd"/>
      <w:r>
        <w:rPr>
          <w:lang w:val="en-US"/>
        </w:rPr>
        <w:t xml:space="preserve"> </w:t>
      </w:r>
    </w:p>
    <w:p w14:paraId="445E6CEC" w14:textId="4A6B2D82" w:rsidR="00E616B1" w:rsidRDefault="00E616B1" w:rsidP="00C517BF">
      <w:pPr>
        <w:rPr>
          <w:lang w:val="en-US"/>
        </w:rPr>
      </w:pPr>
      <w:r>
        <w:rPr>
          <w:lang w:val="en-US"/>
        </w:rPr>
        <w:t xml:space="preserve">Fraudulent, negligent, and innocent types of misrepresentation. </w:t>
      </w:r>
    </w:p>
    <w:p w14:paraId="728DE0E5" w14:textId="77777777" w:rsidR="00A848EA" w:rsidRDefault="00EC0B1F" w:rsidP="00EC0B1F">
      <w:pPr>
        <w:rPr>
          <w:lang w:val="en-US"/>
        </w:rPr>
      </w:pPr>
      <w:r>
        <w:rPr>
          <w:lang w:val="en-US"/>
        </w:rPr>
        <w:t>The remedy available for innocent misrepresentation is recission. This is where the court orders the contract to be cancelled to restore the parties to their positions when they entered the agreement. In some cases, the parties may be able to write a new contract with regards to the new facts based on the subject matter, especially if the parties are still wanting to work together. I</w:t>
      </w:r>
      <w:r w:rsidRPr="00EC0B1F">
        <w:rPr>
          <w:lang w:val="en-US"/>
        </w:rPr>
        <w:t xml:space="preserve">n some jurisdictions, a court may issue a monetary damages award for the plaintiff, if they decide that it is equitable to do so.  This is usually only an option where the plaintiff has suffered great financial losses </w:t>
      </w:r>
      <w:r w:rsidRPr="00EC0B1F">
        <w:rPr>
          <w:lang w:val="en-US"/>
        </w:rPr>
        <w:t>because of</w:t>
      </w:r>
      <w:r w:rsidRPr="00EC0B1F">
        <w:rPr>
          <w:lang w:val="en-US"/>
        </w:rPr>
        <w:t xml:space="preserve"> the misrepresentation, or where rescission is not an adequate remedy. </w:t>
      </w:r>
      <w:r w:rsidR="00A848EA">
        <w:rPr>
          <w:lang w:val="en-US"/>
        </w:rPr>
        <w:t>An example of this can be found in the case of (R</w:t>
      </w:r>
      <w:r w:rsidR="00A848EA" w:rsidRPr="00A848EA">
        <w:rPr>
          <w:lang w:val="en-US"/>
        </w:rPr>
        <w:t xml:space="preserve">edgrave v </w:t>
      </w:r>
      <w:r w:rsidR="00A848EA">
        <w:rPr>
          <w:lang w:val="en-US"/>
        </w:rPr>
        <w:t>H</w:t>
      </w:r>
      <w:r w:rsidR="00A848EA" w:rsidRPr="00A848EA">
        <w:rPr>
          <w:lang w:val="en-US"/>
        </w:rPr>
        <w:t>urd 1881</w:t>
      </w:r>
      <w:r w:rsidR="00A848EA">
        <w:rPr>
          <w:lang w:val="en-US"/>
        </w:rPr>
        <w:t xml:space="preserve">) </w:t>
      </w:r>
    </w:p>
    <w:p w14:paraId="0ABEC5F4" w14:textId="382EB2CB" w:rsidR="00EC0B1F" w:rsidRDefault="00EC0B1F" w:rsidP="00EC0B1F">
      <w:pPr>
        <w:rPr>
          <w:lang w:val="en-US"/>
        </w:rPr>
      </w:pPr>
      <w:r>
        <w:rPr>
          <w:lang w:val="en-US"/>
        </w:rPr>
        <w:t>Negligent misrepresentation is w</w:t>
      </w:r>
      <w:r w:rsidRPr="00EC0B1F">
        <w:rPr>
          <w:lang w:val="en-US"/>
        </w:rPr>
        <w:t>here the parties have entered into a contract, a claim for negligent misrepresentation</w:t>
      </w:r>
      <w:r w:rsidR="008E441F">
        <w:rPr>
          <w:lang w:val="en-US"/>
        </w:rPr>
        <w:t xml:space="preserve"> (misrepresentation act 1967)</w:t>
      </w:r>
      <w:r w:rsidRPr="00EC0B1F">
        <w:rPr>
          <w:lang w:val="en-US"/>
        </w:rPr>
        <w:t xml:space="preserve"> (in addition to any possible breach of contract claim) where the misrepresentation was made carelessly or without the representor having reasonable grounds for believing its truth. Here, the claimant may seek rescission and/or damages (as well as any possible breach of contract damages).</w:t>
      </w:r>
      <w:r w:rsidR="008E441F">
        <w:rPr>
          <w:lang w:val="en-US"/>
        </w:rPr>
        <w:t xml:space="preserve"> A good example of this can be found in the case of (</w:t>
      </w:r>
      <w:r w:rsidR="00A848EA" w:rsidRPr="00A848EA">
        <w:rPr>
          <w:lang w:val="en-US"/>
        </w:rPr>
        <w:t xml:space="preserve">Esso Petroleum v </w:t>
      </w:r>
      <w:proofErr w:type="spellStart"/>
      <w:r w:rsidR="00A848EA" w:rsidRPr="00A848EA">
        <w:rPr>
          <w:lang w:val="en-US"/>
        </w:rPr>
        <w:t>Mardon</w:t>
      </w:r>
      <w:proofErr w:type="spellEnd"/>
      <w:r w:rsidR="00A848EA" w:rsidRPr="00A848EA">
        <w:rPr>
          <w:lang w:val="en-US"/>
        </w:rPr>
        <w:t xml:space="preserve"> (1976)</w:t>
      </w:r>
    </w:p>
    <w:p w14:paraId="2DA30766" w14:textId="61610759" w:rsidR="00EC0B1F" w:rsidRDefault="00EC0B1F" w:rsidP="00EC0B1F">
      <w:pPr>
        <w:rPr>
          <w:lang w:val="en-US"/>
        </w:rPr>
      </w:pPr>
      <w:r w:rsidRPr="00EC0B1F">
        <w:rPr>
          <w:lang w:val="en-US"/>
        </w:rPr>
        <w:t>Fraudulent misrepresentation is the most serious and requires the false representation to have been made knowingly, without belief in its truth, or recklessly as to its truth. The threshold is high, but the claimant may have the contract set aside (or ‘rescinded’) and seek unlimited damages.</w:t>
      </w:r>
      <w:r w:rsidR="008E441F">
        <w:rPr>
          <w:lang w:val="en-US"/>
        </w:rPr>
        <w:t xml:space="preserve"> A good example of this can be seen within the case of </w:t>
      </w:r>
      <w:r w:rsidR="008E441F" w:rsidRPr="008E441F">
        <w:rPr>
          <w:lang w:val="en-US"/>
        </w:rPr>
        <w:t xml:space="preserve">Doyle v </w:t>
      </w:r>
      <w:proofErr w:type="spellStart"/>
      <w:r w:rsidR="008E441F" w:rsidRPr="008E441F">
        <w:rPr>
          <w:lang w:val="en-US"/>
        </w:rPr>
        <w:t>Olby</w:t>
      </w:r>
      <w:proofErr w:type="spellEnd"/>
      <w:r w:rsidR="008E441F" w:rsidRPr="008E441F">
        <w:rPr>
          <w:lang w:val="en-US"/>
        </w:rPr>
        <w:t xml:space="preserve"> (Ironmongers) Ltd [1969]</w:t>
      </w:r>
      <w:r w:rsidR="008E441F">
        <w:rPr>
          <w:lang w:val="en-US"/>
        </w:rPr>
        <w:t>. This case represented a misrepresentation through a fraudulent inducement into the contract by lying over specified requirements. Further examples can be found in the case of (</w:t>
      </w:r>
      <w:r w:rsidR="008E441F" w:rsidRPr="008E441F">
        <w:rPr>
          <w:lang w:val="en-US"/>
        </w:rPr>
        <w:t>Car &amp; Universal Finance v Caldwell (1965)</w:t>
      </w:r>
      <w:r w:rsidR="008E441F">
        <w:rPr>
          <w:lang w:val="en-US"/>
        </w:rPr>
        <w:t>)</w:t>
      </w:r>
    </w:p>
    <w:p w14:paraId="32B57070" w14:textId="77777777" w:rsidR="00EC0B1F" w:rsidRPr="00EC0B1F" w:rsidRDefault="00EC0B1F" w:rsidP="00EC0B1F">
      <w:pPr>
        <w:rPr>
          <w:lang w:val="en-US"/>
        </w:rPr>
      </w:pPr>
    </w:p>
    <w:p w14:paraId="0CBDA082" w14:textId="6C5A0667" w:rsidR="00E616B1" w:rsidRDefault="00E616B1" w:rsidP="00C517BF">
      <w:pPr>
        <w:rPr>
          <w:lang w:val="en-US"/>
        </w:rPr>
      </w:pPr>
    </w:p>
    <w:p w14:paraId="6C72E97C" w14:textId="77777777" w:rsidR="00E616B1" w:rsidRDefault="00E616B1" w:rsidP="00C517BF">
      <w:pPr>
        <w:rPr>
          <w:lang w:val="en-US"/>
        </w:rPr>
      </w:pPr>
    </w:p>
    <w:p w14:paraId="3A3784AD" w14:textId="7EE9BA62" w:rsidR="00951767" w:rsidRDefault="00951767">
      <w:pPr>
        <w:rPr>
          <w:lang w:val="en-US"/>
        </w:rPr>
      </w:pPr>
    </w:p>
    <w:p w14:paraId="67A04420" w14:textId="0A6269A7" w:rsidR="00951767" w:rsidRDefault="00951767">
      <w:pPr>
        <w:rPr>
          <w:lang w:val="en-US"/>
        </w:rPr>
      </w:pPr>
    </w:p>
    <w:p w14:paraId="7C7BDFF7" w14:textId="374BFEB1" w:rsidR="00951767" w:rsidRDefault="00951767">
      <w:pPr>
        <w:rPr>
          <w:lang w:val="en-US"/>
        </w:rPr>
      </w:pPr>
    </w:p>
    <w:p w14:paraId="79769ECB" w14:textId="56B6D16C" w:rsidR="00951767" w:rsidRDefault="00951767">
      <w:pPr>
        <w:rPr>
          <w:lang w:val="en-US"/>
        </w:rPr>
      </w:pPr>
    </w:p>
    <w:p w14:paraId="3E8D09DB" w14:textId="43BFE66F" w:rsidR="00951767" w:rsidRDefault="00951767">
      <w:pPr>
        <w:rPr>
          <w:lang w:val="en-US"/>
        </w:rPr>
      </w:pPr>
    </w:p>
    <w:p w14:paraId="33F7FBEE" w14:textId="4B889780" w:rsidR="00951767" w:rsidRDefault="00951767">
      <w:pPr>
        <w:rPr>
          <w:lang w:val="en-US"/>
        </w:rPr>
      </w:pPr>
    </w:p>
    <w:p w14:paraId="5228F2A0" w14:textId="07F0B7E6" w:rsidR="00951767" w:rsidRDefault="00951767">
      <w:pPr>
        <w:rPr>
          <w:lang w:val="en-US"/>
        </w:rPr>
      </w:pPr>
    </w:p>
    <w:p w14:paraId="38CBA8E1" w14:textId="781A8DA9" w:rsidR="00951767" w:rsidRDefault="00951767">
      <w:pPr>
        <w:rPr>
          <w:lang w:val="en-US"/>
        </w:rPr>
      </w:pPr>
    </w:p>
    <w:p w14:paraId="2DB98900" w14:textId="77777777" w:rsidR="00951767" w:rsidRDefault="00951767">
      <w:pPr>
        <w:rPr>
          <w:lang w:val="en-US"/>
        </w:rPr>
      </w:pPr>
    </w:p>
    <w:p w14:paraId="55292E5F" w14:textId="77777777" w:rsidR="006A025E" w:rsidRDefault="006A025E">
      <w:pPr>
        <w:rPr>
          <w:lang w:val="en-US"/>
        </w:rPr>
      </w:pPr>
    </w:p>
    <w:p w14:paraId="60B67545" w14:textId="77777777" w:rsidR="005820C7" w:rsidRDefault="005820C7">
      <w:pPr>
        <w:rPr>
          <w:lang w:val="en-US"/>
        </w:rPr>
      </w:pPr>
    </w:p>
    <w:p w14:paraId="20E89675" w14:textId="77777777" w:rsidR="00CD43DD" w:rsidRPr="00640C3D" w:rsidRDefault="00CD43DD">
      <w:pPr>
        <w:rPr>
          <w:lang w:val="en-US"/>
        </w:rPr>
      </w:pPr>
    </w:p>
    <w:sectPr w:rsidR="00CD43DD" w:rsidRPr="00640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C3D"/>
    <w:rsid w:val="0002016A"/>
    <w:rsid w:val="001E7205"/>
    <w:rsid w:val="00247EF1"/>
    <w:rsid w:val="00353AC1"/>
    <w:rsid w:val="005820C7"/>
    <w:rsid w:val="005A6E3A"/>
    <w:rsid w:val="00640C3D"/>
    <w:rsid w:val="006A025E"/>
    <w:rsid w:val="006A1E7C"/>
    <w:rsid w:val="00744A67"/>
    <w:rsid w:val="008C6E01"/>
    <w:rsid w:val="008E441F"/>
    <w:rsid w:val="00926657"/>
    <w:rsid w:val="00951767"/>
    <w:rsid w:val="00A449D8"/>
    <w:rsid w:val="00A82E34"/>
    <w:rsid w:val="00A848EA"/>
    <w:rsid w:val="00C517BF"/>
    <w:rsid w:val="00CB074B"/>
    <w:rsid w:val="00CD43DD"/>
    <w:rsid w:val="00D71EE5"/>
    <w:rsid w:val="00D86109"/>
    <w:rsid w:val="00D97602"/>
    <w:rsid w:val="00E616B1"/>
    <w:rsid w:val="00EC0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DA2BC"/>
  <w15:chartTrackingRefBased/>
  <w15:docId w15:val="{D93376A5-BA9D-4163-B539-5D57A39E6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5</Pages>
  <Words>1916</Words>
  <Characters>10924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cp:revision>
  <dcterms:created xsi:type="dcterms:W3CDTF">2020-05-13T07:37:00Z</dcterms:created>
  <dcterms:modified xsi:type="dcterms:W3CDTF">2020-05-13T12:09:00Z</dcterms:modified>
</cp:coreProperties>
</file>