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A3498" w14:textId="5EB98BA3" w:rsidR="00D41DA1" w:rsidRPr="00BD1074" w:rsidRDefault="00D41DA1">
      <w:r>
        <w:t>Cobalt-60 is a suitable isotope for use in the Panoramic Gamma Irradiator because</w:t>
      </w:r>
      <w:r w:rsidR="00BD1074">
        <w:t xml:space="preserve"> its gamma photons produced through radioactive decay have energies of 1.17 and 1.33 MeV [6]. Gamma photons tend to have energy in the ranges of 10</w:t>
      </w:r>
      <w:r w:rsidR="00BD1074">
        <w:rPr>
          <w:vertAlign w:val="superscript"/>
        </w:rPr>
        <w:t>4</w:t>
      </w:r>
      <w:r w:rsidR="00BD1074">
        <w:t xml:space="preserve"> to 10</w:t>
      </w:r>
      <w:r w:rsidR="00BD1074">
        <w:rPr>
          <w:vertAlign w:val="superscript"/>
        </w:rPr>
        <w:t>7</w:t>
      </w:r>
      <w:r w:rsidR="00BD1074">
        <w:t xml:space="preserve"> eV [7]</w:t>
      </w:r>
      <w:r w:rsidR="00737A3D">
        <w:t>. Cobalt-60’s high photons give substantial penetrating power through materials. The high activity of the metal is required by industrial irradiation and must be shielded in a sealed source for protection.</w:t>
      </w:r>
      <w:r w:rsidR="00F7413D">
        <w:t xml:space="preserve"> The relative length of the isotope’s half-life is also a positive. It is both long enough to be a sufficient source of activity before requiring replacement.</w:t>
      </w:r>
    </w:p>
    <w:p w14:paraId="7D4FE4AF" w14:textId="47C438F7" w:rsidR="00C46F7F" w:rsidRDefault="005E6445">
      <w:r>
        <w:t>Cobalt-60 has a half-life of 5.27 years</w:t>
      </w:r>
      <w:r>
        <w:t xml:space="preserve"> [1]</w:t>
      </w:r>
      <w:r>
        <w:t xml:space="preserve">. </w:t>
      </w:r>
      <w:r w:rsidR="00C46F7F">
        <w:t>The original activity of the source was certified as 110TBq on 8 May 2019. The incident took place on 26 February 202</w:t>
      </w:r>
      <w:r w:rsidR="007D5CED">
        <w:t>5</w:t>
      </w:r>
      <w:r w:rsidR="00C46F7F">
        <w:t xml:space="preserve">, </w:t>
      </w:r>
      <w:r w:rsidR="007D5CED">
        <w:t>5.8</w:t>
      </w:r>
      <w:r w:rsidR="00C46F7F">
        <w:t xml:space="preserve"> years later the sample would have decayed to 4</w:t>
      </w:r>
      <w:r w:rsidR="007D5CED">
        <w:t>6.64</w:t>
      </w:r>
      <w:r w:rsidR="00C46F7F">
        <w:t xml:space="preserve">% </w:t>
      </w:r>
      <w:r>
        <w:t xml:space="preserve">of its initial mass, stabilising </w:t>
      </w:r>
      <w:r w:rsidR="0070098F">
        <w:t>i</w:t>
      </w:r>
      <w:r>
        <w:t xml:space="preserve">nto Nickel-60. The activity level of the sample would reduce accordingly to </w:t>
      </w:r>
      <w:r w:rsidR="007D5CED">
        <w:t>51.3</w:t>
      </w:r>
      <w:r>
        <w:t>TBq</w:t>
      </w:r>
      <w:r w:rsidR="0070098F">
        <w:t xml:space="preserve"> by the date of the incident.</w:t>
      </w:r>
    </w:p>
    <w:p w14:paraId="1C11B32C" w14:textId="01744747" w:rsidR="0070098F" w:rsidRDefault="0070098F">
      <m:oMathPara>
        <m:oMath>
          <m:r>
            <m:rPr>
              <m:sty m:val="p"/>
            </m:rPr>
            <w:rPr>
              <w:rFonts w:ascii="Cambria Math" w:hAnsi="Cambria Math"/>
            </w:rPr>
            <m:t>Dose rate=</m:t>
          </m:r>
          <m:r>
            <m:rPr>
              <m:sty m:val="p"/>
            </m:rPr>
            <w:rPr>
              <w:rFonts w:ascii="Cambria Math" w:hAnsi="Cambria Math"/>
            </w:rPr>
            <m:t>Γ</m:t>
          </m:r>
          <m:r>
            <m:rPr>
              <m:sty m:val="p"/>
            </m:rPr>
            <w:rPr>
              <w:rFonts w:ascii="Cambria Math" w:hAnsi="Cambria Math"/>
            </w:rPr>
            <m:t xml:space="preserve"> </m:t>
          </m:r>
          <m:f>
            <m:fPr>
              <m:ctrlPr>
                <w:rPr>
                  <w:rFonts w:ascii="Cambria Math" w:hAnsi="Cambria Math"/>
                </w:rPr>
              </m:ctrlPr>
            </m:fPr>
            <m:num>
              <m:r>
                <w:rPr>
                  <w:rFonts w:ascii="Cambria Math" w:hAnsi="Cambria Math"/>
                </w:rPr>
                <m:t>A</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oMath>
      </m:oMathPara>
    </w:p>
    <w:p w14:paraId="4CF2F72F" w14:textId="2FC9B775" w:rsidR="0070098F" w:rsidRDefault="0070098F">
      <w:r>
        <w:t>Where Γ represents the gamma constant for the isotope in mSv/h per GBq, A is the source activity in GBq, and r is the distance from the source.</w:t>
      </w:r>
    </w:p>
    <w:p w14:paraId="189614C3" w14:textId="7E0A988F" w:rsidR="008B2577" w:rsidRDefault="008B2577">
      <w:r>
        <w:t>Using the gamma constant for Cobalt-60 as 0.35 mSv/h per GBq, we can calculate the unshielded dose rate at 1m from the source as</w:t>
      </w:r>
    </w:p>
    <w:p w14:paraId="72BC0FAD" w14:textId="6649923C" w:rsidR="007D5CED" w:rsidRDefault="00B373E0">
      <m:oMathPara>
        <m:oMath>
          <m:r>
            <w:rPr>
              <w:rFonts w:ascii="Cambria Math" w:hAnsi="Cambria Math"/>
            </w:rPr>
            <m:t>51300</m:t>
          </m:r>
          <m:r>
            <w:rPr>
              <w:rFonts w:ascii="Cambria Math" w:hAnsi="Cambria Math"/>
            </w:rPr>
            <m:t xml:space="preserve"> GBq×</m:t>
          </m:r>
          <m:r>
            <w:rPr>
              <w:rFonts w:ascii="Cambria Math" w:eastAsiaTheme="minorEastAsia" w:hAnsi="Cambria Math"/>
            </w:rPr>
            <m:t>0.35</m:t>
          </m:r>
          <m:f>
            <m:fPr>
              <m:ctrlPr>
                <w:rPr>
                  <w:rFonts w:ascii="Cambria Math" w:eastAsiaTheme="minorEastAsia" w:hAnsi="Cambria Math"/>
                  <w:i/>
                </w:rPr>
              </m:ctrlPr>
            </m:fPr>
            <m:num>
              <m:r>
                <w:rPr>
                  <w:rFonts w:ascii="Cambria Math" w:eastAsiaTheme="minorEastAsia" w:hAnsi="Cambria Math"/>
                </w:rPr>
                <m:t>mSv</m:t>
              </m:r>
            </m:num>
            <m:den>
              <m:r>
                <w:rPr>
                  <w:rFonts w:ascii="Cambria Math" w:eastAsiaTheme="minorEastAsia" w:hAnsi="Cambria Math"/>
                </w:rPr>
                <m:t>h</m:t>
              </m:r>
            </m:den>
          </m:f>
          <m:r>
            <w:rPr>
              <w:rFonts w:ascii="Cambria Math" w:eastAsiaTheme="minorEastAsia" w:hAnsi="Cambria Math"/>
            </w:rPr>
            <m:t>=</m:t>
          </m:r>
          <m:r>
            <w:rPr>
              <w:rFonts w:ascii="Cambria Math" w:eastAsiaTheme="minorEastAsia" w:hAnsi="Cambria Math"/>
            </w:rPr>
            <m:t>17955</m:t>
          </m:r>
          <m:f>
            <m:fPr>
              <m:ctrlPr>
                <w:rPr>
                  <w:rFonts w:ascii="Cambria Math" w:eastAsiaTheme="minorEastAsia" w:hAnsi="Cambria Math"/>
                  <w:i/>
                </w:rPr>
              </m:ctrlPr>
            </m:fPr>
            <m:num>
              <m:r>
                <w:rPr>
                  <w:rFonts w:ascii="Cambria Math" w:eastAsiaTheme="minorEastAsia" w:hAnsi="Cambria Math"/>
                </w:rPr>
                <m:t>mSv</m:t>
              </m:r>
            </m:num>
            <m:den>
              <m:r>
                <w:rPr>
                  <w:rFonts w:ascii="Cambria Math" w:eastAsiaTheme="minorEastAsia" w:hAnsi="Cambria Math"/>
                </w:rPr>
                <m:t>h</m:t>
              </m:r>
            </m:den>
          </m:f>
        </m:oMath>
      </m:oMathPara>
    </w:p>
    <w:p w14:paraId="68AC4306" w14:textId="5EAE784A" w:rsidR="007D5CED" w:rsidRDefault="005C73E7">
      <w:r>
        <w:t>Point</w:t>
      </w:r>
      <w:r w:rsidR="00D41DA1">
        <w:t>-source model serves a use as a simple hand calculation but it is not a truly accurate representation of the source and its activity. The Cobalt-60 source is not a single point but instead made from multiple cobalt pencils arranged in a cylindrical carrier. The geometry of the source and the shielding is not accurately represented in the point-source model.</w:t>
      </w:r>
    </w:p>
    <w:p w14:paraId="132BB581" w14:textId="41E23DF0" w:rsidR="00B373E0" w:rsidRDefault="007D5CED">
      <w:r>
        <w:t>During the initial access phase, the maintenance technician remained inside the vestibule for 60-90</w:t>
      </w:r>
      <w:r w:rsidR="00E90F52">
        <w:t xml:space="preserve"> seconds</w:t>
      </w:r>
      <w:r>
        <w:t xml:space="preserve"> and was positioned approximately 1.6m from the effective source position. At this distance, shielding reduced the dose rate to 10-16% of the expected unshielded dose rate.</w:t>
      </w:r>
    </w:p>
    <w:p w14:paraId="79FF7CD8" w14:textId="77777777" w:rsidR="00B373E0" w:rsidRDefault="00B373E0">
      <w:r>
        <w:t>Unshielded point source rate is given by</w:t>
      </w:r>
    </w:p>
    <w:p w14:paraId="1D19736F" w14:textId="7BCC8725" w:rsidR="00B373E0" w:rsidRPr="00E90F52" w:rsidRDefault="00B373E0">
      <w:pPr>
        <w:rPr>
          <w:rFonts w:eastAsiaTheme="minorEastAsia"/>
        </w:rPr>
      </w:pPr>
      <m:oMathPara>
        <m:oMath>
          <m:r>
            <w:rPr>
              <w:rFonts w:ascii="Cambria Math" w:hAnsi="Cambria Math"/>
            </w:rPr>
            <m:t>D=</m:t>
          </m:r>
          <m:f>
            <m:fPr>
              <m:ctrlPr>
                <w:rPr>
                  <w:rFonts w:ascii="Cambria Math" w:hAnsi="Cambria Math"/>
                  <w:i/>
                </w:rPr>
              </m:ctrlPr>
            </m:fPr>
            <m:num>
              <m:r>
                <w:rPr>
                  <w:rFonts w:ascii="Cambria Math" w:hAnsi="Cambria Math"/>
                </w:rPr>
                <m:t>17.96</m:t>
              </m:r>
            </m:num>
            <m:den>
              <m:sSup>
                <m:sSupPr>
                  <m:ctrlPr>
                    <w:rPr>
                      <w:rFonts w:ascii="Cambria Math" w:hAnsi="Cambria Math"/>
                      <w:i/>
                    </w:rPr>
                  </m:ctrlPr>
                </m:sSupPr>
                <m:e>
                  <m:r>
                    <w:rPr>
                      <w:rFonts w:ascii="Cambria Math" w:hAnsi="Cambria Math"/>
                    </w:rPr>
                    <m:t>1.6</m:t>
                  </m:r>
                </m:e>
                <m:sup>
                  <m:r>
                    <w:rPr>
                      <w:rFonts w:ascii="Cambria Math" w:hAnsi="Cambria Math"/>
                    </w:rPr>
                    <m:t>2</m:t>
                  </m:r>
                </m:sup>
              </m:sSup>
            </m:den>
          </m:f>
          <m:r>
            <w:rPr>
              <w:rFonts w:ascii="Cambria Math" w:hAnsi="Cambria Math"/>
            </w:rPr>
            <m:t>=</m:t>
          </m:r>
          <m:r>
            <w:rPr>
              <w:rFonts w:ascii="Cambria Math" w:hAnsi="Cambria Math"/>
            </w:rPr>
            <m:t>7.02 Sv/h</m:t>
          </m:r>
        </m:oMath>
      </m:oMathPara>
    </w:p>
    <w:p w14:paraId="1A4FB186" w14:textId="308E41A3" w:rsidR="00E90F52" w:rsidRDefault="00E90F52">
      <w:pPr>
        <w:rPr>
          <w:rFonts w:eastAsiaTheme="minorEastAsia"/>
        </w:rPr>
      </w:pPr>
      <w:r>
        <w:rPr>
          <w:rFonts w:eastAsiaTheme="minorEastAsia"/>
        </w:rPr>
        <w:t>The shielding reduced this dose rate to between 0.702 Sv/h and 1.123 Sv/h.</w:t>
      </w:r>
    </w:p>
    <w:p w14:paraId="24282664" w14:textId="022500E4" w:rsidR="00E90F52" w:rsidRDefault="00E90F52">
      <w:pPr>
        <w:rPr>
          <w:rFonts w:eastAsiaTheme="minorEastAsia"/>
        </w:rPr>
      </w:pPr>
      <w:r>
        <w:rPr>
          <w:rFonts w:eastAsiaTheme="minorEastAsia"/>
        </w:rPr>
        <w:t>Taking into account the timeframe of the exposure, we get a minimum estimate of</w:t>
      </w:r>
    </w:p>
    <w:p w14:paraId="71C0F541" w14:textId="121907A5" w:rsidR="00E90F52" w:rsidRPr="00E90F52" w:rsidRDefault="00E90F52">
      <w:pPr>
        <w:rPr>
          <w:rFonts w:eastAsiaTheme="minorEastAsia"/>
        </w:rPr>
      </w:pPr>
      <m:oMathPara>
        <m:oMath>
          <m:r>
            <w:rPr>
              <w:rFonts w:ascii="Cambria Math" w:eastAsiaTheme="minorEastAsia" w:hAnsi="Cambria Math"/>
            </w:rPr>
            <m:t>D=0.702</m:t>
          </m:r>
          <m:f>
            <m:fPr>
              <m:ctrlPr>
                <w:rPr>
                  <w:rFonts w:ascii="Cambria Math" w:eastAsiaTheme="minorEastAsia" w:hAnsi="Cambria Math"/>
                  <w:i/>
                </w:rPr>
              </m:ctrlPr>
            </m:fPr>
            <m:num>
              <m:r>
                <w:rPr>
                  <w:rFonts w:ascii="Cambria Math" w:eastAsiaTheme="minorEastAsia" w:hAnsi="Cambria Math"/>
                </w:rPr>
                <m:t>Sv</m:t>
              </m:r>
            </m:num>
            <m:den>
              <m:r>
                <w:rPr>
                  <w:rFonts w:ascii="Cambria Math" w:eastAsiaTheme="minorEastAsia" w:hAnsi="Cambria Math"/>
                </w:rPr>
                <m:t>h</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3600</m:t>
              </m:r>
            </m:den>
          </m:f>
          <m:r>
            <w:rPr>
              <w:rFonts w:ascii="Cambria Math" w:eastAsiaTheme="minorEastAsia" w:hAnsi="Cambria Math"/>
            </w:rPr>
            <m:t>=14.04 mSv</m:t>
          </m:r>
        </m:oMath>
      </m:oMathPara>
    </w:p>
    <w:p w14:paraId="31DF78B3" w14:textId="63A68FE2" w:rsidR="00E90F52" w:rsidRDefault="00E90F52">
      <w:pPr>
        <w:rPr>
          <w:rFonts w:eastAsiaTheme="minorEastAsia"/>
        </w:rPr>
      </w:pPr>
      <w:r>
        <w:rPr>
          <w:rFonts w:eastAsiaTheme="minorEastAsia"/>
        </w:rPr>
        <w:t>And a maximum estimate of</w:t>
      </w:r>
    </w:p>
    <w:p w14:paraId="5552BBAE" w14:textId="41F98B84" w:rsidR="00E90F52" w:rsidRPr="00E90F52" w:rsidRDefault="00E90F52">
      <w:pPr>
        <w:rPr>
          <w:rFonts w:eastAsiaTheme="minorEastAsia"/>
        </w:rPr>
      </w:pPr>
      <m:oMathPara>
        <m:oMath>
          <m:r>
            <w:rPr>
              <w:rFonts w:ascii="Cambria Math" w:eastAsiaTheme="minorEastAsia" w:hAnsi="Cambria Math"/>
            </w:rPr>
            <m:t>D=1.123</m:t>
          </m:r>
          <m:f>
            <m:fPr>
              <m:ctrlPr>
                <w:rPr>
                  <w:rFonts w:ascii="Cambria Math" w:eastAsiaTheme="minorEastAsia" w:hAnsi="Cambria Math"/>
                  <w:i/>
                </w:rPr>
              </m:ctrlPr>
            </m:fPr>
            <m:num>
              <m:r>
                <w:rPr>
                  <w:rFonts w:ascii="Cambria Math" w:eastAsiaTheme="minorEastAsia" w:hAnsi="Cambria Math"/>
                </w:rPr>
                <m:t>Sv</m:t>
              </m:r>
            </m:num>
            <m:den>
              <m:r>
                <w:rPr>
                  <w:rFonts w:ascii="Cambria Math" w:eastAsiaTheme="minorEastAsia" w:hAnsi="Cambria Math"/>
                </w:rPr>
                <m:t>h</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90</m:t>
              </m:r>
            </m:num>
            <m:den>
              <m:r>
                <w:rPr>
                  <w:rFonts w:ascii="Cambria Math" w:eastAsiaTheme="minorEastAsia" w:hAnsi="Cambria Math"/>
                </w:rPr>
                <m:t>3600</m:t>
              </m:r>
            </m:den>
          </m:f>
          <m:r>
            <w:rPr>
              <w:rFonts w:ascii="Cambria Math" w:eastAsiaTheme="minorEastAsia" w:hAnsi="Cambria Math"/>
            </w:rPr>
            <m:t>=33.69 mSv</m:t>
          </m:r>
        </m:oMath>
      </m:oMathPara>
    </w:p>
    <w:p w14:paraId="4B1EC584" w14:textId="64AAD89B" w:rsidR="00E90F52" w:rsidRDefault="00E90F52">
      <w:pPr>
        <w:rPr>
          <w:rFonts w:eastAsiaTheme="minorEastAsia"/>
        </w:rPr>
      </w:pPr>
      <w:r>
        <w:rPr>
          <w:rFonts w:eastAsiaTheme="minorEastAsia"/>
        </w:rPr>
        <w:t xml:space="preserve">During the close inspection phase, the technician leaned toward the inspection opening for approximately 10-16 seconds and was positioned approximately 0.7m from the effective source position. At this distance, because of the displaced shielding plate and incomplete parked source carrier, </w:t>
      </w:r>
      <w:r w:rsidR="00A536AB">
        <w:rPr>
          <w:rFonts w:eastAsiaTheme="minorEastAsia"/>
        </w:rPr>
        <w:t>the dose rate was reduced to approximately only 14-20% of the unshielded dose rate.</w:t>
      </w:r>
    </w:p>
    <w:p w14:paraId="74D014D7" w14:textId="4D0BA396" w:rsidR="00A536AB" w:rsidRDefault="00A536AB">
      <w:pPr>
        <w:rPr>
          <w:rFonts w:eastAsiaTheme="minorEastAsia"/>
        </w:rPr>
      </w:pPr>
      <m:oMathPara>
        <m:oMath>
          <m:r>
            <w:rPr>
              <w:rFonts w:ascii="Cambria Math" w:hAnsi="Cambria Math"/>
            </w:rPr>
            <w:lastRenderedPageBreak/>
            <m:t>D=</m:t>
          </m:r>
          <m:f>
            <m:fPr>
              <m:ctrlPr>
                <w:rPr>
                  <w:rFonts w:ascii="Cambria Math" w:hAnsi="Cambria Math"/>
                  <w:i/>
                </w:rPr>
              </m:ctrlPr>
            </m:fPr>
            <m:num>
              <m:r>
                <w:rPr>
                  <w:rFonts w:ascii="Cambria Math" w:hAnsi="Cambria Math"/>
                </w:rPr>
                <m:t>17.96</m:t>
              </m:r>
            </m:num>
            <m:den>
              <m:sSup>
                <m:sSupPr>
                  <m:ctrlPr>
                    <w:rPr>
                      <w:rFonts w:ascii="Cambria Math" w:hAnsi="Cambria Math"/>
                      <w:i/>
                    </w:rPr>
                  </m:ctrlPr>
                </m:sSupPr>
                <m:e>
                  <m:r>
                    <w:rPr>
                      <w:rFonts w:ascii="Cambria Math" w:hAnsi="Cambria Math"/>
                    </w:rPr>
                    <m:t>0.7</m:t>
                  </m:r>
                </m:e>
                <m:sup>
                  <m:r>
                    <w:rPr>
                      <w:rFonts w:ascii="Cambria Math" w:hAnsi="Cambria Math"/>
                    </w:rPr>
                    <m:t>2</m:t>
                  </m:r>
                </m:sup>
              </m:sSup>
            </m:den>
          </m:f>
          <m:r>
            <w:rPr>
              <w:rFonts w:ascii="Cambria Math" w:hAnsi="Cambria Math"/>
            </w:rPr>
            <m:t>=</m:t>
          </m:r>
          <m:r>
            <w:rPr>
              <w:rFonts w:ascii="Cambria Math" w:hAnsi="Cambria Math"/>
            </w:rPr>
            <m:t>36.65</m:t>
          </m:r>
          <m:r>
            <w:rPr>
              <w:rFonts w:ascii="Cambria Math" w:hAnsi="Cambria Math"/>
            </w:rPr>
            <m:t xml:space="preserve"> Sv/h</m:t>
          </m:r>
        </m:oMath>
      </m:oMathPara>
    </w:p>
    <w:p w14:paraId="282883CD" w14:textId="156F010C" w:rsidR="00A536AB" w:rsidRDefault="00A536AB">
      <w:pPr>
        <w:rPr>
          <w:rFonts w:eastAsiaTheme="minorEastAsia"/>
        </w:rPr>
      </w:pPr>
      <w:r>
        <w:rPr>
          <w:rFonts w:eastAsiaTheme="minorEastAsia"/>
        </w:rPr>
        <w:t>Reduced by the shielding to between 5.131 Sv/h and 7.33 Sv/h.</w:t>
      </w:r>
    </w:p>
    <w:p w14:paraId="1FC7D18B" w14:textId="4EE49776" w:rsidR="00A536AB" w:rsidRDefault="00A536AB">
      <w:pPr>
        <w:rPr>
          <w:rFonts w:eastAsiaTheme="minorEastAsia"/>
        </w:rPr>
      </w:pPr>
      <w:r>
        <w:rPr>
          <w:rFonts w:eastAsiaTheme="minorEastAsia"/>
        </w:rPr>
        <w:t>Again, taking into account the timeframe of the exposure, we get a minimum estimate of</w:t>
      </w:r>
    </w:p>
    <w:p w14:paraId="35DEF289" w14:textId="79DF5435" w:rsidR="00A536AB" w:rsidRPr="00E90F52" w:rsidRDefault="00A536AB" w:rsidP="00A536AB">
      <w:pPr>
        <w:rPr>
          <w:rFonts w:eastAsiaTheme="minorEastAsia"/>
        </w:rPr>
      </w:pPr>
      <m:oMathPara>
        <m:oMath>
          <m:r>
            <w:rPr>
              <w:rFonts w:ascii="Cambria Math" w:eastAsiaTheme="minorEastAsia" w:hAnsi="Cambria Math"/>
            </w:rPr>
            <m:t>D=</m:t>
          </m:r>
          <m:r>
            <w:rPr>
              <w:rFonts w:ascii="Cambria Math" w:eastAsiaTheme="minorEastAsia" w:hAnsi="Cambria Math"/>
            </w:rPr>
            <m:t>5.131</m:t>
          </m:r>
          <m:f>
            <m:fPr>
              <m:ctrlPr>
                <w:rPr>
                  <w:rFonts w:ascii="Cambria Math" w:eastAsiaTheme="minorEastAsia" w:hAnsi="Cambria Math"/>
                  <w:i/>
                </w:rPr>
              </m:ctrlPr>
            </m:fPr>
            <m:num>
              <m:r>
                <w:rPr>
                  <w:rFonts w:ascii="Cambria Math" w:eastAsiaTheme="minorEastAsia" w:hAnsi="Cambria Math"/>
                </w:rPr>
                <m:t>Sv</m:t>
              </m:r>
            </m:num>
            <m:den>
              <m:r>
                <w:rPr>
                  <w:rFonts w:ascii="Cambria Math" w:eastAsiaTheme="minorEastAsia" w:hAnsi="Cambria Math"/>
                </w:rPr>
                <m:t>h</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3600</m:t>
              </m:r>
            </m:den>
          </m:f>
          <m:r>
            <w:rPr>
              <w:rFonts w:ascii="Cambria Math" w:eastAsiaTheme="minorEastAsia" w:hAnsi="Cambria Math"/>
            </w:rPr>
            <m:t>=14.</m:t>
          </m:r>
          <m:r>
            <w:rPr>
              <w:rFonts w:ascii="Cambria Math" w:eastAsiaTheme="minorEastAsia" w:hAnsi="Cambria Math"/>
            </w:rPr>
            <m:t>25</m:t>
          </m:r>
          <m:r>
            <w:rPr>
              <w:rFonts w:ascii="Cambria Math" w:eastAsiaTheme="minorEastAsia" w:hAnsi="Cambria Math"/>
            </w:rPr>
            <m:t xml:space="preserve"> mSv</m:t>
          </m:r>
        </m:oMath>
      </m:oMathPara>
    </w:p>
    <w:p w14:paraId="450B525A" w14:textId="77777777" w:rsidR="00A536AB" w:rsidRDefault="00A536AB" w:rsidP="00A536AB">
      <w:pPr>
        <w:rPr>
          <w:rFonts w:eastAsiaTheme="minorEastAsia"/>
        </w:rPr>
      </w:pPr>
      <w:r>
        <w:rPr>
          <w:rFonts w:eastAsiaTheme="minorEastAsia"/>
        </w:rPr>
        <w:t>And a maximum estimate of</w:t>
      </w:r>
    </w:p>
    <w:p w14:paraId="5E6325B4" w14:textId="108189B7" w:rsidR="00A536AB" w:rsidRPr="00E90F52" w:rsidRDefault="00A536AB" w:rsidP="00A536AB">
      <w:pPr>
        <w:rPr>
          <w:rFonts w:eastAsiaTheme="minorEastAsia"/>
        </w:rPr>
      </w:pPr>
      <m:oMathPara>
        <m:oMath>
          <m:r>
            <w:rPr>
              <w:rFonts w:ascii="Cambria Math" w:eastAsiaTheme="minorEastAsia" w:hAnsi="Cambria Math"/>
            </w:rPr>
            <m:t>D=</m:t>
          </m:r>
          <m:r>
            <w:rPr>
              <w:rFonts w:ascii="Cambria Math" w:eastAsiaTheme="minorEastAsia" w:hAnsi="Cambria Math"/>
            </w:rPr>
            <m:t>7.33</m:t>
          </m:r>
          <m:f>
            <m:fPr>
              <m:ctrlPr>
                <w:rPr>
                  <w:rFonts w:ascii="Cambria Math" w:eastAsiaTheme="minorEastAsia" w:hAnsi="Cambria Math"/>
                  <w:i/>
                </w:rPr>
              </m:ctrlPr>
            </m:fPr>
            <m:num>
              <m:r>
                <w:rPr>
                  <w:rFonts w:ascii="Cambria Math" w:eastAsiaTheme="minorEastAsia" w:hAnsi="Cambria Math"/>
                </w:rPr>
                <m:t>Sv</m:t>
              </m:r>
            </m:num>
            <m:den>
              <m:r>
                <w:rPr>
                  <w:rFonts w:ascii="Cambria Math" w:eastAsiaTheme="minorEastAsia" w:hAnsi="Cambria Math"/>
                </w:rPr>
                <m:t>h</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16</m:t>
              </m:r>
            </m:num>
            <m:den>
              <m:r>
                <w:rPr>
                  <w:rFonts w:ascii="Cambria Math" w:eastAsiaTheme="minorEastAsia" w:hAnsi="Cambria Math"/>
                </w:rPr>
                <m:t>3600</m:t>
              </m:r>
            </m:den>
          </m:f>
          <m:r>
            <w:rPr>
              <w:rFonts w:ascii="Cambria Math" w:eastAsiaTheme="minorEastAsia" w:hAnsi="Cambria Math"/>
            </w:rPr>
            <m:t>=3</m:t>
          </m:r>
          <m:r>
            <w:rPr>
              <w:rFonts w:ascii="Cambria Math" w:eastAsiaTheme="minorEastAsia" w:hAnsi="Cambria Math"/>
            </w:rPr>
            <m:t>2.58</m:t>
          </m:r>
          <m:r>
            <w:rPr>
              <w:rFonts w:ascii="Cambria Math" w:eastAsiaTheme="minorEastAsia" w:hAnsi="Cambria Math"/>
            </w:rPr>
            <m:t xml:space="preserve"> mSv</m:t>
          </m:r>
        </m:oMath>
      </m:oMathPara>
    </w:p>
    <w:p w14:paraId="5F13BE01" w14:textId="63C8B895" w:rsidR="00A536AB" w:rsidRDefault="00A536AB">
      <w:pPr>
        <w:rPr>
          <w:rFonts w:eastAsiaTheme="minorEastAsia"/>
        </w:rPr>
      </w:pPr>
      <w:r>
        <w:rPr>
          <w:rFonts w:eastAsiaTheme="minorEastAsia"/>
        </w:rPr>
        <w:t>An estimate of the effective dose to the maintenance technician is then between 28.29 mSv and 66.27 mSv.</w:t>
      </w:r>
    </w:p>
    <w:p w14:paraId="01DDF856" w14:textId="3ECF88FC" w:rsidR="00FF6B64" w:rsidRDefault="00FF6B64">
      <w:pPr>
        <w:rPr>
          <w:rFonts w:eastAsiaTheme="minorEastAsia"/>
        </w:rPr>
      </w:pPr>
      <w:r>
        <w:rPr>
          <w:rFonts w:eastAsiaTheme="minorEastAsia"/>
        </w:rPr>
        <w:t>The post-incident dosimetry indicated a dose of 29mSv on the electronic personal dosimeter</w:t>
      </w:r>
      <w:r w:rsidR="00A22005">
        <w:rPr>
          <w:rFonts w:eastAsiaTheme="minorEastAsia"/>
        </w:rPr>
        <w:t xml:space="preserve"> (EPD)</w:t>
      </w:r>
      <w:r>
        <w:rPr>
          <w:rFonts w:eastAsiaTheme="minorEastAsia"/>
        </w:rPr>
        <w:t xml:space="preserve"> peaking a dose rate of 2.8 Sv/h, and a whole body </w:t>
      </w:r>
      <w:r w:rsidR="00A22005">
        <w:rPr>
          <w:rFonts w:eastAsiaTheme="minorEastAsia"/>
        </w:rPr>
        <w:t>thermoluminescent dosimeter (</w:t>
      </w:r>
      <w:r>
        <w:rPr>
          <w:rFonts w:eastAsiaTheme="minorEastAsia"/>
        </w:rPr>
        <w:t>TLD</w:t>
      </w:r>
      <w:r w:rsidR="00A22005">
        <w:rPr>
          <w:rFonts w:eastAsiaTheme="minorEastAsia"/>
        </w:rPr>
        <w:t>)</w:t>
      </w:r>
      <w:r>
        <w:rPr>
          <w:rFonts w:eastAsiaTheme="minorEastAsia"/>
        </w:rPr>
        <w:t xml:space="preserve"> reading a value of 37mSv.</w:t>
      </w:r>
      <w:r w:rsidR="002B5F6D">
        <w:rPr>
          <w:rFonts w:eastAsiaTheme="minorEastAsia"/>
        </w:rPr>
        <w:t xml:space="preserve"> These values fall within the range of the estimated dose.</w:t>
      </w:r>
    </w:p>
    <w:p w14:paraId="0CD433AA" w14:textId="01B9FB52" w:rsidR="002B5F6D" w:rsidRDefault="002B5F6D">
      <w:pPr>
        <w:rPr>
          <w:rFonts w:eastAsiaTheme="minorEastAsia"/>
        </w:rPr>
      </w:pPr>
      <w:r>
        <w:rPr>
          <w:rFonts w:eastAsiaTheme="minorEastAsia"/>
        </w:rPr>
        <w:t xml:space="preserve">Differences are to be expected with the hand calculation due to approximations in the distances and timings of the exposure. The hand calculation assumed a </w:t>
      </w:r>
      <w:r w:rsidR="00A22005">
        <w:rPr>
          <w:rFonts w:eastAsiaTheme="minorEastAsia"/>
        </w:rPr>
        <w:t xml:space="preserve">point source with a </w:t>
      </w:r>
      <w:r>
        <w:rPr>
          <w:rFonts w:eastAsiaTheme="minorEastAsia"/>
        </w:rPr>
        <w:t>constant dose rate during each phase</w:t>
      </w:r>
      <w:r w:rsidR="00A22005">
        <w:rPr>
          <w:rFonts w:eastAsiaTheme="minorEastAsia"/>
        </w:rPr>
        <w:t>.</w:t>
      </w:r>
    </w:p>
    <w:p w14:paraId="169543D0" w14:textId="3C133D91" w:rsidR="00A22005" w:rsidRDefault="00A22005">
      <w:pPr>
        <w:rPr>
          <w:rFonts w:eastAsiaTheme="minorEastAsia"/>
        </w:rPr>
      </w:pPr>
      <w:r>
        <w:rPr>
          <w:rFonts w:eastAsiaTheme="minorEastAsia"/>
        </w:rPr>
        <w:t xml:space="preserve">Variances in the readings from both dosimeters can be attributed to the different positions on the </w:t>
      </w:r>
      <w:r w:rsidR="005E1187">
        <w:rPr>
          <w:rFonts w:eastAsiaTheme="minorEastAsia"/>
        </w:rPr>
        <w:t>technician’s</w:t>
      </w:r>
      <w:r>
        <w:rPr>
          <w:rFonts w:eastAsiaTheme="minorEastAsia"/>
        </w:rPr>
        <w:t xml:space="preserve"> body, the EPD was positioned on the chest where as the TLD was at waist level, and the fact the technician was moving throughout the event.</w:t>
      </w:r>
    </w:p>
    <w:p w14:paraId="5F222901" w14:textId="16B12D6A" w:rsidR="00A53D2F" w:rsidRDefault="00A22005">
      <w:pPr>
        <w:rPr>
          <w:rFonts w:eastAsiaTheme="minorEastAsia"/>
        </w:rPr>
      </w:pPr>
      <w:r>
        <w:rPr>
          <w:rFonts w:eastAsiaTheme="minorEastAsia"/>
        </w:rPr>
        <w:t xml:space="preserve">A whole-body dose of 37mSv is above that of the </w:t>
      </w:r>
      <w:r w:rsidR="00F874B2">
        <w:rPr>
          <w:rFonts w:eastAsiaTheme="minorEastAsia"/>
        </w:rPr>
        <w:t>annual effective dose limit set out for an adult worker in the Ionising Radiation Regulations 2017</w:t>
      </w:r>
      <w:r w:rsidR="00A53D2F">
        <w:rPr>
          <w:rFonts w:eastAsiaTheme="minorEastAsia"/>
        </w:rPr>
        <w:t>.</w:t>
      </w:r>
      <w:r w:rsidR="00F874B2">
        <w:rPr>
          <w:rFonts w:eastAsiaTheme="minorEastAsia"/>
        </w:rPr>
        <w:t xml:space="preserve"> </w:t>
      </w:r>
      <w:r w:rsidR="00A53D2F">
        <w:rPr>
          <w:rFonts w:eastAsiaTheme="minorEastAsia"/>
        </w:rPr>
        <w:t>It states “the limit on effective dose for employees o</w:t>
      </w:r>
      <w:r w:rsidR="002F4C87">
        <w:rPr>
          <w:rFonts w:eastAsiaTheme="minorEastAsia"/>
        </w:rPr>
        <w:t>r</w:t>
      </w:r>
      <w:r w:rsidR="00A53D2F">
        <w:rPr>
          <w:rFonts w:eastAsiaTheme="minorEastAsia"/>
        </w:rPr>
        <w:t xml:space="preserve"> trainees of 18 years or above is 100 mSv in any period of five consecutive calendar years subject to a maximum effective dose of 50 mSv in any single calendar year” [2]. This dose limit averages out to 20mSv a year.</w:t>
      </w:r>
    </w:p>
    <w:p w14:paraId="77D564C4" w14:textId="77777777" w:rsidR="005E1187" w:rsidRDefault="00A53D2F">
      <w:pPr>
        <w:rPr>
          <w:rFonts w:eastAsiaTheme="minorEastAsia"/>
        </w:rPr>
      </w:pPr>
      <w:r>
        <w:rPr>
          <w:rFonts w:eastAsiaTheme="minorEastAsia"/>
        </w:rPr>
        <w:t xml:space="preserve">37 mSv is far below the range of a dose normally expected acute radiation sickness. Acute radiation effects including nausea and a reduction in white blood cell count </w:t>
      </w:r>
      <w:r w:rsidR="005E1187">
        <w:rPr>
          <w:rFonts w:eastAsiaTheme="minorEastAsia"/>
        </w:rPr>
        <w:t>tend to be expected with an expose of 1000 mSv, and a 5000 mSv dose of radiation would kill half of those receiving it within a month [3].</w:t>
      </w:r>
    </w:p>
    <w:p w14:paraId="0072DB0E" w14:textId="77777777" w:rsidR="006C4417" w:rsidRDefault="005E1187">
      <w:pPr>
        <w:rPr>
          <w:rFonts w:eastAsiaTheme="minorEastAsia"/>
        </w:rPr>
      </w:pPr>
      <w:r>
        <w:rPr>
          <w:rFonts w:eastAsiaTheme="minorEastAsia"/>
        </w:rPr>
        <w:t xml:space="preserve">The technician’s received dose is therefore more concerned with chronic health effects such as an increased risk of cancer during their lifetime. A dose of 100 mSv increases the change of developing </w:t>
      </w:r>
      <w:r w:rsidR="006C4417">
        <w:rPr>
          <w:rFonts w:eastAsiaTheme="minorEastAsia"/>
        </w:rPr>
        <w:t>a tumour or leukaemia</w:t>
      </w:r>
      <w:r>
        <w:rPr>
          <w:rFonts w:eastAsiaTheme="minorEastAsia"/>
        </w:rPr>
        <w:t xml:space="preserve"> throughout a person’s lifespan by 1%</w:t>
      </w:r>
      <w:r w:rsidR="006C4417">
        <w:rPr>
          <w:rFonts w:eastAsiaTheme="minorEastAsia"/>
        </w:rPr>
        <w:t xml:space="preserve"> [4].</w:t>
      </w:r>
    </w:p>
    <w:p w14:paraId="1B2394AE" w14:textId="77777777" w:rsidR="00641BD2" w:rsidRDefault="006C4417">
      <w:r>
        <w:rPr>
          <w:rFonts w:eastAsiaTheme="minorEastAsia"/>
        </w:rPr>
        <w:t xml:space="preserve">The dose received by the technician exceeds the normal </w:t>
      </w:r>
      <w:r w:rsidR="002F4C87">
        <w:rPr>
          <w:rFonts w:eastAsiaTheme="minorEastAsia"/>
        </w:rPr>
        <w:t>annual dose limit and was correctly reported to the HSE by the Approved Dosimetry Service. Section 26 of the IRR 2017 states that an overexposure event requires investigation to</w:t>
      </w:r>
      <w:r w:rsidR="00641BD2">
        <w:rPr>
          <w:rFonts w:eastAsiaTheme="minorEastAsia"/>
        </w:rPr>
        <w:t xml:space="preserve"> confirm an overexposure event occurred. In the incident dossier, there was no mention of a post event report</w:t>
      </w:r>
      <w:r w:rsidR="00641BD2">
        <w:t>, a document that must be kept for atleast 2 years and the overexposed person will have a dose record the received dose will need to be entered in.</w:t>
      </w:r>
    </w:p>
    <w:p w14:paraId="036A63F0" w14:textId="209C9F6B" w:rsidR="00344B1A" w:rsidRDefault="00641BD2">
      <w:r>
        <w:t xml:space="preserve">Safety Assessment Principles (SAP(s)) are a </w:t>
      </w:r>
      <w:r w:rsidR="00344B1A">
        <w:t>regulatory</w:t>
      </w:r>
      <w:r>
        <w:t xml:space="preserve"> framework used by the Office for Nuclear Regulation (ONR) inspectors to support in making consistent regulatory judgments on nuclear </w:t>
      </w:r>
      <w:r>
        <w:lastRenderedPageBreak/>
        <w:t>safety cases</w:t>
      </w:r>
      <w:r w:rsidR="00344B1A">
        <w:t xml:space="preserve"> [5]. There are 5 Engineering Key Principles </w:t>
      </w:r>
      <w:r w:rsidR="00554574">
        <w:t>(EKPs) that build up the SAPs to evaluate the safety of nuclear facilities</w:t>
      </w:r>
      <w:r w:rsidR="00344B1A">
        <w:t>:</w:t>
      </w:r>
    </w:p>
    <w:p w14:paraId="065D9B55" w14:textId="23D605D4" w:rsidR="00344B1A" w:rsidRDefault="00344B1A" w:rsidP="00344B1A">
      <w:pPr>
        <w:pStyle w:val="ListParagraph"/>
        <w:numPr>
          <w:ilvl w:val="0"/>
          <w:numId w:val="2"/>
        </w:numPr>
      </w:pPr>
      <w:r>
        <w:t>EKP.1 (Inherent safety)</w:t>
      </w:r>
    </w:p>
    <w:p w14:paraId="55A21A14" w14:textId="74410BC0" w:rsidR="00344B1A" w:rsidRDefault="00344B1A" w:rsidP="00344B1A">
      <w:pPr>
        <w:pStyle w:val="ListParagraph"/>
        <w:numPr>
          <w:ilvl w:val="0"/>
          <w:numId w:val="2"/>
        </w:numPr>
      </w:pPr>
      <w:r>
        <w:t>EKP.2 (Fault tolerance)</w:t>
      </w:r>
    </w:p>
    <w:p w14:paraId="2AF2773D" w14:textId="39C7530B" w:rsidR="00344B1A" w:rsidRDefault="00344B1A" w:rsidP="00344B1A">
      <w:pPr>
        <w:pStyle w:val="ListParagraph"/>
        <w:numPr>
          <w:ilvl w:val="0"/>
          <w:numId w:val="2"/>
        </w:numPr>
      </w:pPr>
      <w:r>
        <w:t>EKP.3 (Defence in depth)</w:t>
      </w:r>
    </w:p>
    <w:p w14:paraId="061873B0" w14:textId="73FEF812" w:rsidR="00344B1A" w:rsidRDefault="00344B1A" w:rsidP="00344B1A">
      <w:pPr>
        <w:pStyle w:val="ListParagraph"/>
        <w:numPr>
          <w:ilvl w:val="0"/>
          <w:numId w:val="2"/>
        </w:numPr>
      </w:pPr>
      <w:r>
        <w:t>EKP.4 (Safety function)</w:t>
      </w:r>
    </w:p>
    <w:p w14:paraId="5A73B92F" w14:textId="2F9A2B56" w:rsidR="00344B1A" w:rsidRDefault="00344B1A" w:rsidP="00344B1A">
      <w:pPr>
        <w:pStyle w:val="ListParagraph"/>
        <w:numPr>
          <w:ilvl w:val="0"/>
          <w:numId w:val="2"/>
        </w:numPr>
      </w:pPr>
      <w:r>
        <w:t>EKP.5 (Safety measures</w:t>
      </w:r>
      <w:r w:rsidR="00074CD4">
        <w:t>)</w:t>
      </w:r>
    </w:p>
    <w:p w14:paraId="1B129D38" w14:textId="48A182AE" w:rsidR="00344B1A" w:rsidRDefault="00344B1A" w:rsidP="00344B1A">
      <w:r>
        <w:t>EKP.3</w:t>
      </w:r>
      <w:r w:rsidR="00554574">
        <w:t xml:space="preserve"> (Defence in depth) is defined as “Nuclear facilities should be designed and operated so that defence in depth against potentially significant faults or failures is achieved by the provision of multiple independent barriers to fault progression” [5].</w:t>
      </w:r>
    </w:p>
    <w:p w14:paraId="1E986026" w14:textId="70E487DC" w:rsidR="00CE5FA8" w:rsidRDefault="00CE5FA8" w:rsidP="00344B1A">
      <w:r>
        <w:t>The</w:t>
      </w:r>
      <w:r w:rsidR="00074CD4">
        <w:t xml:space="preserve"> mechanical</w:t>
      </w:r>
      <w:r>
        <w:t xml:space="preserve"> failure with the source position defeated one independent barrier.</w:t>
      </w:r>
      <w:r w:rsidR="00074CD4">
        <w:t xml:space="preserve"> The control system displayed an incorrect reading removed another barrier. The displaced shield created another. </w:t>
      </w:r>
      <w:r>
        <w:t>T</w:t>
      </w:r>
      <w:r w:rsidR="00074CD4">
        <w:t>hese multiple</w:t>
      </w:r>
      <w:r>
        <w:t xml:space="preserve"> failures combined due to overlapping “holes” within the “Swiss cheese”.</w:t>
      </w:r>
      <w:r w:rsidR="00074CD4">
        <w:t xml:space="preserve"> More overlapping safety measures contribute to a deeper defence of the system and reduce errors.</w:t>
      </w:r>
    </w:p>
    <w:p w14:paraId="01498DFA" w14:textId="5A07BFD2" w:rsidR="00554574" w:rsidRDefault="00554574" w:rsidP="00344B1A">
      <w:r>
        <w:t>EKP.5 (Safety measures) is defined as “Safety measures should be identified to deliver the required safety function(s)” [5].</w:t>
      </w:r>
    </w:p>
    <w:p w14:paraId="62518CEC" w14:textId="6B7ABBC2" w:rsidR="00074CD4" w:rsidRDefault="00074CD4" w:rsidP="00344B1A">
      <w:r>
        <w:t>Safety functions would include reliably confirming that the source has adequate and correct shielding, preventing access to the source whilst that condition is unmet, and better detection of faults within the system.</w:t>
      </w:r>
    </w:p>
    <w:p w14:paraId="084AF97B" w14:textId="6E9D1204" w:rsidR="005E538B" w:rsidRDefault="005E538B" w:rsidP="00344B1A">
      <w:r>
        <w:t>EKP.1 (Inherent safety) is defined as “The underpinning safety aim for any nuclear facility should be an inherently safe design, consistent with the operational purposes of the facility” [5].</w:t>
      </w:r>
    </w:p>
    <w:p w14:paraId="31331829" w14:textId="133EB010" w:rsidR="005E538B" w:rsidRDefault="005E538B" w:rsidP="00344B1A">
      <w:r>
        <w:t xml:space="preserve">An inherently safe design would be a design that removes radiological hazards instead of seeking to control them. This is however not possible with an irradiator. An inherently safe design can instead be one where the design has reduced the hazards </w:t>
      </w:r>
      <w:r w:rsidR="00777579">
        <w:t>to as low as reasonably practicable. Shielding of the source, although subpar in this particular instance, and a fail-safe design would make the design inherently safe.</w:t>
      </w:r>
    </w:p>
    <w:p w14:paraId="38E10C10" w14:textId="670AFF6B" w:rsidR="00074CD4" w:rsidRDefault="00074CD4" w:rsidP="00344B1A">
      <w:r>
        <w:t xml:space="preserve">Proportionate improvements </w:t>
      </w:r>
      <w:r w:rsidR="005C73E7">
        <w:t>to reduce the likelihood or consequences of a similar event could include remote verification of activity within the system. A gamma survey meter was mentioned being used by the technician after the EPD alarmed. Personnel should be informed of activity before without entering the chamber.</w:t>
      </w:r>
    </w:p>
    <w:p w14:paraId="05E37F9C" w14:textId="72D2D770" w:rsidR="005C73E7" w:rsidRDefault="005C73E7" w:rsidP="00344B1A">
      <w:r>
        <w:t>Mechanical errors during and after maintenance heavily contributed to the event taking place. Maintenance documentation listed incorrect information, leading to the incident. This indicates a failure in maintenance assurance.</w:t>
      </w:r>
    </w:p>
    <w:p w14:paraId="3D4B7C5A" w14:textId="170B29B0" w:rsidR="00737A3D" w:rsidRDefault="00737A3D" w:rsidP="00344B1A">
      <w:r>
        <w:t>Overall conclusions are the incident was not caused by the high radioactivity of Cobalt-60 but by the failure of multiple barriers of independent protections. The exposure event exceeded the normal nuclear worker’s annual dose making the incident an overexposure event requiring investigation by regulatory bodies.</w:t>
      </w:r>
    </w:p>
    <w:p w14:paraId="7BA82B6C" w14:textId="08320EB1" w:rsidR="0070098F" w:rsidRDefault="0070098F" w:rsidP="00344B1A">
      <w:pPr>
        <w:ind w:left="2880"/>
      </w:pPr>
      <w:r>
        <w:br w:type="page"/>
      </w:r>
    </w:p>
    <w:p w14:paraId="1E85C456" w14:textId="750A13A3" w:rsidR="0070098F" w:rsidRDefault="0070098F">
      <w:r>
        <w:lastRenderedPageBreak/>
        <w:t>Bibliography</w:t>
      </w:r>
    </w:p>
    <w:p w14:paraId="3379EC70" w14:textId="3251C57E" w:rsidR="00D85583" w:rsidRPr="00D85583" w:rsidRDefault="0070098F" w:rsidP="00D85583">
      <w:r>
        <w:t>[1]</w:t>
      </w:r>
      <w:r w:rsidRPr="0070098F">
        <w:t xml:space="preserve"> </w:t>
      </w:r>
      <w:r w:rsidR="00D85583" w:rsidRPr="00D85583">
        <w:t xml:space="preserve">The Editors of Encyclopaedia Britannica (2019). Cobalt-60 | chemical isotope. In: </w:t>
      </w:r>
      <w:r w:rsidR="00D85583" w:rsidRPr="00D85583">
        <w:rPr>
          <w:i/>
          <w:iCs/>
        </w:rPr>
        <w:t>Encyclopædia Britannica</w:t>
      </w:r>
      <w:r w:rsidR="00D85583" w:rsidRPr="00D85583">
        <w:t xml:space="preserve">. [online] Available at: https://www.britannica.com/science/cobalt-60 [Accessed </w:t>
      </w:r>
      <w:r w:rsidR="00D85583">
        <w:t>28</w:t>
      </w:r>
      <w:r w:rsidR="00D85583" w:rsidRPr="00D85583">
        <w:t xml:space="preserve"> </w:t>
      </w:r>
      <w:r w:rsidR="00D85583">
        <w:t>Aug</w:t>
      </w:r>
      <w:r w:rsidR="00D85583" w:rsidRPr="00D85583">
        <w:t>. 2026].</w:t>
      </w:r>
    </w:p>
    <w:p w14:paraId="1C4C099A" w14:textId="50E241D9" w:rsidR="00D85583" w:rsidRDefault="00D85583" w:rsidP="00D85583">
      <w:r>
        <w:t xml:space="preserve">[2] </w:t>
      </w:r>
      <w:r w:rsidRPr="00D85583">
        <w:t xml:space="preserve">UK Government (2017). </w:t>
      </w:r>
      <w:r w:rsidRPr="00D85583">
        <w:rPr>
          <w:i/>
          <w:iCs/>
        </w:rPr>
        <w:t>The Ionising Radiations Regulations 2017</w:t>
      </w:r>
      <w:r w:rsidRPr="00D85583">
        <w:t xml:space="preserve">. [online] www.legislation.gov.uk. Available at: https://www.legislation.gov.uk/uksi/2017/1075/contents [Accessed </w:t>
      </w:r>
      <w:r>
        <w:t>28</w:t>
      </w:r>
      <w:r w:rsidRPr="00D85583">
        <w:t xml:space="preserve"> </w:t>
      </w:r>
      <w:r>
        <w:t>Aug</w:t>
      </w:r>
      <w:r w:rsidRPr="00D85583">
        <w:t>. 2026].</w:t>
      </w:r>
    </w:p>
    <w:p w14:paraId="0FF4AB77" w14:textId="54880280" w:rsidR="005E1187" w:rsidRDefault="005E1187" w:rsidP="005E1187">
      <w:r>
        <w:t>[3]</w:t>
      </w:r>
      <w:r w:rsidRPr="005E1187">
        <w:rPr>
          <w:rFonts w:ascii="Calibri" w:eastAsia="Times New Roman" w:hAnsi="Calibri" w:cs="Calibri"/>
          <w:kern w:val="0"/>
          <w:sz w:val="24"/>
          <w:szCs w:val="24"/>
          <w:lang w:eastAsia="en-GB"/>
          <w14:ligatures w14:val="none"/>
        </w:rPr>
        <w:t xml:space="preserve"> </w:t>
      </w:r>
      <w:r w:rsidRPr="005E1187">
        <w:t xml:space="preserve">Public Health England (2011). </w:t>
      </w:r>
      <w:r w:rsidRPr="005E1187">
        <w:rPr>
          <w:i/>
          <w:iCs/>
        </w:rPr>
        <w:t>Ionising radiation: dose comparisons</w:t>
      </w:r>
      <w:r w:rsidRPr="005E1187">
        <w:t xml:space="preserve">. [online] GOV.UK. Available at: https://www.gov.uk/government/publications/ionising-radiation-dose-comparisons/ionising-radiation-dose-comparisons [Accessed </w:t>
      </w:r>
      <w:r>
        <w:t>30</w:t>
      </w:r>
      <w:r w:rsidRPr="005E1187">
        <w:t xml:space="preserve"> </w:t>
      </w:r>
      <w:r>
        <w:t>Aug</w:t>
      </w:r>
      <w:r w:rsidRPr="005E1187">
        <w:t>. 2026].</w:t>
      </w:r>
    </w:p>
    <w:p w14:paraId="28D8CAFB" w14:textId="49F64B72" w:rsidR="006C4417" w:rsidRDefault="006C4417" w:rsidP="006C4417">
      <w:r>
        <w:t>[4]</w:t>
      </w:r>
      <w:r w:rsidRPr="006C4417">
        <w:rPr>
          <w:rFonts w:ascii="Calibri" w:eastAsia="Times New Roman" w:hAnsi="Calibri" w:cs="Calibri"/>
          <w:kern w:val="0"/>
          <w:sz w:val="24"/>
          <w:szCs w:val="24"/>
          <w:lang w:eastAsia="en-GB"/>
          <w14:ligatures w14:val="none"/>
        </w:rPr>
        <w:t xml:space="preserve"> </w:t>
      </w:r>
      <w:r w:rsidRPr="006C4417">
        <w:t xml:space="preserve">Davidson, S.T. (2005). Radiation: Any Dose Is Too High. </w:t>
      </w:r>
      <w:r w:rsidRPr="006C4417">
        <w:rPr>
          <w:i/>
          <w:iCs/>
        </w:rPr>
        <w:t>Environmental Health Perspectives</w:t>
      </w:r>
      <w:r w:rsidRPr="006C4417">
        <w:t>, 113(11). doi:10.1289/ehp.113-a735a.</w:t>
      </w:r>
    </w:p>
    <w:p w14:paraId="42F8831C" w14:textId="36961B5D" w:rsidR="00344B1A" w:rsidRDefault="00344B1A" w:rsidP="00344B1A">
      <w:r>
        <w:t>[5]</w:t>
      </w:r>
      <w:r w:rsidRPr="00344B1A">
        <w:rPr>
          <w:rFonts w:ascii="Calibri" w:eastAsia="Times New Roman" w:hAnsi="Calibri" w:cs="Calibri"/>
          <w:kern w:val="0"/>
          <w:sz w:val="24"/>
          <w:szCs w:val="24"/>
          <w:lang w:eastAsia="en-GB"/>
          <w14:ligatures w14:val="none"/>
        </w:rPr>
        <w:t xml:space="preserve"> </w:t>
      </w:r>
      <w:r w:rsidRPr="00344B1A">
        <w:t xml:space="preserve">Office for Nuclear Regulation (2024). </w:t>
      </w:r>
      <w:r w:rsidRPr="00344B1A">
        <w:rPr>
          <w:i/>
          <w:iCs/>
        </w:rPr>
        <w:t>Safety Assessment Principles (SAPs)</w:t>
      </w:r>
      <w:r w:rsidRPr="00344B1A">
        <w:t xml:space="preserve">. [online] Office for Nuclear Regulation. Available at: https://www.onr.org.uk/publications/regulatory-guidance/regulatory-assessment-and-permissioning/safety-assessment-principles-saps [Accessed </w:t>
      </w:r>
      <w:r>
        <w:t>1</w:t>
      </w:r>
      <w:r w:rsidRPr="00344B1A">
        <w:t xml:space="preserve"> Sept. 2026].</w:t>
      </w:r>
    </w:p>
    <w:p w14:paraId="64C892EE" w14:textId="54A2F9FA" w:rsidR="00BD1074" w:rsidRDefault="00BD1074" w:rsidP="00BD1074">
      <w:r>
        <w:t>[6]</w:t>
      </w:r>
      <w:r w:rsidRPr="00BD1074">
        <w:rPr>
          <w:rFonts w:ascii="Calibri" w:eastAsia="Times New Roman" w:hAnsi="Calibri" w:cs="Calibri"/>
          <w:kern w:val="0"/>
          <w:sz w:val="24"/>
          <w:szCs w:val="24"/>
          <w:lang w:eastAsia="en-GB"/>
          <w14:ligatures w14:val="none"/>
        </w:rPr>
        <w:t xml:space="preserve"> </w:t>
      </w:r>
      <w:r w:rsidRPr="00BD1074">
        <w:t xml:space="preserve">McKeen, L.W. (2012). </w:t>
      </w:r>
      <w:r w:rsidRPr="00BD1074">
        <w:rPr>
          <w:i/>
          <w:iCs/>
        </w:rPr>
        <w:t>The Effect of Sterilization on Plastics and Elastomers</w:t>
      </w:r>
      <w:r w:rsidRPr="00BD1074">
        <w:t>. Elsevier S &amp; T.</w:t>
      </w:r>
    </w:p>
    <w:p w14:paraId="10DD79F6" w14:textId="58B53E6C" w:rsidR="00BD1074" w:rsidRPr="00BD1074" w:rsidRDefault="00BD1074" w:rsidP="00BD1074">
      <w:r>
        <w:t xml:space="preserve">[7] </w:t>
      </w:r>
      <w:r w:rsidRPr="00BD1074">
        <w:t xml:space="preserve">George, D.J. (2012). </w:t>
      </w:r>
      <w:r w:rsidRPr="00BD1074">
        <w:rPr>
          <w:i/>
          <w:iCs/>
        </w:rPr>
        <w:t>Ionizing Radiation and Polymers: Principles, Technology, and Applications</w:t>
      </w:r>
      <w:r w:rsidRPr="00BD1074">
        <w:t>. Elsevier S &amp; T.</w:t>
      </w:r>
    </w:p>
    <w:p w14:paraId="68EBC162" w14:textId="7DB99C02" w:rsidR="00BD1074" w:rsidRPr="00344B1A" w:rsidRDefault="00BD1074" w:rsidP="00344B1A"/>
    <w:p w14:paraId="266039EC" w14:textId="52CA936D" w:rsidR="00344B1A" w:rsidRPr="006C4417" w:rsidRDefault="00344B1A" w:rsidP="006C4417"/>
    <w:p w14:paraId="794F5343" w14:textId="1FEFB4C2" w:rsidR="006C4417" w:rsidRPr="005E1187" w:rsidRDefault="006C4417" w:rsidP="005E1187"/>
    <w:p w14:paraId="5FFA3AF6" w14:textId="3862B199" w:rsidR="005E1187" w:rsidRPr="00D85583" w:rsidRDefault="005E1187" w:rsidP="00D85583"/>
    <w:p w14:paraId="174E9CC6" w14:textId="2C191903" w:rsidR="00D85583" w:rsidRPr="00D85583" w:rsidRDefault="00D85583" w:rsidP="00D85583"/>
    <w:p w14:paraId="03BA2DE7" w14:textId="3DE12495" w:rsidR="0070098F" w:rsidRDefault="0070098F"/>
    <w:sectPr w:rsidR="007009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555BB"/>
    <w:multiLevelType w:val="hybridMultilevel"/>
    <w:tmpl w:val="5EBA9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F27342"/>
    <w:multiLevelType w:val="hybridMultilevel"/>
    <w:tmpl w:val="DA78CA2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16cid:durableId="364016758">
    <w:abstractNumId w:val="1"/>
  </w:num>
  <w:num w:numId="2" w16cid:durableId="2014185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F7F"/>
    <w:rsid w:val="00074CD4"/>
    <w:rsid w:val="001123C9"/>
    <w:rsid w:val="001838A0"/>
    <w:rsid w:val="002B5F6D"/>
    <w:rsid w:val="002F4C87"/>
    <w:rsid w:val="00344B1A"/>
    <w:rsid w:val="00554574"/>
    <w:rsid w:val="005C73E7"/>
    <w:rsid w:val="005E1187"/>
    <w:rsid w:val="005E538B"/>
    <w:rsid w:val="005E6445"/>
    <w:rsid w:val="00641BD2"/>
    <w:rsid w:val="006C4417"/>
    <w:rsid w:val="0070098F"/>
    <w:rsid w:val="00737A3D"/>
    <w:rsid w:val="00777579"/>
    <w:rsid w:val="007D5CED"/>
    <w:rsid w:val="008B2577"/>
    <w:rsid w:val="00987184"/>
    <w:rsid w:val="00A22005"/>
    <w:rsid w:val="00A536AB"/>
    <w:rsid w:val="00A53D2F"/>
    <w:rsid w:val="00B373E0"/>
    <w:rsid w:val="00B57A68"/>
    <w:rsid w:val="00BD1074"/>
    <w:rsid w:val="00C46F7F"/>
    <w:rsid w:val="00CC64A6"/>
    <w:rsid w:val="00CD7F64"/>
    <w:rsid w:val="00CE5FA8"/>
    <w:rsid w:val="00D41DA1"/>
    <w:rsid w:val="00D85583"/>
    <w:rsid w:val="00E37F52"/>
    <w:rsid w:val="00E90F52"/>
    <w:rsid w:val="00F7413D"/>
    <w:rsid w:val="00F874B2"/>
    <w:rsid w:val="00FF6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FFFAC"/>
  <w15:chartTrackingRefBased/>
  <w15:docId w15:val="{561D3DFB-205E-4EC8-910D-1AA9029D5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F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6F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6F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6F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6F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6F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6F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6F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6F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F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6F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6F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6F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6F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6F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6F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6F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6F7F"/>
    <w:rPr>
      <w:rFonts w:eastAsiaTheme="majorEastAsia" w:cstheme="majorBidi"/>
      <w:color w:val="272727" w:themeColor="text1" w:themeTint="D8"/>
    </w:rPr>
  </w:style>
  <w:style w:type="paragraph" w:styleId="Title">
    <w:name w:val="Title"/>
    <w:basedOn w:val="Normal"/>
    <w:next w:val="Normal"/>
    <w:link w:val="TitleChar"/>
    <w:uiPriority w:val="10"/>
    <w:qFormat/>
    <w:rsid w:val="00C46F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F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F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6F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6F7F"/>
    <w:pPr>
      <w:spacing w:before="160"/>
      <w:jc w:val="center"/>
    </w:pPr>
    <w:rPr>
      <w:i/>
      <w:iCs/>
      <w:color w:val="404040" w:themeColor="text1" w:themeTint="BF"/>
    </w:rPr>
  </w:style>
  <w:style w:type="character" w:customStyle="1" w:styleId="QuoteChar">
    <w:name w:val="Quote Char"/>
    <w:basedOn w:val="DefaultParagraphFont"/>
    <w:link w:val="Quote"/>
    <w:uiPriority w:val="29"/>
    <w:rsid w:val="00C46F7F"/>
    <w:rPr>
      <w:i/>
      <w:iCs/>
      <w:color w:val="404040" w:themeColor="text1" w:themeTint="BF"/>
    </w:rPr>
  </w:style>
  <w:style w:type="paragraph" w:styleId="ListParagraph">
    <w:name w:val="List Paragraph"/>
    <w:basedOn w:val="Normal"/>
    <w:uiPriority w:val="34"/>
    <w:qFormat/>
    <w:rsid w:val="00C46F7F"/>
    <w:pPr>
      <w:ind w:left="720"/>
      <w:contextualSpacing/>
    </w:pPr>
  </w:style>
  <w:style w:type="character" w:styleId="IntenseEmphasis">
    <w:name w:val="Intense Emphasis"/>
    <w:basedOn w:val="DefaultParagraphFont"/>
    <w:uiPriority w:val="21"/>
    <w:qFormat/>
    <w:rsid w:val="00C46F7F"/>
    <w:rPr>
      <w:i/>
      <w:iCs/>
      <w:color w:val="0F4761" w:themeColor="accent1" w:themeShade="BF"/>
    </w:rPr>
  </w:style>
  <w:style w:type="paragraph" w:styleId="IntenseQuote">
    <w:name w:val="Intense Quote"/>
    <w:basedOn w:val="Normal"/>
    <w:next w:val="Normal"/>
    <w:link w:val="IntenseQuoteChar"/>
    <w:uiPriority w:val="30"/>
    <w:qFormat/>
    <w:rsid w:val="00C46F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6F7F"/>
    <w:rPr>
      <w:i/>
      <w:iCs/>
      <w:color w:val="0F4761" w:themeColor="accent1" w:themeShade="BF"/>
    </w:rPr>
  </w:style>
  <w:style w:type="character" w:styleId="IntenseReference">
    <w:name w:val="Intense Reference"/>
    <w:basedOn w:val="DefaultParagraphFont"/>
    <w:uiPriority w:val="32"/>
    <w:qFormat/>
    <w:rsid w:val="00C46F7F"/>
    <w:rPr>
      <w:b/>
      <w:bCs/>
      <w:smallCaps/>
      <w:color w:val="0F4761" w:themeColor="accent1" w:themeShade="BF"/>
      <w:spacing w:val="5"/>
    </w:rPr>
  </w:style>
  <w:style w:type="character" w:styleId="PlaceholderText">
    <w:name w:val="Placeholder Text"/>
    <w:basedOn w:val="DefaultParagraphFont"/>
    <w:uiPriority w:val="99"/>
    <w:semiHidden/>
    <w:rsid w:val="0070098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52C2F7-C557-46B1-B8F8-418762A70F1B}">
  <we:reference id="wa104382081" version="1.55.1.0" store="en-GB"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6733-9428-4EA7-9B2D-2FD535224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Pages>
  <Words>1410</Words>
  <Characters>8040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Sloan (2319555)</dc:creator>
  <cp:keywords/>
  <dc:description/>
  <cp:lastModifiedBy>Michael Sloan (2319555)</cp:lastModifiedBy>
  <cp:revision>7</cp:revision>
  <dcterms:created xsi:type="dcterms:W3CDTF">2026-09-04T06:46:00Z</dcterms:created>
  <dcterms:modified xsi:type="dcterms:W3CDTF">2026-09-04T12:56:00Z</dcterms:modified>
</cp:coreProperties>
</file>