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E81FBD" w14:textId="77777777" w:rsidR="004B5AEA" w:rsidRDefault="004B5AEA">
      <w:pPr>
        <w:rPr>
          <w:b/>
          <w:bCs/>
          <w:sz w:val="28"/>
          <w:szCs w:val="24"/>
          <w:lang w:val="en-GB"/>
        </w:rPr>
      </w:pPr>
      <w:bookmarkStart w:id="0" w:name="_Hlk189751151"/>
    </w:p>
    <w:p w14:paraId="4C164264" w14:textId="77777777" w:rsidR="004B5AEA" w:rsidRDefault="00D70D3E" w:rsidP="003201BE">
      <w:pPr>
        <w:jc w:val="center"/>
        <w:rPr>
          <w:b/>
          <w:bCs/>
          <w:sz w:val="28"/>
          <w:szCs w:val="24"/>
          <w:lang w:val="en-GB"/>
        </w:rPr>
      </w:pPr>
      <w:r>
        <w:rPr>
          <w:b/>
          <w:bCs/>
          <w:sz w:val="28"/>
          <w:szCs w:val="24"/>
          <w:lang w:val="en-GB"/>
        </w:rPr>
        <w:t>Conference Research Paper Title: “Industry Responses to Shocks and Recovery in the Hotel and Hospitality Sector: A Critical Analysis of Crisis Management and Resilience Strategies”</w:t>
      </w:r>
    </w:p>
    <w:p w14:paraId="0CFDE108" w14:textId="0C99A1F9" w:rsidR="004B5AEA" w:rsidRDefault="003201BE" w:rsidP="003201BE">
      <w:pPr>
        <w:tabs>
          <w:tab w:val="left" w:pos="7470"/>
        </w:tabs>
        <w:jc w:val="left"/>
        <w:rPr>
          <w:sz w:val="28"/>
          <w:szCs w:val="24"/>
          <w:lang w:val="en-GB"/>
        </w:rPr>
      </w:pPr>
      <w:r>
        <w:rPr>
          <w:sz w:val="28"/>
          <w:szCs w:val="24"/>
          <w:lang w:val="en-GB"/>
        </w:rPr>
        <w:tab/>
      </w:r>
    </w:p>
    <w:p w14:paraId="5969AC8E" w14:textId="77777777" w:rsidR="003201BE" w:rsidRDefault="003201BE" w:rsidP="003201BE">
      <w:pPr>
        <w:tabs>
          <w:tab w:val="left" w:pos="7470"/>
        </w:tabs>
        <w:jc w:val="left"/>
        <w:rPr>
          <w:sz w:val="28"/>
          <w:szCs w:val="24"/>
          <w:lang w:val="en-GB"/>
        </w:rPr>
      </w:pPr>
    </w:p>
    <w:p w14:paraId="3444838C" w14:textId="77777777" w:rsidR="003201BE" w:rsidRDefault="003201BE" w:rsidP="003201BE">
      <w:pPr>
        <w:tabs>
          <w:tab w:val="left" w:pos="7470"/>
        </w:tabs>
        <w:jc w:val="left"/>
        <w:rPr>
          <w:sz w:val="28"/>
          <w:szCs w:val="24"/>
          <w:lang w:val="en-GB"/>
        </w:rPr>
      </w:pPr>
    </w:p>
    <w:p w14:paraId="02AE9633" w14:textId="599268D2" w:rsidR="004B5AEA" w:rsidRDefault="00D70D3E" w:rsidP="006E6204">
      <w:pPr>
        <w:jc w:val="left"/>
        <w:rPr>
          <w:sz w:val="28"/>
          <w:szCs w:val="24"/>
          <w:lang w:val="en-GB"/>
        </w:rPr>
      </w:pPr>
      <w:r w:rsidRPr="006E6204">
        <w:rPr>
          <w:b/>
          <w:bCs/>
          <w:sz w:val="28"/>
          <w:szCs w:val="24"/>
          <w:lang w:val="en-GB"/>
        </w:rPr>
        <w:t>Student Name:</w:t>
      </w:r>
      <w:r w:rsidR="006E6204">
        <w:rPr>
          <w:sz w:val="28"/>
          <w:szCs w:val="24"/>
          <w:lang w:val="en-GB"/>
        </w:rPr>
        <w:t xml:space="preserve"> Mihai Diaconu</w:t>
      </w:r>
    </w:p>
    <w:p w14:paraId="7EC4CF08" w14:textId="15EB21BC" w:rsidR="004B5AEA" w:rsidRDefault="00D70D3E" w:rsidP="006E6204">
      <w:pPr>
        <w:jc w:val="left"/>
        <w:rPr>
          <w:sz w:val="28"/>
          <w:szCs w:val="24"/>
          <w:lang w:val="en-GB"/>
        </w:rPr>
      </w:pPr>
      <w:r w:rsidRPr="006E6204">
        <w:rPr>
          <w:b/>
          <w:bCs/>
          <w:sz w:val="28"/>
          <w:szCs w:val="24"/>
          <w:lang w:val="en-GB"/>
        </w:rPr>
        <w:t>Student ID:</w:t>
      </w:r>
      <w:r w:rsidR="006E6204">
        <w:rPr>
          <w:sz w:val="28"/>
          <w:szCs w:val="24"/>
          <w:lang w:val="en-GB"/>
        </w:rPr>
        <w:t xml:space="preserve"> 2131599</w:t>
      </w:r>
    </w:p>
    <w:p w14:paraId="5F476210" w14:textId="4B9C9C33" w:rsidR="004B5AEA" w:rsidRDefault="006E6204" w:rsidP="006E6204">
      <w:pPr>
        <w:jc w:val="left"/>
        <w:rPr>
          <w:sz w:val="28"/>
          <w:szCs w:val="24"/>
          <w:lang w:val="en-GB"/>
        </w:rPr>
      </w:pPr>
      <w:r w:rsidRPr="006E6204">
        <w:rPr>
          <w:b/>
          <w:bCs/>
          <w:sz w:val="28"/>
          <w:szCs w:val="24"/>
          <w:lang w:val="en-GB"/>
        </w:rPr>
        <w:t>Lecturer</w:t>
      </w:r>
      <w:r w:rsidR="00D70D3E" w:rsidRPr="006E6204">
        <w:rPr>
          <w:b/>
          <w:bCs/>
          <w:sz w:val="28"/>
          <w:szCs w:val="24"/>
          <w:lang w:val="en-GB"/>
        </w:rPr>
        <w:t>:</w:t>
      </w:r>
      <w:r>
        <w:rPr>
          <w:sz w:val="28"/>
          <w:szCs w:val="24"/>
          <w:lang w:val="en-GB"/>
        </w:rPr>
        <w:t xml:space="preserve"> </w:t>
      </w:r>
      <w:r w:rsidRPr="006E6204">
        <w:rPr>
          <w:sz w:val="28"/>
          <w:szCs w:val="24"/>
        </w:rPr>
        <w:t>Ben Ka Po Chong</w:t>
      </w:r>
    </w:p>
    <w:p w14:paraId="5089EFD4" w14:textId="5ADD860A" w:rsidR="004B5AEA" w:rsidRPr="006E6204" w:rsidRDefault="006E6204" w:rsidP="006E6204">
      <w:pPr>
        <w:jc w:val="left"/>
        <w:rPr>
          <w:b/>
          <w:bCs/>
          <w:sz w:val="28"/>
          <w:szCs w:val="24"/>
          <w:lang w:val="en-GB"/>
        </w:rPr>
      </w:pPr>
      <w:r w:rsidRPr="006E6204">
        <w:rPr>
          <w:b/>
          <w:bCs/>
          <w:sz w:val="28"/>
          <w:szCs w:val="24"/>
          <w:lang w:val="en-GB"/>
        </w:rPr>
        <w:t>Module:</w:t>
      </w:r>
      <w:r>
        <w:rPr>
          <w:b/>
          <w:bCs/>
          <w:sz w:val="28"/>
          <w:szCs w:val="24"/>
          <w:lang w:val="en-GB"/>
        </w:rPr>
        <w:t xml:space="preserve"> </w:t>
      </w:r>
      <w:r w:rsidRPr="006E6204">
        <w:rPr>
          <w:sz w:val="28"/>
          <w:szCs w:val="24"/>
          <w:lang w:val="en-GB"/>
        </w:rPr>
        <w:t>BMIH6001 Contemporary Themes in the Hotel and Hospitality Sector</w:t>
      </w:r>
    </w:p>
    <w:p w14:paraId="13D918BB" w14:textId="77777777" w:rsidR="003201BE" w:rsidRDefault="003201BE">
      <w:pPr>
        <w:jc w:val="center"/>
        <w:rPr>
          <w:sz w:val="28"/>
          <w:szCs w:val="24"/>
          <w:lang w:val="en-GB"/>
        </w:rPr>
      </w:pPr>
    </w:p>
    <w:p w14:paraId="48FC95A5" w14:textId="77777777" w:rsidR="003201BE" w:rsidRDefault="003201BE">
      <w:pPr>
        <w:jc w:val="center"/>
        <w:rPr>
          <w:sz w:val="28"/>
          <w:szCs w:val="24"/>
          <w:lang w:val="en-GB"/>
        </w:rPr>
      </w:pPr>
    </w:p>
    <w:p w14:paraId="7D2F02C2" w14:textId="77777777" w:rsidR="003201BE" w:rsidRDefault="003201BE">
      <w:pPr>
        <w:jc w:val="center"/>
        <w:rPr>
          <w:sz w:val="28"/>
          <w:szCs w:val="24"/>
          <w:lang w:val="en-GB"/>
        </w:rPr>
      </w:pPr>
    </w:p>
    <w:p w14:paraId="7FC42BA1" w14:textId="77777777" w:rsidR="007842DB" w:rsidRDefault="007842DB">
      <w:pPr>
        <w:jc w:val="center"/>
        <w:rPr>
          <w:b/>
          <w:sz w:val="28"/>
          <w:szCs w:val="24"/>
          <w:u w:val="single"/>
          <w:lang w:val="en-GB"/>
        </w:rPr>
      </w:pPr>
      <w:r w:rsidRPr="007842DB">
        <w:rPr>
          <w:b/>
          <w:sz w:val="28"/>
          <w:szCs w:val="24"/>
          <w:u w:val="single"/>
          <w:lang w:val="en-GB"/>
        </w:rPr>
        <w:t>AI Acknowledgement</w:t>
      </w:r>
    </w:p>
    <w:p w14:paraId="23CAAFE2" w14:textId="16E3C7AA" w:rsidR="007842DB" w:rsidRPr="007842DB" w:rsidRDefault="007842DB" w:rsidP="007842DB">
      <w:pPr>
        <w:rPr>
          <w:sz w:val="28"/>
          <w:szCs w:val="24"/>
          <w:lang w:val="en-GB"/>
        </w:rPr>
      </w:pPr>
      <w:r w:rsidRPr="007842DB">
        <w:rPr>
          <w:sz w:val="28"/>
          <w:szCs w:val="24"/>
          <w:lang w:val="en-GB"/>
        </w:rPr>
        <w:t xml:space="preserve">To check the spelling and grammar related issues in my report I have taken the help of </w:t>
      </w:r>
      <w:r w:rsidR="003201BE" w:rsidRPr="007842DB">
        <w:rPr>
          <w:sz w:val="28"/>
          <w:szCs w:val="24"/>
          <w:lang w:val="en-GB"/>
        </w:rPr>
        <w:t>ChatGPT</w:t>
      </w:r>
      <w:r w:rsidRPr="007842DB">
        <w:rPr>
          <w:sz w:val="28"/>
          <w:szCs w:val="24"/>
          <w:lang w:val="en-GB"/>
        </w:rPr>
        <w:t xml:space="preserve"> on 7</w:t>
      </w:r>
      <w:r w:rsidRPr="007842DB">
        <w:rPr>
          <w:sz w:val="28"/>
          <w:szCs w:val="24"/>
          <w:vertAlign w:val="superscript"/>
          <w:lang w:val="en-GB"/>
        </w:rPr>
        <w:t>th</w:t>
      </w:r>
      <w:r w:rsidRPr="007842DB">
        <w:rPr>
          <w:sz w:val="28"/>
          <w:szCs w:val="24"/>
          <w:lang w:val="en-GB"/>
        </w:rPr>
        <w:t xml:space="preserve"> February 2025. However, in my report I assure that there is no content used that is generated by any type of AI tool. I used following prompt to check my report for spelling and grammar related issues. </w:t>
      </w:r>
    </w:p>
    <w:p w14:paraId="31CA3643" w14:textId="77777777" w:rsidR="007842DB" w:rsidRPr="007842DB" w:rsidRDefault="007842DB" w:rsidP="007842DB">
      <w:pPr>
        <w:pStyle w:val="ListParagraph"/>
        <w:numPr>
          <w:ilvl w:val="0"/>
          <w:numId w:val="1"/>
        </w:numPr>
        <w:rPr>
          <w:sz w:val="28"/>
          <w:szCs w:val="24"/>
          <w:lang w:val="en-GB"/>
        </w:rPr>
      </w:pPr>
      <w:r w:rsidRPr="007842DB">
        <w:rPr>
          <w:sz w:val="28"/>
          <w:szCs w:val="24"/>
          <w:lang w:val="en-GB"/>
        </w:rPr>
        <w:t xml:space="preserve">Please go through the file and find all the spelling and grammar related mistake </w:t>
      </w:r>
    </w:p>
    <w:p w14:paraId="359074EB" w14:textId="77777777" w:rsidR="004B5AEA" w:rsidRDefault="00D70D3E">
      <w:pPr>
        <w:spacing w:line="259" w:lineRule="auto"/>
        <w:jc w:val="left"/>
        <w:rPr>
          <w:b/>
          <w:bCs/>
          <w:lang w:val="en-GB"/>
        </w:rPr>
      </w:pPr>
      <w:r>
        <w:rPr>
          <w:b/>
          <w:bCs/>
          <w:lang w:val="en-GB"/>
        </w:rPr>
        <w:br w:type="page"/>
      </w:r>
    </w:p>
    <w:p w14:paraId="01E22747" w14:textId="77777777" w:rsidR="004B5AEA" w:rsidRDefault="00D70D3E">
      <w:pPr>
        <w:pStyle w:val="Heading1"/>
        <w:rPr>
          <w:lang w:val="en-GB"/>
        </w:rPr>
      </w:pPr>
      <w:bookmarkStart w:id="1" w:name="_Toc189926499"/>
      <w:r>
        <w:rPr>
          <w:lang w:val="en-GB"/>
        </w:rPr>
        <w:lastRenderedPageBreak/>
        <w:t>Abstract</w:t>
      </w:r>
      <w:bookmarkEnd w:id="1"/>
    </w:p>
    <w:p w14:paraId="5C098258" w14:textId="77777777" w:rsidR="004B5AEA" w:rsidRDefault="00D70D3E">
      <w:pPr>
        <w:rPr>
          <w:lang w:val="en-GB"/>
        </w:rPr>
      </w:pPr>
      <w:r>
        <w:rPr>
          <w:lang w:val="en-GB"/>
        </w:rPr>
        <w:t>The hotel and hospitality industry is very susceptible to external shocks and thus demands effective crisis management strategies to ensure long-term sustainability. Within this research, this approach is taken with a focus on exploring the industry’s approach to crises via the utilisation of academic literature, industry reports and data analysis. Based on this, a PESTLE framework is used to critically reflect upon the political, economic, social, technological, legal and environmental impacts of crises on the hospitality sector. The industry is found to be highly sensitive to the success of government interventions, technological adaptation, and shifts in consumer behaviour. For example, hotels followed digital solutions, hygiene protocols, and customized booking policies implemented during the pandemic to enhance their operational efficiency and improve guest confidence to some extent. However, regulatory hurdles and environmental sustainability issues continue to exist.</w:t>
      </w:r>
    </w:p>
    <w:p w14:paraId="73DA429C" w14:textId="77777777" w:rsidR="004B5AEA" w:rsidRDefault="00D70D3E">
      <w:pPr>
        <w:rPr>
          <w:lang w:val="en-GB"/>
        </w:rPr>
      </w:pPr>
      <w:r>
        <w:rPr>
          <w:lang w:val="en-GB"/>
        </w:rPr>
        <w:t>Overall, this research finds that the hospitality industry must incorporate a whole range of risk management strategies, build up technological resilience, and prepare for sustainable practices to successfully tackle future crises. It also encourages more public-private collaboration, investments in AI-driven crisis management systems and sustainable business models for long-term sector stability. Thus, by applying these measures, the hospitality sector will raise its resilience, will prevent every financial loss and will grow permanently in the face of disruptions assumed in the future.</w:t>
      </w:r>
    </w:p>
    <w:p w14:paraId="173A46F2" w14:textId="77777777" w:rsidR="004B5AEA" w:rsidRDefault="00D70D3E">
      <w:pPr>
        <w:spacing w:line="259" w:lineRule="auto"/>
        <w:jc w:val="left"/>
        <w:rPr>
          <w:lang w:val="en-GB"/>
        </w:rPr>
      </w:pPr>
      <w:r>
        <w:rPr>
          <w:lang w:val="en-GB"/>
        </w:rPr>
        <w:br w:type="page"/>
      </w:r>
    </w:p>
    <w:sdt>
      <w:sdtPr>
        <w:rPr>
          <w:rFonts w:ascii="Times New Roman" w:eastAsia="SimSun" w:hAnsi="Times New Roman" w:cs="Times New Roman"/>
          <w:color w:val="auto"/>
          <w:kern w:val="2"/>
          <w:sz w:val="24"/>
          <w:szCs w:val="22"/>
          <w14:ligatures w14:val="standardContextual"/>
        </w:rPr>
        <w:id w:val="-1127462933"/>
        <w:docPartObj>
          <w:docPartGallery w:val="Table of Contents"/>
          <w:docPartUnique/>
        </w:docPartObj>
      </w:sdtPr>
      <w:sdtEndPr>
        <w:rPr>
          <w:b/>
          <w:bCs/>
        </w:rPr>
      </w:sdtEndPr>
      <w:sdtContent>
        <w:p w14:paraId="31C07786" w14:textId="77777777" w:rsidR="004B5AEA" w:rsidRDefault="00D70D3E">
          <w:pPr>
            <w:pStyle w:val="TOCHeading1"/>
            <w:spacing w:line="360" w:lineRule="auto"/>
            <w:jc w:val="center"/>
            <w:rPr>
              <w:rFonts w:ascii="Times New Roman" w:hAnsi="Times New Roman" w:cs="Times New Roman"/>
              <w:b/>
              <w:bCs/>
            </w:rPr>
          </w:pPr>
          <w:r>
            <w:rPr>
              <w:rFonts w:ascii="Times New Roman" w:hAnsi="Times New Roman" w:cs="Times New Roman"/>
              <w:b/>
              <w:bCs/>
            </w:rPr>
            <w:t>Table of Contents</w:t>
          </w:r>
        </w:p>
        <w:p w14:paraId="3FB61FB4" w14:textId="77777777" w:rsidR="004B5AEA" w:rsidRDefault="00D70D3E">
          <w:pPr>
            <w:pStyle w:val="TOC1"/>
            <w:tabs>
              <w:tab w:val="right" w:leader="dot" w:pos="9016"/>
            </w:tabs>
            <w:rPr>
              <w:rFonts w:eastAsiaTheme="minorEastAsia" w:cstheme="minorBidi"/>
              <w:b w:val="0"/>
              <w:bCs w:val="0"/>
              <w:caps w:val="0"/>
              <w:sz w:val="24"/>
              <w:szCs w:val="24"/>
              <w:lang w:val="en-GB" w:eastAsia="en-GB"/>
            </w:rPr>
          </w:pPr>
          <w:r>
            <w:rPr>
              <w:rFonts w:ascii="Times New Roman" w:hAnsi="Times New Roman" w:cs="Times New Roman"/>
              <w:b w:val="0"/>
              <w:bCs w:val="0"/>
              <w:caps w:val="0"/>
            </w:rPr>
            <w:fldChar w:fldCharType="begin"/>
          </w:r>
          <w:r>
            <w:rPr>
              <w:rFonts w:ascii="Times New Roman" w:hAnsi="Times New Roman" w:cs="Times New Roman"/>
              <w:b w:val="0"/>
              <w:bCs w:val="0"/>
              <w:caps w:val="0"/>
            </w:rPr>
            <w:instrText xml:space="preserve"> TOC \o "1-3" \h \z \u </w:instrText>
          </w:r>
          <w:r>
            <w:rPr>
              <w:rFonts w:ascii="Times New Roman" w:hAnsi="Times New Roman" w:cs="Times New Roman"/>
              <w:b w:val="0"/>
              <w:bCs w:val="0"/>
              <w:caps w:val="0"/>
            </w:rPr>
            <w:fldChar w:fldCharType="separate"/>
          </w:r>
          <w:hyperlink w:anchor="_Toc189926499" w:history="1">
            <w:r>
              <w:rPr>
                <w:rStyle w:val="Hyperlink"/>
                <w:lang w:val="en-GB"/>
              </w:rPr>
              <w:t>Abstract</w:t>
            </w:r>
            <w:r>
              <w:tab/>
            </w:r>
            <w:r>
              <w:fldChar w:fldCharType="begin"/>
            </w:r>
            <w:r>
              <w:instrText xml:space="preserve"> PAGEREF _Toc189926499 \h </w:instrText>
            </w:r>
            <w:r>
              <w:fldChar w:fldCharType="separate"/>
            </w:r>
            <w:r>
              <w:t>2</w:t>
            </w:r>
            <w:r>
              <w:fldChar w:fldCharType="end"/>
            </w:r>
          </w:hyperlink>
        </w:p>
        <w:p w14:paraId="48EB15EE" w14:textId="77777777" w:rsidR="004B5AEA" w:rsidRDefault="00D70D3E">
          <w:pPr>
            <w:pStyle w:val="TOC1"/>
            <w:tabs>
              <w:tab w:val="right" w:leader="dot" w:pos="9016"/>
            </w:tabs>
            <w:rPr>
              <w:rFonts w:eastAsiaTheme="minorEastAsia" w:cstheme="minorBidi"/>
              <w:b w:val="0"/>
              <w:bCs w:val="0"/>
              <w:caps w:val="0"/>
              <w:sz w:val="24"/>
              <w:szCs w:val="24"/>
              <w:lang w:val="en-GB" w:eastAsia="en-GB"/>
            </w:rPr>
          </w:pPr>
          <w:hyperlink w:anchor="_Toc189926500" w:history="1">
            <w:r>
              <w:rPr>
                <w:rStyle w:val="Hyperlink"/>
                <w:lang w:val="en-GB"/>
              </w:rPr>
              <w:t>Introduction</w:t>
            </w:r>
            <w:r>
              <w:tab/>
            </w:r>
            <w:r>
              <w:fldChar w:fldCharType="begin"/>
            </w:r>
            <w:r>
              <w:instrText xml:space="preserve"> PAGEREF _Toc189926500 \h </w:instrText>
            </w:r>
            <w:r>
              <w:fldChar w:fldCharType="separate"/>
            </w:r>
            <w:r>
              <w:t>4</w:t>
            </w:r>
            <w:r>
              <w:fldChar w:fldCharType="end"/>
            </w:r>
          </w:hyperlink>
        </w:p>
        <w:p w14:paraId="7DB5279F" w14:textId="77777777" w:rsidR="004B5AEA" w:rsidRDefault="00D70D3E">
          <w:pPr>
            <w:pStyle w:val="TOC1"/>
            <w:tabs>
              <w:tab w:val="right" w:leader="dot" w:pos="9016"/>
            </w:tabs>
            <w:rPr>
              <w:rFonts w:eastAsiaTheme="minorEastAsia" w:cstheme="minorBidi"/>
              <w:b w:val="0"/>
              <w:bCs w:val="0"/>
              <w:caps w:val="0"/>
              <w:sz w:val="24"/>
              <w:szCs w:val="24"/>
              <w:lang w:val="en-GB" w:eastAsia="en-GB"/>
            </w:rPr>
          </w:pPr>
          <w:hyperlink w:anchor="_Toc189926501" w:history="1">
            <w:r>
              <w:rPr>
                <w:rStyle w:val="Hyperlink"/>
                <w:lang w:val="en-GB"/>
              </w:rPr>
              <w:t>Literature Review</w:t>
            </w:r>
            <w:r>
              <w:tab/>
            </w:r>
            <w:r>
              <w:fldChar w:fldCharType="begin"/>
            </w:r>
            <w:r>
              <w:instrText xml:space="preserve"> PAGEREF _Toc189926501 \h </w:instrText>
            </w:r>
            <w:r>
              <w:fldChar w:fldCharType="separate"/>
            </w:r>
            <w:r>
              <w:t>5</w:t>
            </w:r>
            <w:r>
              <w:fldChar w:fldCharType="end"/>
            </w:r>
          </w:hyperlink>
        </w:p>
        <w:p w14:paraId="29BDE8A3" w14:textId="77777777" w:rsidR="004B5AEA" w:rsidRDefault="00D70D3E">
          <w:pPr>
            <w:pStyle w:val="TOC2"/>
            <w:tabs>
              <w:tab w:val="right" w:leader="dot" w:pos="9016"/>
            </w:tabs>
            <w:rPr>
              <w:rFonts w:eastAsiaTheme="minorEastAsia" w:cstheme="minorBidi"/>
              <w:smallCaps w:val="0"/>
              <w:sz w:val="24"/>
              <w:szCs w:val="24"/>
              <w:lang w:val="en-GB" w:eastAsia="en-GB"/>
            </w:rPr>
          </w:pPr>
          <w:hyperlink w:anchor="_Toc189926502" w:history="1">
            <w:r>
              <w:rPr>
                <w:rStyle w:val="Hyperlink"/>
                <w:lang w:val="en-GB" w:bidi="bn-BD"/>
              </w:rPr>
              <w:t>Crisis Management in the Hospitality Industry &amp; Industry Response</w:t>
            </w:r>
            <w:r>
              <w:tab/>
            </w:r>
            <w:r>
              <w:fldChar w:fldCharType="begin"/>
            </w:r>
            <w:r>
              <w:instrText xml:space="preserve"> PAGEREF _Toc189926502 \h </w:instrText>
            </w:r>
            <w:r>
              <w:fldChar w:fldCharType="separate"/>
            </w:r>
            <w:r>
              <w:t>5</w:t>
            </w:r>
            <w:r>
              <w:fldChar w:fldCharType="end"/>
            </w:r>
          </w:hyperlink>
        </w:p>
        <w:p w14:paraId="75928203" w14:textId="77777777" w:rsidR="004B5AEA" w:rsidRDefault="00D70D3E">
          <w:pPr>
            <w:pStyle w:val="TOC2"/>
            <w:tabs>
              <w:tab w:val="right" w:leader="dot" w:pos="9016"/>
            </w:tabs>
            <w:rPr>
              <w:rFonts w:eastAsiaTheme="minorEastAsia" w:cstheme="minorBidi"/>
              <w:smallCaps w:val="0"/>
              <w:sz w:val="24"/>
              <w:szCs w:val="24"/>
              <w:lang w:val="en-GB" w:eastAsia="en-GB"/>
            </w:rPr>
          </w:pPr>
          <w:hyperlink w:anchor="_Toc189926503" w:history="1">
            <w:r>
              <w:rPr>
                <w:rStyle w:val="Hyperlink"/>
                <w:lang w:val="en-GB" w:bidi="bn-BD"/>
              </w:rPr>
              <w:t>Technological Adaptation during COVID-19 Pandemic and Its Impact on Hospitality</w:t>
            </w:r>
            <w:r>
              <w:tab/>
            </w:r>
            <w:r>
              <w:fldChar w:fldCharType="begin"/>
            </w:r>
            <w:r>
              <w:instrText xml:space="preserve"> PAGEREF _Toc189926503 \h </w:instrText>
            </w:r>
            <w:r>
              <w:fldChar w:fldCharType="separate"/>
            </w:r>
            <w:r>
              <w:t>5</w:t>
            </w:r>
            <w:r>
              <w:fldChar w:fldCharType="end"/>
            </w:r>
          </w:hyperlink>
        </w:p>
        <w:p w14:paraId="1092B444" w14:textId="77777777" w:rsidR="004B5AEA" w:rsidRDefault="00D70D3E">
          <w:pPr>
            <w:pStyle w:val="TOC2"/>
            <w:tabs>
              <w:tab w:val="right" w:leader="dot" w:pos="9016"/>
            </w:tabs>
            <w:rPr>
              <w:rFonts w:eastAsiaTheme="minorEastAsia" w:cstheme="minorBidi"/>
              <w:smallCaps w:val="0"/>
              <w:sz w:val="24"/>
              <w:szCs w:val="24"/>
              <w:lang w:val="en-GB" w:eastAsia="en-GB"/>
            </w:rPr>
          </w:pPr>
          <w:hyperlink w:anchor="_Toc189926504" w:history="1">
            <w:r>
              <w:rPr>
                <w:rStyle w:val="Hyperlink"/>
                <w:lang w:val="en-GB" w:bidi="bn-BD"/>
              </w:rPr>
              <w:t>The Role of Government Policies and Economic Stimulus</w:t>
            </w:r>
            <w:r>
              <w:tab/>
            </w:r>
            <w:r>
              <w:fldChar w:fldCharType="begin"/>
            </w:r>
            <w:r>
              <w:instrText xml:space="preserve"> PAGEREF _Toc189926504 \h </w:instrText>
            </w:r>
            <w:r>
              <w:fldChar w:fldCharType="separate"/>
            </w:r>
            <w:r>
              <w:t>6</w:t>
            </w:r>
            <w:r>
              <w:fldChar w:fldCharType="end"/>
            </w:r>
          </w:hyperlink>
        </w:p>
        <w:p w14:paraId="671A3BE3" w14:textId="77777777" w:rsidR="004B5AEA" w:rsidRDefault="00D70D3E">
          <w:pPr>
            <w:pStyle w:val="TOC2"/>
            <w:tabs>
              <w:tab w:val="right" w:leader="dot" w:pos="9016"/>
            </w:tabs>
            <w:rPr>
              <w:rFonts w:eastAsiaTheme="minorEastAsia" w:cstheme="minorBidi"/>
              <w:smallCaps w:val="0"/>
              <w:sz w:val="24"/>
              <w:szCs w:val="24"/>
              <w:lang w:val="en-GB" w:eastAsia="en-GB"/>
            </w:rPr>
          </w:pPr>
          <w:hyperlink w:anchor="_Toc189926505" w:history="1">
            <w:r>
              <w:rPr>
                <w:rStyle w:val="Hyperlink"/>
                <w:lang w:val="en-GB" w:bidi="bn-BD"/>
              </w:rPr>
              <w:t>Industry Response to Natural Disasters</w:t>
            </w:r>
            <w:r>
              <w:tab/>
            </w:r>
            <w:r>
              <w:fldChar w:fldCharType="begin"/>
            </w:r>
            <w:r>
              <w:instrText xml:space="preserve"> PAGEREF _Toc189926505 \h </w:instrText>
            </w:r>
            <w:r>
              <w:fldChar w:fldCharType="separate"/>
            </w:r>
            <w:r>
              <w:t>6</w:t>
            </w:r>
            <w:r>
              <w:fldChar w:fldCharType="end"/>
            </w:r>
          </w:hyperlink>
        </w:p>
        <w:p w14:paraId="74787397" w14:textId="77777777" w:rsidR="004B5AEA" w:rsidRDefault="00D70D3E">
          <w:pPr>
            <w:pStyle w:val="TOC2"/>
            <w:tabs>
              <w:tab w:val="right" w:leader="dot" w:pos="9016"/>
            </w:tabs>
            <w:rPr>
              <w:rFonts w:eastAsiaTheme="minorEastAsia" w:cstheme="minorBidi"/>
              <w:smallCaps w:val="0"/>
              <w:sz w:val="24"/>
              <w:szCs w:val="24"/>
              <w:lang w:val="en-GB" w:eastAsia="en-GB"/>
            </w:rPr>
          </w:pPr>
          <w:hyperlink w:anchor="_Toc189926506" w:history="1">
            <w:r>
              <w:rPr>
                <w:rStyle w:val="Hyperlink"/>
                <w:lang w:val="en-GB" w:bidi="bn-BD"/>
              </w:rPr>
              <w:t>Consumer Behaviour Shifts and Long-term Adaptation</w:t>
            </w:r>
            <w:r>
              <w:tab/>
            </w:r>
            <w:r>
              <w:fldChar w:fldCharType="begin"/>
            </w:r>
            <w:r>
              <w:instrText xml:space="preserve"> PAGEREF _Toc189926506 \h </w:instrText>
            </w:r>
            <w:r>
              <w:fldChar w:fldCharType="separate"/>
            </w:r>
            <w:r>
              <w:t>7</w:t>
            </w:r>
            <w:r>
              <w:fldChar w:fldCharType="end"/>
            </w:r>
          </w:hyperlink>
        </w:p>
        <w:p w14:paraId="4BF758EC" w14:textId="77777777" w:rsidR="004B5AEA" w:rsidRDefault="00D70D3E">
          <w:pPr>
            <w:pStyle w:val="TOC1"/>
            <w:tabs>
              <w:tab w:val="right" w:leader="dot" w:pos="9016"/>
            </w:tabs>
            <w:rPr>
              <w:rFonts w:eastAsiaTheme="minorEastAsia" w:cstheme="minorBidi"/>
              <w:b w:val="0"/>
              <w:bCs w:val="0"/>
              <w:caps w:val="0"/>
              <w:sz w:val="24"/>
              <w:szCs w:val="24"/>
              <w:lang w:val="en-GB" w:eastAsia="en-GB"/>
            </w:rPr>
          </w:pPr>
          <w:hyperlink w:anchor="_Toc189926507" w:history="1">
            <w:r>
              <w:rPr>
                <w:rStyle w:val="Hyperlink"/>
                <w:lang w:val="en-GB"/>
              </w:rPr>
              <w:t>Method</w:t>
            </w:r>
            <w:r>
              <w:tab/>
            </w:r>
            <w:r>
              <w:fldChar w:fldCharType="begin"/>
            </w:r>
            <w:r>
              <w:instrText xml:space="preserve"> PAGEREF _Toc189926507 \h </w:instrText>
            </w:r>
            <w:r>
              <w:fldChar w:fldCharType="separate"/>
            </w:r>
            <w:r>
              <w:t>8</w:t>
            </w:r>
            <w:r>
              <w:fldChar w:fldCharType="end"/>
            </w:r>
          </w:hyperlink>
        </w:p>
        <w:p w14:paraId="6B1B3351" w14:textId="77777777" w:rsidR="004B5AEA" w:rsidRDefault="00D70D3E">
          <w:pPr>
            <w:pStyle w:val="TOC2"/>
            <w:tabs>
              <w:tab w:val="right" w:leader="dot" w:pos="9016"/>
            </w:tabs>
            <w:rPr>
              <w:rFonts w:eastAsiaTheme="minorEastAsia" w:cstheme="minorBidi"/>
              <w:smallCaps w:val="0"/>
              <w:sz w:val="24"/>
              <w:szCs w:val="24"/>
              <w:lang w:val="en-GB" w:eastAsia="en-GB"/>
            </w:rPr>
          </w:pPr>
          <w:hyperlink w:anchor="_Toc189926508" w:history="1">
            <w:r>
              <w:rPr>
                <w:rStyle w:val="Hyperlink"/>
                <w:lang w:val="en-GB" w:bidi="bn-BD"/>
              </w:rPr>
              <w:t>Research Approach</w:t>
            </w:r>
            <w:r>
              <w:tab/>
            </w:r>
            <w:r>
              <w:fldChar w:fldCharType="begin"/>
            </w:r>
            <w:r>
              <w:instrText xml:space="preserve"> PAGEREF _Toc189926508 \h </w:instrText>
            </w:r>
            <w:r>
              <w:fldChar w:fldCharType="separate"/>
            </w:r>
            <w:r>
              <w:t>8</w:t>
            </w:r>
            <w:r>
              <w:fldChar w:fldCharType="end"/>
            </w:r>
          </w:hyperlink>
        </w:p>
        <w:p w14:paraId="0D8CA59C" w14:textId="77777777" w:rsidR="004B5AEA" w:rsidRDefault="00D70D3E">
          <w:pPr>
            <w:pStyle w:val="TOC2"/>
            <w:tabs>
              <w:tab w:val="right" w:leader="dot" w:pos="9016"/>
            </w:tabs>
            <w:rPr>
              <w:rFonts w:eastAsiaTheme="minorEastAsia" w:cstheme="minorBidi"/>
              <w:smallCaps w:val="0"/>
              <w:sz w:val="24"/>
              <w:szCs w:val="24"/>
              <w:lang w:val="en-GB" w:eastAsia="en-GB"/>
            </w:rPr>
          </w:pPr>
          <w:hyperlink w:anchor="_Toc189926509" w:history="1">
            <w:r>
              <w:rPr>
                <w:rStyle w:val="Hyperlink"/>
                <w:lang w:val="en-GB" w:bidi="bn-BD"/>
              </w:rPr>
              <w:t>Analytical Framework</w:t>
            </w:r>
            <w:r>
              <w:tab/>
            </w:r>
            <w:r>
              <w:fldChar w:fldCharType="begin"/>
            </w:r>
            <w:r>
              <w:instrText xml:space="preserve"> PAGEREF _Toc189926509 \h </w:instrText>
            </w:r>
            <w:r>
              <w:fldChar w:fldCharType="separate"/>
            </w:r>
            <w:r>
              <w:t>8</w:t>
            </w:r>
            <w:r>
              <w:fldChar w:fldCharType="end"/>
            </w:r>
          </w:hyperlink>
        </w:p>
        <w:p w14:paraId="67BA1CD3" w14:textId="77777777" w:rsidR="004B5AEA" w:rsidRDefault="00D70D3E">
          <w:pPr>
            <w:pStyle w:val="TOC1"/>
            <w:tabs>
              <w:tab w:val="right" w:leader="dot" w:pos="9016"/>
            </w:tabs>
            <w:rPr>
              <w:rFonts w:eastAsiaTheme="minorEastAsia" w:cstheme="minorBidi"/>
              <w:b w:val="0"/>
              <w:bCs w:val="0"/>
              <w:caps w:val="0"/>
              <w:sz w:val="24"/>
              <w:szCs w:val="24"/>
              <w:lang w:val="en-GB" w:eastAsia="en-GB"/>
            </w:rPr>
          </w:pPr>
          <w:hyperlink w:anchor="_Toc189926510" w:history="1">
            <w:r>
              <w:rPr>
                <w:rStyle w:val="Hyperlink"/>
                <w:lang w:val="en-GB"/>
              </w:rPr>
              <w:t>Theme Impact Analysis</w:t>
            </w:r>
            <w:r>
              <w:tab/>
            </w:r>
            <w:r>
              <w:fldChar w:fldCharType="begin"/>
            </w:r>
            <w:r>
              <w:instrText xml:space="preserve"> PAGEREF _Toc189926510 \h </w:instrText>
            </w:r>
            <w:r>
              <w:fldChar w:fldCharType="separate"/>
            </w:r>
            <w:r>
              <w:t>9</w:t>
            </w:r>
            <w:r>
              <w:fldChar w:fldCharType="end"/>
            </w:r>
          </w:hyperlink>
        </w:p>
        <w:p w14:paraId="69F0AB9B" w14:textId="77777777" w:rsidR="004B5AEA" w:rsidRDefault="00D70D3E">
          <w:pPr>
            <w:pStyle w:val="TOC2"/>
            <w:tabs>
              <w:tab w:val="right" w:leader="dot" w:pos="9016"/>
            </w:tabs>
            <w:rPr>
              <w:rFonts w:eastAsiaTheme="minorEastAsia" w:cstheme="minorBidi"/>
              <w:smallCaps w:val="0"/>
              <w:sz w:val="24"/>
              <w:szCs w:val="24"/>
              <w:lang w:val="en-GB" w:eastAsia="en-GB"/>
            </w:rPr>
          </w:pPr>
          <w:hyperlink w:anchor="_Toc189926511" w:history="1">
            <w:r>
              <w:rPr>
                <w:rStyle w:val="Hyperlink"/>
                <w:lang w:val="en-GB" w:bidi="bn-BD"/>
              </w:rPr>
              <w:t>Political Factors</w:t>
            </w:r>
            <w:r>
              <w:tab/>
            </w:r>
            <w:r>
              <w:fldChar w:fldCharType="begin"/>
            </w:r>
            <w:r>
              <w:instrText xml:space="preserve"> PAGEREF _Toc189926511 \h </w:instrText>
            </w:r>
            <w:r>
              <w:fldChar w:fldCharType="separate"/>
            </w:r>
            <w:r>
              <w:t>9</w:t>
            </w:r>
            <w:r>
              <w:fldChar w:fldCharType="end"/>
            </w:r>
          </w:hyperlink>
        </w:p>
        <w:p w14:paraId="50F45B29" w14:textId="77777777" w:rsidR="004B5AEA" w:rsidRDefault="00D70D3E">
          <w:pPr>
            <w:pStyle w:val="TOC2"/>
            <w:tabs>
              <w:tab w:val="right" w:leader="dot" w:pos="9016"/>
            </w:tabs>
            <w:rPr>
              <w:rFonts w:eastAsiaTheme="minorEastAsia" w:cstheme="minorBidi"/>
              <w:smallCaps w:val="0"/>
              <w:sz w:val="24"/>
              <w:szCs w:val="24"/>
              <w:lang w:val="en-GB" w:eastAsia="en-GB"/>
            </w:rPr>
          </w:pPr>
          <w:hyperlink w:anchor="_Toc189926512" w:history="1">
            <w:r>
              <w:rPr>
                <w:rStyle w:val="Hyperlink"/>
                <w:lang w:val="en-GB" w:bidi="bn-BD"/>
              </w:rPr>
              <w:t>Economic Factors</w:t>
            </w:r>
            <w:r>
              <w:tab/>
            </w:r>
            <w:r>
              <w:fldChar w:fldCharType="begin"/>
            </w:r>
            <w:r>
              <w:instrText xml:space="preserve"> PAGEREF _Toc189926512 \h </w:instrText>
            </w:r>
            <w:r>
              <w:fldChar w:fldCharType="separate"/>
            </w:r>
            <w:r>
              <w:t>9</w:t>
            </w:r>
            <w:r>
              <w:fldChar w:fldCharType="end"/>
            </w:r>
          </w:hyperlink>
        </w:p>
        <w:p w14:paraId="495A056B" w14:textId="77777777" w:rsidR="004B5AEA" w:rsidRDefault="00D70D3E">
          <w:pPr>
            <w:pStyle w:val="TOC2"/>
            <w:tabs>
              <w:tab w:val="right" w:leader="dot" w:pos="9016"/>
            </w:tabs>
            <w:rPr>
              <w:rFonts w:eastAsiaTheme="minorEastAsia" w:cstheme="minorBidi"/>
              <w:smallCaps w:val="0"/>
              <w:sz w:val="24"/>
              <w:szCs w:val="24"/>
              <w:lang w:val="en-GB" w:eastAsia="en-GB"/>
            </w:rPr>
          </w:pPr>
          <w:hyperlink w:anchor="_Toc189926513" w:history="1">
            <w:r>
              <w:rPr>
                <w:rStyle w:val="Hyperlink"/>
                <w:lang w:val="en-GB" w:bidi="bn-BD"/>
              </w:rPr>
              <w:t>Social Factors</w:t>
            </w:r>
            <w:r>
              <w:tab/>
            </w:r>
            <w:r>
              <w:fldChar w:fldCharType="begin"/>
            </w:r>
            <w:r>
              <w:instrText xml:space="preserve"> PAGEREF _Toc189926513 \h </w:instrText>
            </w:r>
            <w:r>
              <w:fldChar w:fldCharType="separate"/>
            </w:r>
            <w:r>
              <w:t>10</w:t>
            </w:r>
            <w:r>
              <w:fldChar w:fldCharType="end"/>
            </w:r>
          </w:hyperlink>
        </w:p>
        <w:p w14:paraId="1D8EA554" w14:textId="77777777" w:rsidR="004B5AEA" w:rsidRDefault="00D70D3E">
          <w:pPr>
            <w:pStyle w:val="TOC2"/>
            <w:tabs>
              <w:tab w:val="right" w:leader="dot" w:pos="9016"/>
            </w:tabs>
            <w:rPr>
              <w:rFonts w:eastAsiaTheme="minorEastAsia" w:cstheme="minorBidi"/>
              <w:smallCaps w:val="0"/>
              <w:sz w:val="24"/>
              <w:szCs w:val="24"/>
              <w:lang w:val="en-GB" w:eastAsia="en-GB"/>
            </w:rPr>
          </w:pPr>
          <w:hyperlink w:anchor="_Toc189926514" w:history="1">
            <w:r>
              <w:rPr>
                <w:rStyle w:val="Hyperlink"/>
                <w:lang w:val="en-GB" w:bidi="bn-BD"/>
              </w:rPr>
              <w:t>Technological Factors</w:t>
            </w:r>
            <w:r>
              <w:tab/>
            </w:r>
            <w:r>
              <w:fldChar w:fldCharType="begin"/>
            </w:r>
            <w:r>
              <w:instrText xml:space="preserve"> PAGEREF _Toc189926514 \h </w:instrText>
            </w:r>
            <w:r>
              <w:fldChar w:fldCharType="separate"/>
            </w:r>
            <w:r>
              <w:t>11</w:t>
            </w:r>
            <w:r>
              <w:fldChar w:fldCharType="end"/>
            </w:r>
          </w:hyperlink>
        </w:p>
        <w:p w14:paraId="046937A0" w14:textId="77777777" w:rsidR="004B5AEA" w:rsidRDefault="00D70D3E">
          <w:pPr>
            <w:pStyle w:val="TOC2"/>
            <w:tabs>
              <w:tab w:val="right" w:leader="dot" w:pos="9016"/>
            </w:tabs>
            <w:rPr>
              <w:rFonts w:eastAsiaTheme="minorEastAsia" w:cstheme="minorBidi"/>
              <w:smallCaps w:val="0"/>
              <w:sz w:val="24"/>
              <w:szCs w:val="24"/>
              <w:lang w:val="en-GB" w:eastAsia="en-GB"/>
            </w:rPr>
          </w:pPr>
          <w:hyperlink w:anchor="_Toc189926515" w:history="1">
            <w:r>
              <w:rPr>
                <w:rStyle w:val="Hyperlink"/>
                <w:lang w:val="en-GB" w:bidi="bn-BD"/>
              </w:rPr>
              <w:t>Legal Factors</w:t>
            </w:r>
            <w:r>
              <w:tab/>
            </w:r>
            <w:r>
              <w:fldChar w:fldCharType="begin"/>
            </w:r>
            <w:r>
              <w:instrText xml:space="preserve"> PAGEREF _Toc189926515 \h </w:instrText>
            </w:r>
            <w:r>
              <w:fldChar w:fldCharType="separate"/>
            </w:r>
            <w:r>
              <w:t>11</w:t>
            </w:r>
            <w:r>
              <w:fldChar w:fldCharType="end"/>
            </w:r>
          </w:hyperlink>
        </w:p>
        <w:p w14:paraId="538799C4" w14:textId="77777777" w:rsidR="004B5AEA" w:rsidRDefault="00D70D3E">
          <w:pPr>
            <w:pStyle w:val="TOC2"/>
            <w:tabs>
              <w:tab w:val="right" w:leader="dot" w:pos="9016"/>
            </w:tabs>
            <w:rPr>
              <w:rFonts w:eastAsiaTheme="minorEastAsia" w:cstheme="minorBidi"/>
              <w:smallCaps w:val="0"/>
              <w:sz w:val="24"/>
              <w:szCs w:val="24"/>
              <w:lang w:val="en-GB" w:eastAsia="en-GB"/>
            </w:rPr>
          </w:pPr>
          <w:hyperlink w:anchor="_Toc189926516" w:history="1">
            <w:r>
              <w:rPr>
                <w:rStyle w:val="Hyperlink"/>
                <w:lang w:val="en-GB" w:bidi="bn-BD"/>
              </w:rPr>
              <w:t>Environmental Factors</w:t>
            </w:r>
            <w:r>
              <w:tab/>
            </w:r>
            <w:r>
              <w:fldChar w:fldCharType="begin"/>
            </w:r>
            <w:r>
              <w:instrText xml:space="preserve"> PAGEREF _Toc189926516 \h </w:instrText>
            </w:r>
            <w:r>
              <w:fldChar w:fldCharType="separate"/>
            </w:r>
            <w:r>
              <w:t>12</w:t>
            </w:r>
            <w:r>
              <w:fldChar w:fldCharType="end"/>
            </w:r>
          </w:hyperlink>
        </w:p>
        <w:p w14:paraId="1422C73A" w14:textId="77777777" w:rsidR="004B5AEA" w:rsidRDefault="00D70D3E">
          <w:pPr>
            <w:pStyle w:val="TOC1"/>
            <w:tabs>
              <w:tab w:val="right" w:leader="dot" w:pos="9016"/>
            </w:tabs>
            <w:rPr>
              <w:rFonts w:eastAsiaTheme="minorEastAsia" w:cstheme="minorBidi"/>
              <w:b w:val="0"/>
              <w:bCs w:val="0"/>
              <w:caps w:val="0"/>
              <w:sz w:val="24"/>
              <w:szCs w:val="24"/>
              <w:lang w:val="en-GB" w:eastAsia="en-GB"/>
            </w:rPr>
          </w:pPr>
          <w:hyperlink w:anchor="_Toc189926517" w:history="1">
            <w:r>
              <w:rPr>
                <w:rStyle w:val="Hyperlink"/>
                <w:lang w:val="en-GB"/>
              </w:rPr>
              <w:t>Conclusion</w:t>
            </w:r>
            <w:r>
              <w:tab/>
            </w:r>
            <w:r>
              <w:fldChar w:fldCharType="begin"/>
            </w:r>
            <w:r>
              <w:instrText xml:space="preserve"> PAGEREF _Toc189926517 \h </w:instrText>
            </w:r>
            <w:r>
              <w:fldChar w:fldCharType="separate"/>
            </w:r>
            <w:r>
              <w:t>13</w:t>
            </w:r>
            <w:r>
              <w:fldChar w:fldCharType="end"/>
            </w:r>
          </w:hyperlink>
        </w:p>
        <w:p w14:paraId="1541B971" w14:textId="77777777" w:rsidR="004B5AEA" w:rsidRDefault="00D70D3E">
          <w:pPr>
            <w:pStyle w:val="TOC1"/>
            <w:tabs>
              <w:tab w:val="right" w:leader="dot" w:pos="9016"/>
            </w:tabs>
            <w:rPr>
              <w:rFonts w:eastAsiaTheme="minorEastAsia" w:cstheme="minorBidi"/>
              <w:b w:val="0"/>
              <w:bCs w:val="0"/>
              <w:caps w:val="0"/>
              <w:sz w:val="24"/>
              <w:szCs w:val="24"/>
              <w:lang w:val="en-GB" w:eastAsia="en-GB"/>
            </w:rPr>
          </w:pPr>
          <w:hyperlink w:anchor="_Toc189926518" w:history="1">
            <w:r>
              <w:rPr>
                <w:rStyle w:val="Hyperlink"/>
                <w:lang w:val="en-GB"/>
              </w:rPr>
              <w:t>Recommendations</w:t>
            </w:r>
            <w:r>
              <w:tab/>
            </w:r>
            <w:r>
              <w:fldChar w:fldCharType="begin"/>
            </w:r>
            <w:r>
              <w:instrText xml:space="preserve"> PAGEREF _Toc189926518 \h </w:instrText>
            </w:r>
            <w:r>
              <w:fldChar w:fldCharType="separate"/>
            </w:r>
            <w:r>
              <w:t>14</w:t>
            </w:r>
            <w:r>
              <w:fldChar w:fldCharType="end"/>
            </w:r>
          </w:hyperlink>
        </w:p>
        <w:p w14:paraId="1573CE77" w14:textId="77777777" w:rsidR="004B5AEA" w:rsidRDefault="00D70D3E">
          <w:pPr>
            <w:pStyle w:val="TOC2"/>
            <w:tabs>
              <w:tab w:val="right" w:leader="dot" w:pos="9016"/>
            </w:tabs>
            <w:rPr>
              <w:rFonts w:eastAsiaTheme="minorEastAsia" w:cstheme="minorBidi"/>
              <w:smallCaps w:val="0"/>
              <w:sz w:val="24"/>
              <w:szCs w:val="24"/>
              <w:lang w:val="en-GB" w:eastAsia="en-GB"/>
            </w:rPr>
          </w:pPr>
          <w:hyperlink w:anchor="_Toc189926519" w:history="1">
            <w:r>
              <w:rPr>
                <w:rStyle w:val="Hyperlink"/>
                <w:lang w:val="en-GB" w:bidi="bn-BD"/>
              </w:rPr>
              <w:t>Strengthening Industry-Government Collaboration</w:t>
            </w:r>
            <w:r>
              <w:tab/>
            </w:r>
            <w:r>
              <w:fldChar w:fldCharType="begin"/>
            </w:r>
            <w:r>
              <w:instrText xml:space="preserve"> PAGEREF _Toc189926519 \h </w:instrText>
            </w:r>
            <w:r>
              <w:fldChar w:fldCharType="separate"/>
            </w:r>
            <w:r>
              <w:t>14</w:t>
            </w:r>
            <w:r>
              <w:fldChar w:fldCharType="end"/>
            </w:r>
          </w:hyperlink>
        </w:p>
        <w:p w14:paraId="16C4575E" w14:textId="77777777" w:rsidR="004B5AEA" w:rsidRDefault="00D70D3E">
          <w:pPr>
            <w:pStyle w:val="TOC2"/>
            <w:tabs>
              <w:tab w:val="right" w:leader="dot" w:pos="9016"/>
            </w:tabs>
            <w:rPr>
              <w:rFonts w:eastAsiaTheme="minorEastAsia" w:cstheme="minorBidi"/>
              <w:smallCaps w:val="0"/>
              <w:sz w:val="24"/>
              <w:szCs w:val="24"/>
              <w:lang w:val="en-GB" w:eastAsia="en-GB"/>
            </w:rPr>
          </w:pPr>
          <w:hyperlink w:anchor="_Toc189926520" w:history="1">
            <w:r>
              <w:rPr>
                <w:rStyle w:val="Hyperlink"/>
                <w:lang w:val="en-GB" w:bidi="bn-BD"/>
              </w:rPr>
              <w:t>Investment in Technological Resilience</w:t>
            </w:r>
            <w:r>
              <w:tab/>
            </w:r>
            <w:r>
              <w:fldChar w:fldCharType="begin"/>
            </w:r>
            <w:r>
              <w:instrText xml:space="preserve"> PAGEREF _Toc189926520 \h </w:instrText>
            </w:r>
            <w:r>
              <w:fldChar w:fldCharType="separate"/>
            </w:r>
            <w:r>
              <w:t>14</w:t>
            </w:r>
            <w:r>
              <w:fldChar w:fldCharType="end"/>
            </w:r>
          </w:hyperlink>
        </w:p>
        <w:p w14:paraId="0558641B" w14:textId="77777777" w:rsidR="004B5AEA" w:rsidRDefault="00D70D3E">
          <w:pPr>
            <w:pStyle w:val="TOC2"/>
            <w:tabs>
              <w:tab w:val="right" w:leader="dot" w:pos="9016"/>
            </w:tabs>
            <w:rPr>
              <w:rFonts w:eastAsiaTheme="minorEastAsia" w:cstheme="minorBidi"/>
              <w:smallCaps w:val="0"/>
              <w:sz w:val="24"/>
              <w:szCs w:val="24"/>
              <w:lang w:val="en-GB" w:eastAsia="en-GB"/>
            </w:rPr>
          </w:pPr>
          <w:hyperlink w:anchor="_Toc189926521" w:history="1">
            <w:r>
              <w:rPr>
                <w:rStyle w:val="Hyperlink"/>
                <w:lang w:val="en-GB" w:bidi="bn-BD"/>
              </w:rPr>
              <w:t>Sustainable Business Models for Long-Term Viability</w:t>
            </w:r>
            <w:r>
              <w:tab/>
            </w:r>
            <w:r>
              <w:fldChar w:fldCharType="begin"/>
            </w:r>
            <w:r>
              <w:instrText xml:space="preserve"> PAGEREF _Toc189926521 \h </w:instrText>
            </w:r>
            <w:r>
              <w:fldChar w:fldCharType="separate"/>
            </w:r>
            <w:r>
              <w:t>14</w:t>
            </w:r>
            <w:r>
              <w:fldChar w:fldCharType="end"/>
            </w:r>
          </w:hyperlink>
        </w:p>
        <w:p w14:paraId="2B0500B4" w14:textId="77777777" w:rsidR="004B5AEA" w:rsidRDefault="00D70D3E">
          <w:pPr>
            <w:pStyle w:val="TOC2"/>
            <w:tabs>
              <w:tab w:val="right" w:leader="dot" w:pos="9016"/>
            </w:tabs>
            <w:rPr>
              <w:rFonts w:eastAsiaTheme="minorEastAsia" w:cstheme="minorBidi"/>
              <w:smallCaps w:val="0"/>
              <w:sz w:val="24"/>
              <w:szCs w:val="24"/>
              <w:lang w:val="en-GB" w:eastAsia="en-GB"/>
            </w:rPr>
          </w:pPr>
          <w:hyperlink w:anchor="_Toc189926522" w:history="1">
            <w:r>
              <w:rPr>
                <w:rStyle w:val="Hyperlink"/>
                <w:lang w:val="en-GB" w:bidi="bn-BD"/>
              </w:rPr>
              <w:t>Enhancing Workforce Resilience and Training</w:t>
            </w:r>
            <w:r>
              <w:tab/>
            </w:r>
            <w:r>
              <w:fldChar w:fldCharType="begin"/>
            </w:r>
            <w:r>
              <w:instrText xml:space="preserve"> PAGEREF _Toc189926522 \h </w:instrText>
            </w:r>
            <w:r>
              <w:fldChar w:fldCharType="separate"/>
            </w:r>
            <w:r>
              <w:t>15</w:t>
            </w:r>
            <w:r>
              <w:fldChar w:fldCharType="end"/>
            </w:r>
          </w:hyperlink>
        </w:p>
        <w:p w14:paraId="79F8C943" w14:textId="77777777" w:rsidR="004B5AEA" w:rsidRDefault="00D70D3E">
          <w:pPr>
            <w:pStyle w:val="TOC2"/>
            <w:tabs>
              <w:tab w:val="right" w:leader="dot" w:pos="9016"/>
            </w:tabs>
            <w:rPr>
              <w:rFonts w:eastAsiaTheme="minorEastAsia" w:cstheme="minorBidi"/>
              <w:smallCaps w:val="0"/>
              <w:sz w:val="24"/>
              <w:szCs w:val="24"/>
              <w:lang w:val="en-GB" w:eastAsia="en-GB"/>
            </w:rPr>
          </w:pPr>
          <w:hyperlink w:anchor="_Toc189926523" w:history="1">
            <w:r>
              <w:rPr>
                <w:rStyle w:val="Hyperlink"/>
                <w:lang w:val="en-GB" w:bidi="bn-BD"/>
              </w:rPr>
              <w:t>Future-Proofing Through Scenario Planning and Risk Assessment</w:t>
            </w:r>
            <w:r>
              <w:tab/>
            </w:r>
            <w:r>
              <w:fldChar w:fldCharType="begin"/>
            </w:r>
            <w:r>
              <w:instrText xml:space="preserve"> PAGEREF _Toc189926523 \h </w:instrText>
            </w:r>
            <w:r>
              <w:fldChar w:fldCharType="separate"/>
            </w:r>
            <w:r>
              <w:t>15</w:t>
            </w:r>
            <w:r>
              <w:fldChar w:fldCharType="end"/>
            </w:r>
          </w:hyperlink>
        </w:p>
        <w:p w14:paraId="584E014E" w14:textId="77777777" w:rsidR="004B5AEA" w:rsidRDefault="00D70D3E">
          <w:pPr>
            <w:pStyle w:val="TOC1"/>
            <w:tabs>
              <w:tab w:val="right" w:leader="dot" w:pos="9016"/>
            </w:tabs>
            <w:rPr>
              <w:rFonts w:eastAsiaTheme="minorEastAsia" w:cstheme="minorBidi"/>
              <w:b w:val="0"/>
              <w:bCs w:val="0"/>
              <w:caps w:val="0"/>
              <w:sz w:val="24"/>
              <w:szCs w:val="24"/>
              <w:lang w:val="en-GB" w:eastAsia="en-GB"/>
            </w:rPr>
          </w:pPr>
          <w:hyperlink w:anchor="_Toc189926524" w:history="1">
            <w:r>
              <w:rPr>
                <w:rStyle w:val="Hyperlink"/>
                <w:lang w:val="en-GB"/>
              </w:rPr>
              <w:t>References</w:t>
            </w:r>
            <w:r>
              <w:tab/>
            </w:r>
            <w:r>
              <w:fldChar w:fldCharType="begin"/>
            </w:r>
            <w:r>
              <w:instrText xml:space="preserve"> PAGEREF _Toc189926524 \h </w:instrText>
            </w:r>
            <w:r>
              <w:fldChar w:fldCharType="separate"/>
            </w:r>
            <w:r>
              <w:t>16</w:t>
            </w:r>
            <w:r>
              <w:fldChar w:fldCharType="end"/>
            </w:r>
          </w:hyperlink>
        </w:p>
        <w:p w14:paraId="4394F1D1" w14:textId="77777777" w:rsidR="004B5AEA" w:rsidRDefault="00D70D3E">
          <w:r>
            <w:rPr>
              <w:rFonts w:cs="Times New Roman"/>
              <w:b/>
              <w:bCs/>
              <w:caps/>
              <w:sz w:val="20"/>
              <w:szCs w:val="20"/>
            </w:rPr>
            <w:fldChar w:fldCharType="end"/>
          </w:r>
        </w:p>
      </w:sdtContent>
    </w:sdt>
    <w:p w14:paraId="440DA8A8" w14:textId="77777777" w:rsidR="004B5AEA" w:rsidRDefault="004B5AEA">
      <w:pPr>
        <w:rPr>
          <w:lang w:val="en-GB"/>
        </w:rPr>
      </w:pPr>
    </w:p>
    <w:p w14:paraId="5B0C04AE" w14:textId="77777777" w:rsidR="004B5AEA" w:rsidRDefault="00D70D3E">
      <w:pPr>
        <w:spacing w:line="259" w:lineRule="auto"/>
        <w:jc w:val="left"/>
        <w:rPr>
          <w:lang w:val="en-GB"/>
        </w:rPr>
      </w:pPr>
      <w:r>
        <w:rPr>
          <w:lang w:val="en-GB"/>
        </w:rPr>
        <w:br w:type="page"/>
      </w:r>
    </w:p>
    <w:p w14:paraId="771C6445" w14:textId="77777777" w:rsidR="004B5AEA" w:rsidRDefault="00D70D3E">
      <w:pPr>
        <w:pStyle w:val="Heading1"/>
        <w:rPr>
          <w:lang w:val="en-GB"/>
        </w:rPr>
      </w:pPr>
      <w:bookmarkStart w:id="2" w:name="_Toc189926500"/>
      <w:r>
        <w:rPr>
          <w:lang w:val="en-GB"/>
        </w:rPr>
        <w:lastRenderedPageBreak/>
        <w:t>Introduction</w:t>
      </w:r>
      <w:bookmarkEnd w:id="2"/>
    </w:p>
    <w:p w14:paraId="173F9BD6" w14:textId="77777777" w:rsidR="004B5AEA" w:rsidRDefault="00D70D3E">
      <w:pPr>
        <w:rPr>
          <w:lang w:val="en-GB"/>
        </w:rPr>
      </w:pPr>
      <w:r>
        <w:rPr>
          <w:lang w:val="en-GB"/>
        </w:rPr>
        <w:t>The hotel and hospitality sector is a highly crisis-prone and vulnerable industry facing problems created by external as well as internal acting shocks in the shape of pandemics, geopolitical conflict, economic downswing, and disasters (Ford and Sturman, 2020). The impact of the COVID-19 pandemic, the Russia-Ukraine war and the catastrophic wildfires in California have significantly impacted global tourism, disrupting supply chains, dampening consumer confidence, and accelerating business transformation (Lee et al., 2024). Such shocks often pose an operational challenge to the providers, and financial loss for the airline when they already face short-term and long-term pressure and changes in consumer behaviour (Aharon et al., 2021).</w:t>
      </w:r>
    </w:p>
    <w:p w14:paraId="7E4A2273" w14:textId="77777777" w:rsidR="004B5AEA" w:rsidRDefault="00D70D3E">
      <w:pPr>
        <w:rPr>
          <w:lang w:val="en-GB"/>
        </w:rPr>
      </w:pPr>
      <w:r>
        <w:rPr>
          <w:lang w:val="en-GB"/>
        </w:rPr>
        <w:t xml:space="preserve">The reason is crisis management and the building of resilience strategies are very important in the hotel industry like all other industries because of the need to mitigate the risks, ensure business continuity, and recover from major emergencies or a disaster (El-Said et al., 2024). Several adaptive strategies, including digital transformation, flexible pricing, diversification of revenue streams, and optimized hygiene protocols, have been implemented in hotels to respond to crises successfully. </w:t>
      </w:r>
    </w:p>
    <w:p w14:paraId="7D18A171" w14:textId="77777777" w:rsidR="004B5AEA" w:rsidRDefault="00D70D3E">
      <w:pPr>
        <w:rPr>
          <w:lang w:val="en-GB"/>
        </w:rPr>
      </w:pPr>
      <w:r>
        <w:rPr>
          <w:lang w:val="en-GB"/>
        </w:rPr>
        <w:t>The objective of this research paper is to analyse critically how hotels face crises and bounce back from shocks and other eventualities with resilience strategies. Through the academic literature and real-world case studies, it will study crisis management practices to provide the best practices and future recommendations for the hospitality industry.</w:t>
      </w:r>
    </w:p>
    <w:p w14:paraId="34F65C12" w14:textId="77777777" w:rsidR="004B5AEA" w:rsidRDefault="00D70D3E">
      <w:pPr>
        <w:spacing w:line="259" w:lineRule="auto"/>
        <w:jc w:val="left"/>
        <w:rPr>
          <w:lang w:val="en-GB"/>
        </w:rPr>
      </w:pPr>
      <w:r>
        <w:rPr>
          <w:lang w:val="en-GB"/>
        </w:rPr>
        <w:br w:type="page"/>
      </w:r>
    </w:p>
    <w:p w14:paraId="6A36E74B" w14:textId="77777777" w:rsidR="004B5AEA" w:rsidRDefault="00D70D3E">
      <w:pPr>
        <w:pStyle w:val="Heading1"/>
        <w:rPr>
          <w:lang w:val="en-GB"/>
        </w:rPr>
      </w:pPr>
      <w:bookmarkStart w:id="3" w:name="_Toc189926501"/>
      <w:r>
        <w:rPr>
          <w:lang w:val="en-GB"/>
        </w:rPr>
        <w:lastRenderedPageBreak/>
        <w:t>Literature Review</w:t>
      </w:r>
      <w:bookmarkEnd w:id="3"/>
      <w:r>
        <w:rPr>
          <w:lang w:val="en-GB"/>
        </w:rPr>
        <w:t xml:space="preserve"> </w:t>
      </w:r>
    </w:p>
    <w:p w14:paraId="57541065" w14:textId="77777777" w:rsidR="004B5AEA" w:rsidRDefault="00D70D3E">
      <w:pPr>
        <w:rPr>
          <w:lang w:val="en-GB"/>
        </w:rPr>
      </w:pPr>
      <w:r>
        <w:rPr>
          <w:lang w:val="en-GB"/>
        </w:rPr>
        <w:t xml:space="preserve">One specific area within the chosen theme of crisis management is financial resilience and government intervention in helping the hospitality sector recover from economic shocks. For instance, studies show that the companies which had a flexible financial attitude, including revenue diversification and dynamic pricing, had higher survival rates during the crisis. </w:t>
      </w:r>
    </w:p>
    <w:p w14:paraId="4F05DEF6" w14:textId="77777777" w:rsidR="004B5AEA" w:rsidRDefault="00D70D3E">
      <w:pPr>
        <w:pStyle w:val="Heading2"/>
        <w:rPr>
          <w:lang w:val="en-GB"/>
        </w:rPr>
      </w:pPr>
      <w:bookmarkStart w:id="4" w:name="_Toc189926502"/>
      <w:r>
        <w:rPr>
          <w:lang w:val="en-GB"/>
        </w:rPr>
        <w:t>Crisis Management in the Hospitality Industry &amp; Industry Response</w:t>
      </w:r>
      <w:bookmarkEnd w:id="4"/>
      <w:r>
        <w:rPr>
          <w:lang w:val="en-GB"/>
        </w:rPr>
        <w:t xml:space="preserve"> </w:t>
      </w:r>
    </w:p>
    <w:p w14:paraId="2F476F44" w14:textId="77777777" w:rsidR="004B5AEA" w:rsidRDefault="00D70D3E">
      <w:pPr>
        <w:rPr>
          <w:lang w:val="en-GB"/>
        </w:rPr>
      </w:pPr>
      <w:r>
        <w:rPr>
          <w:lang w:val="en-GB"/>
        </w:rPr>
        <w:t xml:space="preserve">As reported by El-Sad et al. (2024), the crisis management in the context of the hospitality sector is defined through the plans that are strategic and the plans of recovery frameworks put in place to lessen the negative impacts of unanticipated events. </w:t>
      </w:r>
      <w:proofErr w:type="spellStart"/>
      <w:r>
        <w:rPr>
          <w:lang w:val="en-GB"/>
        </w:rPr>
        <w:t>Ntounis</w:t>
      </w:r>
      <w:proofErr w:type="spellEnd"/>
      <w:r>
        <w:rPr>
          <w:lang w:val="en-GB"/>
        </w:rPr>
        <w:t xml:space="preserve"> et al., (2022) argued that hotels with suboptimal crisis management strategies endure high financial distress, operational inefficiencies as well as a reputation loss. The industry is analysed critically in relation to how it reacted to a series of crises experienced over a period of the last two decades in the recent literature. According to Lee et al. (2024), the global hospitality industry was impacted by the decrease in disposable income and consumer spending during the 2008 global financial crisis. Moreover, cost-cutting measures, workforce restructuring and promotional discounts were adopted by hotels to sustain their revenue streams illustrated in the research of Medeiros et al. (2022). </w:t>
      </w:r>
    </w:p>
    <w:tbl>
      <w:tblPr>
        <w:tblStyle w:val="GridTable2-Accent51"/>
        <w:tblW w:w="0" w:type="auto"/>
        <w:tblLook w:val="04A0" w:firstRow="1" w:lastRow="0" w:firstColumn="1" w:lastColumn="0" w:noHBand="0" w:noVBand="1"/>
      </w:tblPr>
      <w:tblGrid>
        <w:gridCol w:w="2520"/>
        <w:gridCol w:w="6506"/>
      </w:tblGrid>
      <w:tr w:rsidR="004B5AEA" w14:paraId="6CE9F680" w14:textId="77777777" w:rsidTr="004B5AE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20" w:type="dxa"/>
          </w:tcPr>
          <w:p w14:paraId="62844CC2" w14:textId="77777777" w:rsidR="004B5AEA" w:rsidRDefault="00D70D3E">
            <w:pPr>
              <w:rPr>
                <w:b w:val="0"/>
                <w:bCs w:val="0"/>
                <w:lang w:val="en-GB"/>
              </w:rPr>
            </w:pPr>
            <w:r>
              <w:rPr>
                <w:lang w:val="en-GB"/>
              </w:rPr>
              <w:t>Response Strategy</w:t>
            </w:r>
          </w:p>
        </w:tc>
        <w:tc>
          <w:tcPr>
            <w:tcW w:w="6506" w:type="dxa"/>
          </w:tcPr>
          <w:p w14:paraId="08818C24" w14:textId="77777777" w:rsidR="004B5AEA" w:rsidRDefault="00D70D3E">
            <w:pPr>
              <w:cnfStyle w:val="100000000000" w:firstRow="1" w:lastRow="0" w:firstColumn="0" w:lastColumn="0" w:oddVBand="0" w:evenVBand="0" w:oddHBand="0" w:evenHBand="0" w:firstRowFirstColumn="0" w:firstRowLastColumn="0" w:lastRowFirstColumn="0" w:lastRowLastColumn="0"/>
              <w:rPr>
                <w:b w:val="0"/>
                <w:bCs w:val="0"/>
                <w:lang w:val="en-GB"/>
              </w:rPr>
            </w:pPr>
            <w:r>
              <w:rPr>
                <w:lang w:val="en-GB"/>
              </w:rPr>
              <w:t>Impact on Industry Performance</w:t>
            </w:r>
          </w:p>
        </w:tc>
      </w:tr>
      <w:tr w:rsidR="004B5AEA" w14:paraId="4C9817A5" w14:textId="77777777" w:rsidTr="004B5AEA">
        <w:tc>
          <w:tcPr>
            <w:cnfStyle w:val="001000000000" w:firstRow="0" w:lastRow="0" w:firstColumn="1" w:lastColumn="0" w:oddVBand="0" w:evenVBand="0" w:oddHBand="0" w:evenHBand="0" w:firstRowFirstColumn="0" w:firstRowLastColumn="0" w:lastRowFirstColumn="0" w:lastRowLastColumn="0"/>
            <w:tcW w:w="2520" w:type="dxa"/>
            <w:shd w:val="clear" w:color="auto" w:fill="DEEAF6" w:themeFill="accent5" w:themeFillTint="33"/>
          </w:tcPr>
          <w:p w14:paraId="66A279E5" w14:textId="77777777" w:rsidR="004B5AEA" w:rsidRDefault="00D70D3E">
            <w:pPr>
              <w:rPr>
                <w:b w:val="0"/>
                <w:bCs w:val="0"/>
                <w:lang w:val="en-GB"/>
              </w:rPr>
            </w:pPr>
            <w:r>
              <w:rPr>
                <w:lang w:val="en-GB"/>
              </w:rPr>
              <w:t>Cost-cutting measures</w:t>
            </w:r>
          </w:p>
        </w:tc>
        <w:tc>
          <w:tcPr>
            <w:tcW w:w="6506" w:type="dxa"/>
            <w:shd w:val="clear" w:color="auto" w:fill="DEEAF6" w:themeFill="accent5" w:themeFillTint="33"/>
          </w:tcPr>
          <w:p w14:paraId="022B2787" w14:textId="77777777" w:rsidR="004B5AEA" w:rsidRDefault="00D70D3E">
            <w:pPr>
              <w:cnfStyle w:val="000000000000" w:firstRow="0" w:lastRow="0" w:firstColumn="0" w:lastColumn="0" w:oddVBand="0" w:evenVBand="0" w:oddHBand="0" w:evenHBand="0" w:firstRowFirstColumn="0" w:firstRowLastColumn="0" w:lastRowFirstColumn="0" w:lastRowLastColumn="0"/>
              <w:rPr>
                <w:lang w:val="en-GB"/>
              </w:rPr>
            </w:pPr>
            <w:r>
              <w:rPr>
                <w:lang w:val="en-GB"/>
              </w:rPr>
              <w:t>Reduced operational expenses but led to layoffs and reduced service quality.</w:t>
            </w:r>
          </w:p>
        </w:tc>
      </w:tr>
      <w:tr w:rsidR="004B5AEA" w14:paraId="1EB3466E" w14:textId="77777777" w:rsidTr="004B5AEA">
        <w:tc>
          <w:tcPr>
            <w:cnfStyle w:val="001000000000" w:firstRow="0" w:lastRow="0" w:firstColumn="1" w:lastColumn="0" w:oddVBand="0" w:evenVBand="0" w:oddHBand="0" w:evenHBand="0" w:firstRowFirstColumn="0" w:firstRowLastColumn="0" w:lastRowFirstColumn="0" w:lastRowLastColumn="0"/>
            <w:tcW w:w="2520" w:type="dxa"/>
          </w:tcPr>
          <w:p w14:paraId="01CFF83A" w14:textId="77777777" w:rsidR="004B5AEA" w:rsidRDefault="00D70D3E">
            <w:pPr>
              <w:rPr>
                <w:b w:val="0"/>
                <w:bCs w:val="0"/>
                <w:lang w:val="en-GB"/>
              </w:rPr>
            </w:pPr>
            <w:r>
              <w:rPr>
                <w:lang w:val="en-GB"/>
              </w:rPr>
              <w:t>Promotional discounts</w:t>
            </w:r>
          </w:p>
        </w:tc>
        <w:tc>
          <w:tcPr>
            <w:tcW w:w="6506" w:type="dxa"/>
          </w:tcPr>
          <w:p w14:paraId="2272870A" w14:textId="77777777" w:rsidR="004B5AEA" w:rsidRDefault="00D70D3E">
            <w:pPr>
              <w:cnfStyle w:val="000000000000" w:firstRow="0" w:lastRow="0" w:firstColumn="0" w:lastColumn="0" w:oddVBand="0" w:evenVBand="0" w:oddHBand="0" w:evenHBand="0" w:firstRowFirstColumn="0" w:firstRowLastColumn="0" w:lastRowFirstColumn="0" w:lastRowLastColumn="0"/>
              <w:rPr>
                <w:lang w:val="en-GB"/>
              </w:rPr>
            </w:pPr>
            <w:r>
              <w:rPr>
                <w:lang w:val="en-GB"/>
              </w:rPr>
              <w:t>Short-term revenue growth but potential brand devaluation</w:t>
            </w:r>
          </w:p>
        </w:tc>
      </w:tr>
      <w:tr w:rsidR="004B5AEA" w14:paraId="25CF1517" w14:textId="77777777" w:rsidTr="004B5AEA">
        <w:tc>
          <w:tcPr>
            <w:cnfStyle w:val="001000000000" w:firstRow="0" w:lastRow="0" w:firstColumn="1" w:lastColumn="0" w:oddVBand="0" w:evenVBand="0" w:oddHBand="0" w:evenHBand="0" w:firstRowFirstColumn="0" w:firstRowLastColumn="0" w:lastRowFirstColumn="0" w:lastRowLastColumn="0"/>
            <w:tcW w:w="2520" w:type="dxa"/>
            <w:shd w:val="clear" w:color="auto" w:fill="DEEAF6" w:themeFill="accent5" w:themeFillTint="33"/>
          </w:tcPr>
          <w:p w14:paraId="5EA1B27D" w14:textId="77777777" w:rsidR="004B5AEA" w:rsidRDefault="00D70D3E">
            <w:pPr>
              <w:rPr>
                <w:b w:val="0"/>
                <w:bCs w:val="0"/>
                <w:lang w:val="en-GB"/>
              </w:rPr>
            </w:pPr>
            <w:r>
              <w:rPr>
                <w:lang w:val="en-GB"/>
              </w:rPr>
              <w:t>Customer loyalty programs</w:t>
            </w:r>
          </w:p>
        </w:tc>
        <w:tc>
          <w:tcPr>
            <w:tcW w:w="6506" w:type="dxa"/>
            <w:shd w:val="clear" w:color="auto" w:fill="DEEAF6" w:themeFill="accent5" w:themeFillTint="33"/>
          </w:tcPr>
          <w:p w14:paraId="7C495F04" w14:textId="77777777" w:rsidR="004B5AEA" w:rsidRDefault="00D70D3E">
            <w:pPr>
              <w:cnfStyle w:val="000000000000" w:firstRow="0" w:lastRow="0" w:firstColumn="0" w:lastColumn="0" w:oddVBand="0" w:evenVBand="0" w:oddHBand="0" w:evenHBand="0" w:firstRowFirstColumn="0" w:firstRowLastColumn="0" w:lastRowFirstColumn="0" w:lastRowLastColumn="0"/>
              <w:rPr>
                <w:lang w:val="en-GB"/>
              </w:rPr>
            </w:pPr>
            <w:r>
              <w:rPr>
                <w:lang w:val="en-GB"/>
              </w:rPr>
              <w:t>Increased guest retention and long-term brand loyalty</w:t>
            </w:r>
          </w:p>
        </w:tc>
      </w:tr>
      <w:tr w:rsidR="004B5AEA" w14:paraId="6F853A2E" w14:textId="77777777" w:rsidTr="004B5AEA">
        <w:tc>
          <w:tcPr>
            <w:cnfStyle w:val="001000000000" w:firstRow="0" w:lastRow="0" w:firstColumn="1" w:lastColumn="0" w:oddVBand="0" w:evenVBand="0" w:oddHBand="0" w:evenHBand="0" w:firstRowFirstColumn="0" w:firstRowLastColumn="0" w:lastRowFirstColumn="0" w:lastRowLastColumn="0"/>
            <w:tcW w:w="2520" w:type="dxa"/>
          </w:tcPr>
          <w:p w14:paraId="1468D7EB" w14:textId="77777777" w:rsidR="004B5AEA" w:rsidRDefault="00D70D3E">
            <w:pPr>
              <w:rPr>
                <w:b w:val="0"/>
                <w:bCs w:val="0"/>
                <w:lang w:val="en-GB"/>
              </w:rPr>
            </w:pPr>
            <w:r>
              <w:rPr>
                <w:lang w:val="en-GB"/>
              </w:rPr>
              <w:t>Digital Marketing</w:t>
            </w:r>
          </w:p>
        </w:tc>
        <w:tc>
          <w:tcPr>
            <w:tcW w:w="6506" w:type="dxa"/>
          </w:tcPr>
          <w:p w14:paraId="15300D91" w14:textId="77777777" w:rsidR="004B5AEA" w:rsidRDefault="00D70D3E">
            <w:pPr>
              <w:cnfStyle w:val="000000000000" w:firstRow="0" w:lastRow="0" w:firstColumn="0" w:lastColumn="0" w:oddVBand="0" w:evenVBand="0" w:oddHBand="0" w:evenHBand="0" w:firstRowFirstColumn="0" w:firstRowLastColumn="0" w:lastRowFirstColumn="0" w:lastRowLastColumn="0"/>
              <w:rPr>
                <w:lang w:val="en-GB"/>
              </w:rPr>
            </w:pPr>
            <w:r>
              <w:rPr>
                <w:lang w:val="en-GB"/>
              </w:rPr>
              <w:t>Expanded online presence and direct bookings</w:t>
            </w:r>
          </w:p>
        </w:tc>
      </w:tr>
    </w:tbl>
    <w:p w14:paraId="6515F3FD" w14:textId="77777777" w:rsidR="004B5AEA" w:rsidRDefault="00D70D3E">
      <w:pPr>
        <w:pStyle w:val="Caption"/>
        <w:rPr>
          <w:lang w:val="en-GB"/>
        </w:rPr>
      </w:pPr>
      <w:r>
        <w:t xml:space="preserve">Table </w:t>
      </w:r>
      <w:r>
        <w:fldChar w:fldCharType="begin"/>
      </w:r>
      <w:r>
        <w:instrText xml:space="preserve"> SEQ Table \* ARABIC </w:instrText>
      </w:r>
      <w:r>
        <w:fldChar w:fldCharType="separate"/>
      </w:r>
      <w:r>
        <w:t>1</w:t>
      </w:r>
      <w:r>
        <w:fldChar w:fldCharType="end"/>
      </w:r>
      <w:r>
        <w:t>: Key Industry Responses to the 2008 Financial Crisis (Source: Lee et al., 2024)</w:t>
      </w:r>
    </w:p>
    <w:p w14:paraId="163E25BA" w14:textId="77777777" w:rsidR="004B5AEA" w:rsidRDefault="00D70D3E">
      <w:pPr>
        <w:pStyle w:val="Heading2"/>
        <w:rPr>
          <w:lang w:val="en-GB"/>
        </w:rPr>
      </w:pPr>
      <w:bookmarkStart w:id="5" w:name="_Toc189926503"/>
      <w:r>
        <w:rPr>
          <w:lang w:val="en-GB"/>
        </w:rPr>
        <w:lastRenderedPageBreak/>
        <w:t>Technological Adaptation during COVID-19 Pandemic and Its Impact on Hospitality</w:t>
      </w:r>
      <w:bookmarkEnd w:id="5"/>
    </w:p>
    <w:p w14:paraId="693A0ADD" w14:textId="77777777" w:rsidR="004B5AEA" w:rsidRDefault="00D70D3E">
      <w:pPr>
        <w:rPr>
          <w:lang w:val="en-GB"/>
        </w:rPr>
      </w:pPr>
      <w:r>
        <w:rPr>
          <w:lang w:val="en-GB"/>
        </w:rPr>
        <w:t xml:space="preserve">During the COVID-19 pandemic, there were massive lockdowns and travel restrictions, and international tourism sharply declined. The reduction of tourism in 2020 dropped by 74%, which is one of the deepest falls in hospitality history as reported by UNWTO (2021). Enhanced sanitation protocols and contactless services were implemented by hotels, as well as financial restructuring to weather the crisis. Medeiros et al. (2022) studied Airbnb and found that Airbnb was more resilient in terms of higher resilience than traditional hotels as they provided remote, self-contained accommodations for travellers where reduced human contact was desired. </w:t>
      </w:r>
    </w:p>
    <w:p w14:paraId="72BFA643" w14:textId="77777777" w:rsidR="004B5AEA" w:rsidRDefault="00D70D3E">
      <w:pPr>
        <w:rPr>
          <w:lang w:val="en-GB"/>
        </w:rPr>
      </w:pPr>
      <w:r>
        <w:rPr>
          <w:lang w:val="en-GB"/>
        </w:rPr>
        <w:t xml:space="preserve">According to Aharon et al., (2021), the role of digital transformation in the recovery of hotels from crises has been played by digital transformation. Among them, contactless check-ins, artificial intelligence-driven customer service, and data analytics have enhanced operational efficiency and guest experience that is illustrated by El-Said et al., (2024). </w:t>
      </w:r>
    </w:p>
    <w:p w14:paraId="3D5A3A59" w14:textId="77777777" w:rsidR="004B5AEA" w:rsidRDefault="00D70D3E">
      <w:pPr>
        <w:pStyle w:val="Heading2"/>
        <w:rPr>
          <w:lang w:val="en-GB"/>
        </w:rPr>
      </w:pPr>
      <w:bookmarkStart w:id="6" w:name="_Toc189926504"/>
      <w:r>
        <w:rPr>
          <w:lang w:val="en-GB"/>
        </w:rPr>
        <w:t>The Role of Government Policies and Economic Stimulus</w:t>
      </w:r>
      <w:bookmarkEnd w:id="6"/>
    </w:p>
    <w:p w14:paraId="497D3249" w14:textId="77777777" w:rsidR="004B5AEA" w:rsidRDefault="00D70D3E">
      <w:pPr>
        <w:rPr>
          <w:lang w:val="en-GB"/>
        </w:rPr>
      </w:pPr>
      <w:r>
        <w:rPr>
          <w:lang w:val="en-GB"/>
        </w:rPr>
        <w:t>Through various crises, government interventions have helped the hospitality sector. According to Aharon et al., (2021), to keep from having mass layoffs and business closures, many countries have already implemented stimulus packages, tax relief, and wage support programs. At the same time, Chapman et al. (2021) argue that there were more hotel bankruptcies in regions with insufficient government support.</w:t>
      </w:r>
    </w:p>
    <w:tbl>
      <w:tblPr>
        <w:tblStyle w:val="GridTable2-Accent51"/>
        <w:tblW w:w="9092" w:type="dxa"/>
        <w:tblLook w:val="04A0" w:firstRow="1" w:lastRow="0" w:firstColumn="1" w:lastColumn="0" w:noHBand="0" w:noVBand="1"/>
      </w:tblPr>
      <w:tblGrid>
        <w:gridCol w:w="1717"/>
        <w:gridCol w:w="3997"/>
        <w:gridCol w:w="3378"/>
      </w:tblGrid>
      <w:tr w:rsidR="004B5AEA" w14:paraId="0384AE66" w14:textId="77777777" w:rsidTr="004B5AEA">
        <w:trPr>
          <w:cnfStyle w:val="100000000000" w:firstRow="1" w:lastRow="0" w:firstColumn="0" w:lastColumn="0" w:oddVBand="0" w:evenVBand="0" w:oddHBand="0" w:evenHBand="0" w:firstRowFirstColumn="0" w:firstRowLastColumn="0" w:lastRowFirstColumn="0" w:lastRowLastColumn="0"/>
          <w:trHeight w:val="655"/>
        </w:trPr>
        <w:tc>
          <w:tcPr>
            <w:cnfStyle w:val="001000000000" w:firstRow="0" w:lastRow="0" w:firstColumn="1" w:lastColumn="0" w:oddVBand="0" w:evenVBand="0" w:oddHBand="0" w:evenHBand="0" w:firstRowFirstColumn="0" w:firstRowLastColumn="0" w:lastRowFirstColumn="0" w:lastRowLastColumn="0"/>
            <w:tcW w:w="0" w:type="auto"/>
          </w:tcPr>
          <w:p w14:paraId="62FEFF12" w14:textId="77777777" w:rsidR="004B5AEA" w:rsidRDefault="00D70D3E">
            <w:pPr>
              <w:rPr>
                <w:b w:val="0"/>
                <w:bCs w:val="0"/>
                <w:lang w:val="en-GB"/>
              </w:rPr>
            </w:pPr>
            <w:r>
              <w:rPr>
                <w:lang w:val="en-GB"/>
              </w:rPr>
              <w:t>Country</w:t>
            </w:r>
          </w:p>
        </w:tc>
        <w:tc>
          <w:tcPr>
            <w:tcW w:w="0" w:type="auto"/>
          </w:tcPr>
          <w:p w14:paraId="6B8C4C99" w14:textId="77777777" w:rsidR="004B5AEA" w:rsidRDefault="00D70D3E">
            <w:pPr>
              <w:cnfStyle w:val="100000000000" w:firstRow="1" w:lastRow="0" w:firstColumn="0" w:lastColumn="0" w:oddVBand="0" w:evenVBand="0" w:oddHBand="0" w:evenHBand="0" w:firstRowFirstColumn="0" w:firstRowLastColumn="0" w:lastRowFirstColumn="0" w:lastRowLastColumn="0"/>
              <w:rPr>
                <w:b w:val="0"/>
                <w:bCs w:val="0"/>
                <w:lang w:val="en-GB"/>
              </w:rPr>
            </w:pPr>
            <w:r>
              <w:rPr>
                <w:lang w:val="en-GB"/>
              </w:rPr>
              <w:t>Support Measures</w:t>
            </w:r>
          </w:p>
        </w:tc>
        <w:tc>
          <w:tcPr>
            <w:tcW w:w="0" w:type="auto"/>
          </w:tcPr>
          <w:p w14:paraId="00637B7A" w14:textId="77777777" w:rsidR="004B5AEA" w:rsidRDefault="00D70D3E">
            <w:pPr>
              <w:cnfStyle w:val="100000000000" w:firstRow="1" w:lastRow="0" w:firstColumn="0" w:lastColumn="0" w:oddVBand="0" w:evenVBand="0" w:oddHBand="0" w:evenHBand="0" w:firstRowFirstColumn="0" w:firstRowLastColumn="0" w:lastRowFirstColumn="0" w:lastRowLastColumn="0"/>
              <w:rPr>
                <w:b w:val="0"/>
                <w:bCs w:val="0"/>
                <w:lang w:val="en-GB"/>
              </w:rPr>
            </w:pPr>
            <w:r>
              <w:rPr>
                <w:lang w:val="en-GB"/>
              </w:rPr>
              <w:t>Effectiveness</w:t>
            </w:r>
          </w:p>
        </w:tc>
      </w:tr>
      <w:tr w:rsidR="004B5AEA" w14:paraId="1E263E1F" w14:textId="77777777" w:rsidTr="004B5AEA">
        <w:trPr>
          <w:trHeight w:val="637"/>
        </w:trPr>
        <w:tc>
          <w:tcPr>
            <w:cnfStyle w:val="001000000000" w:firstRow="0" w:lastRow="0" w:firstColumn="1" w:lastColumn="0" w:oddVBand="0" w:evenVBand="0" w:oddHBand="0" w:evenHBand="0" w:firstRowFirstColumn="0" w:firstRowLastColumn="0" w:lastRowFirstColumn="0" w:lastRowLastColumn="0"/>
            <w:tcW w:w="0" w:type="auto"/>
            <w:shd w:val="clear" w:color="auto" w:fill="DEEAF6" w:themeFill="accent5" w:themeFillTint="33"/>
          </w:tcPr>
          <w:p w14:paraId="14231F94" w14:textId="77777777" w:rsidR="004B5AEA" w:rsidRDefault="00D70D3E">
            <w:pPr>
              <w:rPr>
                <w:b w:val="0"/>
                <w:bCs w:val="0"/>
                <w:lang w:val="en-GB"/>
              </w:rPr>
            </w:pPr>
            <w:r>
              <w:rPr>
                <w:lang w:val="en-GB"/>
              </w:rPr>
              <w:t>United States</w:t>
            </w:r>
          </w:p>
        </w:tc>
        <w:tc>
          <w:tcPr>
            <w:tcW w:w="0" w:type="auto"/>
            <w:shd w:val="clear" w:color="auto" w:fill="DEEAF6" w:themeFill="accent5" w:themeFillTint="33"/>
          </w:tcPr>
          <w:p w14:paraId="227F2C2C" w14:textId="77777777" w:rsidR="004B5AEA" w:rsidRDefault="00D70D3E">
            <w:pPr>
              <w:cnfStyle w:val="000000000000" w:firstRow="0" w:lastRow="0" w:firstColumn="0" w:lastColumn="0" w:oddVBand="0" w:evenVBand="0" w:oddHBand="0" w:evenHBand="0" w:firstRowFirstColumn="0" w:firstRowLastColumn="0" w:lastRowFirstColumn="0" w:lastRowLastColumn="0"/>
              <w:rPr>
                <w:lang w:val="en-GB"/>
              </w:rPr>
            </w:pPr>
            <w:r>
              <w:rPr>
                <w:lang w:val="en-GB"/>
              </w:rPr>
              <w:t>Payroll Protection Program (PPP)</w:t>
            </w:r>
          </w:p>
        </w:tc>
        <w:tc>
          <w:tcPr>
            <w:tcW w:w="0" w:type="auto"/>
            <w:shd w:val="clear" w:color="auto" w:fill="DEEAF6" w:themeFill="accent5" w:themeFillTint="33"/>
          </w:tcPr>
          <w:p w14:paraId="03CE5883" w14:textId="77777777" w:rsidR="004B5AEA" w:rsidRDefault="00D70D3E">
            <w:pPr>
              <w:cnfStyle w:val="000000000000" w:firstRow="0" w:lastRow="0" w:firstColumn="0" w:lastColumn="0" w:oddVBand="0" w:evenVBand="0" w:oddHBand="0" w:evenHBand="0" w:firstRowFirstColumn="0" w:firstRowLastColumn="0" w:lastRowFirstColumn="0" w:lastRowLastColumn="0"/>
              <w:rPr>
                <w:lang w:val="en-GB"/>
              </w:rPr>
            </w:pPr>
            <w:r>
              <w:rPr>
                <w:lang w:val="en-GB"/>
              </w:rPr>
              <w:t>Prevented large-scale layoffs</w:t>
            </w:r>
          </w:p>
        </w:tc>
      </w:tr>
      <w:tr w:rsidR="004B5AEA" w14:paraId="3EE1CA87" w14:textId="77777777" w:rsidTr="004B5AEA">
        <w:trPr>
          <w:trHeight w:val="655"/>
        </w:trPr>
        <w:tc>
          <w:tcPr>
            <w:cnfStyle w:val="001000000000" w:firstRow="0" w:lastRow="0" w:firstColumn="1" w:lastColumn="0" w:oddVBand="0" w:evenVBand="0" w:oddHBand="0" w:evenHBand="0" w:firstRowFirstColumn="0" w:firstRowLastColumn="0" w:lastRowFirstColumn="0" w:lastRowLastColumn="0"/>
            <w:tcW w:w="0" w:type="auto"/>
          </w:tcPr>
          <w:p w14:paraId="3C29E0A6" w14:textId="77777777" w:rsidR="004B5AEA" w:rsidRDefault="00D70D3E">
            <w:pPr>
              <w:rPr>
                <w:b w:val="0"/>
                <w:bCs w:val="0"/>
                <w:lang w:val="en-GB"/>
              </w:rPr>
            </w:pPr>
            <w:r>
              <w:rPr>
                <w:lang w:val="en-GB"/>
              </w:rPr>
              <w:t>UK</w:t>
            </w:r>
          </w:p>
        </w:tc>
        <w:tc>
          <w:tcPr>
            <w:tcW w:w="0" w:type="auto"/>
          </w:tcPr>
          <w:p w14:paraId="2D9C1709" w14:textId="77777777" w:rsidR="004B5AEA" w:rsidRDefault="00D70D3E">
            <w:pPr>
              <w:cnfStyle w:val="000000000000" w:firstRow="0" w:lastRow="0" w:firstColumn="0" w:lastColumn="0" w:oddVBand="0" w:evenVBand="0" w:oddHBand="0" w:evenHBand="0" w:firstRowFirstColumn="0" w:firstRowLastColumn="0" w:lastRowFirstColumn="0" w:lastRowLastColumn="0"/>
              <w:rPr>
                <w:lang w:val="en-GB"/>
              </w:rPr>
            </w:pPr>
            <w:r>
              <w:rPr>
                <w:lang w:val="en-GB"/>
              </w:rPr>
              <w:t>VAT reduction and furlough scheme</w:t>
            </w:r>
          </w:p>
        </w:tc>
        <w:tc>
          <w:tcPr>
            <w:tcW w:w="0" w:type="auto"/>
          </w:tcPr>
          <w:p w14:paraId="582C8471" w14:textId="77777777" w:rsidR="004B5AEA" w:rsidRDefault="00D70D3E">
            <w:pPr>
              <w:cnfStyle w:val="000000000000" w:firstRow="0" w:lastRow="0" w:firstColumn="0" w:lastColumn="0" w:oddVBand="0" w:evenVBand="0" w:oddHBand="0" w:evenHBand="0" w:firstRowFirstColumn="0" w:firstRowLastColumn="0" w:lastRowFirstColumn="0" w:lastRowLastColumn="0"/>
              <w:rPr>
                <w:lang w:val="en-GB"/>
              </w:rPr>
            </w:pPr>
            <w:r>
              <w:rPr>
                <w:lang w:val="en-GB"/>
              </w:rPr>
              <w:t>Enabled industry recovery</w:t>
            </w:r>
          </w:p>
        </w:tc>
      </w:tr>
      <w:tr w:rsidR="004B5AEA" w14:paraId="6E7B3DDD" w14:textId="77777777" w:rsidTr="004B5AEA">
        <w:trPr>
          <w:trHeight w:val="655"/>
        </w:trPr>
        <w:tc>
          <w:tcPr>
            <w:cnfStyle w:val="001000000000" w:firstRow="0" w:lastRow="0" w:firstColumn="1" w:lastColumn="0" w:oddVBand="0" w:evenVBand="0" w:oddHBand="0" w:evenHBand="0" w:firstRowFirstColumn="0" w:firstRowLastColumn="0" w:lastRowFirstColumn="0" w:lastRowLastColumn="0"/>
            <w:tcW w:w="0" w:type="auto"/>
            <w:shd w:val="clear" w:color="auto" w:fill="DEEAF6" w:themeFill="accent5" w:themeFillTint="33"/>
          </w:tcPr>
          <w:p w14:paraId="772370F6" w14:textId="77777777" w:rsidR="004B5AEA" w:rsidRDefault="00D70D3E">
            <w:pPr>
              <w:rPr>
                <w:b w:val="0"/>
                <w:bCs w:val="0"/>
                <w:lang w:val="en-GB"/>
              </w:rPr>
            </w:pPr>
            <w:r>
              <w:rPr>
                <w:lang w:val="en-GB"/>
              </w:rPr>
              <w:t>Australia</w:t>
            </w:r>
          </w:p>
        </w:tc>
        <w:tc>
          <w:tcPr>
            <w:tcW w:w="0" w:type="auto"/>
            <w:shd w:val="clear" w:color="auto" w:fill="DEEAF6" w:themeFill="accent5" w:themeFillTint="33"/>
          </w:tcPr>
          <w:p w14:paraId="25B177FE" w14:textId="77777777" w:rsidR="004B5AEA" w:rsidRDefault="00D70D3E">
            <w:pPr>
              <w:cnfStyle w:val="000000000000" w:firstRow="0" w:lastRow="0" w:firstColumn="0" w:lastColumn="0" w:oddVBand="0" w:evenVBand="0" w:oddHBand="0" w:evenHBand="0" w:firstRowFirstColumn="0" w:firstRowLastColumn="0" w:lastRowFirstColumn="0" w:lastRowLastColumn="0"/>
              <w:rPr>
                <w:lang w:val="en-GB"/>
              </w:rPr>
            </w:pPr>
            <w:r>
              <w:rPr>
                <w:lang w:val="en-GB"/>
              </w:rPr>
              <w:t>Tourism Recovery Fund</w:t>
            </w:r>
          </w:p>
        </w:tc>
        <w:tc>
          <w:tcPr>
            <w:tcW w:w="0" w:type="auto"/>
            <w:shd w:val="clear" w:color="auto" w:fill="DEEAF6" w:themeFill="accent5" w:themeFillTint="33"/>
          </w:tcPr>
          <w:p w14:paraId="24551109" w14:textId="77777777" w:rsidR="004B5AEA" w:rsidRDefault="00D70D3E">
            <w:pPr>
              <w:cnfStyle w:val="000000000000" w:firstRow="0" w:lastRow="0" w:firstColumn="0" w:lastColumn="0" w:oddVBand="0" w:evenVBand="0" w:oddHBand="0" w:evenHBand="0" w:firstRowFirstColumn="0" w:firstRowLastColumn="0" w:lastRowFirstColumn="0" w:lastRowLastColumn="0"/>
              <w:rPr>
                <w:lang w:val="en-GB"/>
              </w:rPr>
            </w:pPr>
            <w:r>
              <w:rPr>
                <w:lang w:val="en-GB"/>
              </w:rPr>
              <w:t>Boosted domestic tourism</w:t>
            </w:r>
          </w:p>
        </w:tc>
      </w:tr>
      <w:tr w:rsidR="004B5AEA" w14:paraId="415EFBD1" w14:textId="77777777" w:rsidTr="004B5AEA">
        <w:trPr>
          <w:trHeight w:val="673"/>
        </w:trPr>
        <w:tc>
          <w:tcPr>
            <w:cnfStyle w:val="001000000000" w:firstRow="0" w:lastRow="0" w:firstColumn="1" w:lastColumn="0" w:oddVBand="0" w:evenVBand="0" w:oddHBand="0" w:evenHBand="0" w:firstRowFirstColumn="0" w:firstRowLastColumn="0" w:lastRowFirstColumn="0" w:lastRowLastColumn="0"/>
            <w:tcW w:w="0" w:type="auto"/>
          </w:tcPr>
          <w:p w14:paraId="09013EF3" w14:textId="77777777" w:rsidR="004B5AEA" w:rsidRDefault="00D70D3E">
            <w:pPr>
              <w:rPr>
                <w:b w:val="0"/>
                <w:bCs w:val="0"/>
                <w:lang w:val="en-GB"/>
              </w:rPr>
            </w:pPr>
            <w:r>
              <w:rPr>
                <w:lang w:val="en-GB"/>
              </w:rPr>
              <w:t>India</w:t>
            </w:r>
          </w:p>
        </w:tc>
        <w:tc>
          <w:tcPr>
            <w:tcW w:w="0" w:type="auto"/>
          </w:tcPr>
          <w:p w14:paraId="0FD8A6E7" w14:textId="77777777" w:rsidR="004B5AEA" w:rsidRDefault="00D70D3E">
            <w:pPr>
              <w:cnfStyle w:val="000000000000" w:firstRow="0" w:lastRow="0" w:firstColumn="0" w:lastColumn="0" w:oddVBand="0" w:evenVBand="0" w:oddHBand="0" w:evenHBand="0" w:firstRowFirstColumn="0" w:firstRowLastColumn="0" w:lastRowFirstColumn="0" w:lastRowLastColumn="0"/>
              <w:rPr>
                <w:lang w:val="en-GB"/>
              </w:rPr>
            </w:pPr>
            <w:r>
              <w:rPr>
                <w:lang w:val="en-GB"/>
              </w:rPr>
              <w:t>Minimal direct aid</w:t>
            </w:r>
          </w:p>
        </w:tc>
        <w:tc>
          <w:tcPr>
            <w:tcW w:w="0" w:type="auto"/>
          </w:tcPr>
          <w:p w14:paraId="0587AF5B" w14:textId="77777777" w:rsidR="004B5AEA" w:rsidRDefault="00D70D3E">
            <w:pPr>
              <w:cnfStyle w:val="000000000000" w:firstRow="0" w:lastRow="0" w:firstColumn="0" w:lastColumn="0" w:oddVBand="0" w:evenVBand="0" w:oddHBand="0" w:evenHBand="0" w:firstRowFirstColumn="0" w:firstRowLastColumn="0" w:lastRowFirstColumn="0" w:lastRowLastColumn="0"/>
              <w:rPr>
                <w:lang w:val="en-GB"/>
              </w:rPr>
            </w:pPr>
            <w:r>
              <w:rPr>
                <w:lang w:val="en-GB"/>
              </w:rPr>
              <w:t>This led to high hotel closures</w:t>
            </w:r>
          </w:p>
        </w:tc>
      </w:tr>
    </w:tbl>
    <w:p w14:paraId="73EF5EE2" w14:textId="77777777" w:rsidR="004B5AEA" w:rsidRDefault="00D70D3E">
      <w:pPr>
        <w:pStyle w:val="Caption"/>
        <w:rPr>
          <w:lang w:val="en-GB"/>
        </w:rPr>
      </w:pPr>
      <w:r>
        <w:t xml:space="preserve">Table </w:t>
      </w:r>
      <w:r>
        <w:fldChar w:fldCharType="begin"/>
      </w:r>
      <w:r>
        <w:instrText xml:space="preserve"> SEQ Table \* ARABIC </w:instrText>
      </w:r>
      <w:r>
        <w:fldChar w:fldCharType="separate"/>
      </w:r>
      <w:r>
        <w:t>2</w:t>
      </w:r>
      <w:r>
        <w:fldChar w:fldCharType="end"/>
      </w:r>
      <w:r>
        <w:t>: Government Support Measures for the Hospitality Sector During COVID-19 (Source: Aharon et al., 2021)</w:t>
      </w:r>
    </w:p>
    <w:p w14:paraId="4117FBC3" w14:textId="77777777" w:rsidR="004B5AEA" w:rsidRDefault="00D70D3E">
      <w:pPr>
        <w:pStyle w:val="Heading2"/>
        <w:rPr>
          <w:lang w:val="en-GB"/>
        </w:rPr>
      </w:pPr>
      <w:bookmarkStart w:id="7" w:name="_Toc189926505"/>
      <w:r>
        <w:rPr>
          <w:lang w:val="en-GB"/>
        </w:rPr>
        <w:lastRenderedPageBreak/>
        <w:t>Industry Response to Natural Disasters</w:t>
      </w:r>
      <w:bookmarkEnd w:id="7"/>
    </w:p>
    <w:p w14:paraId="502244D3" w14:textId="3FDFD666" w:rsidR="004B5AEA" w:rsidRDefault="00D70D3E">
      <w:pPr>
        <w:rPr>
          <w:lang w:val="en-GB"/>
        </w:rPr>
      </w:pPr>
      <w:r>
        <w:rPr>
          <w:lang w:val="en-GB"/>
        </w:rPr>
        <w:t xml:space="preserve">Earthquakes, hurricanes, and wildfires create the biggest obstacles for the hospitality industry. Due to the recent California wildfires, they are forced to temporarily close hotels which temporarily disrupts tourism activity and leads to great financial losses according to Dawson et al., (2012). The National Interagency Fire </w:t>
      </w:r>
      <w:r w:rsidR="003201BE">
        <w:rPr>
          <w:lang w:val="en-GB"/>
        </w:rPr>
        <w:t>Centre</w:t>
      </w:r>
      <w:r>
        <w:rPr>
          <w:lang w:val="en-GB"/>
        </w:rPr>
        <w:t xml:space="preserve"> (NIFC) said that the wildfires have damaged several regions that are dependent on </w:t>
      </w:r>
      <w:proofErr w:type="gramStart"/>
      <w:r>
        <w:rPr>
          <w:lang w:val="en-GB"/>
        </w:rPr>
        <w:t>tourism</w:t>
      </w:r>
      <w:proofErr w:type="gramEnd"/>
      <w:r>
        <w:rPr>
          <w:lang w:val="en-GB"/>
        </w:rPr>
        <w:t xml:space="preserve"> and they needed an emergency response.</w:t>
      </w:r>
    </w:p>
    <w:p w14:paraId="4DB73C73" w14:textId="77777777" w:rsidR="004B5AEA" w:rsidRDefault="00D70D3E">
      <w:pPr>
        <w:rPr>
          <w:lang w:val="en-GB"/>
        </w:rPr>
      </w:pPr>
      <w:r>
        <w:rPr>
          <w:lang w:val="en-GB"/>
        </w:rPr>
        <w:t>According to a case study by Chapman et al. (2021) on disaster management in tourism, hotels based in disaster-prone areas became best placed to take up advanced disaster preparedness strategies such as insurance coverage, emergency evacuation plans, crisis communication protocols etc.</w:t>
      </w:r>
    </w:p>
    <w:p w14:paraId="0996F3E7" w14:textId="77777777" w:rsidR="004B5AEA" w:rsidRDefault="00D70D3E">
      <w:pPr>
        <w:pStyle w:val="Heading2"/>
        <w:rPr>
          <w:lang w:val="en-GB"/>
        </w:rPr>
      </w:pPr>
      <w:bookmarkStart w:id="8" w:name="_Toc189926506"/>
      <w:r>
        <w:rPr>
          <w:lang w:val="en-GB"/>
        </w:rPr>
        <w:t>Consumer Behaviour Shifts and Long-term Adaptation</w:t>
      </w:r>
      <w:bookmarkEnd w:id="8"/>
    </w:p>
    <w:p w14:paraId="7F179C83" w14:textId="77777777" w:rsidR="004B5AEA" w:rsidRDefault="00D70D3E">
      <w:pPr>
        <w:rPr>
          <w:lang w:val="en-GB"/>
        </w:rPr>
      </w:pPr>
      <w:r>
        <w:rPr>
          <w:lang w:val="en-GB"/>
        </w:rPr>
        <w:t>Repeated crises have caused a huge shift in consumer behaviour in hospitality. More and more travellers care about health and safety measures, flexible booking policies, and eco-friendly travel as demonstrated by Yeon et al., (2021). However, many hotels have taken eco-friendly measures, extended outdoor dining spaces and are providing flexible cancellation policies.</w:t>
      </w:r>
    </w:p>
    <w:tbl>
      <w:tblPr>
        <w:tblStyle w:val="GridTable2-Accent51"/>
        <w:tblW w:w="8835" w:type="dxa"/>
        <w:tblLook w:val="04A0" w:firstRow="1" w:lastRow="0" w:firstColumn="1" w:lastColumn="0" w:noHBand="0" w:noVBand="1"/>
      </w:tblPr>
      <w:tblGrid>
        <w:gridCol w:w="2873"/>
        <w:gridCol w:w="5962"/>
      </w:tblGrid>
      <w:tr w:rsidR="004B5AEA" w14:paraId="4D593898" w14:textId="77777777" w:rsidTr="004B5AEA">
        <w:trPr>
          <w:cnfStyle w:val="100000000000" w:firstRow="1" w:lastRow="0" w:firstColumn="0" w:lastColumn="0" w:oddVBand="0" w:evenVBand="0" w:oddHBand="0" w:evenHBand="0" w:firstRowFirstColumn="0" w:firstRowLastColumn="0" w:lastRowFirstColumn="0" w:lastRowLastColumn="0"/>
          <w:trHeight w:val="683"/>
        </w:trPr>
        <w:tc>
          <w:tcPr>
            <w:cnfStyle w:val="001000000000" w:firstRow="0" w:lastRow="0" w:firstColumn="1" w:lastColumn="0" w:oddVBand="0" w:evenVBand="0" w:oddHBand="0" w:evenHBand="0" w:firstRowFirstColumn="0" w:firstRowLastColumn="0" w:lastRowFirstColumn="0" w:lastRowLastColumn="0"/>
            <w:tcW w:w="0" w:type="auto"/>
          </w:tcPr>
          <w:p w14:paraId="47DC4540" w14:textId="77777777" w:rsidR="004B5AEA" w:rsidRDefault="00D70D3E">
            <w:pPr>
              <w:rPr>
                <w:b w:val="0"/>
                <w:bCs w:val="0"/>
                <w:lang w:val="en-GB"/>
              </w:rPr>
            </w:pPr>
            <w:r>
              <w:rPr>
                <w:lang w:val="en-GB"/>
              </w:rPr>
              <w:t>Consumer Preference</w:t>
            </w:r>
          </w:p>
        </w:tc>
        <w:tc>
          <w:tcPr>
            <w:tcW w:w="0" w:type="auto"/>
          </w:tcPr>
          <w:p w14:paraId="6859853C" w14:textId="77777777" w:rsidR="004B5AEA" w:rsidRDefault="00D70D3E">
            <w:pPr>
              <w:cnfStyle w:val="100000000000" w:firstRow="1" w:lastRow="0" w:firstColumn="0" w:lastColumn="0" w:oddVBand="0" w:evenVBand="0" w:oddHBand="0" w:evenHBand="0" w:firstRowFirstColumn="0" w:firstRowLastColumn="0" w:lastRowFirstColumn="0" w:lastRowLastColumn="0"/>
              <w:rPr>
                <w:b w:val="0"/>
                <w:bCs w:val="0"/>
                <w:lang w:val="en-GB"/>
              </w:rPr>
            </w:pPr>
            <w:r>
              <w:rPr>
                <w:lang w:val="en-GB"/>
              </w:rPr>
              <w:t>Industry Adaptation</w:t>
            </w:r>
          </w:p>
        </w:tc>
      </w:tr>
      <w:tr w:rsidR="004B5AEA" w14:paraId="61821A1F" w14:textId="77777777" w:rsidTr="004B5AEA">
        <w:trPr>
          <w:trHeight w:val="664"/>
        </w:trPr>
        <w:tc>
          <w:tcPr>
            <w:cnfStyle w:val="001000000000" w:firstRow="0" w:lastRow="0" w:firstColumn="1" w:lastColumn="0" w:oddVBand="0" w:evenVBand="0" w:oddHBand="0" w:evenHBand="0" w:firstRowFirstColumn="0" w:firstRowLastColumn="0" w:lastRowFirstColumn="0" w:lastRowLastColumn="0"/>
            <w:tcW w:w="0" w:type="auto"/>
            <w:shd w:val="clear" w:color="auto" w:fill="DEEAF6" w:themeFill="accent5" w:themeFillTint="33"/>
          </w:tcPr>
          <w:p w14:paraId="72DD0B56" w14:textId="77777777" w:rsidR="004B5AEA" w:rsidRDefault="00D70D3E">
            <w:pPr>
              <w:rPr>
                <w:b w:val="0"/>
                <w:bCs w:val="0"/>
                <w:lang w:val="en-GB"/>
              </w:rPr>
            </w:pPr>
            <w:r>
              <w:rPr>
                <w:lang w:val="en-GB"/>
              </w:rPr>
              <w:t>Health and hygiene focus</w:t>
            </w:r>
          </w:p>
        </w:tc>
        <w:tc>
          <w:tcPr>
            <w:tcW w:w="0" w:type="auto"/>
            <w:shd w:val="clear" w:color="auto" w:fill="DEEAF6" w:themeFill="accent5" w:themeFillTint="33"/>
          </w:tcPr>
          <w:p w14:paraId="2508E691" w14:textId="77777777" w:rsidR="004B5AEA" w:rsidRDefault="00D70D3E">
            <w:pPr>
              <w:cnfStyle w:val="000000000000" w:firstRow="0" w:lastRow="0" w:firstColumn="0" w:lastColumn="0" w:oddVBand="0" w:evenVBand="0" w:oddHBand="0" w:evenHBand="0" w:firstRowFirstColumn="0" w:firstRowLastColumn="0" w:lastRowFirstColumn="0" w:lastRowLastColumn="0"/>
              <w:rPr>
                <w:lang w:val="en-GB"/>
              </w:rPr>
            </w:pPr>
            <w:r>
              <w:rPr>
                <w:lang w:val="en-GB"/>
              </w:rPr>
              <w:t>Enhanced sanitation and touchless check-ins</w:t>
            </w:r>
          </w:p>
        </w:tc>
      </w:tr>
      <w:tr w:rsidR="004B5AEA" w14:paraId="1A17F179" w14:textId="77777777" w:rsidTr="004B5AEA">
        <w:trPr>
          <w:trHeight w:val="683"/>
        </w:trPr>
        <w:tc>
          <w:tcPr>
            <w:cnfStyle w:val="001000000000" w:firstRow="0" w:lastRow="0" w:firstColumn="1" w:lastColumn="0" w:oddVBand="0" w:evenVBand="0" w:oddHBand="0" w:evenHBand="0" w:firstRowFirstColumn="0" w:firstRowLastColumn="0" w:lastRowFirstColumn="0" w:lastRowLastColumn="0"/>
            <w:tcW w:w="0" w:type="auto"/>
          </w:tcPr>
          <w:p w14:paraId="5731021C" w14:textId="77777777" w:rsidR="004B5AEA" w:rsidRDefault="00D70D3E">
            <w:pPr>
              <w:rPr>
                <w:b w:val="0"/>
                <w:bCs w:val="0"/>
                <w:lang w:val="en-GB"/>
              </w:rPr>
            </w:pPr>
            <w:r>
              <w:rPr>
                <w:lang w:val="en-GB"/>
              </w:rPr>
              <w:t>Flexibility in travel</w:t>
            </w:r>
          </w:p>
        </w:tc>
        <w:tc>
          <w:tcPr>
            <w:tcW w:w="0" w:type="auto"/>
          </w:tcPr>
          <w:p w14:paraId="0E2AC6C3" w14:textId="77777777" w:rsidR="004B5AEA" w:rsidRDefault="00D70D3E">
            <w:pPr>
              <w:cnfStyle w:val="000000000000" w:firstRow="0" w:lastRow="0" w:firstColumn="0" w:lastColumn="0" w:oddVBand="0" w:evenVBand="0" w:oddHBand="0" w:evenHBand="0" w:firstRowFirstColumn="0" w:firstRowLastColumn="0" w:lastRowFirstColumn="0" w:lastRowLastColumn="0"/>
              <w:rPr>
                <w:lang w:val="en-GB"/>
              </w:rPr>
            </w:pPr>
            <w:r>
              <w:rPr>
                <w:lang w:val="en-GB"/>
              </w:rPr>
              <w:t>Refundable bookings and travel insurance options</w:t>
            </w:r>
          </w:p>
        </w:tc>
      </w:tr>
      <w:tr w:rsidR="004B5AEA" w14:paraId="331395D7" w14:textId="77777777" w:rsidTr="004B5AEA">
        <w:trPr>
          <w:trHeight w:val="702"/>
        </w:trPr>
        <w:tc>
          <w:tcPr>
            <w:cnfStyle w:val="001000000000" w:firstRow="0" w:lastRow="0" w:firstColumn="1" w:lastColumn="0" w:oddVBand="0" w:evenVBand="0" w:oddHBand="0" w:evenHBand="0" w:firstRowFirstColumn="0" w:firstRowLastColumn="0" w:lastRowFirstColumn="0" w:lastRowLastColumn="0"/>
            <w:tcW w:w="0" w:type="auto"/>
            <w:shd w:val="clear" w:color="auto" w:fill="DEEAF6" w:themeFill="accent5" w:themeFillTint="33"/>
          </w:tcPr>
          <w:p w14:paraId="23975F23" w14:textId="77777777" w:rsidR="004B5AEA" w:rsidRDefault="00D70D3E">
            <w:pPr>
              <w:rPr>
                <w:b w:val="0"/>
                <w:bCs w:val="0"/>
                <w:lang w:val="en-GB"/>
              </w:rPr>
            </w:pPr>
            <w:r>
              <w:rPr>
                <w:lang w:val="en-GB"/>
              </w:rPr>
              <w:t>Sustainable tourism</w:t>
            </w:r>
          </w:p>
        </w:tc>
        <w:tc>
          <w:tcPr>
            <w:tcW w:w="0" w:type="auto"/>
            <w:shd w:val="clear" w:color="auto" w:fill="DEEAF6" w:themeFill="accent5" w:themeFillTint="33"/>
          </w:tcPr>
          <w:p w14:paraId="012993B1" w14:textId="77777777" w:rsidR="004B5AEA" w:rsidRDefault="00D70D3E">
            <w:pPr>
              <w:cnfStyle w:val="000000000000" w:firstRow="0" w:lastRow="0" w:firstColumn="0" w:lastColumn="0" w:oddVBand="0" w:evenVBand="0" w:oddHBand="0" w:evenHBand="0" w:firstRowFirstColumn="0" w:firstRowLastColumn="0" w:lastRowFirstColumn="0" w:lastRowLastColumn="0"/>
              <w:rPr>
                <w:lang w:val="en-GB"/>
              </w:rPr>
            </w:pPr>
            <w:r>
              <w:rPr>
                <w:lang w:val="en-GB"/>
              </w:rPr>
              <w:t>Eco-friendly accommodations and carbon offset programs</w:t>
            </w:r>
          </w:p>
        </w:tc>
      </w:tr>
    </w:tbl>
    <w:p w14:paraId="116816DA" w14:textId="77777777" w:rsidR="004B5AEA" w:rsidRDefault="00D70D3E">
      <w:pPr>
        <w:pStyle w:val="Caption"/>
        <w:rPr>
          <w:lang w:val="en-GB"/>
        </w:rPr>
      </w:pPr>
      <w:r>
        <w:t xml:space="preserve">Table </w:t>
      </w:r>
      <w:r>
        <w:fldChar w:fldCharType="begin"/>
      </w:r>
      <w:r>
        <w:instrText xml:space="preserve"> SEQ Table \* ARABIC </w:instrText>
      </w:r>
      <w:r>
        <w:fldChar w:fldCharType="separate"/>
      </w:r>
      <w:r>
        <w:t>3</w:t>
      </w:r>
      <w:r>
        <w:fldChar w:fldCharType="end"/>
      </w:r>
      <w:r>
        <w:t>: Consumer Behaviour Shifts Post-COVID-19 (Source: Yeon et al., 2021)</w:t>
      </w:r>
    </w:p>
    <w:p w14:paraId="61415B95" w14:textId="77777777" w:rsidR="004B5AEA" w:rsidRDefault="00D70D3E">
      <w:pPr>
        <w:spacing w:line="259" w:lineRule="auto"/>
        <w:jc w:val="left"/>
        <w:rPr>
          <w:rFonts w:eastAsiaTheme="majorEastAsia" w:cstheme="majorBidi"/>
          <w:b/>
          <w:color w:val="7030A0"/>
          <w:sz w:val="32"/>
          <w:szCs w:val="32"/>
          <w:lang w:val="en-GB"/>
        </w:rPr>
      </w:pPr>
      <w:r>
        <w:rPr>
          <w:lang w:val="en-GB"/>
        </w:rPr>
        <w:br w:type="page"/>
      </w:r>
    </w:p>
    <w:p w14:paraId="23635609" w14:textId="77777777" w:rsidR="004B5AEA" w:rsidRDefault="00D70D3E">
      <w:pPr>
        <w:pStyle w:val="Heading1"/>
        <w:rPr>
          <w:lang w:val="en-GB"/>
        </w:rPr>
      </w:pPr>
      <w:bookmarkStart w:id="9" w:name="_Toc189926507"/>
      <w:r>
        <w:rPr>
          <w:lang w:val="en-GB"/>
        </w:rPr>
        <w:lastRenderedPageBreak/>
        <w:t>Method</w:t>
      </w:r>
      <w:bookmarkEnd w:id="9"/>
    </w:p>
    <w:p w14:paraId="34E84C78" w14:textId="77777777" w:rsidR="004B5AEA" w:rsidRDefault="00D70D3E">
      <w:pPr>
        <w:pStyle w:val="Heading2"/>
        <w:rPr>
          <w:lang w:val="en-GB"/>
        </w:rPr>
      </w:pPr>
      <w:bookmarkStart w:id="10" w:name="_Toc189926508"/>
      <w:r>
        <w:rPr>
          <w:lang w:val="en-GB"/>
        </w:rPr>
        <w:t>Research Approach</w:t>
      </w:r>
      <w:bookmarkEnd w:id="10"/>
    </w:p>
    <w:p w14:paraId="4ECA7015" w14:textId="77777777" w:rsidR="004B5AEA" w:rsidRDefault="00D70D3E">
      <w:pPr>
        <w:rPr>
          <w:lang w:val="en-GB"/>
        </w:rPr>
      </w:pPr>
      <w:r>
        <w:rPr>
          <w:lang w:val="en-GB"/>
        </w:rPr>
        <w:t>This study uses secondary research methodology to analyse the effect of sustainability on the hospitality and hotel industry. This research is suitable for secondary research because it allows an in-depth review of pertinent existing academic literature, industry reports and statistical data without having to collect primary data (Brotherton, 2015). To ensure that all data sources are synchronized and reflect the latest sustainable hospitality trends, problems, and opportunities, the study includes data from 2018 to 2024. ScienceDirect, Google Scholar, and the Journal of Sustainable Tourism provide academic perspectives. Additionally, industry publications from international institutions like the UNWTO, WTTC, and IH&amp;RA provide a realistic assessment of the terrain.</w:t>
      </w:r>
    </w:p>
    <w:p w14:paraId="473AC353" w14:textId="77777777" w:rsidR="004B5AEA" w:rsidRDefault="00D70D3E">
      <w:pPr>
        <w:pStyle w:val="Heading2"/>
        <w:rPr>
          <w:lang w:val="en-GB"/>
        </w:rPr>
      </w:pPr>
      <w:bookmarkStart w:id="11" w:name="_Toc189926509"/>
      <w:r>
        <w:rPr>
          <w:lang w:val="en-GB"/>
        </w:rPr>
        <w:t>Analytical Framework</w:t>
      </w:r>
      <w:bookmarkEnd w:id="11"/>
    </w:p>
    <w:p w14:paraId="34641DFF" w14:textId="77777777" w:rsidR="004B5AEA" w:rsidRDefault="00D70D3E">
      <w:pPr>
        <w:rPr>
          <w:lang w:val="en-GB"/>
        </w:rPr>
      </w:pPr>
      <w:r>
        <w:rPr>
          <w:lang w:val="en-GB"/>
        </w:rPr>
        <w:t>To evaluate the impact of sustainability in the hospitality sector systematically, the PESTLE (Political, Economic, Social, Technological, Legal, and Environmental) framework is used. One of the well-known tools of external macro environmental analysis is the PESTLE model (</w:t>
      </w:r>
      <w:proofErr w:type="spellStart"/>
      <w:r>
        <w:t>Eierle</w:t>
      </w:r>
      <w:proofErr w:type="spellEnd"/>
      <w:r>
        <w:t xml:space="preserve"> et al., 2022)</w:t>
      </w:r>
      <w:r>
        <w:rPr>
          <w:lang w:val="en-GB"/>
        </w:rPr>
        <w:t>. It is widely used in hospitality research for industry-wide change evaluation and strategic response development. The structured approach allows for a critical and evidence-based analysis of the impact that sustainability has on hospitality businesses and produces a synergy for the definitions and subsequent implications for industry responses and future strategies.</w:t>
      </w:r>
    </w:p>
    <w:p w14:paraId="7FDF871D" w14:textId="77777777" w:rsidR="004B5AEA" w:rsidRDefault="00D70D3E">
      <w:pPr>
        <w:spacing w:line="259" w:lineRule="auto"/>
        <w:jc w:val="left"/>
        <w:rPr>
          <w:lang w:val="en-GB"/>
        </w:rPr>
      </w:pPr>
      <w:r>
        <w:rPr>
          <w:lang w:val="en-GB"/>
        </w:rPr>
        <w:br w:type="page"/>
      </w:r>
    </w:p>
    <w:p w14:paraId="3D4F6EAD" w14:textId="77777777" w:rsidR="004B5AEA" w:rsidRDefault="00D70D3E">
      <w:pPr>
        <w:pStyle w:val="Heading1"/>
        <w:rPr>
          <w:lang w:val="en-GB"/>
        </w:rPr>
      </w:pPr>
      <w:bookmarkStart w:id="12" w:name="_Toc189926510"/>
      <w:r>
        <w:rPr>
          <w:lang w:val="en-GB"/>
        </w:rPr>
        <w:lastRenderedPageBreak/>
        <w:t>Theme Impact Analysis</w:t>
      </w:r>
      <w:bookmarkEnd w:id="12"/>
    </w:p>
    <w:p w14:paraId="2B55C887" w14:textId="77777777" w:rsidR="004B5AEA" w:rsidRDefault="00D70D3E">
      <w:pPr>
        <w:rPr>
          <w:lang w:val="en-GB"/>
        </w:rPr>
      </w:pPr>
      <w:r>
        <w:rPr>
          <w:lang w:val="en-GB"/>
        </w:rPr>
        <w:t>The following PESTLE analysis evaluates how sustainability-related issues alter the industry and what is the positive or negative impact for the businesses involved.</w:t>
      </w:r>
    </w:p>
    <w:p w14:paraId="14FAA92E" w14:textId="77777777" w:rsidR="004B5AEA" w:rsidRDefault="00D70D3E">
      <w:pPr>
        <w:pStyle w:val="Heading2"/>
        <w:rPr>
          <w:lang w:val="en-GB"/>
        </w:rPr>
      </w:pPr>
      <w:bookmarkStart w:id="13" w:name="_Toc189926511"/>
      <w:r>
        <w:rPr>
          <w:lang w:val="en-GB"/>
        </w:rPr>
        <w:t>Political Factors</w:t>
      </w:r>
      <w:bookmarkEnd w:id="13"/>
    </w:p>
    <w:p w14:paraId="6F38FDC9" w14:textId="77777777" w:rsidR="004B5AEA" w:rsidRDefault="00D70D3E">
      <w:pPr>
        <w:rPr>
          <w:lang w:val="en-GB"/>
        </w:rPr>
      </w:pPr>
      <w:r>
        <w:rPr>
          <w:lang w:val="en-GB"/>
        </w:rPr>
        <w:t xml:space="preserve">Sustainability policies to reduce carbon emissions and encourage green business practices are being adopted by governments all over the world. Paris Agreement (2015), and European Green Deal (2020) have given great ambitions for carbon neutrality, which directly impact hospitality businesses </w:t>
      </w:r>
      <w:r>
        <w:t>(World Bank, 2023)</w:t>
      </w:r>
      <w:r>
        <w:rPr>
          <w:lang w:val="en-GB"/>
        </w:rPr>
        <w:t>.</w:t>
      </w:r>
    </w:p>
    <w:p w14:paraId="786CEB12" w14:textId="77777777" w:rsidR="004B5AEA" w:rsidRDefault="00D70D3E">
      <w:pPr>
        <w:rPr>
          <w:lang w:val="en-GB"/>
        </w:rPr>
      </w:pPr>
      <w:r>
        <w:rPr>
          <w:lang w:val="en-GB"/>
        </w:rPr>
        <w:t xml:space="preserve">For instance, energy efficiency requirements were mentioned in Denmark’s 2021 Sustainable Tourism Action Plan, and this is why hotel chains like Scandic Hotels were renovating their properties with the installation of solar panels, energy-saving lights, and green building materials. In the same way, Singapore’s Green Hotel Initiative required that hotels be required to write sustainability reports, and more than 50% of major hotels have received the Green Mark system certification </w:t>
      </w:r>
      <w:r>
        <w:t>(Forbes Business Council, 2023)</w:t>
      </w:r>
      <w:r>
        <w:rPr>
          <w:lang w:val="en-GB"/>
        </w:rPr>
        <w:t>.</w:t>
      </w:r>
    </w:p>
    <w:tbl>
      <w:tblPr>
        <w:tblStyle w:val="GridTable2-Accent51"/>
        <w:tblW w:w="0" w:type="auto"/>
        <w:tblLook w:val="04A0" w:firstRow="1" w:lastRow="0" w:firstColumn="1" w:lastColumn="0" w:noHBand="0" w:noVBand="1"/>
      </w:tblPr>
      <w:tblGrid>
        <w:gridCol w:w="4230"/>
        <w:gridCol w:w="4796"/>
      </w:tblGrid>
      <w:tr w:rsidR="004B5AEA" w14:paraId="2B4FC17E" w14:textId="77777777" w:rsidTr="004B5AE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30" w:type="dxa"/>
          </w:tcPr>
          <w:p w14:paraId="058316D7" w14:textId="77777777" w:rsidR="004B5AEA" w:rsidRDefault="00D70D3E">
            <w:pPr>
              <w:rPr>
                <w:b w:val="0"/>
                <w:bCs w:val="0"/>
                <w:lang w:val="en-GB"/>
              </w:rPr>
            </w:pPr>
            <w:r>
              <w:rPr>
                <w:lang w:val="en-GB"/>
              </w:rPr>
              <w:t xml:space="preserve">Political Impact </w:t>
            </w:r>
          </w:p>
        </w:tc>
        <w:tc>
          <w:tcPr>
            <w:tcW w:w="4796" w:type="dxa"/>
          </w:tcPr>
          <w:p w14:paraId="110FEEFB" w14:textId="77777777" w:rsidR="004B5AEA" w:rsidRDefault="00D70D3E">
            <w:pPr>
              <w:cnfStyle w:val="100000000000" w:firstRow="1" w:lastRow="0" w:firstColumn="0" w:lastColumn="0" w:oddVBand="0" w:evenVBand="0" w:oddHBand="0" w:evenHBand="0" w:firstRowFirstColumn="0" w:firstRowLastColumn="0" w:lastRowFirstColumn="0" w:lastRowLastColumn="0"/>
              <w:rPr>
                <w:b w:val="0"/>
                <w:bCs w:val="0"/>
                <w:lang w:val="en-GB"/>
              </w:rPr>
            </w:pPr>
            <w:r>
              <w:rPr>
                <w:lang w:val="en-GB"/>
              </w:rPr>
              <w:t>Example</w:t>
            </w:r>
          </w:p>
        </w:tc>
      </w:tr>
      <w:tr w:rsidR="004B5AEA" w14:paraId="47A986E9" w14:textId="77777777" w:rsidTr="004B5AEA">
        <w:tc>
          <w:tcPr>
            <w:cnfStyle w:val="001000000000" w:firstRow="0" w:lastRow="0" w:firstColumn="1" w:lastColumn="0" w:oddVBand="0" w:evenVBand="0" w:oddHBand="0" w:evenHBand="0" w:firstRowFirstColumn="0" w:firstRowLastColumn="0" w:lastRowFirstColumn="0" w:lastRowLastColumn="0"/>
            <w:tcW w:w="4230" w:type="dxa"/>
            <w:shd w:val="clear" w:color="auto" w:fill="DEEAF6" w:themeFill="accent5" w:themeFillTint="33"/>
          </w:tcPr>
          <w:p w14:paraId="2DBEBBFE" w14:textId="77777777" w:rsidR="004B5AEA" w:rsidRDefault="00D70D3E">
            <w:pPr>
              <w:rPr>
                <w:b w:val="0"/>
                <w:bCs w:val="0"/>
                <w:lang w:val="en-GB"/>
              </w:rPr>
            </w:pPr>
            <w:r>
              <w:rPr>
                <w:lang w:val="en-GB"/>
              </w:rPr>
              <w:t>Government regulations mandating sustainable practices</w:t>
            </w:r>
          </w:p>
        </w:tc>
        <w:tc>
          <w:tcPr>
            <w:tcW w:w="4796" w:type="dxa"/>
            <w:shd w:val="clear" w:color="auto" w:fill="DEEAF6" w:themeFill="accent5" w:themeFillTint="33"/>
          </w:tcPr>
          <w:p w14:paraId="093EC21D" w14:textId="77777777" w:rsidR="004B5AEA" w:rsidRDefault="00D70D3E">
            <w:pPr>
              <w:cnfStyle w:val="000000000000" w:firstRow="0" w:lastRow="0" w:firstColumn="0" w:lastColumn="0" w:oddVBand="0" w:evenVBand="0" w:oddHBand="0" w:evenHBand="0" w:firstRowFirstColumn="0" w:firstRowLastColumn="0" w:lastRowFirstColumn="0" w:lastRowLastColumn="0"/>
              <w:rPr>
                <w:lang w:val="en-GB"/>
              </w:rPr>
            </w:pPr>
            <w:r>
              <w:rPr>
                <w:lang w:val="en-GB"/>
              </w:rPr>
              <w:t>Denmark’s Sustainable Tourism Action Plan</w:t>
            </w:r>
          </w:p>
        </w:tc>
      </w:tr>
      <w:tr w:rsidR="004B5AEA" w14:paraId="6D3BF417" w14:textId="77777777" w:rsidTr="004B5AEA">
        <w:tc>
          <w:tcPr>
            <w:cnfStyle w:val="001000000000" w:firstRow="0" w:lastRow="0" w:firstColumn="1" w:lastColumn="0" w:oddVBand="0" w:evenVBand="0" w:oddHBand="0" w:evenHBand="0" w:firstRowFirstColumn="0" w:firstRowLastColumn="0" w:lastRowFirstColumn="0" w:lastRowLastColumn="0"/>
            <w:tcW w:w="4230" w:type="dxa"/>
          </w:tcPr>
          <w:p w14:paraId="4DA97136" w14:textId="77777777" w:rsidR="004B5AEA" w:rsidRDefault="00D70D3E">
            <w:pPr>
              <w:rPr>
                <w:b w:val="0"/>
                <w:bCs w:val="0"/>
                <w:lang w:val="en-GB"/>
              </w:rPr>
            </w:pPr>
            <w:r>
              <w:rPr>
                <w:lang w:val="en-GB"/>
              </w:rPr>
              <w:t>Carbon Neutrality Targets Affecting Hotel Operations</w:t>
            </w:r>
          </w:p>
        </w:tc>
        <w:tc>
          <w:tcPr>
            <w:tcW w:w="4796" w:type="dxa"/>
          </w:tcPr>
          <w:p w14:paraId="7868F2EA" w14:textId="77777777" w:rsidR="004B5AEA" w:rsidRDefault="00D70D3E">
            <w:pPr>
              <w:cnfStyle w:val="000000000000" w:firstRow="0" w:lastRow="0" w:firstColumn="0" w:lastColumn="0" w:oddVBand="0" w:evenVBand="0" w:oddHBand="0" w:evenHBand="0" w:firstRowFirstColumn="0" w:firstRowLastColumn="0" w:lastRowFirstColumn="0" w:lastRowLastColumn="0"/>
              <w:rPr>
                <w:lang w:val="en-GB"/>
              </w:rPr>
            </w:pPr>
            <w:r>
              <w:rPr>
                <w:lang w:val="en-GB"/>
              </w:rPr>
              <w:t>The European Green Deal</w:t>
            </w:r>
          </w:p>
        </w:tc>
      </w:tr>
      <w:tr w:rsidR="004B5AEA" w14:paraId="30CE7044" w14:textId="77777777" w:rsidTr="004B5AEA">
        <w:tc>
          <w:tcPr>
            <w:cnfStyle w:val="001000000000" w:firstRow="0" w:lastRow="0" w:firstColumn="1" w:lastColumn="0" w:oddVBand="0" w:evenVBand="0" w:oddHBand="0" w:evenHBand="0" w:firstRowFirstColumn="0" w:firstRowLastColumn="0" w:lastRowFirstColumn="0" w:lastRowLastColumn="0"/>
            <w:tcW w:w="4230" w:type="dxa"/>
            <w:shd w:val="clear" w:color="auto" w:fill="DEEAF6" w:themeFill="accent5" w:themeFillTint="33"/>
          </w:tcPr>
          <w:p w14:paraId="30100494" w14:textId="77777777" w:rsidR="004B5AEA" w:rsidRDefault="00D70D3E">
            <w:pPr>
              <w:rPr>
                <w:b w:val="0"/>
                <w:bCs w:val="0"/>
                <w:lang w:val="en-GB"/>
              </w:rPr>
            </w:pPr>
            <w:r>
              <w:rPr>
                <w:lang w:val="en-GB"/>
              </w:rPr>
              <w:t>National sustainability certifications and incentives</w:t>
            </w:r>
          </w:p>
        </w:tc>
        <w:tc>
          <w:tcPr>
            <w:tcW w:w="4796" w:type="dxa"/>
            <w:shd w:val="clear" w:color="auto" w:fill="DEEAF6" w:themeFill="accent5" w:themeFillTint="33"/>
          </w:tcPr>
          <w:p w14:paraId="718C5CBB" w14:textId="77777777" w:rsidR="004B5AEA" w:rsidRDefault="00D70D3E">
            <w:pPr>
              <w:cnfStyle w:val="000000000000" w:firstRow="0" w:lastRow="0" w:firstColumn="0" w:lastColumn="0" w:oddVBand="0" w:evenVBand="0" w:oddHBand="0" w:evenHBand="0" w:firstRowFirstColumn="0" w:firstRowLastColumn="0" w:lastRowFirstColumn="0" w:lastRowLastColumn="0"/>
              <w:rPr>
                <w:lang w:val="en-GB"/>
              </w:rPr>
            </w:pPr>
            <w:r>
              <w:rPr>
                <w:lang w:val="en-GB"/>
              </w:rPr>
              <w:t>Singapore’s Green Hotel Initiative</w:t>
            </w:r>
          </w:p>
        </w:tc>
      </w:tr>
      <w:tr w:rsidR="004B5AEA" w14:paraId="5452CD25" w14:textId="77777777" w:rsidTr="004B5AEA">
        <w:tc>
          <w:tcPr>
            <w:cnfStyle w:val="001000000000" w:firstRow="0" w:lastRow="0" w:firstColumn="1" w:lastColumn="0" w:oddVBand="0" w:evenVBand="0" w:oddHBand="0" w:evenHBand="0" w:firstRowFirstColumn="0" w:firstRowLastColumn="0" w:lastRowFirstColumn="0" w:lastRowLastColumn="0"/>
            <w:tcW w:w="4230" w:type="dxa"/>
          </w:tcPr>
          <w:p w14:paraId="7AB59DC4" w14:textId="77777777" w:rsidR="004B5AEA" w:rsidRDefault="00D70D3E">
            <w:pPr>
              <w:rPr>
                <w:b w:val="0"/>
                <w:bCs w:val="0"/>
                <w:lang w:val="en-GB"/>
              </w:rPr>
            </w:pPr>
            <w:r>
              <w:rPr>
                <w:lang w:val="en-GB"/>
              </w:rPr>
              <w:t>Regional disparities in regulatory support</w:t>
            </w:r>
          </w:p>
        </w:tc>
        <w:tc>
          <w:tcPr>
            <w:tcW w:w="4796" w:type="dxa"/>
          </w:tcPr>
          <w:p w14:paraId="247269D5" w14:textId="77777777" w:rsidR="004B5AEA" w:rsidRDefault="00D70D3E">
            <w:pPr>
              <w:cnfStyle w:val="000000000000" w:firstRow="0" w:lastRow="0" w:firstColumn="0" w:lastColumn="0" w:oddVBand="0" w:evenVBand="0" w:oddHBand="0" w:evenHBand="0" w:firstRowFirstColumn="0" w:firstRowLastColumn="0" w:lastRowFirstColumn="0" w:lastRowLastColumn="0"/>
              <w:rPr>
                <w:lang w:val="en-GB"/>
              </w:rPr>
            </w:pPr>
            <w:r>
              <w:rPr>
                <w:lang w:val="en-GB"/>
              </w:rPr>
              <w:t>Limited enforcement in developing nations</w:t>
            </w:r>
          </w:p>
        </w:tc>
      </w:tr>
    </w:tbl>
    <w:p w14:paraId="0794EA33" w14:textId="77777777" w:rsidR="004B5AEA" w:rsidRDefault="00D70D3E">
      <w:pPr>
        <w:pStyle w:val="Caption"/>
        <w:rPr>
          <w:lang w:val="en-GB"/>
        </w:rPr>
      </w:pPr>
      <w:r>
        <w:rPr>
          <w:b/>
          <w:bCs/>
          <w:lang w:val="en-GB"/>
        </w:rPr>
        <w:t xml:space="preserve"> </w:t>
      </w:r>
      <w:r>
        <w:t xml:space="preserve">Table </w:t>
      </w:r>
      <w:r>
        <w:fldChar w:fldCharType="begin"/>
      </w:r>
      <w:r>
        <w:instrText xml:space="preserve"> SEQ Table \* ARABIC </w:instrText>
      </w:r>
      <w:r>
        <w:fldChar w:fldCharType="separate"/>
      </w:r>
      <w:r>
        <w:t>4</w:t>
      </w:r>
      <w:r>
        <w:fldChar w:fldCharType="end"/>
      </w:r>
      <w:r>
        <w:t>: Political Impact on Hospitality Sustainability (Source: World Bank, 2023)</w:t>
      </w:r>
    </w:p>
    <w:p w14:paraId="76E94D43" w14:textId="77777777" w:rsidR="004B5AEA" w:rsidRDefault="00D70D3E">
      <w:pPr>
        <w:pStyle w:val="Heading2"/>
        <w:rPr>
          <w:lang w:val="en-GB"/>
        </w:rPr>
      </w:pPr>
      <w:bookmarkStart w:id="14" w:name="_Toc189926512"/>
      <w:r>
        <w:rPr>
          <w:lang w:val="en-GB"/>
        </w:rPr>
        <w:t>Economic Factors</w:t>
      </w:r>
      <w:bookmarkEnd w:id="14"/>
    </w:p>
    <w:p w14:paraId="6F460005" w14:textId="77777777" w:rsidR="004B5AEA" w:rsidRDefault="00D70D3E">
      <w:pPr>
        <w:rPr>
          <w:lang w:val="en-GB"/>
        </w:rPr>
      </w:pPr>
      <w:r>
        <w:rPr>
          <w:lang w:val="en-GB"/>
        </w:rPr>
        <w:t xml:space="preserve">Investment in hospitality sector sustainability involves high initial costs but the payoff is long-term financial benefits. Solar power and smart HVAC systems for green energy systems save </w:t>
      </w:r>
      <w:r>
        <w:rPr>
          <w:lang w:val="en-GB"/>
        </w:rPr>
        <w:lastRenderedPageBreak/>
        <w:t xml:space="preserve">up to 30% on utility expenses </w:t>
      </w:r>
      <w:r>
        <w:t>(Green.org, 2024)</w:t>
      </w:r>
      <w:r>
        <w:rPr>
          <w:lang w:val="en-GB"/>
        </w:rPr>
        <w:t>. In addition, eco-conscious travellers seek sustainable hotels, and these hotels are capable of charging per premium rate.</w:t>
      </w:r>
    </w:p>
    <w:p w14:paraId="6B7BA33E" w14:textId="3024A864" w:rsidR="004B5AEA" w:rsidRDefault="00D70D3E">
      <w:pPr>
        <w:rPr>
          <w:lang w:val="en-GB"/>
        </w:rPr>
      </w:pPr>
      <w:r>
        <w:rPr>
          <w:lang w:val="en-GB"/>
        </w:rPr>
        <w:t xml:space="preserve">Marriott International is also an example of this; it introduced the Serve 360 sustainability initiative, which cut down its operational costs in eco-certified properties by 15%. Also, Hilton’s </w:t>
      </w:r>
      <w:r w:rsidR="003201BE">
        <w:rPr>
          <w:lang w:val="en-GB"/>
        </w:rPr>
        <w:t>Light Stay</w:t>
      </w:r>
      <w:r>
        <w:rPr>
          <w:lang w:val="en-GB"/>
        </w:rPr>
        <w:t xml:space="preserve"> program has conserved more than $1 billion in energy and water costs since its launch </w:t>
      </w:r>
      <w:r>
        <w:t>(Green.org, 2024)</w:t>
      </w:r>
      <w:r>
        <w:rPr>
          <w:lang w:val="en-GB"/>
        </w:rPr>
        <w:t>.</w:t>
      </w:r>
    </w:p>
    <w:tbl>
      <w:tblPr>
        <w:tblStyle w:val="GridTable2-Accent51"/>
        <w:tblW w:w="0" w:type="auto"/>
        <w:tblLook w:val="04A0" w:firstRow="1" w:lastRow="0" w:firstColumn="1" w:lastColumn="0" w:noHBand="0" w:noVBand="1"/>
      </w:tblPr>
      <w:tblGrid>
        <w:gridCol w:w="4500"/>
        <w:gridCol w:w="4526"/>
      </w:tblGrid>
      <w:tr w:rsidR="004B5AEA" w14:paraId="198BDF9A" w14:textId="77777777" w:rsidTr="004B5AE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0" w:type="dxa"/>
          </w:tcPr>
          <w:p w14:paraId="0132833A" w14:textId="77777777" w:rsidR="004B5AEA" w:rsidRDefault="00D70D3E">
            <w:pPr>
              <w:rPr>
                <w:b w:val="0"/>
                <w:bCs w:val="0"/>
                <w:lang w:val="en-GB"/>
              </w:rPr>
            </w:pPr>
            <w:r>
              <w:rPr>
                <w:lang w:val="en-GB"/>
              </w:rPr>
              <w:t>Economic Impact</w:t>
            </w:r>
          </w:p>
        </w:tc>
        <w:tc>
          <w:tcPr>
            <w:tcW w:w="4526" w:type="dxa"/>
          </w:tcPr>
          <w:p w14:paraId="09E10BBC" w14:textId="77777777" w:rsidR="004B5AEA" w:rsidRDefault="00D70D3E">
            <w:pPr>
              <w:cnfStyle w:val="100000000000" w:firstRow="1" w:lastRow="0" w:firstColumn="0" w:lastColumn="0" w:oddVBand="0" w:evenVBand="0" w:oddHBand="0" w:evenHBand="0" w:firstRowFirstColumn="0" w:firstRowLastColumn="0" w:lastRowFirstColumn="0" w:lastRowLastColumn="0"/>
              <w:rPr>
                <w:b w:val="0"/>
                <w:bCs w:val="0"/>
                <w:lang w:val="en-GB"/>
              </w:rPr>
            </w:pPr>
            <w:r>
              <w:rPr>
                <w:lang w:val="en-GB"/>
              </w:rPr>
              <w:t>Example</w:t>
            </w:r>
          </w:p>
        </w:tc>
      </w:tr>
      <w:tr w:rsidR="004B5AEA" w14:paraId="44A535EA" w14:textId="77777777" w:rsidTr="004B5AEA">
        <w:tc>
          <w:tcPr>
            <w:cnfStyle w:val="001000000000" w:firstRow="0" w:lastRow="0" w:firstColumn="1" w:lastColumn="0" w:oddVBand="0" w:evenVBand="0" w:oddHBand="0" w:evenHBand="0" w:firstRowFirstColumn="0" w:firstRowLastColumn="0" w:lastRowFirstColumn="0" w:lastRowLastColumn="0"/>
            <w:tcW w:w="4500" w:type="dxa"/>
            <w:shd w:val="clear" w:color="auto" w:fill="DEEAF6" w:themeFill="accent5" w:themeFillTint="33"/>
          </w:tcPr>
          <w:p w14:paraId="260DCDAF" w14:textId="77777777" w:rsidR="004B5AEA" w:rsidRDefault="00D70D3E">
            <w:pPr>
              <w:rPr>
                <w:b w:val="0"/>
                <w:bCs w:val="0"/>
                <w:lang w:val="en-GB"/>
              </w:rPr>
            </w:pPr>
            <w:r>
              <w:rPr>
                <w:lang w:val="en-GB"/>
              </w:rPr>
              <w:t>Long-term cost savings through energy efficiency</w:t>
            </w:r>
          </w:p>
        </w:tc>
        <w:tc>
          <w:tcPr>
            <w:tcW w:w="4526" w:type="dxa"/>
            <w:shd w:val="clear" w:color="auto" w:fill="DEEAF6" w:themeFill="accent5" w:themeFillTint="33"/>
          </w:tcPr>
          <w:p w14:paraId="7A986D47" w14:textId="0E44B82E" w:rsidR="004B5AEA" w:rsidRDefault="00D70D3E">
            <w:pPr>
              <w:cnfStyle w:val="000000000000" w:firstRow="0" w:lastRow="0" w:firstColumn="0" w:lastColumn="0" w:oddVBand="0" w:evenVBand="0" w:oddHBand="0" w:evenHBand="0" w:firstRowFirstColumn="0" w:firstRowLastColumn="0" w:lastRowFirstColumn="0" w:lastRowLastColumn="0"/>
              <w:rPr>
                <w:lang w:val="en-GB"/>
              </w:rPr>
            </w:pPr>
            <w:r>
              <w:rPr>
                <w:lang w:val="en-GB"/>
              </w:rPr>
              <w:t xml:space="preserve">Hilton’s </w:t>
            </w:r>
            <w:r w:rsidR="003201BE">
              <w:rPr>
                <w:lang w:val="en-GB"/>
              </w:rPr>
              <w:t>Light Stay</w:t>
            </w:r>
            <w:r>
              <w:rPr>
                <w:lang w:val="en-GB"/>
              </w:rPr>
              <w:t xml:space="preserve"> program saves $1 billion.</w:t>
            </w:r>
          </w:p>
        </w:tc>
      </w:tr>
      <w:tr w:rsidR="004B5AEA" w14:paraId="2CF9A842" w14:textId="77777777" w:rsidTr="004B5AEA">
        <w:tc>
          <w:tcPr>
            <w:cnfStyle w:val="001000000000" w:firstRow="0" w:lastRow="0" w:firstColumn="1" w:lastColumn="0" w:oddVBand="0" w:evenVBand="0" w:oddHBand="0" w:evenHBand="0" w:firstRowFirstColumn="0" w:firstRowLastColumn="0" w:lastRowFirstColumn="0" w:lastRowLastColumn="0"/>
            <w:tcW w:w="4500" w:type="dxa"/>
          </w:tcPr>
          <w:p w14:paraId="111230A5" w14:textId="77777777" w:rsidR="004B5AEA" w:rsidRDefault="00D70D3E">
            <w:pPr>
              <w:rPr>
                <w:b w:val="0"/>
                <w:bCs w:val="0"/>
                <w:lang w:val="en-GB"/>
              </w:rPr>
            </w:pPr>
            <w:r>
              <w:rPr>
                <w:lang w:val="en-GB"/>
              </w:rPr>
              <w:t>Attracting eco-conscious travellers</w:t>
            </w:r>
          </w:p>
        </w:tc>
        <w:tc>
          <w:tcPr>
            <w:tcW w:w="4526" w:type="dxa"/>
          </w:tcPr>
          <w:p w14:paraId="01E0ED3B" w14:textId="77777777" w:rsidR="004B5AEA" w:rsidRDefault="00D70D3E">
            <w:pPr>
              <w:cnfStyle w:val="000000000000" w:firstRow="0" w:lastRow="0" w:firstColumn="0" w:lastColumn="0" w:oddVBand="0" w:evenVBand="0" w:oddHBand="0" w:evenHBand="0" w:firstRowFirstColumn="0" w:firstRowLastColumn="0" w:lastRowFirstColumn="0" w:lastRowLastColumn="0"/>
              <w:rPr>
                <w:lang w:val="en-GB"/>
              </w:rPr>
            </w:pPr>
            <w:r>
              <w:rPr>
                <w:lang w:val="en-GB"/>
              </w:rPr>
              <w:t>Marriott’s Serve 360 initiative</w:t>
            </w:r>
          </w:p>
        </w:tc>
      </w:tr>
      <w:tr w:rsidR="004B5AEA" w14:paraId="06E31B37" w14:textId="77777777" w:rsidTr="004B5AEA">
        <w:tc>
          <w:tcPr>
            <w:cnfStyle w:val="001000000000" w:firstRow="0" w:lastRow="0" w:firstColumn="1" w:lastColumn="0" w:oddVBand="0" w:evenVBand="0" w:oddHBand="0" w:evenHBand="0" w:firstRowFirstColumn="0" w:firstRowLastColumn="0" w:lastRowFirstColumn="0" w:lastRowLastColumn="0"/>
            <w:tcW w:w="4500" w:type="dxa"/>
            <w:shd w:val="clear" w:color="auto" w:fill="DEEAF6" w:themeFill="accent5" w:themeFillTint="33"/>
          </w:tcPr>
          <w:p w14:paraId="00B8ABD2" w14:textId="77777777" w:rsidR="004B5AEA" w:rsidRDefault="00D70D3E">
            <w:pPr>
              <w:rPr>
                <w:b w:val="0"/>
                <w:bCs w:val="0"/>
                <w:lang w:val="en-GB"/>
              </w:rPr>
            </w:pPr>
            <w:r>
              <w:rPr>
                <w:lang w:val="en-GB"/>
              </w:rPr>
              <w:t>High initial costs for green investments</w:t>
            </w:r>
          </w:p>
        </w:tc>
        <w:tc>
          <w:tcPr>
            <w:tcW w:w="4526" w:type="dxa"/>
            <w:shd w:val="clear" w:color="auto" w:fill="DEEAF6" w:themeFill="accent5" w:themeFillTint="33"/>
          </w:tcPr>
          <w:p w14:paraId="47A4587A" w14:textId="77777777" w:rsidR="004B5AEA" w:rsidRDefault="00D70D3E">
            <w:pPr>
              <w:cnfStyle w:val="000000000000" w:firstRow="0" w:lastRow="0" w:firstColumn="0" w:lastColumn="0" w:oddVBand="0" w:evenVBand="0" w:oddHBand="0" w:evenHBand="0" w:firstRowFirstColumn="0" w:firstRowLastColumn="0" w:lastRowFirstColumn="0" w:lastRowLastColumn="0"/>
              <w:rPr>
                <w:lang w:val="en-GB"/>
              </w:rPr>
            </w:pPr>
            <w:r>
              <w:rPr>
                <w:lang w:val="en-GB"/>
              </w:rPr>
              <w:t>Small hotels struggling with green financing</w:t>
            </w:r>
          </w:p>
        </w:tc>
      </w:tr>
      <w:tr w:rsidR="004B5AEA" w14:paraId="77197282" w14:textId="77777777" w:rsidTr="004B5AEA">
        <w:tc>
          <w:tcPr>
            <w:cnfStyle w:val="001000000000" w:firstRow="0" w:lastRow="0" w:firstColumn="1" w:lastColumn="0" w:oddVBand="0" w:evenVBand="0" w:oddHBand="0" w:evenHBand="0" w:firstRowFirstColumn="0" w:firstRowLastColumn="0" w:lastRowFirstColumn="0" w:lastRowLastColumn="0"/>
            <w:tcW w:w="4500" w:type="dxa"/>
          </w:tcPr>
          <w:p w14:paraId="5197B238" w14:textId="77777777" w:rsidR="004B5AEA" w:rsidRDefault="00D70D3E">
            <w:pPr>
              <w:rPr>
                <w:b w:val="0"/>
                <w:bCs w:val="0"/>
                <w:lang w:val="en-GB"/>
              </w:rPr>
            </w:pPr>
            <w:r>
              <w:rPr>
                <w:lang w:val="en-GB"/>
              </w:rPr>
              <w:t>Green certification influencing pricing strategies</w:t>
            </w:r>
          </w:p>
        </w:tc>
        <w:tc>
          <w:tcPr>
            <w:tcW w:w="4526" w:type="dxa"/>
          </w:tcPr>
          <w:p w14:paraId="439CF2BF" w14:textId="77777777" w:rsidR="004B5AEA" w:rsidRDefault="00D70D3E">
            <w:pPr>
              <w:cnfStyle w:val="000000000000" w:firstRow="0" w:lastRow="0" w:firstColumn="0" w:lastColumn="0" w:oddVBand="0" w:evenVBand="0" w:oddHBand="0" w:evenHBand="0" w:firstRowFirstColumn="0" w:firstRowLastColumn="0" w:lastRowFirstColumn="0" w:lastRowLastColumn="0"/>
              <w:rPr>
                <w:lang w:val="en-GB"/>
              </w:rPr>
            </w:pPr>
            <w:r>
              <w:rPr>
                <w:lang w:val="en-GB"/>
              </w:rPr>
              <w:t>Premium pricing for LEED-certified hotels</w:t>
            </w:r>
          </w:p>
        </w:tc>
      </w:tr>
    </w:tbl>
    <w:p w14:paraId="264ADF5D" w14:textId="77777777" w:rsidR="004B5AEA" w:rsidRDefault="00D70D3E">
      <w:pPr>
        <w:pStyle w:val="Caption"/>
        <w:rPr>
          <w:lang w:val="en-GB"/>
        </w:rPr>
      </w:pPr>
      <w:r>
        <w:rPr>
          <w:lang w:val="en-GB"/>
        </w:rPr>
        <w:t xml:space="preserve"> </w:t>
      </w:r>
      <w:r>
        <w:t xml:space="preserve">Table </w:t>
      </w:r>
      <w:r>
        <w:fldChar w:fldCharType="begin"/>
      </w:r>
      <w:r>
        <w:instrText xml:space="preserve"> SEQ Table \* ARABIC </w:instrText>
      </w:r>
      <w:r>
        <w:fldChar w:fldCharType="separate"/>
      </w:r>
      <w:r>
        <w:t>5</w:t>
      </w:r>
      <w:r>
        <w:fldChar w:fldCharType="end"/>
      </w:r>
      <w:r>
        <w:t>: Economic Impact of Sustainability (Source: Green.org, 2024)</w:t>
      </w:r>
    </w:p>
    <w:p w14:paraId="2167A943" w14:textId="77777777" w:rsidR="004B5AEA" w:rsidRDefault="00D70D3E">
      <w:pPr>
        <w:rPr>
          <w:lang w:val="en-GB"/>
        </w:rPr>
      </w:pPr>
      <w:r>
        <w:rPr>
          <w:lang w:val="en-GB"/>
        </w:rPr>
        <w:t>Although hotels of this size present several advantages, smaller hotels have financial barriers to implementing initiatives in sustainability (</w:t>
      </w:r>
      <w:proofErr w:type="spellStart"/>
      <w:r>
        <w:rPr>
          <w:lang w:val="en-GB"/>
        </w:rPr>
        <w:t>Aigbedo</w:t>
      </w:r>
      <w:proofErr w:type="spellEnd"/>
      <w:r>
        <w:rPr>
          <w:lang w:val="en-GB"/>
        </w:rPr>
        <w:t xml:space="preserve">, 2021). </w:t>
      </w:r>
    </w:p>
    <w:p w14:paraId="20D524D7" w14:textId="77777777" w:rsidR="004B5AEA" w:rsidRDefault="00D70D3E">
      <w:pPr>
        <w:pStyle w:val="Heading2"/>
        <w:rPr>
          <w:lang w:val="en-GB"/>
        </w:rPr>
      </w:pPr>
      <w:bookmarkStart w:id="15" w:name="_Toc189926513"/>
      <w:r>
        <w:rPr>
          <w:lang w:val="en-GB"/>
        </w:rPr>
        <w:t>Social Factors</w:t>
      </w:r>
      <w:bookmarkEnd w:id="15"/>
    </w:p>
    <w:p w14:paraId="2BF31A1B" w14:textId="77777777" w:rsidR="004B5AEA" w:rsidRDefault="00D70D3E">
      <w:pPr>
        <w:rPr>
          <w:lang w:val="en-GB"/>
        </w:rPr>
      </w:pPr>
      <w:r>
        <w:rPr>
          <w:lang w:val="en-GB"/>
        </w:rPr>
        <w:t>Sustainable travel is now an attractive option for savvy consumers whose preferences have changed significantly. An overwhelming majority of 81% of travellers recently said they would like eco-friendly accommodation, and even 73% agreed to pay a higher price for sustainable stays (</w:t>
      </w:r>
      <w:r>
        <w:rPr>
          <w:rStyle w:val="Strong"/>
          <w:b w:val="0"/>
          <w:bCs w:val="0"/>
        </w:rPr>
        <w:t>World Bank, 2023)</w:t>
      </w:r>
      <w:r>
        <w:rPr>
          <w:lang w:val="en-GB"/>
        </w:rPr>
        <w:t>. As a result, green certifications have become an increasingly important thing for hotels, and waste has been decreased along with the implementation of social responsibility programs. For instance, Accor Hotels introduced the Planet 21 program focused on reducing carbon footprint, improving employee welfare and community outreach. As a result, more than 90% of Accor’s properties now implement waste reduction strategies (</w:t>
      </w:r>
      <w:r>
        <w:rPr>
          <w:rStyle w:val="Strong"/>
          <w:b w:val="0"/>
          <w:bCs w:val="0"/>
        </w:rPr>
        <w:t>Forbes Business Council, 2023)</w:t>
      </w:r>
      <w:r>
        <w:rPr>
          <w:lang w:val="en-GB"/>
        </w:rPr>
        <w:t>.</w:t>
      </w:r>
    </w:p>
    <w:p w14:paraId="283D5B05" w14:textId="77777777" w:rsidR="004B5AEA" w:rsidRDefault="00D70D3E">
      <w:pPr>
        <w:rPr>
          <w:lang w:val="en-GB"/>
        </w:rPr>
      </w:pPr>
      <w:r>
        <w:rPr>
          <w:lang w:val="en-GB"/>
        </w:rPr>
        <w:t xml:space="preserve">But there is increasing worry about greenwashing when businesses pretend to be more environmentally friendly to lure in consumers (Chapman et al., 2021). According to a 2023 </w:t>
      </w:r>
      <w:r>
        <w:rPr>
          <w:lang w:val="en-GB"/>
        </w:rPr>
        <w:lastRenderedPageBreak/>
        <w:t xml:space="preserve">report by the Sustainable Hospitality Alliance, 35% of hotels make false pretences of their eco-friendly qualities, which causes consumers to not trust the brands </w:t>
      </w:r>
      <w:r>
        <w:t>(Sustainable Hospitality Alliance, 2023)</w:t>
      </w:r>
      <w:r>
        <w:rPr>
          <w:lang w:val="en-GB"/>
        </w:rPr>
        <w:t>.</w:t>
      </w:r>
    </w:p>
    <w:p w14:paraId="54D9A728" w14:textId="77777777" w:rsidR="004B5AEA" w:rsidRDefault="00D70D3E">
      <w:pPr>
        <w:pStyle w:val="Heading2"/>
        <w:rPr>
          <w:lang w:val="en-GB"/>
        </w:rPr>
      </w:pPr>
      <w:bookmarkStart w:id="16" w:name="_Toc189926514"/>
      <w:r>
        <w:rPr>
          <w:lang w:val="en-GB"/>
        </w:rPr>
        <w:t>Technological Factors</w:t>
      </w:r>
      <w:bookmarkEnd w:id="16"/>
    </w:p>
    <w:p w14:paraId="3CEE894A" w14:textId="77777777" w:rsidR="004B5AEA" w:rsidRDefault="00D70D3E">
      <w:pPr>
        <w:rPr>
          <w:lang w:val="en-GB"/>
        </w:rPr>
      </w:pPr>
      <w:r>
        <w:rPr>
          <w:lang w:val="en-GB"/>
        </w:rPr>
        <w:t>Lowering the hotels’ environmental impact is crucial and consists of technological advancements. Smart building systems, the application of AI and energy management, and digital check ins all drastically reduce the quantity of waste and energy used (</w:t>
      </w:r>
      <w:proofErr w:type="spellStart"/>
      <w:r>
        <w:rPr>
          <w:lang w:val="en-GB"/>
        </w:rPr>
        <w:t>Batabyal</w:t>
      </w:r>
      <w:proofErr w:type="spellEnd"/>
      <w:r>
        <w:rPr>
          <w:lang w:val="en-GB"/>
        </w:rPr>
        <w:t xml:space="preserve"> &amp; Das, 2019).</w:t>
      </w:r>
    </w:p>
    <w:p w14:paraId="2615BAF8" w14:textId="77777777" w:rsidR="004B5AEA" w:rsidRDefault="00D70D3E">
      <w:pPr>
        <w:rPr>
          <w:lang w:val="en-GB"/>
        </w:rPr>
      </w:pPr>
      <w:r>
        <w:rPr>
          <w:lang w:val="en-GB"/>
        </w:rPr>
        <w:t>For example, InterContinental Hotels Group (IHG) was able to decrease energy use by 20% on its properties in two years using AI based energy monitoring (</w:t>
      </w:r>
      <w:r>
        <w:t>Thomas</w:t>
      </w:r>
      <w:r>
        <w:rPr>
          <w:lang w:val="en-GB"/>
        </w:rPr>
        <w:t xml:space="preserve"> et al., 2021). Blockchain technology is also being employed to increase transparency in carbon credit trading and sustainability reporting. </w:t>
      </w:r>
    </w:p>
    <w:p w14:paraId="2AB282D4" w14:textId="77777777" w:rsidR="004B5AEA" w:rsidRDefault="00D70D3E">
      <w:pPr>
        <w:pStyle w:val="Heading2"/>
        <w:rPr>
          <w:lang w:val="en-GB"/>
        </w:rPr>
      </w:pPr>
      <w:bookmarkStart w:id="17" w:name="_Toc189926515"/>
      <w:r>
        <w:rPr>
          <w:lang w:val="en-GB"/>
        </w:rPr>
        <w:t>Legal Factors</w:t>
      </w:r>
      <w:bookmarkEnd w:id="17"/>
    </w:p>
    <w:p w14:paraId="1D51C47A" w14:textId="77777777" w:rsidR="004B5AEA" w:rsidRDefault="00D70D3E">
      <w:pPr>
        <w:rPr>
          <w:lang w:val="en-GB"/>
        </w:rPr>
      </w:pPr>
      <w:r>
        <w:rPr>
          <w:lang w:val="en-GB"/>
        </w:rPr>
        <w:t>In the hospitality sector, legal frameworks are being evolved to enforce the compliance of sustainability. For example, the EU’s Corporate Sustainability Reporting Directive requires hotels to report in great detail on ESG (environment, social, governance) matters (</w:t>
      </w:r>
      <w:proofErr w:type="spellStart"/>
      <w:r>
        <w:rPr>
          <w:lang w:val="en-GB"/>
        </w:rPr>
        <w:t>Casañ</w:t>
      </w:r>
      <w:proofErr w:type="spellEnd"/>
      <w:r>
        <w:t xml:space="preserve"> et al., 2021)</w:t>
      </w:r>
      <w:r>
        <w:rPr>
          <w:lang w:val="en-GB"/>
        </w:rPr>
        <w:t>.</w:t>
      </w:r>
    </w:p>
    <w:tbl>
      <w:tblPr>
        <w:tblStyle w:val="GridTable2-Accent51"/>
        <w:tblW w:w="0" w:type="auto"/>
        <w:tblLook w:val="04A0" w:firstRow="1" w:lastRow="0" w:firstColumn="1" w:lastColumn="0" w:noHBand="0" w:noVBand="1"/>
      </w:tblPr>
      <w:tblGrid>
        <w:gridCol w:w="4144"/>
        <w:gridCol w:w="4882"/>
      </w:tblGrid>
      <w:tr w:rsidR="004B5AEA" w14:paraId="599D58B9" w14:textId="77777777" w:rsidTr="004B5AE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64EB3E68" w14:textId="77777777" w:rsidR="004B5AEA" w:rsidRDefault="00D70D3E">
            <w:pPr>
              <w:rPr>
                <w:b w:val="0"/>
                <w:bCs w:val="0"/>
                <w:lang w:val="en-GB"/>
              </w:rPr>
            </w:pPr>
            <w:r>
              <w:rPr>
                <w:lang w:val="en-GB"/>
              </w:rPr>
              <w:t xml:space="preserve">Legal Impact </w:t>
            </w:r>
          </w:p>
        </w:tc>
        <w:tc>
          <w:tcPr>
            <w:tcW w:w="0" w:type="auto"/>
          </w:tcPr>
          <w:p w14:paraId="2FC5FD90" w14:textId="77777777" w:rsidR="004B5AEA" w:rsidRDefault="00D70D3E">
            <w:pPr>
              <w:cnfStyle w:val="100000000000" w:firstRow="1" w:lastRow="0" w:firstColumn="0" w:lastColumn="0" w:oddVBand="0" w:evenVBand="0" w:oddHBand="0" w:evenHBand="0" w:firstRowFirstColumn="0" w:firstRowLastColumn="0" w:lastRowFirstColumn="0" w:lastRowLastColumn="0"/>
              <w:rPr>
                <w:b w:val="0"/>
                <w:bCs w:val="0"/>
                <w:lang w:val="en-GB"/>
              </w:rPr>
            </w:pPr>
            <w:r>
              <w:rPr>
                <w:lang w:val="en-GB"/>
              </w:rPr>
              <w:t>Example</w:t>
            </w:r>
          </w:p>
        </w:tc>
      </w:tr>
      <w:tr w:rsidR="004B5AEA" w14:paraId="70BDFB9E" w14:textId="77777777" w:rsidTr="004B5AEA">
        <w:tc>
          <w:tcPr>
            <w:cnfStyle w:val="001000000000" w:firstRow="0" w:lastRow="0" w:firstColumn="1" w:lastColumn="0" w:oddVBand="0" w:evenVBand="0" w:oddHBand="0" w:evenHBand="0" w:firstRowFirstColumn="0" w:firstRowLastColumn="0" w:lastRowFirstColumn="0" w:lastRowLastColumn="0"/>
            <w:tcW w:w="0" w:type="auto"/>
            <w:shd w:val="clear" w:color="auto" w:fill="DEEAF6" w:themeFill="accent5" w:themeFillTint="33"/>
          </w:tcPr>
          <w:p w14:paraId="0461A221" w14:textId="77777777" w:rsidR="004B5AEA" w:rsidRDefault="00D70D3E">
            <w:pPr>
              <w:rPr>
                <w:b w:val="0"/>
                <w:bCs w:val="0"/>
                <w:lang w:val="en-GB"/>
              </w:rPr>
            </w:pPr>
            <w:r>
              <w:rPr>
                <w:lang w:val="en-GB"/>
              </w:rPr>
              <w:t>Mandatory sustainability reporting</w:t>
            </w:r>
          </w:p>
        </w:tc>
        <w:tc>
          <w:tcPr>
            <w:tcW w:w="0" w:type="auto"/>
            <w:shd w:val="clear" w:color="auto" w:fill="DEEAF6" w:themeFill="accent5" w:themeFillTint="33"/>
          </w:tcPr>
          <w:p w14:paraId="30957533" w14:textId="77777777" w:rsidR="004B5AEA" w:rsidRDefault="00D70D3E">
            <w:pPr>
              <w:cnfStyle w:val="000000000000" w:firstRow="0" w:lastRow="0" w:firstColumn="0" w:lastColumn="0" w:oddVBand="0" w:evenVBand="0" w:oddHBand="0" w:evenHBand="0" w:firstRowFirstColumn="0" w:firstRowLastColumn="0" w:lastRowFirstColumn="0" w:lastRowLastColumn="0"/>
              <w:rPr>
                <w:lang w:val="en-GB"/>
              </w:rPr>
            </w:pPr>
            <w:r>
              <w:rPr>
                <w:lang w:val="en-GB"/>
              </w:rPr>
              <w:t>EU Corporate Sustainability Reporting Directive</w:t>
            </w:r>
          </w:p>
        </w:tc>
      </w:tr>
      <w:tr w:rsidR="004B5AEA" w14:paraId="36F6FE4C" w14:textId="77777777" w:rsidTr="004B5AEA">
        <w:tc>
          <w:tcPr>
            <w:cnfStyle w:val="001000000000" w:firstRow="0" w:lastRow="0" w:firstColumn="1" w:lastColumn="0" w:oddVBand="0" w:evenVBand="0" w:oddHBand="0" w:evenHBand="0" w:firstRowFirstColumn="0" w:firstRowLastColumn="0" w:lastRowFirstColumn="0" w:lastRowLastColumn="0"/>
            <w:tcW w:w="0" w:type="auto"/>
          </w:tcPr>
          <w:p w14:paraId="436AD149" w14:textId="77777777" w:rsidR="004B5AEA" w:rsidRDefault="00D70D3E">
            <w:pPr>
              <w:rPr>
                <w:b w:val="0"/>
                <w:bCs w:val="0"/>
                <w:lang w:val="en-GB"/>
              </w:rPr>
            </w:pPr>
            <w:r>
              <w:rPr>
                <w:lang w:val="en-GB"/>
              </w:rPr>
              <w:t>Legal penalties for non-compliance</w:t>
            </w:r>
          </w:p>
        </w:tc>
        <w:tc>
          <w:tcPr>
            <w:tcW w:w="0" w:type="auto"/>
          </w:tcPr>
          <w:p w14:paraId="73EBC524" w14:textId="77777777" w:rsidR="004B5AEA" w:rsidRDefault="00D70D3E">
            <w:pPr>
              <w:cnfStyle w:val="000000000000" w:firstRow="0" w:lastRow="0" w:firstColumn="0" w:lastColumn="0" w:oddVBand="0" w:evenVBand="0" w:oddHBand="0" w:evenHBand="0" w:firstRowFirstColumn="0" w:firstRowLastColumn="0" w:lastRowFirstColumn="0" w:lastRowLastColumn="0"/>
              <w:rPr>
                <w:lang w:val="en-GB"/>
              </w:rPr>
            </w:pPr>
            <w:r>
              <w:rPr>
                <w:lang w:val="en-GB"/>
              </w:rPr>
              <w:t>California hotel fined $500,000 for excess water use</w:t>
            </w:r>
          </w:p>
        </w:tc>
      </w:tr>
      <w:tr w:rsidR="004B5AEA" w14:paraId="7432A47B" w14:textId="77777777" w:rsidTr="004B5AEA">
        <w:tc>
          <w:tcPr>
            <w:cnfStyle w:val="001000000000" w:firstRow="0" w:lastRow="0" w:firstColumn="1" w:lastColumn="0" w:oddVBand="0" w:evenVBand="0" w:oddHBand="0" w:evenHBand="0" w:firstRowFirstColumn="0" w:firstRowLastColumn="0" w:lastRowFirstColumn="0" w:lastRowLastColumn="0"/>
            <w:tcW w:w="0" w:type="auto"/>
            <w:shd w:val="clear" w:color="auto" w:fill="DEEAF6" w:themeFill="accent5" w:themeFillTint="33"/>
          </w:tcPr>
          <w:p w14:paraId="3C868C24" w14:textId="77777777" w:rsidR="004B5AEA" w:rsidRDefault="00D70D3E">
            <w:pPr>
              <w:rPr>
                <w:b w:val="0"/>
                <w:bCs w:val="0"/>
                <w:lang w:val="en-GB"/>
              </w:rPr>
            </w:pPr>
            <w:r>
              <w:rPr>
                <w:lang w:val="en-GB"/>
              </w:rPr>
              <w:t>Stricter eco-certification standards</w:t>
            </w:r>
          </w:p>
        </w:tc>
        <w:tc>
          <w:tcPr>
            <w:tcW w:w="0" w:type="auto"/>
            <w:shd w:val="clear" w:color="auto" w:fill="DEEAF6" w:themeFill="accent5" w:themeFillTint="33"/>
          </w:tcPr>
          <w:p w14:paraId="10BB1573" w14:textId="77777777" w:rsidR="004B5AEA" w:rsidRDefault="00D70D3E">
            <w:pPr>
              <w:cnfStyle w:val="000000000000" w:firstRow="0" w:lastRow="0" w:firstColumn="0" w:lastColumn="0" w:oddVBand="0" w:evenVBand="0" w:oddHBand="0" w:evenHBand="0" w:firstRowFirstColumn="0" w:firstRowLastColumn="0" w:lastRowFirstColumn="0" w:lastRowLastColumn="0"/>
              <w:rPr>
                <w:lang w:val="en-GB"/>
              </w:rPr>
            </w:pPr>
            <w:r>
              <w:rPr>
                <w:lang w:val="en-GB"/>
              </w:rPr>
              <w:t>LEED, Green Key certifications</w:t>
            </w:r>
          </w:p>
        </w:tc>
      </w:tr>
      <w:tr w:rsidR="004B5AEA" w14:paraId="07EC6B9F" w14:textId="77777777" w:rsidTr="004B5AEA">
        <w:tc>
          <w:tcPr>
            <w:cnfStyle w:val="001000000000" w:firstRow="0" w:lastRow="0" w:firstColumn="1" w:lastColumn="0" w:oddVBand="0" w:evenVBand="0" w:oddHBand="0" w:evenHBand="0" w:firstRowFirstColumn="0" w:firstRowLastColumn="0" w:lastRowFirstColumn="0" w:lastRowLastColumn="0"/>
            <w:tcW w:w="0" w:type="auto"/>
          </w:tcPr>
          <w:p w14:paraId="55DCFC5E" w14:textId="77777777" w:rsidR="004B5AEA" w:rsidRDefault="00D70D3E">
            <w:pPr>
              <w:rPr>
                <w:b w:val="0"/>
                <w:bCs w:val="0"/>
                <w:lang w:val="en-GB"/>
              </w:rPr>
            </w:pPr>
            <w:r>
              <w:rPr>
                <w:lang w:val="en-GB"/>
              </w:rPr>
              <w:t>Growing legal focus on carbon neutrality</w:t>
            </w:r>
          </w:p>
        </w:tc>
        <w:tc>
          <w:tcPr>
            <w:tcW w:w="0" w:type="auto"/>
          </w:tcPr>
          <w:p w14:paraId="19CA7B64" w14:textId="77777777" w:rsidR="004B5AEA" w:rsidRDefault="00D70D3E">
            <w:pPr>
              <w:cnfStyle w:val="000000000000" w:firstRow="0" w:lastRow="0" w:firstColumn="0" w:lastColumn="0" w:oddVBand="0" w:evenVBand="0" w:oddHBand="0" w:evenHBand="0" w:firstRowFirstColumn="0" w:firstRowLastColumn="0" w:lastRowFirstColumn="0" w:lastRowLastColumn="0"/>
              <w:rPr>
                <w:lang w:val="en-GB"/>
              </w:rPr>
            </w:pPr>
            <w:r>
              <w:rPr>
                <w:lang w:val="en-GB"/>
              </w:rPr>
              <w:t>Net-zero regulations in Europe</w:t>
            </w:r>
          </w:p>
        </w:tc>
      </w:tr>
    </w:tbl>
    <w:p w14:paraId="13E96065" w14:textId="77777777" w:rsidR="004B5AEA" w:rsidRDefault="00D70D3E">
      <w:pPr>
        <w:pStyle w:val="Caption"/>
        <w:rPr>
          <w:lang w:val="en-GB"/>
        </w:rPr>
      </w:pPr>
      <w:r>
        <w:t xml:space="preserve">Table </w:t>
      </w:r>
      <w:r>
        <w:fldChar w:fldCharType="begin"/>
      </w:r>
      <w:r>
        <w:instrText xml:space="preserve"> SEQ Table \* ARABIC </w:instrText>
      </w:r>
      <w:r>
        <w:fldChar w:fldCharType="separate"/>
      </w:r>
      <w:r>
        <w:t>6</w:t>
      </w:r>
      <w:r>
        <w:fldChar w:fldCharType="end"/>
      </w:r>
      <w:r>
        <w:t xml:space="preserve">: Legal Impact on Hospitality </w:t>
      </w:r>
      <w:r>
        <w:rPr>
          <w:lang w:val="en-GB"/>
        </w:rPr>
        <w:t xml:space="preserve">(Source: </w:t>
      </w:r>
      <w:proofErr w:type="spellStart"/>
      <w:r>
        <w:rPr>
          <w:lang w:val="en-GB"/>
        </w:rPr>
        <w:t>Casañ</w:t>
      </w:r>
      <w:proofErr w:type="spellEnd"/>
      <w:r>
        <w:t xml:space="preserve"> et al., 2021)</w:t>
      </w:r>
    </w:p>
    <w:p w14:paraId="7B23CDEB" w14:textId="77777777" w:rsidR="004B5AEA" w:rsidRDefault="00D70D3E">
      <w:pPr>
        <w:rPr>
          <w:lang w:val="en-GB"/>
        </w:rPr>
      </w:pPr>
      <w:r>
        <w:rPr>
          <w:lang w:val="en-GB"/>
        </w:rPr>
        <w:t>This is also accompanied by legal penalties and loss of reputation if they fail to comply with these sustainability regulations. In 2022, a major hotel chain in California was fined 500,000 dollars for not meeting water conservation requirements (Chapman et al., 2021).</w:t>
      </w:r>
    </w:p>
    <w:p w14:paraId="279F984C" w14:textId="77777777" w:rsidR="004B5AEA" w:rsidRDefault="00D70D3E">
      <w:pPr>
        <w:pStyle w:val="Heading2"/>
        <w:rPr>
          <w:lang w:val="en-GB"/>
        </w:rPr>
      </w:pPr>
      <w:bookmarkStart w:id="18" w:name="_Toc189926516"/>
      <w:r>
        <w:rPr>
          <w:lang w:val="en-GB"/>
        </w:rPr>
        <w:lastRenderedPageBreak/>
        <w:t>Environmental Factors</w:t>
      </w:r>
      <w:bookmarkEnd w:id="18"/>
    </w:p>
    <w:p w14:paraId="30A2730D" w14:textId="77777777" w:rsidR="004B5AEA" w:rsidRDefault="00D70D3E">
      <w:pPr>
        <w:rPr>
          <w:lang w:val="en-GB"/>
        </w:rPr>
      </w:pPr>
      <w:r>
        <w:rPr>
          <w:lang w:val="en-GB"/>
        </w:rPr>
        <w:t>With high carbon emissions contribution, the hospitality industry is an area in which environmental responsibility is highly emphasized (</w:t>
      </w:r>
      <w:proofErr w:type="spellStart"/>
      <w:r>
        <w:rPr>
          <w:lang w:val="en-GB"/>
        </w:rPr>
        <w:t>Vardopoulos</w:t>
      </w:r>
      <w:proofErr w:type="spellEnd"/>
      <w:r>
        <w:t xml:space="preserve"> et al., 2021)</w:t>
      </w:r>
      <w:r>
        <w:rPr>
          <w:lang w:val="en-GB"/>
        </w:rPr>
        <w:t>. Now hotels are also trying to invest in renewable energy, water conservation and biodiversity protection.</w:t>
      </w:r>
    </w:p>
    <w:p w14:paraId="63249296" w14:textId="77777777" w:rsidR="004B5AEA" w:rsidRDefault="00D70D3E">
      <w:pPr>
        <w:rPr>
          <w:lang w:val="en-GB"/>
        </w:rPr>
      </w:pPr>
      <w:r>
        <w:rPr>
          <w:lang w:val="en-GB"/>
        </w:rPr>
        <w:t>For example, one of the hotels Six Senses Hotels implemented 100% renewable energy solutions in Maldives properties, which resulted in a 40% decrease in carbon emissions. Also, AI-driven waste management systems helped Hyatt Hotels to reduce food waste by 25% (</w:t>
      </w:r>
      <w:proofErr w:type="spellStart"/>
      <w:r>
        <w:rPr>
          <w:lang w:val="en-GB"/>
        </w:rPr>
        <w:t>Vardopoulos</w:t>
      </w:r>
      <w:proofErr w:type="spellEnd"/>
      <w:r>
        <w:t xml:space="preserve"> et al., 2021)</w:t>
      </w:r>
      <w:r>
        <w:rPr>
          <w:lang w:val="en-GB"/>
        </w:rPr>
        <w:t>. Nevertheless, climate change still poses a great danger to the industry, considering rising sea levels and extreme weather events are impacting coastal hotels and resorts.</w:t>
      </w:r>
    </w:p>
    <w:p w14:paraId="0D186EAB" w14:textId="77777777" w:rsidR="004B5AEA" w:rsidRDefault="00D70D3E">
      <w:pPr>
        <w:spacing w:line="259" w:lineRule="auto"/>
        <w:jc w:val="left"/>
        <w:rPr>
          <w:lang w:val="en-GB"/>
        </w:rPr>
      </w:pPr>
      <w:r>
        <w:rPr>
          <w:lang w:val="en-GB"/>
        </w:rPr>
        <w:br w:type="page"/>
      </w:r>
    </w:p>
    <w:p w14:paraId="7D5A585B" w14:textId="77777777" w:rsidR="004B5AEA" w:rsidRDefault="00D70D3E">
      <w:pPr>
        <w:pStyle w:val="Heading1"/>
        <w:rPr>
          <w:lang w:val="en-GB"/>
        </w:rPr>
      </w:pPr>
      <w:bookmarkStart w:id="19" w:name="_Toc189926517"/>
      <w:r>
        <w:rPr>
          <w:lang w:val="en-GB"/>
        </w:rPr>
        <w:lastRenderedPageBreak/>
        <w:t>Conclusion</w:t>
      </w:r>
      <w:bookmarkEnd w:id="19"/>
    </w:p>
    <w:p w14:paraId="0DFC8AC8" w14:textId="77777777" w:rsidR="004B5AEA" w:rsidRDefault="00D70D3E">
      <w:pPr>
        <w:rPr>
          <w:lang w:val="en-GB"/>
        </w:rPr>
      </w:pPr>
      <w:r>
        <w:rPr>
          <w:lang w:val="en-GB"/>
        </w:rPr>
        <w:t>Through this paper, the impact of crises on the hospitality industry is critically examined with shocks from outside the hospitality industry interrupting operations and requiring adaptive responses. Focusing on the PESTLE framework, the study has identified the important industry responses such as digital transformation, Government policy interventions and the changing consumer behaviour (Khan et al., 2021). Though certain strategies are working for certain people, regulatory frameworks, environmental sustainability and technological implementation gaps still remain. For long term stability in the industry, strengthening of crisis management, integration of advance technologies and support of sustainable practices shall be the critical ones.</w:t>
      </w:r>
    </w:p>
    <w:p w14:paraId="2C64C78A" w14:textId="77777777" w:rsidR="004B5AEA" w:rsidRDefault="00D70D3E">
      <w:pPr>
        <w:spacing w:line="259" w:lineRule="auto"/>
        <w:jc w:val="left"/>
        <w:rPr>
          <w:lang w:val="en-GB"/>
        </w:rPr>
      </w:pPr>
      <w:r>
        <w:rPr>
          <w:lang w:val="en-GB"/>
        </w:rPr>
        <w:br w:type="page"/>
      </w:r>
    </w:p>
    <w:p w14:paraId="3147CB68" w14:textId="77777777" w:rsidR="004B5AEA" w:rsidRDefault="00D70D3E">
      <w:pPr>
        <w:pStyle w:val="Heading1"/>
        <w:rPr>
          <w:lang w:val="en-GB"/>
        </w:rPr>
      </w:pPr>
      <w:bookmarkStart w:id="20" w:name="_Toc189926518"/>
      <w:r>
        <w:rPr>
          <w:lang w:val="en-GB"/>
        </w:rPr>
        <w:lastRenderedPageBreak/>
        <w:t>Recommendations</w:t>
      </w:r>
      <w:bookmarkEnd w:id="20"/>
    </w:p>
    <w:p w14:paraId="2A531931" w14:textId="77777777" w:rsidR="004B5AEA" w:rsidRDefault="00D70D3E">
      <w:pPr>
        <w:pStyle w:val="Heading2"/>
        <w:rPr>
          <w:lang w:val="en-GB"/>
        </w:rPr>
      </w:pPr>
      <w:bookmarkStart w:id="21" w:name="_Toc189926519"/>
      <w:r>
        <w:rPr>
          <w:lang w:val="en-GB"/>
        </w:rPr>
        <w:t>Strengthening Industry-Government Collaboration</w:t>
      </w:r>
      <w:bookmarkEnd w:id="21"/>
    </w:p>
    <w:p w14:paraId="50FA406C" w14:textId="77777777" w:rsidR="004B5AEA" w:rsidRDefault="00D70D3E">
      <w:pPr>
        <w:rPr>
          <w:lang w:val="en-GB"/>
        </w:rPr>
      </w:pPr>
      <w:r>
        <w:rPr>
          <w:lang w:val="en-GB"/>
        </w:rPr>
        <w:t xml:space="preserve">The hospitality depends a lot on financial support and government policies to mitigate crisis. Different governments rolled out relief programs, from tax deferrals to direct subsidies and tourism recovery funds, during major disruptions like the COVID-19 pandemic (Piga et al., 2021). However, government actions varied, affecting recovery rates and placing certain enterprises at danger. A more organized and unified policy framework is needed to provide industry-wide financial support and regulatory stability. Collaborative crisis management should increase public-private cooperation (Cooper &amp; Hall, 2019). When governments and hotel organizations collaborate on early warning systems, contingency plans, and structured financial supports, they may help companies during challenging times. </w:t>
      </w:r>
    </w:p>
    <w:p w14:paraId="2B863DFC" w14:textId="77777777" w:rsidR="004B5AEA" w:rsidRDefault="00D70D3E">
      <w:pPr>
        <w:pStyle w:val="Heading2"/>
        <w:rPr>
          <w:lang w:val="en-GB"/>
        </w:rPr>
      </w:pPr>
      <w:bookmarkStart w:id="22" w:name="_Toc189926520"/>
      <w:r>
        <w:rPr>
          <w:lang w:val="en-GB"/>
        </w:rPr>
        <w:t>Investment in Technological Resilience</w:t>
      </w:r>
      <w:bookmarkEnd w:id="22"/>
    </w:p>
    <w:p w14:paraId="5804C2B7" w14:textId="77777777" w:rsidR="004B5AEA" w:rsidRDefault="00D70D3E">
      <w:pPr>
        <w:rPr>
          <w:lang w:val="en-GB"/>
        </w:rPr>
      </w:pPr>
      <w:r>
        <w:rPr>
          <w:lang w:val="en-GB"/>
        </w:rPr>
        <w:t>In the hospitality industry, digital solutions proved to be a crucial element for the crisis management. In recent crises, hotels and travel businesses have used AI–driven customer service, contactless check–in and contactless check–out, as well as predictive data analytics to increase operational efficiency and customer confidence (</w:t>
      </w:r>
      <w:proofErr w:type="spellStart"/>
      <w:r>
        <w:t>Eierle</w:t>
      </w:r>
      <w:proofErr w:type="spellEnd"/>
      <w:r>
        <w:t xml:space="preserve"> et al., 2022)</w:t>
      </w:r>
      <w:r>
        <w:rPr>
          <w:lang w:val="en-GB"/>
        </w:rPr>
        <w:t xml:space="preserve">. Due to cost, smaller enterprises implement sophisticated technical solutions that disadvantage them. Businesses might spend more in AI-powered crisis management solutions to boost demand forecasting, guest communication, and operational agility (Tribe, 2009). Since digital transactions are rising, cybersecurity should be improved to reduce data breaches and other cyberattacks. Multi-layer encryption and blockchain security mechanisms can secure data. </w:t>
      </w:r>
    </w:p>
    <w:p w14:paraId="49AEBBF9" w14:textId="77777777" w:rsidR="004B5AEA" w:rsidRDefault="00D70D3E">
      <w:pPr>
        <w:pStyle w:val="Heading2"/>
        <w:rPr>
          <w:lang w:val="en-GB"/>
        </w:rPr>
      </w:pPr>
      <w:bookmarkStart w:id="23" w:name="_Toc189926521"/>
      <w:r>
        <w:rPr>
          <w:lang w:val="en-GB"/>
        </w:rPr>
        <w:t>Sustainable Business Models for Long-Term Viability</w:t>
      </w:r>
      <w:bookmarkEnd w:id="23"/>
    </w:p>
    <w:p w14:paraId="4F6E22F6" w14:textId="77777777" w:rsidR="004B5AEA" w:rsidRDefault="00D70D3E">
      <w:pPr>
        <w:rPr>
          <w:lang w:val="en-GB"/>
        </w:rPr>
      </w:pPr>
      <w:r>
        <w:rPr>
          <w:lang w:val="en-GB"/>
        </w:rPr>
        <w:t xml:space="preserve">Environmental crises have a growing effect on the hospitality industry and sustainability is becoming an increasing factor for long term business resilience. Numerous hotels are now implementing Environmental, Social, and Governance (ESG) principles into their operational strategies to tackle sustainability challenges (Sharma et al., 2024). However, true environmental effect demands greater environmental business practices. Hotels may earn credibility for their sustainable operations by participating in globally recognized eco-certification schemes like LEED. Second, hospitality companies should prioritize carbon offset programs to balance their emissions via reforestation and renewable energy. </w:t>
      </w:r>
    </w:p>
    <w:p w14:paraId="4F401999" w14:textId="77777777" w:rsidR="004B5AEA" w:rsidRDefault="00D70D3E">
      <w:pPr>
        <w:pStyle w:val="Heading2"/>
        <w:rPr>
          <w:lang w:val="en-GB"/>
        </w:rPr>
      </w:pPr>
      <w:bookmarkStart w:id="24" w:name="_Toc189926522"/>
      <w:r>
        <w:rPr>
          <w:lang w:val="en-GB"/>
        </w:rPr>
        <w:lastRenderedPageBreak/>
        <w:t>Enhancing Workforce Resilience and Training</w:t>
      </w:r>
      <w:bookmarkEnd w:id="24"/>
    </w:p>
    <w:p w14:paraId="6922E170" w14:textId="77777777" w:rsidR="004B5AEA" w:rsidRDefault="00D70D3E">
      <w:pPr>
        <w:rPr>
          <w:lang w:val="en-GB"/>
        </w:rPr>
      </w:pPr>
      <w:r>
        <w:rPr>
          <w:lang w:val="en-GB"/>
        </w:rPr>
        <w:t>Skills and adaptability of the workforce constitute a fundamental aspect of crisis preparedness in the hospitality sector. Historically, the industry has known to have high employee turnover rates and these were further aggravated by global crises like the COVID 19 pandemic (Ivanov &amp; Webster, 2019). Mass layoffs and decreased staff availability caused labour shortages and poor service quality and efficiency in many firms. Crisis-specific training should be part of employee development strategy to equip hospitality staff with emergency response, digital service management, and client safety skills. To maintain personnel during uncertain times, hybrid employment arrangements and gig-based hospitality services should be investigated.</w:t>
      </w:r>
    </w:p>
    <w:p w14:paraId="7A2F843D" w14:textId="77777777" w:rsidR="004B5AEA" w:rsidRDefault="00D70D3E">
      <w:pPr>
        <w:pStyle w:val="Heading2"/>
        <w:rPr>
          <w:lang w:val="en-GB"/>
        </w:rPr>
      </w:pPr>
      <w:bookmarkStart w:id="25" w:name="_Toc189926523"/>
      <w:r>
        <w:rPr>
          <w:lang w:val="en-GB"/>
        </w:rPr>
        <w:t>Future-Proofing Through Scenario Planning and Risk Assessment</w:t>
      </w:r>
      <w:bookmarkEnd w:id="25"/>
    </w:p>
    <w:p w14:paraId="0BF11059" w14:textId="77777777" w:rsidR="004B5AEA" w:rsidRDefault="00D70D3E">
      <w:pPr>
        <w:rPr>
          <w:lang w:val="en-GB"/>
        </w:rPr>
      </w:pPr>
      <w:r>
        <w:rPr>
          <w:lang w:val="en-GB"/>
        </w:rPr>
        <w:t>The hospitality industry needs to proactively be prepared for crisis, in order to have long term business continuity. Most organizations react to disturbances, but a forward-looking strategy reduces risks and financial losses (Ford &amp; Sturman, 2020). Hotels can prevent and manage crises by identifying vulnerabilities and mitigating risk using thorough risk assessment frameworks. Predictive analytics help firms identify dangers and analyse previous data to prepare for crises. Agile company concepts like variable pricing, various income streams, and fewer assets may also boost financial resilience.</w:t>
      </w:r>
    </w:p>
    <w:p w14:paraId="3A0CE74C" w14:textId="77777777" w:rsidR="004B5AEA" w:rsidRDefault="00D70D3E">
      <w:pPr>
        <w:spacing w:line="259" w:lineRule="auto"/>
        <w:jc w:val="left"/>
        <w:rPr>
          <w:lang w:val="en-GB"/>
        </w:rPr>
      </w:pPr>
      <w:r>
        <w:rPr>
          <w:lang w:val="en-GB"/>
        </w:rPr>
        <w:br w:type="page"/>
      </w:r>
    </w:p>
    <w:p w14:paraId="1C121498" w14:textId="77777777" w:rsidR="004B5AEA" w:rsidRDefault="00D70D3E">
      <w:pPr>
        <w:pStyle w:val="Heading1"/>
        <w:rPr>
          <w:lang w:val="en-GB"/>
        </w:rPr>
      </w:pPr>
      <w:bookmarkStart w:id="26" w:name="_Toc189926524"/>
      <w:r>
        <w:rPr>
          <w:lang w:val="en-GB"/>
        </w:rPr>
        <w:lastRenderedPageBreak/>
        <w:t>References</w:t>
      </w:r>
      <w:bookmarkEnd w:id="26"/>
    </w:p>
    <w:bookmarkEnd w:id="0"/>
    <w:p w14:paraId="7CACD7B8" w14:textId="77777777" w:rsidR="009F21B6" w:rsidRPr="009F21B6" w:rsidRDefault="009F21B6" w:rsidP="009F21B6">
      <w:proofErr w:type="spellStart"/>
      <w:r w:rsidRPr="009F21B6">
        <w:t>Aigbedo</w:t>
      </w:r>
      <w:proofErr w:type="spellEnd"/>
      <w:r w:rsidRPr="009F21B6">
        <w:t xml:space="preserve">, H. (2021) ‘Impact of COVID-19 on the hospitality industry: A supply chain resilience perspective’, </w:t>
      </w:r>
      <w:r w:rsidRPr="009F21B6">
        <w:rPr>
          <w:i/>
          <w:iCs/>
        </w:rPr>
        <w:t>International Journal of Hospitality Management</w:t>
      </w:r>
      <w:r w:rsidRPr="009F21B6">
        <w:t xml:space="preserve">, 98, p. 103012. Available at: </w:t>
      </w:r>
      <w:hyperlink r:id="rId8" w:tgtFrame="_new" w:history="1">
        <w:r w:rsidRPr="009F21B6">
          <w:rPr>
            <w:rStyle w:val="Hyperlink"/>
          </w:rPr>
          <w:t>https://www.sciencedirect.com/science/article/pii/S0278431921001559</w:t>
        </w:r>
      </w:hyperlink>
      <w:r w:rsidRPr="009F21B6">
        <w:t xml:space="preserve"> (Accessed: </w:t>
      </w:r>
      <w:r w:rsidRPr="009F21B6">
        <w:rPr>
          <w:bCs/>
        </w:rPr>
        <w:t>30 January 2025</w:t>
      </w:r>
      <w:r w:rsidRPr="009F21B6">
        <w:t>).</w:t>
      </w:r>
    </w:p>
    <w:p w14:paraId="0DDC9925" w14:textId="77777777" w:rsidR="009F21B6" w:rsidRPr="009F21B6" w:rsidRDefault="009F21B6" w:rsidP="009F21B6">
      <w:r w:rsidRPr="009F21B6">
        <w:t xml:space="preserve">Aharon, D.Y., Jacobi, A., Cohen, E., Tzur, J. and Qadan, M. (2021) ‘COVID-19, government measures and hospitality industry performance’, </w:t>
      </w:r>
      <w:r w:rsidRPr="009F21B6">
        <w:rPr>
          <w:i/>
          <w:iCs/>
        </w:rPr>
        <w:t>PLOS ONE</w:t>
      </w:r>
      <w:r w:rsidRPr="009F21B6">
        <w:t xml:space="preserve">, 16(8), p. e0255819. Available at: </w:t>
      </w:r>
      <w:hyperlink r:id="rId9" w:tgtFrame="_new" w:history="1">
        <w:r w:rsidRPr="009F21B6">
          <w:rPr>
            <w:rStyle w:val="Hyperlink"/>
          </w:rPr>
          <w:t>https://pmc.ncbi.nlm.nih.gov/articles/PMC8612114/</w:t>
        </w:r>
      </w:hyperlink>
      <w:r w:rsidRPr="009F21B6">
        <w:t xml:space="preserve"> (Accessed: </w:t>
      </w:r>
      <w:r w:rsidRPr="009F21B6">
        <w:rPr>
          <w:bCs/>
        </w:rPr>
        <w:t>31 January 2025</w:t>
      </w:r>
      <w:r w:rsidRPr="009F21B6">
        <w:t>).</w:t>
      </w:r>
    </w:p>
    <w:p w14:paraId="62EBD81C" w14:textId="77777777" w:rsidR="009F21B6" w:rsidRPr="009F21B6" w:rsidRDefault="009F21B6" w:rsidP="009F21B6">
      <w:proofErr w:type="spellStart"/>
      <w:r w:rsidRPr="009F21B6">
        <w:t>Batabyal</w:t>
      </w:r>
      <w:proofErr w:type="spellEnd"/>
      <w:r w:rsidRPr="009F21B6">
        <w:t xml:space="preserve">, D. and Das, D.K. (eds) (2019) </w:t>
      </w:r>
      <w:r w:rsidRPr="009F21B6">
        <w:rPr>
          <w:i/>
          <w:iCs/>
        </w:rPr>
        <w:t>Global trends, practices, and challenges in contemporary tourism and hospitality management</w:t>
      </w:r>
      <w:r w:rsidRPr="009F21B6">
        <w:t>. Business Science Reference.</w:t>
      </w:r>
    </w:p>
    <w:p w14:paraId="0CCEA8CE" w14:textId="77777777" w:rsidR="009F21B6" w:rsidRPr="009F21B6" w:rsidRDefault="009F21B6" w:rsidP="009F21B6">
      <w:r w:rsidRPr="009F21B6">
        <w:t xml:space="preserve">Brotherton, B. (2015) </w:t>
      </w:r>
      <w:r w:rsidRPr="009F21B6">
        <w:rPr>
          <w:i/>
          <w:iCs/>
        </w:rPr>
        <w:t>Researching hospitality &amp; tourism</w:t>
      </w:r>
      <w:r w:rsidRPr="009F21B6">
        <w:t xml:space="preserve">. 2nd </w:t>
      </w:r>
      <w:proofErr w:type="spellStart"/>
      <w:r w:rsidRPr="009F21B6">
        <w:t>edn</w:t>
      </w:r>
      <w:proofErr w:type="spellEnd"/>
      <w:r w:rsidRPr="009F21B6">
        <w:t>. Sage.</w:t>
      </w:r>
    </w:p>
    <w:p w14:paraId="6F2E9943" w14:textId="77777777" w:rsidR="009F21B6" w:rsidRPr="009F21B6" w:rsidRDefault="009F21B6" w:rsidP="009F21B6">
      <w:proofErr w:type="spellStart"/>
      <w:r w:rsidRPr="009F21B6">
        <w:t>Casañ</w:t>
      </w:r>
      <w:proofErr w:type="spellEnd"/>
      <w:r w:rsidRPr="009F21B6">
        <w:t xml:space="preserve">, M.J., Alier, M. and Llorens, A. (2021) ‘A collaborative learning activity to analyze the sustainability of an innovation using PESTLE’, </w:t>
      </w:r>
      <w:r w:rsidRPr="009F21B6">
        <w:rPr>
          <w:i/>
          <w:iCs/>
        </w:rPr>
        <w:t>Sustainability</w:t>
      </w:r>
      <w:r w:rsidRPr="009F21B6">
        <w:t xml:space="preserve">, 13(16), p. 8756. Available at: </w:t>
      </w:r>
      <w:hyperlink r:id="rId10" w:tgtFrame="_new" w:history="1">
        <w:r w:rsidRPr="009F21B6">
          <w:rPr>
            <w:rStyle w:val="Hyperlink"/>
          </w:rPr>
          <w:t>https://www.mdpi.com/2071-1050/13/16/8756</w:t>
        </w:r>
      </w:hyperlink>
      <w:r w:rsidRPr="009F21B6">
        <w:t xml:space="preserve"> (Accessed: </w:t>
      </w:r>
      <w:r w:rsidRPr="009F21B6">
        <w:rPr>
          <w:bCs/>
        </w:rPr>
        <w:t>2 February 2025</w:t>
      </w:r>
      <w:r w:rsidRPr="009F21B6">
        <w:t>).</w:t>
      </w:r>
    </w:p>
    <w:p w14:paraId="69BA828B" w14:textId="77777777" w:rsidR="009F21B6" w:rsidRPr="009F21B6" w:rsidRDefault="009F21B6" w:rsidP="009F21B6">
      <w:r w:rsidRPr="009F21B6">
        <w:t xml:space="preserve">Chapman, C.M., Miller, D.S. and Salley, G. (2021) ‘Social disruption of the tourism and hospitality industries: Implications for post-COVID-19 pandemic recovery’, </w:t>
      </w:r>
      <w:r w:rsidRPr="009F21B6">
        <w:rPr>
          <w:i/>
          <w:iCs/>
        </w:rPr>
        <w:t>Worldwide Hospitality and Tourism Themes</w:t>
      </w:r>
      <w:r w:rsidRPr="009F21B6">
        <w:t xml:space="preserve">, 13(3), pp. 312–323. Available at: </w:t>
      </w:r>
      <w:hyperlink r:id="rId11" w:tgtFrame="_new" w:history="1">
        <w:r w:rsidRPr="009F21B6">
          <w:rPr>
            <w:rStyle w:val="Hyperlink"/>
          </w:rPr>
          <w:t>https://www.emerald.com/insight/content/doi/10.1108/WHATT-02-2021-0038/full/html</w:t>
        </w:r>
      </w:hyperlink>
      <w:r w:rsidRPr="009F21B6">
        <w:t xml:space="preserve"> (Accessed: </w:t>
      </w:r>
      <w:r w:rsidRPr="009F21B6">
        <w:rPr>
          <w:bCs/>
        </w:rPr>
        <w:t>4 February 2025</w:t>
      </w:r>
      <w:r w:rsidRPr="009F21B6">
        <w:t>).</w:t>
      </w:r>
    </w:p>
    <w:p w14:paraId="332EFB38" w14:textId="77777777" w:rsidR="009F21B6" w:rsidRPr="009F21B6" w:rsidRDefault="009F21B6" w:rsidP="009F21B6">
      <w:r w:rsidRPr="009F21B6">
        <w:t xml:space="preserve">Cooper, C. and Hall, M. (2019) </w:t>
      </w:r>
      <w:r w:rsidRPr="009F21B6">
        <w:rPr>
          <w:i/>
          <w:iCs/>
        </w:rPr>
        <w:t>Contemporary tourism: An international approach</w:t>
      </w:r>
      <w:r w:rsidRPr="009F21B6">
        <w:t xml:space="preserve">. 4th </w:t>
      </w:r>
      <w:proofErr w:type="spellStart"/>
      <w:r w:rsidRPr="009F21B6">
        <w:t>edn</w:t>
      </w:r>
      <w:proofErr w:type="spellEnd"/>
      <w:r w:rsidRPr="009F21B6">
        <w:t>. Goodfellows.</w:t>
      </w:r>
    </w:p>
    <w:p w14:paraId="2C685C53" w14:textId="77777777" w:rsidR="009F21B6" w:rsidRPr="009F21B6" w:rsidRDefault="009F21B6" w:rsidP="009F21B6">
      <w:r w:rsidRPr="009F21B6">
        <w:t xml:space="preserve">Costa, V. and Costa, C. (eds) (2022) </w:t>
      </w:r>
      <w:r w:rsidRPr="009F21B6">
        <w:rPr>
          <w:i/>
          <w:iCs/>
        </w:rPr>
        <w:t>Sustainability and competitiveness in the hospitality industry</w:t>
      </w:r>
      <w:r w:rsidRPr="009F21B6">
        <w:t>. Business Science Reference.</w:t>
      </w:r>
    </w:p>
    <w:p w14:paraId="3AAAB2D8" w14:textId="77777777" w:rsidR="009F21B6" w:rsidRPr="009F21B6" w:rsidRDefault="009F21B6" w:rsidP="009F21B6">
      <w:r w:rsidRPr="009F21B6">
        <w:t xml:space="preserve">Dawson, J., Lemelin, H. and Stewart, E. (2012) </w:t>
      </w:r>
      <w:r w:rsidRPr="009F21B6">
        <w:rPr>
          <w:i/>
          <w:iCs/>
        </w:rPr>
        <w:t>Last chance tourism: Adapting tourism opportunities in a changing world</w:t>
      </w:r>
      <w:r w:rsidRPr="009F21B6">
        <w:t>. Routledge.</w:t>
      </w:r>
    </w:p>
    <w:p w14:paraId="419BE861" w14:textId="77777777" w:rsidR="009F21B6" w:rsidRPr="009F21B6" w:rsidRDefault="009F21B6" w:rsidP="009F21B6">
      <w:proofErr w:type="spellStart"/>
      <w:r w:rsidRPr="009F21B6">
        <w:t>Eierle</w:t>
      </w:r>
      <w:proofErr w:type="spellEnd"/>
      <w:r w:rsidRPr="009F21B6">
        <w:t xml:space="preserve">, B., Hartlieb, S., Hay, D.C., Niemi, L. and Ojala, H. (2022) ‘External factors and the pricing of audit services: A systematic review of the archival literature using a PESTLE analysis’, </w:t>
      </w:r>
      <w:r w:rsidRPr="009F21B6">
        <w:rPr>
          <w:i/>
          <w:iCs/>
        </w:rPr>
        <w:t>Auditing: A Journal of Practice &amp; Theory</w:t>
      </w:r>
      <w:r w:rsidRPr="009F21B6">
        <w:t xml:space="preserve">, 41(3), pp. 95–119. Available at: </w:t>
      </w:r>
      <w:hyperlink r:id="rId12" w:tgtFrame="_new" w:history="1">
        <w:r w:rsidRPr="009F21B6">
          <w:rPr>
            <w:rStyle w:val="Hyperlink"/>
          </w:rPr>
          <w:t>https://publications.aaahq.org/ajpt/article-abstract/41/3/95/234</w:t>
        </w:r>
      </w:hyperlink>
      <w:r w:rsidRPr="009F21B6">
        <w:t xml:space="preserve"> (Accessed: </w:t>
      </w:r>
      <w:r w:rsidRPr="009F21B6">
        <w:rPr>
          <w:bCs/>
        </w:rPr>
        <w:t>6 February 2025</w:t>
      </w:r>
      <w:r w:rsidRPr="009F21B6">
        <w:t>).</w:t>
      </w:r>
    </w:p>
    <w:p w14:paraId="152E97E6" w14:textId="77777777" w:rsidR="009F21B6" w:rsidRPr="009F21B6" w:rsidRDefault="009F21B6" w:rsidP="009F21B6">
      <w:r w:rsidRPr="009F21B6">
        <w:lastRenderedPageBreak/>
        <w:t xml:space="preserve">El-Said, O.A., </w:t>
      </w:r>
      <w:proofErr w:type="spellStart"/>
      <w:r w:rsidRPr="009F21B6">
        <w:t>Elhoushy</w:t>
      </w:r>
      <w:proofErr w:type="spellEnd"/>
      <w:r w:rsidRPr="009F21B6">
        <w:t xml:space="preserve">, S., Smith, M. and Youssif, M. (2024) ‘Crisis-driven innovation in hospitality: How do international hotel chains innovate to recover from a global crisis?’, </w:t>
      </w:r>
      <w:r w:rsidRPr="009F21B6">
        <w:rPr>
          <w:i/>
          <w:iCs/>
        </w:rPr>
        <w:t>International Journal of Hospitality Management</w:t>
      </w:r>
      <w:r w:rsidRPr="009F21B6">
        <w:t xml:space="preserve">, 120, p. 103758. Available at: </w:t>
      </w:r>
      <w:hyperlink r:id="rId13" w:tgtFrame="_new" w:history="1">
        <w:r w:rsidRPr="009F21B6">
          <w:rPr>
            <w:rStyle w:val="Hyperlink"/>
          </w:rPr>
          <w:t>https://www.researchgate.net/publication/381867148_Crisis-driven_innovation_in_hospitality_How_do_international_hotel_chains_innovate_to_recover_from_a_global_crisis</w:t>
        </w:r>
      </w:hyperlink>
      <w:r w:rsidRPr="009F21B6">
        <w:t xml:space="preserve"> (Accessed: </w:t>
      </w:r>
      <w:r w:rsidRPr="009F21B6">
        <w:rPr>
          <w:bCs/>
        </w:rPr>
        <w:t>8 February 2025</w:t>
      </w:r>
      <w:r w:rsidRPr="009F21B6">
        <w:t>).</w:t>
      </w:r>
    </w:p>
    <w:p w14:paraId="3786110C" w14:textId="77777777" w:rsidR="009F21B6" w:rsidRPr="009F21B6" w:rsidRDefault="009F21B6" w:rsidP="009F21B6">
      <w:r w:rsidRPr="009F21B6">
        <w:t xml:space="preserve">Forbes Business Council (2023) ‘17 Sustainability Initiatives of Businesses That Are Going Green’, </w:t>
      </w:r>
      <w:r w:rsidRPr="009F21B6">
        <w:rPr>
          <w:i/>
          <w:iCs/>
        </w:rPr>
        <w:t>Forbes</w:t>
      </w:r>
      <w:r w:rsidRPr="009F21B6">
        <w:t xml:space="preserve">, 21 November. Available at: </w:t>
      </w:r>
      <w:hyperlink r:id="rId14" w:tgtFrame="_new" w:history="1">
        <w:r w:rsidRPr="009F21B6">
          <w:rPr>
            <w:rStyle w:val="Hyperlink"/>
          </w:rPr>
          <w:t>https://www.forbes.com/councils/forbesbusinesscouncil/2023/11/21/17-sustainability-initiatives-of-businesses-that-are-going-green/</w:t>
        </w:r>
      </w:hyperlink>
      <w:r w:rsidRPr="009F21B6">
        <w:t xml:space="preserve"> (Accessed: </w:t>
      </w:r>
      <w:r w:rsidRPr="009F21B6">
        <w:rPr>
          <w:bCs/>
        </w:rPr>
        <w:t>6 February 2025</w:t>
      </w:r>
      <w:r w:rsidRPr="009F21B6">
        <w:t>).</w:t>
      </w:r>
    </w:p>
    <w:p w14:paraId="2D48BF92" w14:textId="77777777" w:rsidR="009F21B6" w:rsidRPr="009F21B6" w:rsidRDefault="009F21B6" w:rsidP="009F21B6">
      <w:r w:rsidRPr="009F21B6">
        <w:t xml:space="preserve">Ford, R.C. and Sturman, M.C. (2020) </w:t>
      </w:r>
      <w:r w:rsidRPr="009F21B6">
        <w:rPr>
          <w:i/>
          <w:iCs/>
        </w:rPr>
        <w:t>Managing hospitality organizations</w:t>
      </w:r>
      <w:r w:rsidRPr="009F21B6">
        <w:t xml:space="preserve">. 2nd </w:t>
      </w:r>
      <w:proofErr w:type="spellStart"/>
      <w:r w:rsidRPr="009F21B6">
        <w:t>edn</w:t>
      </w:r>
      <w:proofErr w:type="spellEnd"/>
      <w:r w:rsidRPr="009F21B6">
        <w:t>. Sage.</w:t>
      </w:r>
    </w:p>
    <w:p w14:paraId="5AE9FF15" w14:textId="77777777" w:rsidR="009F21B6" w:rsidRPr="009F21B6" w:rsidRDefault="009F21B6" w:rsidP="009F21B6">
      <w:r w:rsidRPr="009F21B6">
        <w:t xml:space="preserve">Green.org (2024) </w:t>
      </w:r>
      <w:r w:rsidRPr="009F21B6">
        <w:rPr>
          <w:i/>
          <w:iCs/>
        </w:rPr>
        <w:t>Solar energy in the hospitality industry</w:t>
      </w:r>
      <w:r w:rsidRPr="009F21B6">
        <w:t xml:space="preserve">. Available at: </w:t>
      </w:r>
      <w:hyperlink r:id="rId15" w:tgtFrame="_new" w:history="1">
        <w:r w:rsidRPr="009F21B6">
          <w:rPr>
            <w:rStyle w:val="Hyperlink"/>
          </w:rPr>
          <w:t>https://green.org/2024/01/30/solar-energy-in-the-hospitality-industry/</w:t>
        </w:r>
      </w:hyperlink>
      <w:r w:rsidRPr="009F21B6">
        <w:t xml:space="preserve"> (Accessed: </w:t>
      </w:r>
      <w:r w:rsidRPr="009F21B6">
        <w:rPr>
          <w:bCs/>
        </w:rPr>
        <w:t>6 February 2025</w:t>
      </w:r>
      <w:r w:rsidRPr="009F21B6">
        <w:t>).</w:t>
      </w:r>
    </w:p>
    <w:p w14:paraId="5DEBA790" w14:textId="77777777" w:rsidR="009F21B6" w:rsidRPr="009F21B6" w:rsidRDefault="009F21B6" w:rsidP="009F21B6">
      <w:r w:rsidRPr="009F21B6">
        <w:t xml:space="preserve">Ivanov, S. and Webster, C. (eds) (2019) </w:t>
      </w:r>
      <w:r w:rsidRPr="009F21B6">
        <w:rPr>
          <w:i/>
          <w:iCs/>
        </w:rPr>
        <w:t>Robots, artificial intelligence, and service automation in travel, tourism, and hospitality</w:t>
      </w:r>
      <w:r w:rsidRPr="009F21B6">
        <w:t xml:space="preserve">. 1st </w:t>
      </w:r>
      <w:proofErr w:type="spellStart"/>
      <w:r w:rsidRPr="009F21B6">
        <w:t>edn</w:t>
      </w:r>
      <w:proofErr w:type="spellEnd"/>
      <w:r w:rsidRPr="009F21B6">
        <w:t>. Emerald Publishing.</w:t>
      </w:r>
    </w:p>
    <w:p w14:paraId="34881E79" w14:textId="77777777" w:rsidR="009F21B6" w:rsidRPr="009F21B6" w:rsidRDefault="009F21B6" w:rsidP="009F21B6">
      <w:r w:rsidRPr="009F21B6">
        <w:t xml:space="preserve">Khan, A., Bibi, S., Lyu, J., Latif, A. and Lorenzo, A. (2021) ‘COVID-19 and sectoral employment trends: Assessing resilience in the US leisure and hospitality industry’, </w:t>
      </w:r>
      <w:r w:rsidRPr="009F21B6">
        <w:rPr>
          <w:i/>
          <w:iCs/>
        </w:rPr>
        <w:t>Current Issues in Tourism</w:t>
      </w:r>
      <w:r w:rsidRPr="009F21B6">
        <w:t xml:space="preserve">, 24(7), pp. 952–969. Available at: </w:t>
      </w:r>
      <w:hyperlink r:id="rId16" w:tgtFrame="_new" w:history="1">
        <w:r w:rsidRPr="009F21B6">
          <w:rPr>
            <w:rStyle w:val="Hyperlink"/>
          </w:rPr>
          <w:t>https://www.tandfonline.com/doi/abs/10.1080/13683500.2020.1850653</w:t>
        </w:r>
      </w:hyperlink>
      <w:r w:rsidRPr="009F21B6">
        <w:t xml:space="preserve"> (Accessed: </w:t>
      </w:r>
      <w:r w:rsidRPr="009F21B6">
        <w:rPr>
          <w:bCs/>
        </w:rPr>
        <w:t>30 January 2025</w:t>
      </w:r>
      <w:r w:rsidRPr="009F21B6">
        <w:t>).</w:t>
      </w:r>
    </w:p>
    <w:p w14:paraId="6505D5A8" w14:textId="77777777" w:rsidR="009F21B6" w:rsidRPr="009F21B6" w:rsidRDefault="009F21B6" w:rsidP="009F21B6">
      <w:r w:rsidRPr="009F21B6">
        <w:t xml:space="preserve">Lee, S., Song, H.J., Yoon, H., Kim, C.S. and Ham, S. (2024) ‘Resilience of the hospitality industry during crises: A comparison between the 2008 financial crisis and COVID-19’, </w:t>
      </w:r>
      <w:r w:rsidRPr="009F21B6">
        <w:rPr>
          <w:i/>
          <w:iCs/>
        </w:rPr>
        <w:t>International Journal of Hospitality Management</w:t>
      </w:r>
      <w:r w:rsidRPr="009F21B6">
        <w:t xml:space="preserve">, 116, p. 103622. Available at: </w:t>
      </w:r>
      <w:hyperlink r:id="rId17" w:tgtFrame="_new" w:history="1">
        <w:r w:rsidRPr="009F21B6">
          <w:rPr>
            <w:rStyle w:val="Hyperlink"/>
          </w:rPr>
          <w:t>https://www.sciencedirect.com/science/article/pii/S0278431923001962</w:t>
        </w:r>
      </w:hyperlink>
      <w:r w:rsidRPr="009F21B6">
        <w:t xml:space="preserve"> (Accessed: </w:t>
      </w:r>
      <w:r w:rsidRPr="009F21B6">
        <w:rPr>
          <w:bCs/>
        </w:rPr>
        <w:t>31 January 2025</w:t>
      </w:r>
      <w:r w:rsidRPr="009F21B6">
        <w:t>).</w:t>
      </w:r>
    </w:p>
    <w:p w14:paraId="2BE275BC" w14:textId="77777777" w:rsidR="009F21B6" w:rsidRPr="009F21B6" w:rsidRDefault="009F21B6" w:rsidP="009F21B6">
      <w:r w:rsidRPr="009F21B6">
        <w:t xml:space="preserve">Medeiros, M., Xie, J. and Severt, D. (2022) ‘Exploring relative resilience of Airbnb and hotel industry to risks and external shocks’, </w:t>
      </w:r>
      <w:r w:rsidRPr="009F21B6">
        <w:rPr>
          <w:i/>
          <w:iCs/>
        </w:rPr>
        <w:t>Scandinavian Journal of Hospitality and Tourism</w:t>
      </w:r>
      <w:r w:rsidRPr="009F21B6">
        <w:t xml:space="preserve">, 22(3), pp. 274–283. Available at: </w:t>
      </w:r>
      <w:hyperlink r:id="rId18" w:tgtFrame="_new" w:history="1">
        <w:r w:rsidRPr="009F21B6">
          <w:rPr>
            <w:rStyle w:val="Hyperlink"/>
          </w:rPr>
          <w:t>https://www.tandfonline.com/doi/abs/10.1080/15022250.2022.2059563</w:t>
        </w:r>
      </w:hyperlink>
      <w:r w:rsidRPr="009F21B6">
        <w:t xml:space="preserve"> (Accessed: </w:t>
      </w:r>
      <w:r w:rsidRPr="009F21B6">
        <w:rPr>
          <w:bCs/>
        </w:rPr>
        <w:t>2 February 2025</w:t>
      </w:r>
      <w:r w:rsidRPr="009F21B6">
        <w:t>).</w:t>
      </w:r>
    </w:p>
    <w:p w14:paraId="29CB6FC3" w14:textId="77777777" w:rsidR="009F21B6" w:rsidRPr="009F21B6" w:rsidRDefault="009F21B6" w:rsidP="009F21B6">
      <w:proofErr w:type="spellStart"/>
      <w:r w:rsidRPr="009F21B6">
        <w:lastRenderedPageBreak/>
        <w:t>Ntounis</w:t>
      </w:r>
      <w:proofErr w:type="spellEnd"/>
      <w:r w:rsidRPr="009F21B6">
        <w:t xml:space="preserve">, N., Parker, C., Skinner, H., Steadman, C. and </w:t>
      </w:r>
      <w:proofErr w:type="spellStart"/>
      <w:r w:rsidRPr="009F21B6">
        <w:t>Warnaby</w:t>
      </w:r>
      <w:proofErr w:type="spellEnd"/>
      <w:r w:rsidRPr="009F21B6">
        <w:t xml:space="preserve">, G. (2022) ‘Tourism and hospitality industry resilience during the COVID-19 pandemic: Evidence from England’, </w:t>
      </w:r>
      <w:r w:rsidRPr="009F21B6">
        <w:rPr>
          <w:i/>
          <w:iCs/>
        </w:rPr>
        <w:t>Current Issues in Tourism</w:t>
      </w:r>
      <w:r w:rsidRPr="009F21B6">
        <w:t xml:space="preserve">, 25(1), pp. 46–59. Available at: </w:t>
      </w:r>
      <w:hyperlink r:id="rId19" w:tgtFrame="_new" w:history="1">
        <w:r w:rsidRPr="009F21B6">
          <w:rPr>
            <w:rStyle w:val="Hyperlink"/>
          </w:rPr>
          <w:t>https://www.tandfonline.com/doi/abs/10.1080/13683500.2021.1883556</w:t>
        </w:r>
      </w:hyperlink>
      <w:r w:rsidRPr="009F21B6">
        <w:t xml:space="preserve"> (Accessed: </w:t>
      </w:r>
      <w:r w:rsidRPr="009F21B6">
        <w:rPr>
          <w:bCs/>
        </w:rPr>
        <w:t>4 February 2025</w:t>
      </w:r>
      <w:r w:rsidRPr="009F21B6">
        <w:t>).</w:t>
      </w:r>
    </w:p>
    <w:p w14:paraId="7C8B43BC" w14:textId="77777777" w:rsidR="009F21B6" w:rsidRPr="009F21B6" w:rsidRDefault="009F21B6" w:rsidP="009F21B6">
      <w:r w:rsidRPr="009F21B6">
        <w:t xml:space="preserve">Piga, C.A., </w:t>
      </w:r>
      <w:proofErr w:type="spellStart"/>
      <w:r w:rsidRPr="009F21B6">
        <w:t>Abrate</w:t>
      </w:r>
      <w:proofErr w:type="spellEnd"/>
      <w:r w:rsidRPr="009F21B6">
        <w:t xml:space="preserve">, G., </w:t>
      </w:r>
      <w:proofErr w:type="spellStart"/>
      <w:r w:rsidRPr="009F21B6">
        <w:t>Viglia</w:t>
      </w:r>
      <w:proofErr w:type="spellEnd"/>
      <w:r w:rsidRPr="009F21B6">
        <w:t xml:space="preserve">, G. and De Canio, F. (2021) ‘How the hospitality industry reacts to COVID-19: Structural, managerial and tactical factors’, </w:t>
      </w:r>
      <w:r w:rsidRPr="009F21B6">
        <w:rPr>
          <w:i/>
          <w:iCs/>
        </w:rPr>
        <w:t>Journal of Revenue and Pricing Management</w:t>
      </w:r>
      <w:r w:rsidRPr="009F21B6">
        <w:t xml:space="preserve">, 21(5), p. 503. Available at: </w:t>
      </w:r>
      <w:hyperlink r:id="rId20" w:tgtFrame="_new" w:history="1">
        <w:r w:rsidRPr="009F21B6">
          <w:rPr>
            <w:rStyle w:val="Hyperlink"/>
          </w:rPr>
          <w:t>https://pmc.ncbi.nlm.nih.gov/articles/PMC8612114/</w:t>
        </w:r>
      </w:hyperlink>
      <w:r w:rsidRPr="009F21B6">
        <w:t xml:space="preserve"> (Accessed: </w:t>
      </w:r>
      <w:r w:rsidRPr="009F21B6">
        <w:rPr>
          <w:bCs/>
        </w:rPr>
        <w:t>6 February 2025</w:t>
      </w:r>
      <w:r w:rsidRPr="009F21B6">
        <w:t>).</w:t>
      </w:r>
    </w:p>
    <w:p w14:paraId="05B27079" w14:textId="77777777" w:rsidR="009F21B6" w:rsidRPr="009F21B6" w:rsidRDefault="009F21B6" w:rsidP="009F21B6">
      <w:r w:rsidRPr="009F21B6">
        <w:t xml:space="preserve">Sharma, M., Singh, A.K. and Tyagi, P. (2024) </w:t>
      </w:r>
      <w:r w:rsidRPr="009F21B6">
        <w:rPr>
          <w:i/>
          <w:iCs/>
        </w:rPr>
        <w:t>Proceedings of the International Conference on Innovation and Regenerative Trends in Tourism and Hospitality Industry (IRTTHI 2024)</w:t>
      </w:r>
      <w:r w:rsidRPr="009F21B6">
        <w:t>. Atlantis Press.</w:t>
      </w:r>
    </w:p>
    <w:p w14:paraId="29917819" w14:textId="77777777" w:rsidR="009F21B6" w:rsidRPr="009F21B6" w:rsidRDefault="009F21B6" w:rsidP="009F21B6">
      <w:r w:rsidRPr="009F21B6">
        <w:t xml:space="preserve">Sustainable Hospitality Alliance (2023) </w:t>
      </w:r>
      <w:r w:rsidRPr="009F21B6">
        <w:rPr>
          <w:i/>
          <w:iCs/>
        </w:rPr>
        <w:t>2023 Progress Report</w:t>
      </w:r>
      <w:r w:rsidRPr="009F21B6">
        <w:t xml:space="preserve">. Available at: </w:t>
      </w:r>
      <w:hyperlink r:id="rId21" w:tgtFrame="_new" w:history="1">
        <w:r w:rsidRPr="009F21B6">
          <w:rPr>
            <w:rStyle w:val="Hyperlink"/>
          </w:rPr>
          <w:t>https://sustainablehospitalityalliance.org/wp-content/uploads/2023/12/2023-Progress-Report-Public-1.pdf</w:t>
        </w:r>
      </w:hyperlink>
      <w:r w:rsidRPr="009F21B6">
        <w:t xml:space="preserve"> (Accessed: </w:t>
      </w:r>
      <w:r w:rsidRPr="009F21B6">
        <w:rPr>
          <w:bCs/>
        </w:rPr>
        <w:t>8 February 2025</w:t>
      </w:r>
      <w:r w:rsidRPr="009F21B6">
        <w:t>).</w:t>
      </w:r>
    </w:p>
    <w:p w14:paraId="4CB91C04" w14:textId="77777777" w:rsidR="009F21B6" w:rsidRPr="009F21B6" w:rsidRDefault="009F21B6" w:rsidP="009F21B6">
      <w:r w:rsidRPr="009F21B6">
        <w:t xml:space="preserve">Thomas, P.J., Sandwell, P., Williamson, S.J. and Harper, P.W. (2021) ‘A PESTLE analysis of solar home systems in refugee camps in Rwanda’, </w:t>
      </w:r>
      <w:r w:rsidRPr="009F21B6">
        <w:rPr>
          <w:i/>
          <w:iCs/>
        </w:rPr>
        <w:t>Renewable and Sustainable Energy Reviews</w:t>
      </w:r>
      <w:r w:rsidRPr="009F21B6">
        <w:t xml:space="preserve">, 143, p. 110872. Available at: </w:t>
      </w:r>
      <w:hyperlink r:id="rId22" w:tgtFrame="_new" w:history="1">
        <w:r w:rsidRPr="009F21B6">
          <w:rPr>
            <w:rStyle w:val="Hyperlink"/>
          </w:rPr>
          <w:t>https://www.sciencedirect.com/science/article/pii/S1364032121001660</w:t>
        </w:r>
      </w:hyperlink>
      <w:r w:rsidRPr="009F21B6">
        <w:t xml:space="preserve"> (Accessed: </w:t>
      </w:r>
      <w:r w:rsidRPr="009F21B6">
        <w:rPr>
          <w:bCs/>
        </w:rPr>
        <w:t>30 January 2025</w:t>
      </w:r>
      <w:r w:rsidRPr="009F21B6">
        <w:t>).</w:t>
      </w:r>
    </w:p>
    <w:p w14:paraId="7474A37C" w14:textId="77777777" w:rsidR="009F21B6" w:rsidRPr="009F21B6" w:rsidRDefault="009F21B6" w:rsidP="009F21B6">
      <w:r w:rsidRPr="009F21B6">
        <w:t xml:space="preserve">Tribe, J. (2009) </w:t>
      </w:r>
      <w:r w:rsidRPr="009F21B6">
        <w:rPr>
          <w:i/>
          <w:iCs/>
        </w:rPr>
        <w:t>Philosophical issues in tourism (Aspects of Tourism)</w:t>
      </w:r>
      <w:r w:rsidRPr="009F21B6">
        <w:t>. Channel View.</w:t>
      </w:r>
    </w:p>
    <w:p w14:paraId="39B0CAAD" w14:textId="77777777" w:rsidR="009F21B6" w:rsidRPr="009F21B6" w:rsidRDefault="009F21B6" w:rsidP="009F21B6">
      <w:proofErr w:type="spellStart"/>
      <w:r w:rsidRPr="009F21B6">
        <w:t>Vardopoulos</w:t>
      </w:r>
      <w:proofErr w:type="spellEnd"/>
      <w:r w:rsidRPr="009F21B6">
        <w:t xml:space="preserve">, I., </w:t>
      </w:r>
      <w:proofErr w:type="spellStart"/>
      <w:r w:rsidRPr="009F21B6">
        <w:t>Tsilika</w:t>
      </w:r>
      <w:proofErr w:type="spellEnd"/>
      <w:r w:rsidRPr="009F21B6">
        <w:t xml:space="preserve">, E., </w:t>
      </w:r>
      <w:proofErr w:type="spellStart"/>
      <w:r w:rsidRPr="009F21B6">
        <w:t>Sarantakou</w:t>
      </w:r>
      <w:proofErr w:type="spellEnd"/>
      <w:r w:rsidRPr="009F21B6">
        <w:t xml:space="preserve">, E., </w:t>
      </w:r>
      <w:proofErr w:type="spellStart"/>
      <w:r w:rsidRPr="009F21B6">
        <w:t>Zorpas</w:t>
      </w:r>
      <w:proofErr w:type="spellEnd"/>
      <w:r w:rsidRPr="009F21B6">
        <w:t xml:space="preserve">, A.A., Salvati, L. and </w:t>
      </w:r>
      <w:proofErr w:type="spellStart"/>
      <w:r w:rsidRPr="009F21B6">
        <w:t>Tsartas</w:t>
      </w:r>
      <w:proofErr w:type="spellEnd"/>
      <w:r w:rsidRPr="009F21B6">
        <w:t xml:space="preserve">, P. (2021) ‘An integrated SWOT-PESTLE-AHP model assessing sustainability in adaptive reuse projects’, </w:t>
      </w:r>
      <w:r w:rsidRPr="009F21B6">
        <w:rPr>
          <w:i/>
          <w:iCs/>
        </w:rPr>
        <w:t>Applied Sciences</w:t>
      </w:r>
      <w:r w:rsidRPr="009F21B6">
        <w:t xml:space="preserve">, 11(15), p. 7134. Available at: </w:t>
      </w:r>
      <w:hyperlink r:id="rId23" w:tgtFrame="_new" w:history="1">
        <w:r w:rsidRPr="009F21B6">
          <w:rPr>
            <w:rStyle w:val="Hyperlink"/>
          </w:rPr>
          <w:t>https://www.mdpi.com/2076-3417/11/15/7134</w:t>
        </w:r>
      </w:hyperlink>
      <w:r w:rsidRPr="009F21B6">
        <w:t xml:space="preserve"> (Accessed: </w:t>
      </w:r>
      <w:r w:rsidRPr="009F21B6">
        <w:rPr>
          <w:bCs/>
        </w:rPr>
        <w:t>31 January 2025</w:t>
      </w:r>
      <w:r w:rsidRPr="009F21B6">
        <w:t>).</w:t>
      </w:r>
    </w:p>
    <w:p w14:paraId="4E5C27C9" w14:textId="77777777" w:rsidR="009F21B6" w:rsidRPr="009F21B6" w:rsidRDefault="009F21B6" w:rsidP="009F21B6">
      <w:r w:rsidRPr="009F21B6">
        <w:t xml:space="preserve">World Bank (2023) </w:t>
      </w:r>
      <w:r w:rsidRPr="009F21B6">
        <w:rPr>
          <w:i/>
          <w:iCs/>
        </w:rPr>
        <w:t>Climate Policies with Real-World Results</w:t>
      </w:r>
      <w:r w:rsidRPr="009F21B6">
        <w:t xml:space="preserve">. Available at: </w:t>
      </w:r>
      <w:hyperlink r:id="rId24" w:tgtFrame="_new" w:history="1">
        <w:r w:rsidRPr="009F21B6">
          <w:rPr>
            <w:rStyle w:val="Hyperlink"/>
          </w:rPr>
          <w:t>https://www.worldbank.org/en/news/feature/2023/09/19/climate-policies-with-real-world-results</w:t>
        </w:r>
      </w:hyperlink>
      <w:r w:rsidRPr="009F21B6">
        <w:t xml:space="preserve"> (Accessed: </w:t>
      </w:r>
      <w:r w:rsidRPr="009F21B6">
        <w:rPr>
          <w:bCs/>
        </w:rPr>
        <w:t>6 February 2025</w:t>
      </w:r>
      <w:r w:rsidRPr="009F21B6">
        <w:t>).</w:t>
      </w:r>
    </w:p>
    <w:p w14:paraId="406F3B29" w14:textId="77777777" w:rsidR="009F21B6" w:rsidRPr="009F21B6" w:rsidRDefault="009F21B6" w:rsidP="009F21B6">
      <w:r w:rsidRPr="009F21B6">
        <w:t xml:space="preserve">World Tourism Organization (UNWTO) (2021) </w:t>
      </w:r>
      <w:r w:rsidRPr="009F21B6">
        <w:rPr>
          <w:i/>
          <w:iCs/>
        </w:rPr>
        <w:t>2020: Worst Year in Tourism History with 1 Billion Fewer International Arrivals</w:t>
      </w:r>
      <w:r w:rsidRPr="009F21B6">
        <w:t xml:space="preserve">. Available at: </w:t>
      </w:r>
      <w:hyperlink r:id="rId25" w:tgtFrame="_new" w:history="1">
        <w:r w:rsidRPr="009F21B6">
          <w:rPr>
            <w:rStyle w:val="Hyperlink"/>
          </w:rPr>
          <w:t>https://www.unwto.org/news/2020-worst-</w:t>
        </w:r>
        <w:r w:rsidRPr="009F21B6">
          <w:rPr>
            <w:rStyle w:val="Hyperlink"/>
          </w:rPr>
          <w:lastRenderedPageBreak/>
          <w:t>year-in-tourism-history-with-1-billion-fewer-international-arrivals</w:t>
        </w:r>
      </w:hyperlink>
      <w:r w:rsidRPr="009F21B6">
        <w:t xml:space="preserve"> (Accessed: </w:t>
      </w:r>
      <w:r w:rsidRPr="009F21B6">
        <w:rPr>
          <w:bCs/>
        </w:rPr>
        <w:t>6 February 2025</w:t>
      </w:r>
      <w:r w:rsidRPr="009F21B6">
        <w:t>).</w:t>
      </w:r>
    </w:p>
    <w:p w14:paraId="063D7861" w14:textId="77777777" w:rsidR="009F21B6" w:rsidRPr="009F21B6" w:rsidRDefault="009F21B6" w:rsidP="009F21B6">
      <w:r w:rsidRPr="009F21B6">
        <w:t xml:space="preserve">Yeon, J., Song, H.J., Yu, H.C., Vaughan, Y. and Lee, S. (2021) ‘Are socially responsible firms in the US tourism and hospitality industry better off during COVID-19?’, </w:t>
      </w:r>
      <w:r w:rsidRPr="009F21B6">
        <w:rPr>
          <w:i/>
          <w:iCs/>
        </w:rPr>
        <w:t>Tourism Management</w:t>
      </w:r>
      <w:r w:rsidRPr="009F21B6">
        <w:t xml:space="preserve">, 85, p. 104321. Available at: </w:t>
      </w:r>
      <w:hyperlink r:id="rId26" w:tgtFrame="_new" w:history="1">
        <w:r w:rsidRPr="009F21B6">
          <w:rPr>
            <w:rStyle w:val="Hyperlink"/>
          </w:rPr>
          <w:t>https://www.sciencedirect.com/science/article/pii/S0261517721000406</w:t>
        </w:r>
      </w:hyperlink>
      <w:r w:rsidRPr="009F21B6">
        <w:t xml:space="preserve"> (Accessed: </w:t>
      </w:r>
      <w:r w:rsidRPr="009F21B6">
        <w:rPr>
          <w:bCs/>
        </w:rPr>
        <w:t>4 February 2025</w:t>
      </w:r>
      <w:r w:rsidRPr="009F21B6">
        <w:t>).</w:t>
      </w:r>
    </w:p>
    <w:p w14:paraId="7F3FC49A" w14:textId="77777777" w:rsidR="009F21B6" w:rsidRPr="009F21B6" w:rsidRDefault="009F21B6" w:rsidP="009F21B6"/>
    <w:sectPr w:rsidR="009F21B6" w:rsidRPr="009F21B6">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631E6D" w14:textId="77777777" w:rsidR="00CD5798" w:rsidRDefault="00CD5798">
      <w:pPr>
        <w:spacing w:line="240" w:lineRule="auto"/>
      </w:pPr>
      <w:r>
        <w:separator/>
      </w:r>
    </w:p>
  </w:endnote>
  <w:endnote w:type="continuationSeparator" w:id="0">
    <w:p w14:paraId="6754AD47" w14:textId="77777777" w:rsidR="00CD5798" w:rsidRDefault="00CD579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等线 Light">
    <w:altName w:val="Segoe Print"/>
    <w:charset w:val="00"/>
    <w:family w:val="auto"/>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97003346"/>
      <w:docPartObj>
        <w:docPartGallery w:val="AutoText"/>
      </w:docPartObj>
    </w:sdtPr>
    <w:sdtContent>
      <w:p w14:paraId="46D45B38" w14:textId="77777777" w:rsidR="004B5AEA" w:rsidRDefault="00D70D3E">
        <w:pPr>
          <w:pStyle w:val="Footer"/>
          <w:jc w:val="right"/>
        </w:pPr>
        <w:r>
          <w:fldChar w:fldCharType="begin"/>
        </w:r>
        <w:r>
          <w:instrText xml:space="preserve"> PAGE   \* MERGEFORMAT </w:instrText>
        </w:r>
        <w:r>
          <w:fldChar w:fldCharType="separate"/>
        </w:r>
        <w:r w:rsidR="009F21B6">
          <w:rPr>
            <w:noProof/>
          </w:rPr>
          <w:t>16</w:t>
        </w:r>
        <w:r>
          <w:fldChar w:fldCharType="end"/>
        </w:r>
      </w:p>
    </w:sdtContent>
  </w:sdt>
  <w:p w14:paraId="5BBC57BF" w14:textId="77777777" w:rsidR="004B5AEA" w:rsidRDefault="004B5A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574D92" w14:textId="77777777" w:rsidR="00CD5798" w:rsidRDefault="00CD5798">
      <w:pPr>
        <w:spacing w:after="0"/>
      </w:pPr>
      <w:r>
        <w:separator/>
      </w:r>
    </w:p>
  </w:footnote>
  <w:footnote w:type="continuationSeparator" w:id="0">
    <w:p w14:paraId="09AA947F" w14:textId="77777777" w:rsidR="00CD5798" w:rsidRDefault="00CD5798">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7A47DB"/>
    <w:multiLevelType w:val="hybridMultilevel"/>
    <w:tmpl w:val="E31064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3A03E69"/>
    <w:multiLevelType w:val="hybridMultilevel"/>
    <w:tmpl w:val="176281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07457476">
    <w:abstractNumId w:val="1"/>
  </w:num>
  <w:num w:numId="2" w16cid:durableId="19274975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proofState w:spelling="clean" w:grammar="clean"/>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2MDYyMrewNDQ3MbIwN7FQ0lEKTi0uzszPAykwqwUA50P6+CwAAAA="/>
  </w:docVars>
  <w:rsids>
    <w:rsidRoot w:val="005905D4"/>
    <w:rsid w:val="000044AF"/>
    <w:rsid w:val="00013575"/>
    <w:rsid w:val="000157FA"/>
    <w:rsid w:val="00035F8D"/>
    <w:rsid w:val="000411F2"/>
    <w:rsid w:val="00055A31"/>
    <w:rsid w:val="000753DB"/>
    <w:rsid w:val="000B7B07"/>
    <w:rsid w:val="000E10F1"/>
    <w:rsid w:val="000E1302"/>
    <w:rsid w:val="000E31D1"/>
    <w:rsid w:val="000E7645"/>
    <w:rsid w:val="000F7501"/>
    <w:rsid w:val="0011188E"/>
    <w:rsid w:val="00113D6C"/>
    <w:rsid w:val="00114321"/>
    <w:rsid w:val="0014639A"/>
    <w:rsid w:val="00153BB4"/>
    <w:rsid w:val="0016525D"/>
    <w:rsid w:val="0016556B"/>
    <w:rsid w:val="00177256"/>
    <w:rsid w:val="001B1D9D"/>
    <w:rsid w:val="001C0CC1"/>
    <w:rsid w:val="001C5E31"/>
    <w:rsid w:val="001D1E67"/>
    <w:rsid w:val="001E62AF"/>
    <w:rsid w:val="002049F3"/>
    <w:rsid w:val="00223D3A"/>
    <w:rsid w:val="002313FA"/>
    <w:rsid w:val="00272B49"/>
    <w:rsid w:val="00293125"/>
    <w:rsid w:val="002936EA"/>
    <w:rsid w:val="002B35A3"/>
    <w:rsid w:val="002B5976"/>
    <w:rsid w:val="002B75FC"/>
    <w:rsid w:val="002C3661"/>
    <w:rsid w:val="002C43C7"/>
    <w:rsid w:val="002C65CF"/>
    <w:rsid w:val="002F155D"/>
    <w:rsid w:val="002F49F8"/>
    <w:rsid w:val="0030759F"/>
    <w:rsid w:val="003143A0"/>
    <w:rsid w:val="003201BE"/>
    <w:rsid w:val="00370A4A"/>
    <w:rsid w:val="00374ED6"/>
    <w:rsid w:val="00375FA6"/>
    <w:rsid w:val="003825E6"/>
    <w:rsid w:val="003A26CD"/>
    <w:rsid w:val="003A27FC"/>
    <w:rsid w:val="003A45BB"/>
    <w:rsid w:val="003A6EAB"/>
    <w:rsid w:val="003B1FCE"/>
    <w:rsid w:val="003D11CD"/>
    <w:rsid w:val="003F30A4"/>
    <w:rsid w:val="00401451"/>
    <w:rsid w:val="00415469"/>
    <w:rsid w:val="00420622"/>
    <w:rsid w:val="00446E9B"/>
    <w:rsid w:val="00447401"/>
    <w:rsid w:val="00477A18"/>
    <w:rsid w:val="0048582F"/>
    <w:rsid w:val="0049659A"/>
    <w:rsid w:val="004B5AEA"/>
    <w:rsid w:val="004C0D7F"/>
    <w:rsid w:val="004E2D18"/>
    <w:rsid w:val="004F798C"/>
    <w:rsid w:val="00511EE0"/>
    <w:rsid w:val="0051756C"/>
    <w:rsid w:val="00523EC1"/>
    <w:rsid w:val="00537A42"/>
    <w:rsid w:val="00551ADB"/>
    <w:rsid w:val="00566D17"/>
    <w:rsid w:val="00571286"/>
    <w:rsid w:val="0057192C"/>
    <w:rsid w:val="00584ED6"/>
    <w:rsid w:val="005905D4"/>
    <w:rsid w:val="00594932"/>
    <w:rsid w:val="005A62F0"/>
    <w:rsid w:val="005B1E14"/>
    <w:rsid w:val="005C5748"/>
    <w:rsid w:val="005E0685"/>
    <w:rsid w:val="005E2090"/>
    <w:rsid w:val="005E40BE"/>
    <w:rsid w:val="00604062"/>
    <w:rsid w:val="006306AA"/>
    <w:rsid w:val="006374E7"/>
    <w:rsid w:val="00666F17"/>
    <w:rsid w:val="00684EA7"/>
    <w:rsid w:val="006A2537"/>
    <w:rsid w:val="006C2692"/>
    <w:rsid w:val="006D3688"/>
    <w:rsid w:val="006E187C"/>
    <w:rsid w:val="006E6204"/>
    <w:rsid w:val="006F182E"/>
    <w:rsid w:val="006F2591"/>
    <w:rsid w:val="006F4377"/>
    <w:rsid w:val="007007E8"/>
    <w:rsid w:val="00707295"/>
    <w:rsid w:val="0072270D"/>
    <w:rsid w:val="00736501"/>
    <w:rsid w:val="00744CEE"/>
    <w:rsid w:val="007542E0"/>
    <w:rsid w:val="007842DB"/>
    <w:rsid w:val="00793F3C"/>
    <w:rsid w:val="007C6ECE"/>
    <w:rsid w:val="007C7FB1"/>
    <w:rsid w:val="007F0BB1"/>
    <w:rsid w:val="007F4D88"/>
    <w:rsid w:val="00817C1F"/>
    <w:rsid w:val="00827F11"/>
    <w:rsid w:val="00850EF9"/>
    <w:rsid w:val="00881D09"/>
    <w:rsid w:val="00887FDD"/>
    <w:rsid w:val="008B6FF1"/>
    <w:rsid w:val="008D4A1C"/>
    <w:rsid w:val="008E021C"/>
    <w:rsid w:val="008F4100"/>
    <w:rsid w:val="009201B4"/>
    <w:rsid w:val="009317F3"/>
    <w:rsid w:val="00943F77"/>
    <w:rsid w:val="009C14E4"/>
    <w:rsid w:val="009C2CA2"/>
    <w:rsid w:val="009D18DE"/>
    <w:rsid w:val="009E3F30"/>
    <w:rsid w:val="009E7EE9"/>
    <w:rsid w:val="009F153B"/>
    <w:rsid w:val="009F21B6"/>
    <w:rsid w:val="009F3988"/>
    <w:rsid w:val="009F47F3"/>
    <w:rsid w:val="00A25657"/>
    <w:rsid w:val="00A767D1"/>
    <w:rsid w:val="00A77437"/>
    <w:rsid w:val="00A80F05"/>
    <w:rsid w:val="00A87587"/>
    <w:rsid w:val="00A91745"/>
    <w:rsid w:val="00AA317C"/>
    <w:rsid w:val="00AC4C6E"/>
    <w:rsid w:val="00AC58B0"/>
    <w:rsid w:val="00AE4912"/>
    <w:rsid w:val="00AF3EF6"/>
    <w:rsid w:val="00AF6F83"/>
    <w:rsid w:val="00B00F08"/>
    <w:rsid w:val="00B5308C"/>
    <w:rsid w:val="00B56E71"/>
    <w:rsid w:val="00B76C3D"/>
    <w:rsid w:val="00B8094B"/>
    <w:rsid w:val="00B86E43"/>
    <w:rsid w:val="00BB1F74"/>
    <w:rsid w:val="00BB25E8"/>
    <w:rsid w:val="00BB38FD"/>
    <w:rsid w:val="00C02895"/>
    <w:rsid w:val="00C37AB3"/>
    <w:rsid w:val="00C64E66"/>
    <w:rsid w:val="00C8277A"/>
    <w:rsid w:val="00CA39B4"/>
    <w:rsid w:val="00CA7418"/>
    <w:rsid w:val="00CB58CA"/>
    <w:rsid w:val="00CD5798"/>
    <w:rsid w:val="00D40D37"/>
    <w:rsid w:val="00D62BC1"/>
    <w:rsid w:val="00D65BA7"/>
    <w:rsid w:val="00D70D3E"/>
    <w:rsid w:val="00D71792"/>
    <w:rsid w:val="00D72860"/>
    <w:rsid w:val="00D75B1F"/>
    <w:rsid w:val="00D9606D"/>
    <w:rsid w:val="00DB3E92"/>
    <w:rsid w:val="00DF2FCE"/>
    <w:rsid w:val="00E033BA"/>
    <w:rsid w:val="00E105EC"/>
    <w:rsid w:val="00E2551D"/>
    <w:rsid w:val="00E32D12"/>
    <w:rsid w:val="00E52A0F"/>
    <w:rsid w:val="00E859F7"/>
    <w:rsid w:val="00E969FD"/>
    <w:rsid w:val="00EE0E88"/>
    <w:rsid w:val="00EF1E06"/>
    <w:rsid w:val="00F12E18"/>
    <w:rsid w:val="00F37FB9"/>
    <w:rsid w:val="00F76EA6"/>
    <w:rsid w:val="00F90839"/>
    <w:rsid w:val="00FB17EA"/>
    <w:rsid w:val="00FB72BE"/>
    <w:rsid w:val="00FF32A6"/>
    <w:rsid w:val="0C9C1908"/>
    <w:rsid w:val="1AFB23BC"/>
    <w:rsid w:val="5B176D2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13DA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footnote text" w:semiHidden="1" w:unhideWhenUsed="1"/>
    <w:lsdException w:name="annotation text" w:unhideWhenUsed="1"/>
    <w:lsdException w:name="header" w:unhideWhenUsed="1"/>
    <w:lsdException w:name="footer" w:unhideWhenUsed="1"/>
    <w:lsdException w:name="index heading" w:semiHidden="1" w:unhideWhenUsed="1"/>
    <w:lsdException w:name="caption"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360" w:lineRule="auto"/>
      <w:jc w:val="both"/>
    </w:pPr>
    <w:rPr>
      <w:rFonts w:cstheme="minorBidi"/>
      <w:kern w:val="2"/>
      <w:sz w:val="24"/>
      <w:szCs w:val="22"/>
      <w14:ligatures w14:val="standardContextual"/>
    </w:rPr>
  </w:style>
  <w:style w:type="paragraph" w:styleId="Heading1">
    <w:name w:val="heading 1"/>
    <w:basedOn w:val="Normal"/>
    <w:next w:val="Normal"/>
    <w:link w:val="Heading1Char"/>
    <w:autoRedefine/>
    <w:uiPriority w:val="9"/>
    <w:qFormat/>
    <w:pPr>
      <w:keepNext/>
      <w:keepLines/>
      <w:spacing w:before="240" w:after="0"/>
      <w:jc w:val="center"/>
      <w:outlineLvl w:val="0"/>
    </w:pPr>
    <w:rPr>
      <w:rFonts w:eastAsiaTheme="majorEastAsia" w:cstheme="majorBidi"/>
      <w:b/>
      <w:color w:val="7030A0"/>
      <w:sz w:val="32"/>
      <w:szCs w:val="32"/>
    </w:rPr>
  </w:style>
  <w:style w:type="paragraph" w:styleId="Heading2">
    <w:name w:val="heading 2"/>
    <w:basedOn w:val="Normal"/>
    <w:next w:val="Normal"/>
    <w:link w:val="Heading2Char"/>
    <w:autoRedefine/>
    <w:uiPriority w:val="9"/>
    <w:unhideWhenUsed/>
    <w:qFormat/>
    <w:pPr>
      <w:keepNext/>
      <w:keepLines/>
      <w:spacing w:before="160" w:after="120"/>
      <w:outlineLvl w:val="1"/>
    </w:pPr>
    <w:rPr>
      <w:rFonts w:eastAsiaTheme="majorEastAsia" w:cstheme="majorBidi"/>
      <w:b/>
      <w:color w:val="1F4E79" w:themeColor="accent5" w:themeShade="80"/>
      <w:sz w:val="28"/>
      <w:szCs w:val="26"/>
      <w:lang w:bidi="bn-BD"/>
    </w:rPr>
  </w:style>
  <w:style w:type="paragraph" w:styleId="Heading3">
    <w:name w:val="heading 3"/>
    <w:basedOn w:val="Normal"/>
    <w:next w:val="Normal"/>
    <w:link w:val="Heading3Char"/>
    <w:autoRedefine/>
    <w:uiPriority w:val="9"/>
    <w:unhideWhenUsed/>
    <w:qFormat/>
    <w:pPr>
      <w:keepNext/>
      <w:keepLines/>
      <w:spacing w:before="160" w:after="120"/>
      <w:outlineLvl w:val="2"/>
    </w:pPr>
    <w:rPr>
      <w:rFonts w:eastAsiaTheme="majorEastAsia" w:cstheme="majorBidi"/>
      <w:b/>
      <w:color w:val="009BD2"/>
      <w:sz w:val="25"/>
      <w:szCs w:val="24"/>
    </w:rPr>
  </w:style>
  <w:style w:type="paragraph" w:styleId="Heading4">
    <w:name w:val="heading 4"/>
    <w:basedOn w:val="Normal"/>
    <w:next w:val="Normal"/>
    <w:link w:val="Heading4Char"/>
    <w:uiPriority w:val="9"/>
    <w:semiHidden/>
    <w:unhideWhenUsed/>
    <w:qFormat/>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pPr>
      <w:keepNext/>
      <w:keepLines/>
      <w:spacing w:after="0"/>
      <w:outlineLvl w:val="7"/>
    </w:pPr>
    <w:rPr>
      <w:rFonts w:asciiTheme="minorHAnsi" w:eastAsiaTheme="majorEastAsia" w:hAnsiTheme="minorHAnsi" w:cstheme="majorBidi"/>
      <w:i/>
      <w:iCs/>
      <w:color w:val="262626" w:themeColor="text1" w:themeTint="D9"/>
    </w:rPr>
  </w:style>
  <w:style w:type="paragraph" w:styleId="Heading9">
    <w:name w:val="heading 9"/>
    <w:basedOn w:val="Normal"/>
    <w:next w:val="Normal"/>
    <w:link w:val="Heading9Char"/>
    <w:uiPriority w:val="9"/>
    <w:semiHidden/>
    <w:unhideWhenUsed/>
    <w:qFormat/>
    <w:pPr>
      <w:keepNext/>
      <w:keepLines/>
      <w:spacing w:after="0"/>
      <w:outlineLvl w:val="8"/>
    </w:pPr>
    <w:rPr>
      <w:rFonts w:asciiTheme="minorHAnsi" w:eastAsiaTheme="majorEastAsia" w:hAnsiTheme="minorHAnsi" w:cstheme="majorBidi"/>
      <w:color w:val="262626" w:themeColor="text1" w:themeTint="D9"/>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autoRedefine/>
    <w:unhideWhenUsed/>
    <w:qFormat/>
    <w:pPr>
      <w:spacing w:before="120" w:after="360"/>
      <w:jc w:val="center"/>
    </w:pPr>
    <w:rPr>
      <w:rFonts w:eastAsia="Times New Roman" w:cstheme="minorHAnsi"/>
      <w:i/>
      <w:iCs/>
      <w:sz w:val="22"/>
      <w:szCs w:val="24"/>
      <w:lang w:val="en-ZA"/>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unhideWhenUsed/>
    <w:pPr>
      <w:spacing w:line="240" w:lineRule="auto"/>
    </w:pPr>
    <w:rPr>
      <w:sz w:val="20"/>
      <w:szCs w:val="20"/>
    </w:rPr>
  </w:style>
  <w:style w:type="paragraph" w:styleId="CommentSubject">
    <w:name w:val="annotation subject"/>
    <w:basedOn w:val="CommentText"/>
    <w:next w:val="CommentText"/>
    <w:link w:val="CommentSubjectChar"/>
    <w:uiPriority w:val="99"/>
    <w:semiHidden/>
    <w:unhideWhenUsed/>
    <w:rPr>
      <w:b/>
      <w:bCs/>
    </w:rPr>
  </w:style>
  <w:style w:type="paragraph" w:styleId="Footer">
    <w:name w:val="footer"/>
    <w:basedOn w:val="Normal"/>
    <w:link w:val="FooterChar"/>
    <w:uiPriority w:val="99"/>
    <w:unhideWhenUsed/>
    <w:pPr>
      <w:tabs>
        <w:tab w:val="center" w:pos="4513"/>
        <w:tab w:val="right" w:pos="9026"/>
      </w:tabs>
      <w:spacing w:after="0" w:line="240" w:lineRule="auto"/>
    </w:p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styleId="Hyperlink">
    <w:name w:val="Hyperlink"/>
    <w:basedOn w:val="DefaultParagraphFont"/>
    <w:uiPriority w:val="99"/>
    <w:unhideWhenUsed/>
    <w:rPr>
      <w:color w:val="0563C1" w:themeColor="hyperlink"/>
      <w:u w:val="single"/>
    </w:rPr>
  </w:style>
  <w:style w:type="paragraph" w:styleId="NormalWeb">
    <w:name w:val="Normal (Web)"/>
    <w:basedOn w:val="Normal"/>
    <w:uiPriority w:val="99"/>
    <w:unhideWhenUsed/>
    <w:pPr>
      <w:spacing w:before="100" w:beforeAutospacing="1" w:after="100" w:afterAutospacing="1" w:line="240" w:lineRule="auto"/>
      <w:jc w:val="left"/>
    </w:pPr>
    <w:rPr>
      <w:rFonts w:eastAsia="Times New Roman" w:cs="Times New Roman"/>
      <w:kern w:val="0"/>
      <w:szCs w:val="24"/>
      <w:lang w:val="en-GB" w:eastAsia="en-GB"/>
      <w14:ligatures w14:val="none"/>
    </w:rPr>
  </w:style>
  <w:style w:type="character" w:styleId="Strong">
    <w:name w:val="Strong"/>
    <w:basedOn w:val="DefaultParagraphFont"/>
    <w:uiPriority w:val="22"/>
    <w:qFormat/>
    <w:rPr>
      <w:b/>
      <w:bCs/>
    </w:rPr>
  </w:style>
  <w:style w:type="paragraph" w:styleId="Subtitle">
    <w:name w:val="Subtitle"/>
    <w:basedOn w:val="Normal"/>
    <w:next w:val="Normal"/>
    <w:link w:val="SubtitleChar"/>
    <w:uiPriority w:val="11"/>
    <w:qFormat/>
    <w:rPr>
      <w:rFonts w:asciiTheme="minorHAnsi" w:eastAsiaTheme="majorEastAsia" w:hAnsiTheme="minorHAnsi" w:cstheme="majorBidi"/>
      <w:color w:val="595959" w:themeColor="text1" w:themeTint="A6"/>
      <w:spacing w:val="15"/>
      <w:sz w:val="28"/>
      <w:szCs w:val="28"/>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paragraph" w:styleId="TOC1">
    <w:name w:val="toc 1"/>
    <w:basedOn w:val="Normal"/>
    <w:next w:val="Normal"/>
    <w:autoRedefine/>
    <w:uiPriority w:val="39"/>
    <w:unhideWhenUsed/>
    <w:pPr>
      <w:spacing w:before="120" w:after="120"/>
      <w:jc w:val="left"/>
    </w:pPr>
    <w:rPr>
      <w:rFonts w:asciiTheme="minorHAnsi" w:hAnsiTheme="minorHAnsi" w:cstheme="minorHAnsi"/>
      <w:b/>
      <w:bCs/>
      <w:caps/>
      <w:sz w:val="20"/>
      <w:szCs w:val="20"/>
    </w:rPr>
  </w:style>
  <w:style w:type="paragraph" w:styleId="TOC2">
    <w:name w:val="toc 2"/>
    <w:basedOn w:val="Normal"/>
    <w:next w:val="Normal"/>
    <w:autoRedefine/>
    <w:uiPriority w:val="39"/>
    <w:unhideWhenUsed/>
    <w:pPr>
      <w:spacing w:after="0"/>
      <w:ind w:left="240"/>
      <w:jc w:val="left"/>
    </w:pPr>
    <w:rPr>
      <w:rFonts w:asciiTheme="minorHAnsi" w:hAnsiTheme="minorHAnsi" w:cstheme="minorHAnsi"/>
      <w:smallCaps/>
      <w:sz w:val="20"/>
      <w:szCs w:val="20"/>
    </w:rPr>
  </w:style>
  <w:style w:type="paragraph" w:styleId="TOC3">
    <w:name w:val="toc 3"/>
    <w:basedOn w:val="Normal"/>
    <w:next w:val="Normal"/>
    <w:autoRedefine/>
    <w:uiPriority w:val="39"/>
    <w:unhideWhenUsed/>
    <w:pPr>
      <w:spacing w:after="0"/>
      <w:ind w:left="480"/>
      <w:jc w:val="left"/>
    </w:pPr>
    <w:rPr>
      <w:rFonts w:asciiTheme="minorHAnsi" w:hAnsiTheme="minorHAnsi" w:cstheme="minorHAnsi"/>
      <w:i/>
      <w:iCs/>
      <w:sz w:val="20"/>
      <w:szCs w:val="20"/>
    </w:rPr>
  </w:style>
  <w:style w:type="paragraph" w:styleId="TOC4">
    <w:name w:val="toc 4"/>
    <w:basedOn w:val="Normal"/>
    <w:next w:val="Normal"/>
    <w:autoRedefine/>
    <w:uiPriority w:val="39"/>
    <w:unhideWhenUsed/>
    <w:pPr>
      <w:spacing w:after="0"/>
      <w:ind w:left="720"/>
      <w:jc w:val="left"/>
    </w:pPr>
    <w:rPr>
      <w:rFonts w:asciiTheme="minorHAnsi" w:hAnsiTheme="minorHAnsi" w:cstheme="minorHAnsi"/>
      <w:sz w:val="18"/>
      <w:szCs w:val="18"/>
    </w:rPr>
  </w:style>
  <w:style w:type="paragraph" w:styleId="TOC5">
    <w:name w:val="toc 5"/>
    <w:basedOn w:val="Normal"/>
    <w:next w:val="Normal"/>
    <w:autoRedefine/>
    <w:uiPriority w:val="39"/>
    <w:unhideWhenUsed/>
    <w:pPr>
      <w:spacing w:after="0"/>
      <w:ind w:left="960"/>
      <w:jc w:val="left"/>
    </w:pPr>
    <w:rPr>
      <w:rFonts w:asciiTheme="minorHAnsi" w:hAnsiTheme="minorHAnsi" w:cstheme="minorHAnsi"/>
      <w:sz w:val="18"/>
      <w:szCs w:val="18"/>
    </w:rPr>
  </w:style>
  <w:style w:type="paragraph" w:styleId="TOC6">
    <w:name w:val="toc 6"/>
    <w:basedOn w:val="Normal"/>
    <w:next w:val="Normal"/>
    <w:autoRedefine/>
    <w:uiPriority w:val="39"/>
    <w:unhideWhenUsed/>
    <w:pPr>
      <w:spacing w:after="0"/>
      <w:ind w:left="1200"/>
      <w:jc w:val="left"/>
    </w:pPr>
    <w:rPr>
      <w:rFonts w:asciiTheme="minorHAnsi" w:hAnsiTheme="minorHAnsi" w:cstheme="minorHAnsi"/>
      <w:sz w:val="18"/>
      <w:szCs w:val="18"/>
    </w:rPr>
  </w:style>
  <w:style w:type="paragraph" w:styleId="TOC7">
    <w:name w:val="toc 7"/>
    <w:basedOn w:val="Normal"/>
    <w:next w:val="Normal"/>
    <w:autoRedefine/>
    <w:uiPriority w:val="39"/>
    <w:unhideWhenUsed/>
    <w:pPr>
      <w:spacing w:after="0"/>
      <w:ind w:left="1440"/>
      <w:jc w:val="left"/>
    </w:pPr>
    <w:rPr>
      <w:rFonts w:asciiTheme="minorHAnsi" w:hAnsiTheme="minorHAnsi" w:cstheme="minorHAnsi"/>
      <w:sz w:val="18"/>
      <w:szCs w:val="18"/>
    </w:rPr>
  </w:style>
  <w:style w:type="paragraph" w:styleId="TOC8">
    <w:name w:val="toc 8"/>
    <w:basedOn w:val="Normal"/>
    <w:next w:val="Normal"/>
    <w:autoRedefine/>
    <w:uiPriority w:val="39"/>
    <w:unhideWhenUsed/>
    <w:pPr>
      <w:spacing w:after="0"/>
      <w:ind w:left="1680"/>
      <w:jc w:val="left"/>
    </w:pPr>
    <w:rPr>
      <w:rFonts w:asciiTheme="minorHAnsi" w:hAnsiTheme="minorHAnsi" w:cstheme="minorHAnsi"/>
      <w:sz w:val="18"/>
      <w:szCs w:val="18"/>
    </w:rPr>
  </w:style>
  <w:style w:type="paragraph" w:styleId="TOC9">
    <w:name w:val="toc 9"/>
    <w:basedOn w:val="Normal"/>
    <w:next w:val="Normal"/>
    <w:autoRedefine/>
    <w:uiPriority w:val="39"/>
    <w:unhideWhenUsed/>
    <w:pPr>
      <w:spacing w:after="0"/>
      <w:ind w:left="1920"/>
      <w:jc w:val="left"/>
    </w:pPr>
    <w:rPr>
      <w:rFonts w:asciiTheme="minorHAnsi" w:hAnsiTheme="minorHAnsi" w:cstheme="minorHAnsi"/>
      <w:sz w:val="18"/>
      <w:szCs w:val="18"/>
    </w:rPr>
  </w:style>
  <w:style w:type="character" w:customStyle="1" w:styleId="Heading1Char">
    <w:name w:val="Heading 1 Char"/>
    <w:basedOn w:val="DefaultParagraphFont"/>
    <w:link w:val="Heading1"/>
    <w:uiPriority w:val="9"/>
    <w:qFormat/>
    <w:rPr>
      <w:rFonts w:ascii="Times New Roman" w:eastAsiaTheme="majorEastAsia" w:hAnsi="Times New Roman" w:cstheme="majorBidi"/>
      <w:b/>
      <w:color w:val="7030A0"/>
      <w:sz w:val="32"/>
      <w:szCs w:val="32"/>
      <w:lang w:val="en-US"/>
    </w:rPr>
  </w:style>
  <w:style w:type="character" w:customStyle="1" w:styleId="Heading2Char">
    <w:name w:val="Heading 2 Char"/>
    <w:basedOn w:val="DefaultParagraphFont"/>
    <w:link w:val="Heading2"/>
    <w:uiPriority w:val="9"/>
    <w:rPr>
      <w:rFonts w:ascii="Times New Roman" w:eastAsiaTheme="majorEastAsia" w:hAnsi="Times New Roman" w:cstheme="majorBidi"/>
      <w:b/>
      <w:color w:val="1F4E79" w:themeColor="accent5" w:themeShade="80"/>
      <w:sz w:val="28"/>
      <w:szCs w:val="26"/>
      <w:lang w:val="en-US" w:bidi="bn-BD"/>
    </w:rPr>
  </w:style>
  <w:style w:type="character" w:customStyle="1" w:styleId="Heading3Char">
    <w:name w:val="Heading 3 Char"/>
    <w:basedOn w:val="DefaultParagraphFont"/>
    <w:link w:val="Heading3"/>
    <w:uiPriority w:val="9"/>
    <w:rPr>
      <w:rFonts w:ascii="Times New Roman" w:eastAsiaTheme="majorEastAsia" w:hAnsi="Times New Roman" w:cstheme="majorBidi"/>
      <w:b/>
      <w:color w:val="009BD2"/>
      <w:sz w:val="25"/>
      <w:szCs w:val="24"/>
      <w:lang w:val="en-US"/>
    </w:rPr>
  </w:style>
  <w:style w:type="character" w:customStyle="1" w:styleId="Heading4Char">
    <w:name w:val="Heading 4 Char"/>
    <w:basedOn w:val="DefaultParagraphFont"/>
    <w:link w:val="Heading4"/>
    <w:uiPriority w:val="9"/>
    <w:semiHidden/>
    <w:rPr>
      <w:rFonts w:eastAsiaTheme="majorEastAsia" w:cstheme="majorBidi"/>
      <w:i/>
      <w:iCs/>
      <w:color w:val="2F5496" w:themeColor="accent1" w:themeShade="BF"/>
      <w:sz w:val="24"/>
      <w:lang w:val="en-US"/>
    </w:rPr>
  </w:style>
  <w:style w:type="character" w:customStyle="1" w:styleId="Heading5Char">
    <w:name w:val="Heading 5 Char"/>
    <w:basedOn w:val="DefaultParagraphFont"/>
    <w:link w:val="Heading5"/>
    <w:uiPriority w:val="9"/>
    <w:semiHidden/>
    <w:rPr>
      <w:rFonts w:eastAsiaTheme="majorEastAsia" w:cstheme="majorBidi"/>
      <w:color w:val="2F5496" w:themeColor="accent1" w:themeShade="BF"/>
      <w:sz w:val="24"/>
      <w:lang w:val="en-US"/>
    </w:rPr>
  </w:style>
  <w:style w:type="character" w:customStyle="1" w:styleId="Heading6Char">
    <w:name w:val="Heading 6 Char"/>
    <w:basedOn w:val="DefaultParagraphFont"/>
    <w:link w:val="Heading6"/>
    <w:uiPriority w:val="9"/>
    <w:semiHidden/>
    <w:rPr>
      <w:rFonts w:eastAsiaTheme="majorEastAsia" w:cstheme="majorBidi"/>
      <w:i/>
      <w:iCs/>
      <w:color w:val="595959" w:themeColor="text1" w:themeTint="A6"/>
      <w:sz w:val="24"/>
      <w:lang w:val="en-US"/>
    </w:rPr>
  </w:style>
  <w:style w:type="character" w:customStyle="1" w:styleId="Heading7Char">
    <w:name w:val="Heading 7 Char"/>
    <w:basedOn w:val="DefaultParagraphFont"/>
    <w:link w:val="Heading7"/>
    <w:uiPriority w:val="9"/>
    <w:semiHidden/>
    <w:rPr>
      <w:rFonts w:eastAsiaTheme="majorEastAsia" w:cstheme="majorBidi"/>
      <w:color w:val="595959" w:themeColor="text1" w:themeTint="A6"/>
      <w:sz w:val="24"/>
      <w:lang w:val="en-US"/>
    </w:rPr>
  </w:style>
  <w:style w:type="character" w:customStyle="1" w:styleId="Heading8Char">
    <w:name w:val="Heading 8 Char"/>
    <w:basedOn w:val="DefaultParagraphFont"/>
    <w:link w:val="Heading8"/>
    <w:uiPriority w:val="9"/>
    <w:semiHidden/>
    <w:rPr>
      <w:rFonts w:eastAsiaTheme="majorEastAsia" w:cstheme="majorBidi"/>
      <w:i/>
      <w:iCs/>
      <w:color w:val="262626" w:themeColor="text1" w:themeTint="D9"/>
      <w:sz w:val="24"/>
      <w:lang w:val="en-US"/>
    </w:rPr>
  </w:style>
  <w:style w:type="character" w:customStyle="1" w:styleId="Heading9Char">
    <w:name w:val="Heading 9 Char"/>
    <w:basedOn w:val="DefaultParagraphFont"/>
    <w:link w:val="Heading9"/>
    <w:uiPriority w:val="9"/>
    <w:semiHidden/>
    <w:rPr>
      <w:rFonts w:eastAsiaTheme="majorEastAsia" w:cstheme="majorBidi"/>
      <w:color w:val="262626" w:themeColor="text1" w:themeTint="D9"/>
      <w:sz w:val="24"/>
      <w:lang w:val="en-US"/>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lang w:val="en-US"/>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lang w:val="en-US"/>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rPr>
      <w:rFonts w:ascii="Times New Roman" w:eastAsia="SimSun" w:hAnsi="Times New Roman"/>
      <w:i/>
      <w:iCs/>
      <w:color w:val="404040" w:themeColor="text1" w:themeTint="BF"/>
      <w:sz w:val="24"/>
      <w:lang w:val="en-US"/>
    </w:rPr>
  </w:style>
  <w:style w:type="paragraph" w:styleId="ListParagraph">
    <w:name w:val="List Paragraph"/>
    <w:basedOn w:val="Normal"/>
    <w:uiPriority w:val="34"/>
    <w:qFormat/>
    <w:pPr>
      <w:ind w:left="720"/>
      <w:contextualSpacing/>
    </w:pPr>
  </w:style>
  <w:style w:type="character" w:customStyle="1" w:styleId="IntenseEmphasis1">
    <w:name w:val="Intense Emphasis1"/>
    <w:basedOn w:val="DefaultParagraphFont"/>
    <w:uiPriority w:val="21"/>
    <w:qFormat/>
    <w:rPr>
      <w:i/>
      <w:iCs/>
      <w:color w:val="2F5496" w:themeColor="accent1" w:themeShade="BF"/>
    </w:rPr>
  </w:style>
  <w:style w:type="paragraph" w:styleId="IntenseQuote">
    <w:name w:val="Intense Quote"/>
    <w:basedOn w:val="Normal"/>
    <w:next w:val="Normal"/>
    <w:link w:val="IntenseQuoteChar"/>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Pr>
      <w:rFonts w:ascii="Times New Roman" w:eastAsia="SimSun" w:hAnsi="Times New Roman"/>
      <w:i/>
      <w:iCs/>
      <w:color w:val="2F5496" w:themeColor="accent1" w:themeShade="BF"/>
      <w:sz w:val="24"/>
      <w:lang w:val="en-US"/>
    </w:rPr>
  </w:style>
  <w:style w:type="character" w:customStyle="1" w:styleId="IntenseReference1">
    <w:name w:val="Intense Reference1"/>
    <w:basedOn w:val="DefaultParagraphFont"/>
    <w:uiPriority w:val="32"/>
    <w:qFormat/>
    <w:rPr>
      <w:b/>
      <w:bCs/>
      <w:smallCaps/>
      <w:color w:val="2F5496" w:themeColor="accent1" w:themeShade="BF"/>
      <w:spacing w:val="5"/>
    </w:rPr>
  </w:style>
  <w:style w:type="character" w:customStyle="1" w:styleId="UnresolvedMention1">
    <w:name w:val="Unresolved Mention1"/>
    <w:basedOn w:val="DefaultParagraphFont"/>
    <w:uiPriority w:val="99"/>
    <w:semiHidden/>
    <w:unhideWhenUsed/>
    <w:rPr>
      <w:color w:val="605E5C"/>
      <w:shd w:val="clear" w:color="auto" w:fill="E1DFDD"/>
    </w:rPr>
  </w:style>
  <w:style w:type="character" w:customStyle="1" w:styleId="HeaderChar">
    <w:name w:val="Header Char"/>
    <w:basedOn w:val="DefaultParagraphFont"/>
    <w:link w:val="Header"/>
    <w:uiPriority w:val="99"/>
    <w:rPr>
      <w:rFonts w:ascii="Times New Roman" w:eastAsia="SimSun" w:hAnsi="Times New Roman"/>
      <w:sz w:val="24"/>
      <w:lang w:val="en-US"/>
    </w:rPr>
  </w:style>
  <w:style w:type="character" w:customStyle="1" w:styleId="FooterChar">
    <w:name w:val="Footer Char"/>
    <w:basedOn w:val="DefaultParagraphFont"/>
    <w:link w:val="Footer"/>
    <w:uiPriority w:val="99"/>
    <w:rPr>
      <w:rFonts w:ascii="Times New Roman" w:eastAsia="SimSun" w:hAnsi="Times New Roman"/>
      <w:sz w:val="24"/>
      <w:lang w:val="en-US"/>
    </w:rPr>
  </w:style>
  <w:style w:type="table" w:customStyle="1" w:styleId="GridTable2-Accent51">
    <w:name w:val="Grid Table 2 - Accent 51"/>
    <w:basedOn w:val="TableNormal"/>
    <w:uiPriority w:val="47"/>
    <w:tblPr>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customStyle="1" w:styleId="TOCHeading1">
    <w:name w:val="TOC Heading1"/>
    <w:basedOn w:val="Heading1"/>
    <w:next w:val="Normal"/>
    <w:uiPriority w:val="39"/>
    <w:unhideWhenUsed/>
    <w:qFormat/>
    <w:pPr>
      <w:spacing w:line="259" w:lineRule="auto"/>
      <w:jc w:val="left"/>
      <w:outlineLvl w:val="9"/>
    </w:pPr>
    <w:rPr>
      <w:rFonts w:asciiTheme="majorHAnsi" w:hAnsiTheme="majorHAnsi"/>
      <w:b w:val="0"/>
      <w:color w:val="2F5496" w:themeColor="accent1" w:themeShade="BF"/>
      <w:kern w:val="0"/>
      <w14:ligatures w14:val="none"/>
    </w:rPr>
  </w:style>
  <w:style w:type="character" w:customStyle="1" w:styleId="CommentTextChar">
    <w:name w:val="Comment Text Char"/>
    <w:basedOn w:val="DefaultParagraphFont"/>
    <w:link w:val="CommentText"/>
    <w:uiPriority w:val="99"/>
    <w:rPr>
      <w:rFonts w:ascii="Times New Roman" w:eastAsia="SimSun" w:hAnsi="Times New Roman"/>
      <w:sz w:val="20"/>
      <w:szCs w:val="20"/>
      <w:lang w:val="en-US"/>
    </w:rPr>
  </w:style>
  <w:style w:type="character" w:customStyle="1" w:styleId="CommentSubjectChar">
    <w:name w:val="Comment Subject Char"/>
    <w:basedOn w:val="CommentTextChar"/>
    <w:link w:val="CommentSubject"/>
    <w:uiPriority w:val="99"/>
    <w:semiHidden/>
    <w:rPr>
      <w:rFonts w:ascii="Times New Roman" w:eastAsia="SimSun" w:hAnsi="Times New Roman"/>
      <w:b/>
      <w:bC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9964408">
      <w:bodyDiv w:val="1"/>
      <w:marLeft w:val="0"/>
      <w:marRight w:val="0"/>
      <w:marTop w:val="0"/>
      <w:marBottom w:val="0"/>
      <w:divBdr>
        <w:top w:val="none" w:sz="0" w:space="0" w:color="auto"/>
        <w:left w:val="none" w:sz="0" w:space="0" w:color="auto"/>
        <w:bottom w:val="none" w:sz="0" w:space="0" w:color="auto"/>
        <w:right w:val="none" w:sz="0" w:space="0" w:color="auto"/>
      </w:divBdr>
    </w:div>
    <w:div w:id="18053435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science/article/pii/S0278431921001559" TargetMode="External"/><Relationship Id="rId13" Type="http://schemas.openxmlformats.org/officeDocument/2006/relationships/hyperlink" Target="https://www.researchgate.net/publication/381867148_Crisis-driven_innovation_in_hospitality_How_do_international_hotel_chains_innovate_to_recover_from_a_global_crisis" TargetMode="External"/><Relationship Id="rId18" Type="http://schemas.openxmlformats.org/officeDocument/2006/relationships/hyperlink" Target="https://www.tandfonline.com/doi/abs/10.1080/15022250.2022.2059563" TargetMode="External"/><Relationship Id="rId26" Type="http://schemas.openxmlformats.org/officeDocument/2006/relationships/hyperlink" Target="https://www.sciencedirect.com/science/article/pii/S0261517721000406" TargetMode="External"/><Relationship Id="rId3" Type="http://schemas.openxmlformats.org/officeDocument/2006/relationships/styles" Target="styles.xml"/><Relationship Id="rId21" Type="http://schemas.openxmlformats.org/officeDocument/2006/relationships/hyperlink" Target="https://sustainablehospitalityalliance.org/wp-content/uploads/2023/12/2023-Progress-Report-Public-1.pdf" TargetMode="External"/><Relationship Id="rId7" Type="http://schemas.openxmlformats.org/officeDocument/2006/relationships/endnotes" Target="endnotes.xml"/><Relationship Id="rId12" Type="http://schemas.openxmlformats.org/officeDocument/2006/relationships/hyperlink" Target="https://publications.aaahq.org/ajpt/article-abstract/41/3/95/234" TargetMode="External"/><Relationship Id="rId17" Type="http://schemas.openxmlformats.org/officeDocument/2006/relationships/hyperlink" Target="https://www.sciencedirect.com/science/article/pii/S0278431923001962" TargetMode="External"/><Relationship Id="rId25" Type="http://schemas.openxmlformats.org/officeDocument/2006/relationships/hyperlink" Target="https://www.unwto.org/news/2020-worst-year-in-tourism-history-with-1-billion-fewer-international-arrivals" TargetMode="External"/><Relationship Id="rId2" Type="http://schemas.openxmlformats.org/officeDocument/2006/relationships/numbering" Target="numbering.xml"/><Relationship Id="rId16" Type="http://schemas.openxmlformats.org/officeDocument/2006/relationships/hyperlink" Target="https://www.tandfonline.com/doi/abs/10.1080/13683500.2020.1850653" TargetMode="External"/><Relationship Id="rId20" Type="http://schemas.openxmlformats.org/officeDocument/2006/relationships/hyperlink" Target="https://pmc.ncbi.nlm.nih.gov/articles/PMC8612114/"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merald.com/insight/content/doi/10.1108/WHATT-02-2021-0038/full/html" TargetMode="External"/><Relationship Id="rId24" Type="http://schemas.openxmlformats.org/officeDocument/2006/relationships/hyperlink" Target="https://www.worldbank.org/en/news/feature/2023/09/19/climate-policies-with-real-world-results" TargetMode="External"/><Relationship Id="rId5" Type="http://schemas.openxmlformats.org/officeDocument/2006/relationships/webSettings" Target="webSettings.xml"/><Relationship Id="rId15" Type="http://schemas.openxmlformats.org/officeDocument/2006/relationships/hyperlink" Target="https://green.org/2024/01/30/solar-energy-in-the-hospitality-industry/" TargetMode="External"/><Relationship Id="rId23" Type="http://schemas.openxmlformats.org/officeDocument/2006/relationships/hyperlink" Target="https://www.mdpi.com/2076-3417/11/15/7134" TargetMode="External"/><Relationship Id="rId28" Type="http://schemas.openxmlformats.org/officeDocument/2006/relationships/fontTable" Target="fontTable.xml"/><Relationship Id="rId10" Type="http://schemas.openxmlformats.org/officeDocument/2006/relationships/hyperlink" Target="https://www.mdpi.com/2071-1050/13/16/8756" TargetMode="External"/><Relationship Id="rId19" Type="http://schemas.openxmlformats.org/officeDocument/2006/relationships/hyperlink" Target="https://www.tandfonline.com/doi/abs/10.1080/13683500.2021.1883556" TargetMode="External"/><Relationship Id="rId4" Type="http://schemas.openxmlformats.org/officeDocument/2006/relationships/settings" Target="settings.xml"/><Relationship Id="rId9" Type="http://schemas.openxmlformats.org/officeDocument/2006/relationships/hyperlink" Target="https://pmc.ncbi.nlm.nih.gov/articles/PMC8612114/" TargetMode="External"/><Relationship Id="rId14" Type="http://schemas.openxmlformats.org/officeDocument/2006/relationships/hyperlink" Target="https://www.forbes.com/councils/forbesbusinesscouncil/2023/11/21/17-sustainability-initiatives-of-businesses-that-are-going-green/" TargetMode="External"/><Relationship Id="rId22" Type="http://schemas.openxmlformats.org/officeDocument/2006/relationships/hyperlink" Target="https://www.sciencedirect.com/science/article/pii/S1364032121001660"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495544-A83D-4BB9-A895-F685F088BE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1</Pages>
  <Words>4955</Words>
  <Characters>28247</Characters>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33136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dcterms:created xsi:type="dcterms:W3CDTF">2025-02-08T05:08:00Z</dcterms:created>
  <dcterms:modified xsi:type="dcterms:W3CDTF">2025-02-10T22:30:00Z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6016b5a9c210eeb5982dc99ae1e035b018436dd3192404f055f61a43a33dda56</vt:lpwstr>
  </property>
  <property fmtid="{D5CDD505-2E9C-101B-9397-08002B2CF9AE}" pid="3" name="KSOProductBuildVer">
    <vt:lpwstr>1033-12.2.0.19805</vt:lpwstr>
  </property>
  <property fmtid="{D5CDD505-2E9C-101B-9397-08002B2CF9AE}" pid="4" name="ICV">
    <vt:lpwstr>1FBFCFB0333B4D2CAA39AB893811626F_12</vt:lpwstr>
  </property>
</Properties>
</file>