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FA3E5" w14:textId="77777777" w:rsidR="005E5B2C" w:rsidRDefault="00A41456">
      <w:pPr>
        <w:spacing w:line="360" w:lineRule="auto"/>
        <w:rPr>
          <w:sz w:val="22"/>
          <w:szCs w:val="22"/>
        </w:rPr>
      </w:pPr>
      <w:r>
        <w:rPr>
          <w:noProof/>
        </w:rPr>
        <w:drawing>
          <wp:anchor distT="0" distB="0" distL="114300" distR="114300" simplePos="0" relativeHeight="251658240" behindDoc="0" locked="0" layoutInCell="1" hidden="0" allowOverlap="1" wp14:anchorId="423FA42E" wp14:editId="423FA42F">
            <wp:simplePos x="0" y="0"/>
            <wp:positionH relativeFrom="column">
              <wp:posOffset>1</wp:posOffset>
            </wp:positionH>
            <wp:positionV relativeFrom="paragraph">
              <wp:posOffset>292100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1809750" cy="723900"/>
                    </a:xfrm>
                    <a:prstGeom prst="rect">
                      <a:avLst/>
                    </a:prstGeom>
                    <a:ln/>
                  </pic:spPr>
                </pic:pic>
              </a:graphicData>
            </a:graphic>
          </wp:anchor>
        </w:drawing>
      </w:r>
    </w:p>
    <w:p w14:paraId="423FA3E6" w14:textId="77777777" w:rsidR="005E5B2C" w:rsidRDefault="005E5B2C">
      <w:pPr>
        <w:spacing w:line="360" w:lineRule="auto"/>
        <w:rPr>
          <w:sz w:val="22"/>
          <w:szCs w:val="22"/>
        </w:rPr>
      </w:pPr>
    </w:p>
    <w:p w14:paraId="423FA3E7" w14:textId="77777777" w:rsidR="005E5B2C" w:rsidRDefault="005E5B2C">
      <w:pPr>
        <w:spacing w:line="360" w:lineRule="auto"/>
        <w:rPr>
          <w:sz w:val="22"/>
          <w:szCs w:val="22"/>
        </w:rPr>
      </w:pPr>
    </w:p>
    <w:p w14:paraId="423FA3E8" w14:textId="77777777" w:rsidR="005E5B2C" w:rsidRDefault="005E5B2C">
      <w:pPr>
        <w:spacing w:line="360" w:lineRule="auto"/>
        <w:rPr>
          <w:sz w:val="22"/>
          <w:szCs w:val="22"/>
        </w:rPr>
      </w:pPr>
    </w:p>
    <w:p w14:paraId="423FA3E9" w14:textId="77777777" w:rsidR="005E5B2C" w:rsidRDefault="005E5B2C">
      <w:pPr>
        <w:tabs>
          <w:tab w:val="left" w:pos="6540"/>
        </w:tabs>
        <w:spacing w:line="360" w:lineRule="auto"/>
        <w:rPr>
          <w:sz w:val="22"/>
          <w:szCs w:val="22"/>
        </w:rPr>
      </w:pPr>
    </w:p>
    <w:p w14:paraId="423FA3EA" w14:textId="77777777" w:rsidR="005E5B2C" w:rsidRDefault="00A41456">
      <w:pPr>
        <w:tabs>
          <w:tab w:val="left" w:pos="6540"/>
        </w:tabs>
        <w:spacing w:line="360" w:lineRule="auto"/>
        <w:rPr>
          <w:rFonts w:ascii="Arial" w:eastAsia="Arial" w:hAnsi="Arial" w:cs="Arial"/>
          <w:sz w:val="28"/>
          <w:szCs w:val="28"/>
        </w:rPr>
      </w:pPr>
      <w:r>
        <w:rPr>
          <w:rFonts w:ascii="Arial" w:eastAsia="Arial" w:hAnsi="Arial" w:cs="Arial"/>
          <w:b/>
          <w:bCs/>
          <w:sz w:val="28"/>
          <w:szCs w:val="28"/>
        </w:rPr>
        <w:t>Module name</w:t>
      </w:r>
      <w:r>
        <w:rPr>
          <w:rFonts w:ascii="Arial" w:eastAsia="Arial" w:hAnsi="Arial" w:cs="Arial"/>
          <w:sz w:val="28"/>
          <w:szCs w:val="28"/>
        </w:rPr>
        <w:t>: Introduction to Health and Social Care</w:t>
      </w:r>
    </w:p>
    <w:p w14:paraId="423FA3EB" w14:textId="77777777" w:rsidR="005E5B2C" w:rsidRDefault="00A41456">
      <w:pPr>
        <w:tabs>
          <w:tab w:val="left" w:pos="6540"/>
        </w:tabs>
        <w:spacing w:line="360" w:lineRule="auto"/>
        <w:rPr>
          <w:rFonts w:ascii="Arial" w:eastAsia="Arial" w:hAnsi="Arial" w:cs="Arial"/>
          <w:sz w:val="28"/>
          <w:szCs w:val="28"/>
        </w:rPr>
      </w:pPr>
      <w:r>
        <w:rPr>
          <w:rFonts w:ascii="Arial" w:eastAsia="Arial" w:hAnsi="Arial" w:cs="Arial"/>
          <w:b/>
          <w:bCs/>
          <w:sz w:val="28"/>
          <w:szCs w:val="28"/>
        </w:rPr>
        <w:t>Module code</w:t>
      </w:r>
      <w:r>
        <w:rPr>
          <w:rFonts w:ascii="Arial" w:eastAsia="Arial" w:hAnsi="Arial" w:cs="Arial"/>
          <w:sz w:val="28"/>
          <w:szCs w:val="28"/>
        </w:rPr>
        <w:t>: LCHS4003</w:t>
      </w:r>
    </w:p>
    <w:p w14:paraId="423FA3EC" w14:textId="77777777" w:rsidR="005E5B2C" w:rsidRDefault="005E5B2C">
      <w:pPr>
        <w:tabs>
          <w:tab w:val="left" w:pos="6540"/>
        </w:tabs>
        <w:spacing w:line="360" w:lineRule="auto"/>
        <w:rPr>
          <w:rFonts w:ascii="Arial" w:eastAsia="Arial" w:hAnsi="Arial" w:cs="Arial"/>
          <w:b/>
          <w:bCs/>
          <w:sz w:val="28"/>
          <w:szCs w:val="28"/>
        </w:rPr>
      </w:pPr>
    </w:p>
    <w:p w14:paraId="423FA3ED" w14:textId="77777777" w:rsidR="005E5B2C" w:rsidRDefault="00A41456">
      <w:pPr>
        <w:tabs>
          <w:tab w:val="left" w:pos="6540"/>
        </w:tabs>
        <w:spacing w:line="360" w:lineRule="auto"/>
        <w:rPr>
          <w:rFonts w:ascii="Arial" w:eastAsia="Arial" w:hAnsi="Arial" w:cs="Arial"/>
          <w:sz w:val="28"/>
          <w:szCs w:val="28"/>
        </w:rPr>
      </w:pPr>
      <w:r>
        <w:rPr>
          <w:rFonts w:ascii="Arial" w:eastAsia="Arial" w:hAnsi="Arial" w:cs="Arial"/>
          <w:b/>
          <w:bCs/>
          <w:sz w:val="28"/>
          <w:szCs w:val="28"/>
        </w:rPr>
        <w:t>Student name</w:t>
      </w:r>
      <w:r>
        <w:rPr>
          <w:rFonts w:ascii="Arial" w:eastAsia="Arial" w:hAnsi="Arial" w:cs="Arial"/>
          <w:sz w:val="28"/>
          <w:szCs w:val="28"/>
        </w:rPr>
        <w:t>: Md Arif Ahmad</w:t>
      </w:r>
    </w:p>
    <w:p w14:paraId="423FA3EE" w14:textId="77777777" w:rsidR="005E5B2C" w:rsidRDefault="00A41456">
      <w:pPr>
        <w:tabs>
          <w:tab w:val="left" w:pos="6540"/>
        </w:tabs>
        <w:spacing w:line="360" w:lineRule="auto"/>
        <w:rPr>
          <w:rFonts w:ascii="Arial" w:eastAsia="Arial" w:hAnsi="Arial" w:cs="Arial"/>
          <w:sz w:val="28"/>
          <w:szCs w:val="28"/>
        </w:rPr>
      </w:pPr>
      <w:r>
        <w:rPr>
          <w:rFonts w:ascii="Arial" w:eastAsia="Arial" w:hAnsi="Arial" w:cs="Arial"/>
          <w:b/>
          <w:bCs/>
          <w:sz w:val="28"/>
          <w:szCs w:val="28"/>
        </w:rPr>
        <w:t>Student ID</w:t>
      </w:r>
      <w:r>
        <w:rPr>
          <w:rFonts w:ascii="Arial" w:eastAsia="Arial" w:hAnsi="Arial" w:cs="Arial"/>
          <w:sz w:val="28"/>
          <w:szCs w:val="28"/>
        </w:rPr>
        <w:t>: 2532915</w:t>
      </w:r>
    </w:p>
    <w:p w14:paraId="423FA3EF" w14:textId="77777777" w:rsidR="005E5B2C" w:rsidRDefault="005E5B2C">
      <w:pPr>
        <w:tabs>
          <w:tab w:val="left" w:pos="6540"/>
        </w:tabs>
        <w:spacing w:line="360" w:lineRule="auto"/>
        <w:rPr>
          <w:rFonts w:ascii="Arial" w:eastAsia="Arial" w:hAnsi="Arial" w:cs="Arial"/>
          <w:sz w:val="28"/>
          <w:szCs w:val="28"/>
        </w:rPr>
      </w:pPr>
    </w:p>
    <w:p w14:paraId="196F8AF0" w14:textId="77777777" w:rsidR="00590147" w:rsidRDefault="00A41456">
      <w:pPr>
        <w:tabs>
          <w:tab w:val="left" w:pos="6540"/>
        </w:tabs>
        <w:spacing w:line="360" w:lineRule="auto"/>
        <w:rPr>
          <w:rFonts w:ascii="Arial" w:eastAsia="Arial" w:hAnsi="Arial" w:cs="Arial"/>
          <w:sz w:val="28"/>
          <w:szCs w:val="28"/>
        </w:rPr>
      </w:pPr>
      <w:r>
        <w:rPr>
          <w:rFonts w:ascii="Arial" w:eastAsia="Arial" w:hAnsi="Arial" w:cs="Arial"/>
          <w:b/>
          <w:bCs/>
          <w:sz w:val="28"/>
          <w:szCs w:val="28"/>
        </w:rPr>
        <w:t>Lecturer’s name</w:t>
      </w:r>
      <w:r>
        <w:rPr>
          <w:rFonts w:ascii="Arial" w:eastAsia="Arial" w:hAnsi="Arial" w:cs="Arial"/>
          <w:sz w:val="28"/>
          <w:szCs w:val="28"/>
        </w:rPr>
        <w:t xml:space="preserve">: Christiana </w:t>
      </w:r>
      <w:proofErr w:type="spellStart"/>
      <w:r>
        <w:rPr>
          <w:rFonts w:ascii="Arial" w:eastAsia="Arial" w:hAnsi="Arial" w:cs="Arial"/>
          <w:sz w:val="28"/>
          <w:szCs w:val="28"/>
        </w:rPr>
        <w:t>Melam</w:t>
      </w:r>
      <w:proofErr w:type="spellEnd"/>
    </w:p>
    <w:p w14:paraId="523A8723" w14:textId="5CA74E31" w:rsidR="00841716" w:rsidRDefault="00CA7B94">
      <w:pPr>
        <w:tabs>
          <w:tab w:val="left" w:pos="6540"/>
        </w:tabs>
        <w:spacing w:line="360" w:lineRule="auto"/>
        <w:rPr>
          <w:rFonts w:ascii="Arial" w:eastAsia="Arial" w:hAnsi="Arial" w:cs="Arial"/>
          <w:sz w:val="28"/>
          <w:szCs w:val="28"/>
        </w:rPr>
      </w:pPr>
      <w:r w:rsidRPr="00590147">
        <w:rPr>
          <w:rFonts w:ascii="Arial" w:eastAsia="Arial" w:hAnsi="Arial" w:cs="Arial"/>
          <w:b/>
          <w:bCs/>
          <w:sz w:val="28"/>
          <w:szCs w:val="28"/>
        </w:rPr>
        <w:t>Assignment Title:</w:t>
      </w:r>
      <w:r w:rsidRPr="00CA7B94">
        <w:rPr>
          <w:rFonts w:ascii="Arial" w:eastAsia="Arial" w:hAnsi="Arial" w:cs="Arial"/>
          <w:sz w:val="28"/>
          <w:szCs w:val="28"/>
        </w:rPr>
        <w:t xml:space="preserve"> Component 2 Written Assignment</w:t>
      </w:r>
    </w:p>
    <w:p w14:paraId="423FA3F1" w14:textId="77777777" w:rsidR="005E5B2C" w:rsidRDefault="005E5B2C">
      <w:pPr>
        <w:tabs>
          <w:tab w:val="left" w:pos="6540"/>
        </w:tabs>
        <w:spacing w:line="360" w:lineRule="auto"/>
        <w:rPr>
          <w:sz w:val="22"/>
          <w:szCs w:val="22"/>
        </w:rPr>
      </w:pPr>
    </w:p>
    <w:p w14:paraId="423FA3F2" w14:textId="77777777" w:rsidR="005E5B2C" w:rsidRDefault="005E5B2C">
      <w:pPr>
        <w:tabs>
          <w:tab w:val="left" w:pos="6540"/>
        </w:tabs>
        <w:spacing w:line="360" w:lineRule="auto"/>
        <w:rPr>
          <w:sz w:val="22"/>
          <w:szCs w:val="22"/>
        </w:rPr>
      </w:pPr>
    </w:p>
    <w:p w14:paraId="423FA3F3" w14:textId="77777777" w:rsidR="005E5B2C" w:rsidRDefault="005E5B2C">
      <w:pPr>
        <w:tabs>
          <w:tab w:val="left" w:pos="6540"/>
        </w:tabs>
        <w:spacing w:line="360" w:lineRule="auto"/>
        <w:rPr>
          <w:sz w:val="22"/>
          <w:szCs w:val="22"/>
        </w:rPr>
      </w:pPr>
    </w:p>
    <w:p w14:paraId="423FA3F4" w14:textId="77777777" w:rsidR="005E5B2C" w:rsidRDefault="005E5B2C">
      <w:pPr>
        <w:tabs>
          <w:tab w:val="left" w:pos="6540"/>
        </w:tabs>
        <w:spacing w:line="360" w:lineRule="auto"/>
        <w:rPr>
          <w:sz w:val="22"/>
          <w:szCs w:val="22"/>
        </w:rPr>
      </w:pPr>
    </w:p>
    <w:p w14:paraId="423FA3F5" w14:textId="77777777" w:rsidR="005E5B2C" w:rsidRDefault="00A41456">
      <w:pPr>
        <w:spacing w:line="360" w:lineRule="auto"/>
        <w:rPr>
          <w:sz w:val="22"/>
          <w:szCs w:val="22"/>
        </w:rPr>
      </w:pPr>
      <w:r>
        <w:br w:type="page"/>
      </w:r>
    </w:p>
    <w:p w14:paraId="423FA3F6" w14:textId="77777777" w:rsidR="005E5B2C" w:rsidRDefault="00A41456">
      <w:pPr>
        <w:pStyle w:val="Heading1"/>
      </w:pPr>
      <w:r>
        <w:lastRenderedPageBreak/>
        <w:t>Table of contents</w:t>
      </w:r>
    </w:p>
    <w:p w14:paraId="423FA3F7" w14:textId="350B66B3" w:rsidR="005E5B2C" w:rsidRDefault="00A41456">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Introduction………………………………………………………………………</w:t>
      </w:r>
      <w:proofErr w:type="gramStart"/>
      <w:r w:rsidR="00D945E3">
        <w:rPr>
          <w:rFonts w:ascii="Arial" w:eastAsia="Arial" w:hAnsi="Arial" w:cs="Arial"/>
          <w:color w:val="000000"/>
        </w:rPr>
        <w:t>…..</w:t>
      </w:r>
      <w:proofErr w:type="gramEnd"/>
      <w:r>
        <w:rPr>
          <w:rFonts w:ascii="Arial" w:eastAsia="Arial" w:hAnsi="Arial" w:cs="Arial"/>
          <w:color w:val="000000"/>
        </w:rPr>
        <w:t>3</w:t>
      </w:r>
    </w:p>
    <w:p w14:paraId="423FA3F8" w14:textId="77777777" w:rsidR="005E5B2C" w:rsidRDefault="00A41456">
      <w:pPr>
        <w:numPr>
          <w:ilvl w:val="0"/>
          <w:numId w:val="1"/>
        </w:num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color w:val="000000"/>
          <w:sz w:val="22"/>
          <w:szCs w:val="22"/>
        </w:rPr>
        <w:t>Importance of effective communication…………………………………………………...3</w:t>
      </w:r>
    </w:p>
    <w:p w14:paraId="423FA3F9" w14:textId="2B1D0270" w:rsidR="005E5B2C" w:rsidRDefault="00A41456">
      <w:pPr>
        <w:numPr>
          <w:ilvl w:val="0"/>
          <w:numId w:val="1"/>
        </w:num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color w:val="000000"/>
          <w:sz w:val="22"/>
          <w:szCs w:val="22"/>
        </w:rPr>
        <w:t>Importance of Good Administrative Skills……………………………………</w:t>
      </w:r>
      <w:r w:rsidR="00D945E3">
        <w:rPr>
          <w:rFonts w:ascii="Arial" w:eastAsia="Arial" w:hAnsi="Arial" w:cs="Arial"/>
          <w:color w:val="000000"/>
          <w:sz w:val="22"/>
          <w:szCs w:val="22"/>
        </w:rPr>
        <w:t>…...</w:t>
      </w:r>
      <w:r>
        <w:rPr>
          <w:rFonts w:ascii="Arial" w:eastAsia="Arial" w:hAnsi="Arial" w:cs="Arial"/>
          <w:color w:val="000000"/>
          <w:sz w:val="22"/>
          <w:szCs w:val="22"/>
        </w:rPr>
        <w:t>……</w:t>
      </w:r>
      <w:r w:rsidR="00D945E3">
        <w:rPr>
          <w:rFonts w:ascii="Arial" w:eastAsia="Arial" w:hAnsi="Arial" w:cs="Arial"/>
          <w:color w:val="000000"/>
          <w:sz w:val="22"/>
          <w:szCs w:val="22"/>
        </w:rPr>
        <w:t>….5</w:t>
      </w:r>
    </w:p>
    <w:p w14:paraId="423FA3FA" w14:textId="77777777" w:rsidR="005E5B2C" w:rsidRDefault="00A41456">
      <w:pPr>
        <w:numPr>
          <w:ilvl w:val="0"/>
          <w:numId w:val="1"/>
        </w:num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color w:val="000000"/>
          <w:sz w:val="22"/>
          <w:szCs w:val="22"/>
        </w:rPr>
        <w:t>Importance of Working Collaboratively…………………………………………………….6</w:t>
      </w:r>
    </w:p>
    <w:p w14:paraId="423FA3FB" w14:textId="4D8EB901" w:rsidR="005E5B2C" w:rsidRDefault="00A41456">
      <w:pPr>
        <w:numPr>
          <w:ilvl w:val="0"/>
          <w:numId w:val="1"/>
        </w:num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color w:val="000000"/>
          <w:sz w:val="22"/>
          <w:szCs w:val="22"/>
        </w:rPr>
        <w:t>Conclusion……………………………………………………………………………………</w:t>
      </w:r>
      <w:r w:rsidR="00E63490">
        <w:rPr>
          <w:rFonts w:ascii="Arial" w:eastAsia="Arial" w:hAnsi="Arial" w:cs="Arial"/>
          <w:color w:val="000000"/>
          <w:sz w:val="22"/>
          <w:szCs w:val="22"/>
        </w:rPr>
        <w:t>7</w:t>
      </w:r>
    </w:p>
    <w:p w14:paraId="423FA3FC" w14:textId="24051FB3" w:rsidR="005E5B2C" w:rsidRDefault="00A41456">
      <w:pPr>
        <w:numPr>
          <w:ilvl w:val="0"/>
          <w:numId w:val="1"/>
        </w:numPr>
        <w:pBdr>
          <w:top w:val="nil"/>
          <w:left w:val="nil"/>
          <w:bottom w:val="nil"/>
          <w:right w:val="nil"/>
          <w:between w:val="nil"/>
        </w:pBdr>
        <w:spacing w:line="360" w:lineRule="auto"/>
        <w:rPr>
          <w:rFonts w:ascii="Arial" w:eastAsia="Arial" w:hAnsi="Arial" w:cs="Arial"/>
          <w:color w:val="000000"/>
          <w:sz w:val="22"/>
          <w:szCs w:val="22"/>
        </w:rPr>
      </w:pPr>
      <w:r>
        <w:rPr>
          <w:rFonts w:ascii="Arial" w:eastAsia="Arial" w:hAnsi="Arial" w:cs="Arial"/>
          <w:color w:val="000000"/>
          <w:sz w:val="22"/>
          <w:szCs w:val="22"/>
        </w:rPr>
        <w:t>References……………………………………………………………………………………</w:t>
      </w:r>
      <w:r w:rsidR="00CD1062">
        <w:rPr>
          <w:rFonts w:ascii="Arial" w:eastAsia="Arial" w:hAnsi="Arial" w:cs="Arial"/>
          <w:color w:val="000000"/>
          <w:sz w:val="22"/>
          <w:szCs w:val="22"/>
        </w:rPr>
        <w:t>8</w:t>
      </w:r>
    </w:p>
    <w:p w14:paraId="423FA3FD" w14:textId="77777777" w:rsidR="005E5B2C" w:rsidRDefault="00A41456">
      <w:pPr>
        <w:spacing w:line="360" w:lineRule="auto"/>
        <w:rPr>
          <w:rFonts w:ascii="Arial" w:eastAsia="Arial" w:hAnsi="Arial" w:cs="Arial"/>
          <w:sz w:val="22"/>
          <w:szCs w:val="22"/>
        </w:rPr>
      </w:pPr>
      <w:r>
        <w:br w:type="page"/>
      </w:r>
    </w:p>
    <w:p w14:paraId="423FA3FE" w14:textId="77777777" w:rsidR="005E5B2C" w:rsidRDefault="00A41456">
      <w:pPr>
        <w:pStyle w:val="Heading1"/>
      </w:pPr>
      <w:r>
        <w:lastRenderedPageBreak/>
        <w:t>1. Introduction</w:t>
      </w:r>
    </w:p>
    <w:p w14:paraId="423FA3FF" w14:textId="77777777" w:rsidR="005E5B2C" w:rsidRDefault="00A41456">
      <w:pPr>
        <w:tabs>
          <w:tab w:val="left" w:pos="6540"/>
        </w:tabs>
        <w:spacing w:line="360" w:lineRule="auto"/>
        <w:rPr>
          <w:rFonts w:ascii="Arial" w:eastAsia="Arial" w:hAnsi="Arial" w:cs="Arial"/>
          <w:sz w:val="22"/>
          <w:szCs w:val="22"/>
        </w:rPr>
      </w:pPr>
      <w:r>
        <w:rPr>
          <w:rFonts w:ascii="Arial" w:eastAsia="Arial" w:hAnsi="Arial" w:cs="Arial"/>
          <w:sz w:val="22"/>
          <w:szCs w:val="22"/>
        </w:rPr>
        <w:t>This report examines the case of Mrs. Thompson, an 84-year-old living independently in sheltered accommodation following a hospital discharge for pneumonia. Although domiciliary carers visit her twice daily, recent incidents have highlighted growing concerns about her safety. Specifically, Mrs. Thompson experienced heightened confusion after missing two consecutive days of medication, and she was subsequently discovered outdoors in cold weather without appropriate attire. These situations underscore the imp</w:t>
      </w:r>
      <w:r>
        <w:rPr>
          <w:rFonts w:ascii="Arial" w:eastAsia="Arial" w:hAnsi="Arial" w:cs="Arial"/>
          <w:sz w:val="22"/>
          <w:szCs w:val="22"/>
        </w:rPr>
        <w:t>erative for personalized, high-quality, and secure care aimed at safeguarding her overall health and well-being.</w:t>
      </w:r>
    </w:p>
    <w:p w14:paraId="423FA400" w14:textId="77777777" w:rsidR="005E5B2C" w:rsidRDefault="00A41456">
      <w:pPr>
        <w:tabs>
          <w:tab w:val="left" w:pos="6540"/>
        </w:tabs>
        <w:spacing w:line="360" w:lineRule="auto"/>
        <w:rPr>
          <w:rFonts w:ascii="Arial" w:eastAsia="Arial" w:hAnsi="Arial" w:cs="Arial"/>
          <w:sz w:val="22"/>
          <w:szCs w:val="22"/>
        </w:rPr>
      </w:pPr>
      <w:r>
        <w:rPr>
          <w:rFonts w:ascii="Arial" w:eastAsia="Arial" w:hAnsi="Arial" w:cs="Arial"/>
          <w:sz w:val="22"/>
          <w:szCs w:val="22"/>
        </w:rPr>
        <w:t xml:space="preserve">The objective of this report is to analyse the critical role that communication, administrative proficiency, and multi-agency collaboration play in Mrs. Thompson’s ongoing care. Clear communication enables healthcare workers to identify individual needs accurately and deliver tailored support (Skills for Care, 2023). Furthermore, maintaining meticulous documentation in line with regulatory frameworks, such as the Data Protection Act 2018, ensures safe clinical practice. Ultimately, active partnership among </w:t>
      </w:r>
      <w:r>
        <w:rPr>
          <w:rFonts w:ascii="Arial" w:eastAsia="Arial" w:hAnsi="Arial" w:cs="Arial"/>
          <w:sz w:val="22"/>
          <w:szCs w:val="22"/>
        </w:rPr>
        <w:t>diverse professionals guarantees a well-coordinated approach that promotes both her security and autonomy.</w:t>
      </w:r>
    </w:p>
    <w:p w14:paraId="423FA401" w14:textId="77777777" w:rsidR="005E5B2C" w:rsidRDefault="005E5B2C">
      <w:pPr>
        <w:tabs>
          <w:tab w:val="left" w:pos="6540"/>
        </w:tabs>
        <w:spacing w:line="360" w:lineRule="auto"/>
        <w:rPr>
          <w:rFonts w:ascii="Arial" w:eastAsia="Arial" w:hAnsi="Arial" w:cs="Arial"/>
          <w:sz w:val="22"/>
          <w:szCs w:val="22"/>
        </w:rPr>
      </w:pPr>
    </w:p>
    <w:p w14:paraId="423FA402" w14:textId="77777777" w:rsidR="005E5B2C" w:rsidRDefault="005E5B2C">
      <w:pPr>
        <w:tabs>
          <w:tab w:val="left" w:pos="6540"/>
        </w:tabs>
        <w:spacing w:line="360" w:lineRule="auto"/>
        <w:rPr>
          <w:rFonts w:ascii="Arial" w:eastAsia="Arial" w:hAnsi="Arial" w:cs="Arial"/>
          <w:sz w:val="22"/>
          <w:szCs w:val="22"/>
        </w:rPr>
      </w:pPr>
    </w:p>
    <w:p w14:paraId="423FA403" w14:textId="77777777" w:rsidR="005E5B2C" w:rsidRDefault="00A41456">
      <w:pPr>
        <w:pStyle w:val="Heading1"/>
      </w:pPr>
      <w:r>
        <w:t>2. Importance of effective communication</w:t>
      </w:r>
    </w:p>
    <w:p w14:paraId="2F83DD07" w14:textId="68475AB6" w:rsidR="00BD3DBF"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Clear and responsive communication is fundamental to delivering safe, high-quality care, as it enables practitioners to correctly identify and address an individual's specific requirements. Given Mrs. Thompson’s mild dementia</w:t>
      </w:r>
      <w:r w:rsidR="00657F3A">
        <w:rPr>
          <w:rFonts w:ascii="Arial" w:hAnsi="Arial" w:cs="Arial"/>
          <w:sz w:val="22"/>
          <w:szCs w:val="22"/>
        </w:rPr>
        <w:t xml:space="preserve"> </w:t>
      </w:r>
      <w:r w:rsidRPr="00BD3DBF">
        <w:rPr>
          <w:rFonts w:ascii="Arial" w:hAnsi="Arial" w:cs="Arial"/>
          <w:sz w:val="22"/>
          <w:szCs w:val="22"/>
        </w:rPr>
        <w:t>which can impair memory, comprehension, and her ability to articulate concerns</w:t>
      </w:r>
      <w:r w:rsidR="00657F3A">
        <w:rPr>
          <w:rFonts w:ascii="Arial" w:hAnsi="Arial" w:cs="Arial"/>
          <w:sz w:val="22"/>
          <w:szCs w:val="22"/>
        </w:rPr>
        <w:t xml:space="preserve"> </w:t>
      </w:r>
      <w:r w:rsidRPr="00BD3DBF">
        <w:rPr>
          <w:rFonts w:ascii="Arial" w:hAnsi="Arial" w:cs="Arial"/>
          <w:sz w:val="22"/>
          <w:szCs w:val="22"/>
        </w:rPr>
        <w:t xml:space="preserve">tailored communication becomes critical. Care practitioners must adopt a patient, respectful approach to ensure she feels respected, heard, and actively involved in her own care planning. Communication in dementia care extends beyond mere information exchange; it requires empathetic tuning and active listening to decode unspoken distress or confusion, ensuring practitioners continuously adapt their approach to her emotional state and cognitive speed.  </w:t>
      </w:r>
    </w:p>
    <w:p w14:paraId="70C31EBF" w14:textId="071C46D5" w:rsidR="00BD3DBF"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 xml:space="preserve">When engaging with Mrs. Thompson, care personnel should utilize plain, direct language while refraining from complex jargon that might heighten confusion. Allowing sufficient time for her to process information and formulate responses without feeling hurried is essential. Because she previously missed doses, staff should implement suitable prompts and explain the purpose of her treatments while continuing to foster her autonomy. Honouring personal </w:t>
      </w:r>
      <w:r w:rsidRPr="00BD3DBF">
        <w:rPr>
          <w:rFonts w:ascii="Arial" w:hAnsi="Arial" w:cs="Arial"/>
          <w:sz w:val="22"/>
          <w:szCs w:val="22"/>
        </w:rPr>
        <w:lastRenderedPageBreak/>
        <w:t>preferences and treating service users with dignity remain core pillars of person-centred practice (Department of Health and Social Care, 2023). To enhance comprehension further, practitioners should align communication practices with the Care Quality Commission (CQC) Fundamental Standards</w:t>
      </w:r>
      <w:r w:rsidR="00512AF5">
        <w:rPr>
          <w:rFonts w:ascii="Arial" w:hAnsi="Arial" w:cs="Arial"/>
          <w:sz w:val="22"/>
          <w:szCs w:val="22"/>
        </w:rPr>
        <w:t xml:space="preserve"> </w:t>
      </w:r>
      <w:r w:rsidRPr="00BD3DBF">
        <w:rPr>
          <w:rFonts w:ascii="Arial" w:hAnsi="Arial" w:cs="Arial"/>
          <w:sz w:val="22"/>
          <w:szCs w:val="22"/>
        </w:rPr>
        <w:t>specifically Regulation 9 (Person-Centred Care) and Regulation 10 (Dignity and Respect)</w:t>
      </w:r>
      <w:r w:rsidR="00512AF5">
        <w:rPr>
          <w:rFonts w:ascii="Arial" w:hAnsi="Arial" w:cs="Arial"/>
          <w:sz w:val="22"/>
          <w:szCs w:val="22"/>
        </w:rPr>
        <w:t xml:space="preserve"> </w:t>
      </w:r>
      <w:r w:rsidRPr="00BD3DBF">
        <w:rPr>
          <w:rFonts w:ascii="Arial" w:hAnsi="Arial" w:cs="Arial"/>
          <w:sz w:val="22"/>
          <w:szCs w:val="22"/>
        </w:rPr>
        <w:t xml:space="preserve">ensuring care is tailored to her needs while preserving her individual self-respect.  </w:t>
      </w:r>
    </w:p>
    <w:p w14:paraId="087F70FD" w14:textId="77777777" w:rsidR="00BD3DBF"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 xml:space="preserve">Maintaining an open line of communication with Mrs. Thompson’s family is equally vital, as relatives often possess valuable insight into her baseline behaviour, personal preferences, and subtle health shifts. This collateral information can significantly inform clinical decision-making. Nevertheless, professionals must uphold her right to privacy by sharing details only when legally permissible and professionally justified. Safeguarding confidentiality is vital for establishing and maintaining trust among service users, families, and care providers.  </w:t>
      </w:r>
    </w:p>
    <w:p w14:paraId="1C1E4718" w14:textId="1B005597" w:rsidR="00BD3DBF"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Legislative frameworks like the Equality Act 2010 ensure that communication practices remain non-discriminatory and accessible. This act mandates that care providers implement reasonable adjustments for individuals with protected characteristics or specialized needs, including cognitive impairments like dementia (Equality Act, 2010). For Mrs. Thompson, such adjustments might involve pacing conversations appropriately, reinforcing key messages, and modifying communication strategies to match her current cognitive capacity</w:t>
      </w:r>
      <w:r w:rsidR="00F04083">
        <w:rPr>
          <w:rFonts w:ascii="Arial" w:hAnsi="Arial" w:cs="Arial"/>
          <w:sz w:val="22"/>
          <w:szCs w:val="22"/>
        </w:rPr>
        <w:t xml:space="preserve"> </w:t>
      </w:r>
      <w:r w:rsidRPr="00BD3DBF">
        <w:rPr>
          <w:rFonts w:ascii="Arial" w:hAnsi="Arial" w:cs="Arial"/>
          <w:sz w:val="22"/>
          <w:szCs w:val="22"/>
        </w:rPr>
        <w:t xml:space="preserve">thereby guaranteeing equitable and dignified care. Furthermore, communication strategies can incorporate evidence-based models like Feil’s Validation Therapy, which prioritizes validating an individual's feelings over correcting cognitive discrepancies.  </w:t>
      </w:r>
    </w:p>
    <w:p w14:paraId="509A2B80" w14:textId="77777777" w:rsidR="00BD3DBF"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 xml:space="preserve">The structural framework of communication in this setting can be analysed using the Shannon and Weaver communication model. The model delineates communication into a sender, message, channel, and receiver, while accounting for potential "noise" or barriers that may distort the intended message (Shannon and Weaver, 1949). Here, the care worker functions as the sender communicating details regarding medication, and Mrs. Thompson acts as the receiver. Her dementia introduces a potential barrier to encoding and decoding information accurately. Environmental factors or post-pneumonia fatigue represent physical "noise" that can worsen these barriers. Staff can mitigate these issues by simplifying language, actively verifying comprehension, using physical prompts, and providing consistent reassurance.  </w:t>
      </w:r>
    </w:p>
    <w:p w14:paraId="423FA40A" w14:textId="4583A7CA" w:rsidR="005E5B2C" w:rsidRPr="00BD3DBF" w:rsidRDefault="00BD3DBF" w:rsidP="00BD3DBF">
      <w:pPr>
        <w:tabs>
          <w:tab w:val="left" w:pos="6540"/>
        </w:tabs>
        <w:spacing w:line="360" w:lineRule="auto"/>
        <w:rPr>
          <w:rFonts w:ascii="Arial" w:hAnsi="Arial" w:cs="Arial"/>
          <w:sz w:val="22"/>
          <w:szCs w:val="22"/>
        </w:rPr>
      </w:pPr>
      <w:r w:rsidRPr="00BD3DBF">
        <w:rPr>
          <w:rFonts w:ascii="Arial" w:hAnsi="Arial" w:cs="Arial"/>
          <w:sz w:val="22"/>
          <w:szCs w:val="22"/>
        </w:rPr>
        <w:t>In summary, effective communication underpins Mrs. Thompson’s safety, self-respect, and overall quality of life. By fostering transparent interactions among staff, service users, and families, care teams can deliver genuinely individualized support.</w:t>
      </w:r>
    </w:p>
    <w:p w14:paraId="423FA40B" w14:textId="77777777" w:rsidR="005E5B2C" w:rsidRDefault="005E5B2C">
      <w:pPr>
        <w:tabs>
          <w:tab w:val="left" w:pos="6540"/>
        </w:tabs>
        <w:spacing w:line="360" w:lineRule="auto"/>
        <w:rPr>
          <w:sz w:val="22"/>
          <w:szCs w:val="22"/>
        </w:rPr>
      </w:pPr>
    </w:p>
    <w:p w14:paraId="423FA40C" w14:textId="77777777" w:rsidR="005E5B2C" w:rsidRDefault="00A41456">
      <w:pPr>
        <w:pStyle w:val="Heading1"/>
      </w:pPr>
      <w:r>
        <w:lastRenderedPageBreak/>
        <w:t xml:space="preserve">3. Importance of good administrative skills </w:t>
      </w:r>
    </w:p>
    <w:p w14:paraId="423FA40D" w14:textId="4B1C43AF"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t>Proficient administrative practices are foundational to health and social care, ensuring that services remain safe, structured, and effective. Competent information management enables multidisciplinary teams to gain an accurate picture of an individual's health needs and deliver targeted care. In Mrs. Thompson's scenario, rigorous administrative procedures are vital given her mild dementia and the recent two-day lapse in her medication regimen</w:t>
      </w:r>
      <w:r w:rsidR="00512AF5">
        <w:rPr>
          <w:rFonts w:ascii="Arial" w:hAnsi="Arial" w:cs="Arial"/>
          <w:sz w:val="22"/>
          <w:szCs w:val="22"/>
        </w:rPr>
        <w:t xml:space="preserve"> </w:t>
      </w:r>
      <w:r w:rsidRPr="00C57EAF">
        <w:rPr>
          <w:rFonts w:ascii="Arial" w:hAnsi="Arial" w:cs="Arial"/>
          <w:sz w:val="22"/>
          <w:szCs w:val="22"/>
        </w:rPr>
        <w:t>an oversight that escalated her disorientation. Documenting such occurrences comprehensively provides professionals with the context needed to analyse the root causes and implement preventive measures against future occurrences.</w:t>
      </w:r>
    </w:p>
    <w:p w14:paraId="423FA40E" w14:textId="15BE6334"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t>A primary administrative duty in health and social care is maintaining meticulous and precise documentation. Records must serve as a clear, factual account of a service user's ongoing care, health status, and any noticeable changes in condition. For Mrs. Thompson, staff must record specifics regarding medication administration support, shifts in cognitive behaviour, concerns about her general health, and notable incidents. High-quality record-keeping equips her broader care network</w:t>
      </w:r>
      <w:r w:rsidR="00F04083">
        <w:rPr>
          <w:rFonts w:ascii="Arial" w:hAnsi="Arial" w:cs="Arial"/>
          <w:sz w:val="22"/>
          <w:szCs w:val="22"/>
        </w:rPr>
        <w:t xml:space="preserve"> </w:t>
      </w:r>
      <w:r w:rsidRPr="00C57EAF">
        <w:rPr>
          <w:rFonts w:ascii="Arial" w:hAnsi="Arial" w:cs="Arial"/>
          <w:sz w:val="22"/>
          <w:szCs w:val="22"/>
        </w:rPr>
        <w:t>including her general practitioner, community nursing staff, and care providers</w:t>
      </w:r>
      <w:r w:rsidR="00F04083">
        <w:rPr>
          <w:rFonts w:ascii="Arial" w:hAnsi="Arial" w:cs="Arial"/>
          <w:sz w:val="22"/>
          <w:szCs w:val="22"/>
        </w:rPr>
        <w:t xml:space="preserve"> </w:t>
      </w:r>
      <w:r w:rsidRPr="00C57EAF">
        <w:rPr>
          <w:rFonts w:ascii="Arial" w:hAnsi="Arial" w:cs="Arial"/>
          <w:sz w:val="22"/>
          <w:szCs w:val="22"/>
        </w:rPr>
        <w:t>with the clarity required to make informed decisions about her care package. Conversely, absent or inaccurate documentation compromises care continuity and introduces significant safety risks to the individual (Skills for Care, 2022).</w:t>
      </w:r>
    </w:p>
    <w:p w14:paraId="423FA40F" w14:textId="77777777"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t>Formal incident reporting represents another critical aspect of healthcare administration. The omitted medication doses must be formally recorded following the care provider's established governance procedures. This enables the management team to evaluate the breakdown, pinpoint contributing factors, and establish systemic adjustments to mitigate future risks. Given that a medication review has been commissioned for Mrs. Thompson, well-maintained records offer clinicians essential data to judge whether modi</w:t>
      </w:r>
      <w:r w:rsidRPr="00C57EAF">
        <w:rPr>
          <w:rFonts w:ascii="Arial" w:hAnsi="Arial" w:cs="Arial"/>
          <w:sz w:val="22"/>
          <w:szCs w:val="22"/>
        </w:rPr>
        <w:t>fications to her prescription scheme or care package are warranted.</w:t>
      </w:r>
    </w:p>
    <w:p w14:paraId="423FA410" w14:textId="77777777"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t>Care workers are bound by legal obligations to protect personal data under the Data Protection Act 2018 and the UK General Data Protection Regulation (UK GDPR). These statutory frameworks dictate that personal information must be managed securely and ethically. Details concerning Mrs. Thompson's medical background, drug regimens, and living arrangements are strictly confidential and should only be accessed by professionals directly responsible for her care who hold a legitimate operational need to know (Inf</w:t>
      </w:r>
      <w:r w:rsidRPr="00C57EAF">
        <w:rPr>
          <w:rFonts w:ascii="Arial" w:hAnsi="Arial" w:cs="Arial"/>
          <w:sz w:val="22"/>
          <w:szCs w:val="22"/>
        </w:rPr>
        <w:t>ormation Commissioner’s Office, 2023). Care staff are obligated to store documentation securely and prevent unauthorized disclosure of sensitive data.</w:t>
      </w:r>
    </w:p>
    <w:p w14:paraId="423FA411" w14:textId="77777777"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lastRenderedPageBreak/>
        <w:t>Furthermore, the Care Act 2014 underscores the imperative to safeguard adults who may be vulnerable to harm, self-neglect, or distress. The episode in which Mrs. Thompson was discovered outdoors inadequately dressed for cold weather signals significant vulnerabilities regarding her personal safety and functional independence. Detailed administrative documentation of this occurrence allows local authority adult social services to evaluate her risk profile accurately and determine what supplemental safeguards</w:t>
      </w:r>
      <w:r w:rsidRPr="00C57EAF">
        <w:rPr>
          <w:rFonts w:ascii="Arial" w:hAnsi="Arial" w:cs="Arial"/>
          <w:sz w:val="22"/>
          <w:szCs w:val="22"/>
        </w:rPr>
        <w:t xml:space="preserve"> or interventions are required.</w:t>
      </w:r>
    </w:p>
    <w:p w14:paraId="423FA412" w14:textId="77777777" w:rsidR="005E5B2C" w:rsidRPr="00C57EAF" w:rsidRDefault="00A41456">
      <w:pPr>
        <w:tabs>
          <w:tab w:val="left" w:pos="6540"/>
        </w:tabs>
        <w:spacing w:line="360" w:lineRule="auto"/>
        <w:rPr>
          <w:rFonts w:ascii="Arial" w:hAnsi="Arial" w:cs="Arial"/>
          <w:sz w:val="22"/>
          <w:szCs w:val="22"/>
        </w:rPr>
      </w:pPr>
      <w:r w:rsidRPr="00C57EAF">
        <w:rPr>
          <w:rFonts w:ascii="Arial" w:hAnsi="Arial" w:cs="Arial"/>
          <w:sz w:val="22"/>
          <w:szCs w:val="22"/>
        </w:rPr>
        <w:t>In conclusion, strong administrative skills are indispensable to safe and accountable care delivery. By prioritizing precise documentation, robust data privacy, and compliance with statutory standards, professionals safeguard Mrs. Thompson’s well-being while promoting her dignity, independence, and overall safety.</w:t>
      </w:r>
    </w:p>
    <w:p w14:paraId="423FA413" w14:textId="77777777" w:rsidR="005E5B2C" w:rsidRDefault="005E5B2C">
      <w:pPr>
        <w:tabs>
          <w:tab w:val="left" w:pos="6540"/>
        </w:tabs>
        <w:spacing w:line="360" w:lineRule="auto"/>
        <w:rPr>
          <w:sz w:val="22"/>
          <w:szCs w:val="22"/>
        </w:rPr>
      </w:pPr>
    </w:p>
    <w:p w14:paraId="423FA414" w14:textId="77777777" w:rsidR="005E5B2C" w:rsidRDefault="005E5B2C">
      <w:pPr>
        <w:tabs>
          <w:tab w:val="left" w:pos="6540"/>
        </w:tabs>
        <w:spacing w:line="360" w:lineRule="auto"/>
        <w:rPr>
          <w:sz w:val="22"/>
          <w:szCs w:val="22"/>
        </w:rPr>
      </w:pPr>
    </w:p>
    <w:p w14:paraId="423FA415" w14:textId="77777777" w:rsidR="005E5B2C" w:rsidRDefault="00A41456">
      <w:pPr>
        <w:pStyle w:val="Heading1"/>
      </w:pPr>
      <w:r>
        <w:t>4. Importance of working collaboratively</w:t>
      </w:r>
    </w:p>
    <w:p w14:paraId="423FA416" w14:textId="77777777" w:rsidR="005E5B2C" w:rsidRPr="00896F64" w:rsidRDefault="00A41456">
      <w:pPr>
        <w:tabs>
          <w:tab w:val="left" w:pos="6540"/>
        </w:tabs>
        <w:spacing w:line="360" w:lineRule="auto"/>
        <w:rPr>
          <w:rFonts w:ascii="Arial" w:hAnsi="Arial" w:cs="Arial"/>
          <w:sz w:val="22"/>
          <w:szCs w:val="22"/>
        </w:rPr>
      </w:pPr>
      <w:r w:rsidRPr="00896F64">
        <w:rPr>
          <w:rFonts w:ascii="Arial" w:hAnsi="Arial" w:cs="Arial"/>
          <w:sz w:val="22"/>
          <w:szCs w:val="22"/>
        </w:rPr>
        <w:t xml:space="preserve">Interprofessional collaboration is essential within health and social care to guarantee that service users receive safe, seamless, and holistic support. Because an individual practitioner rarely possesses the full spectrum of expertise needed to address complex requirements, cross-disciplinary teamwork becomes critical. In Mrs. Thompson’s situation, joint working among her general practitioner, community nursing team, domiciliary care staff, and local authority social services is vital, given that her care </w:t>
      </w:r>
      <w:r w:rsidRPr="00896F64">
        <w:rPr>
          <w:rFonts w:ascii="Arial" w:hAnsi="Arial" w:cs="Arial"/>
          <w:sz w:val="22"/>
          <w:szCs w:val="22"/>
        </w:rPr>
        <w:t>spans dementia management, pharmaceutical adherence, and personal safety.</w:t>
      </w:r>
    </w:p>
    <w:p w14:paraId="423FA417" w14:textId="77777777" w:rsidR="005E5B2C" w:rsidRPr="00896F64" w:rsidRDefault="00A41456">
      <w:pPr>
        <w:tabs>
          <w:tab w:val="left" w:pos="6540"/>
        </w:tabs>
        <w:spacing w:line="360" w:lineRule="auto"/>
        <w:rPr>
          <w:rFonts w:ascii="Arial" w:hAnsi="Arial" w:cs="Arial"/>
          <w:sz w:val="22"/>
          <w:szCs w:val="22"/>
        </w:rPr>
      </w:pPr>
      <w:r w:rsidRPr="00896F64">
        <w:rPr>
          <w:rFonts w:ascii="Arial" w:hAnsi="Arial" w:cs="Arial"/>
          <w:sz w:val="22"/>
          <w:szCs w:val="22"/>
        </w:rPr>
        <w:t>A multidisciplinary framework enables practitioners to pool insights and formulate a comprehensive view of Mrs. Thompson’s overall circumstances. For instance, her GP can perform clinical reviews of her prescriptions and manage long-term health, while the community nurse manages her post-pneumonia recovery. Concurrently, domiciliary carers provide vital frontline observations through their twice-daily visits, putting them in an ideal position to detect subtle shifts in her behaviour, daily functioning, or s</w:t>
      </w:r>
      <w:r w:rsidRPr="00896F64">
        <w:rPr>
          <w:rFonts w:ascii="Arial" w:hAnsi="Arial" w:cs="Arial"/>
          <w:sz w:val="22"/>
          <w:szCs w:val="22"/>
        </w:rPr>
        <w:t>elf-care capabilities. Feeding these front-line observations back to the broader care team ensures clinical decisions are based on accurate, real-time data.</w:t>
      </w:r>
    </w:p>
    <w:p w14:paraId="423FA418" w14:textId="77777777" w:rsidR="005E5B2C" w:rsidRPr="00896F64" w:rsidRDefault="00A41456">
      <w:pPr>
        <w:tabs>
          <w:tab w:val="left" w:pos="6540"/>
        </w:tabs>
        <w:spacing w:line="360" w:lineRule="auto"/>
        <w:rPr>
          <w:rFonts w:ascii="Arial" w:hAnsi="Arial" w:cs="Arial"/>
          <w:sz w:val="22"/>
          <w:szCs w:val="22"/>
        </w:rPr>
      </w:pPr>
      <w:r w:rsidRPr="00896F64">
        <w:rPr>
          <w:rFonts w:ascii="Arial" w:hAnsi="Arial" w:cs="Arial"/>
          <w:sz w:val="22"/>
          <w:szCs w:val="22"/>
        </w:rPr>
        <w:t xml:space="preserve">Effective collaborative practice relies on transparent communication, mutual respect, and structured information sharing. Utilizing joint care plans, inter-agency case conferences, and synchronized documentation ensures all parties remain aligned on their respective roles and responsibilities. This integrated approach aligns with the statutory obligations set out in the </w:t>
      </w:r>
      <w:r w:rsidRPr="00896F64">
        <w:rPr>
          <w:rFonts w:ascii="Arial" w:hAnsi="Arial" w:cs="Arial"/>
          <w:sz w:val="22"/>
          <w:szCs w:val="22"/>
        </w:rPr>
        <w:lastRenderedPageBreak/>
        <w:t>Care Act 2014, which mandates inter-agency cooperation to safeguard vulnerable adults and optimize their health and well-being (Care Act, 2014).</w:t>
      </w:r>
    </w:p>
    <w:p w14:paraId="423FA419" w14:textId="77777777" w:rsidR="005E5B2C" w:rsidRPr="00896F64" w:rsidRDefault="00A41456">
      <w:pPr>
        <w:tabs>
          <w:tab w:val="left" w:pos="6540"/>
        </w:tabs>
        <w:spacing w:line="360" w:lineRule="auto"/>
        <w:rPr>
          <w:rFonts w:ascii="Arial" w:hAnsi="Arial" w:cs="Arial"/>
          <w:sz w:val="22"/>
          <w:szCs w:val="22"/>
        </w:rPr>
      </w:pPr>
      <w:r w:rsidRPr="00896F64">
        <w:rPr>
          <w:rFonts w:ascii="Arial" w:hAnsi="Arial" w:cs="Arial"/>
          <w:sz w:val="22"/>
          <w:szCs w:val="22"/>
        </w:rPr>
        <w:t>Despite its clear benefits, multi-agency working can present operational hurdles, such as communication breakdowns, delays in data transfer, conflicting professional perspectives, or ambiguous role boundaries. For example, if the care team fails to promptly escalate Mrs. Thompson's missed medication doses, clinicians cannot intervene quickly enough to prevent further deterioration or confusion. To mitigate these friction points, organizations must maintain standardized communication protocols, strictly adhe</w:t>
      </w:r>
      <w:r w:rsidRPr="00896F64">
        <w:rPr>
          <w:rFonts w:ascii="Arial" w:hAnsi="Arial" w:cs="Arial"/>
          <w:sz w:val="22"/>
          <w:szCs w:val="22"/>
        </w:rPr>
        <w:t>re to information-sharing guidelines, and value the distinct expertise each discipline contributes.</w:t>
      </w:r>
    </w:p>
    <w:p w14:paraId="423FA41A" w14:textId="77777777" w:rsidR="005E5B2C" w:rsidRPr="00896F64" w:rsidRDefault="00A41456">
      <w:pPr>
        <w:tabs>
          <w:tab w:val="left" w:pos="6540"/>
        </w:tabs>
        <w:spacing w:line="360" w:lineRule="auto"/>
        <w:rPr>
          <w:rFonts w:ascii="Arial" w:hAnsi="Arial" w:cs="Arial"/>
          <w:sz w:val="22"/>
          <w:szCs w:val="22"/>
        </w:rPr>
      </w:pPr>
      <w:r w:rsidRPr="00896F64">
        <w:rPr>
          <w:rFonts w:ascii="Arial" w:hAnsi="Arial" w:cs="Arial"/>
          <w:sz w:val="22"/>
          <w:szCs w:val="22"/>
        </w:rPr>
        <w:t>In summary, multi-agency collaboration guarantees that Mrs. Thompson receives unified, well-coordinated, and person-cantered support. By working in unison, care professionals can identify potential risks proactively, adapt swiftly to evolving needs, and foster her ongoing safety and independence.</w:t>
      </w:r>
    </w:p>
    <w:p w14:paraId="423FA41B" w14:textId="77777777" w:rsidR="005E5B2C" w:rsidRDefault="005E5B2C">
      <w:pPr>
        <w:tabs>
          <w:tab w:val="left" w:pos="6540"/>
        </w:tabs>
        <w:spacing w:line="360" w:lineRule="auto"/>
        <w:rPr>
          <w:sz w:val="22"/>
          <w:szCs w:val="22"/>
        </w:rPr>
      </w:pPr>
    </w:p>
    <w:p w14:paraId="423FA41C" w14:textId="77777777" w:rsidR="005E5B2C" w:rsidRDefault="005E5B2C">
      <w:pPr>
        <w:tabs>
          <w:tab w:val="left" w:pos="6540"/>
        </w:tabs>
        <w:spacing w:line="360" w:lineRule="auto"/>
        <w:rPr>
          <w:sz w:val="22"/>
          <w:szCs w:val="22"/>
        </w:rPr>
      </w:pPr>
    </w:p>
    <w:p w14:paraId="423FA41D" w14:textId="77777777" w:rsidR="005E5B2C" w:rsidRDefault="00A41456">
      <w:pPr>
        <w:pStyle w:val="Heading1"/>
      </w:pPr>
      <w:r>
        <w:t xml:space="preserve">5. Conclusion </w:t>
      </w:r>
    </w:p>
    <w:p w14:paraId="423FA41E" w14:textId="77777777" w:rsidR="005E5B2C" w:rsidRPr="00A33D74" w:rsidRDefault="00A41456">
      <w:pPr>
        <w:tabs>
          <w:tab w:val="left" w:pos="6540"/>
        </w:tabs>
        <w:spacing w:line="360" w:lineRule="auto"/>
        <w:rPr>
          <w:rFonts w:ascii="Arial" w:hAnsi="Arial" w:cs="Arial"/>
          <w:sz w:val="22"/>
          <w:szCs w:val="22"/>
        </w:rPr>
      </w:pPr>
      <w:r w:rsidRPr="00A33D74">
        <w:rPr>
          <w:rFonts w:ascii="Arial" w:hAnsi="Arial" w:cs="Arial"/>
          <w:sz w:val="22"/>
          <w:szCs w:val="22"/>
        </w:rPr>
        <w:t xml:space="preserve">In summary, Mrs. Thompson’s case illustrates how effective communication, rigorous administrative management, and robust inter-agency collaboration intersect to deliver safe, person-centred care. Tailored communication techniques enable practitioners to address her specific cognitive needs related to dementia, ensuring her preferences are respected and that she remains an active participant in her care. Adhering to the principles embedded within the Equality Act 2010 further guarantees that the support she </w:t>
      </w:r>
      <w:r w:rsidRPr="00A33D74">
        <w:rPr>
          <w:rFonts w:ascii="Arial" w:hAnsi="Arial" w:cs="Arial"/>
          <w:sz w:val="22"/>
          <w:szCs w:val="22"/>
        </w:rPr>
        <w:t>receives remains equitable, dignified, and inclusive.</w:t>
      </w:r>
    </w:p>
    <w:p w14:paraId="423FA41F" w14:textId="77777777" w:rsidR="005E5B2C" w:rsidRPr="00A33D74" w:rsidRDefault="00A41456">
      <w:pPr>
        <w:tabs>
          <w:tab w:val="left" w:pos="6540"/>
        </w:tabs>
        <w:spacing w:line="360" w:lineRule="auto"/>
        <w:rPr>
          <w:rFonts w:ascii="Arial" w:hAnsi="Arial" w:cs="Arial"/>
          <w:sz w:val="22"/>
          <w:szCs w:val="22"/>
        </w:rPr>
      </w:pPr>
      <w:r w:rsidRPr="00A33D74">
        <w:rPr>
          <w:rFonts w:ascii="Arial" w:hAnsi="Arial" w:cs="Arial"/>
          <w:sz w:val="22"/>
          <w:szCs w:val="22"/>
        </w:rPr>
        <w:t>Equally, proficient administrative practices are essential for safeguarding Mrs. Thompson and maintaining service quality. Detailed documentation, timely incident reporting, and strict adherence to data security standards allow the care team to recognize emerging risks and intervene promptly. Furthermore, structured coordination between her GP, community nurse, domiciliary care workers, and local authority social services ensures her care package remains unified and responsive to evolving challenges. Ultima</w:t>
      </w:r>
      <w:r w:rsidRPr="00A33D74">
        <w:rPr>
          <w:rFonts w:ascii="Arial" w:hAnsi="Arial" w:cs="Arial"/>
          <w:sz w:val="22"/>
          <w:szCs w:val="22"/>
        </w:rPr>
        <w:t xml:space="preserve">tely, embedding these core practices into her routine protects Mrs. Thompson’s health and safety while </w:t>
      </w:r>
      <w:proofErr w:type="spellStart"/>
      <w:r w:rsidRPr="00A33D74">
        <w:rPr>
          <w:rFonts w:ascii="Arial" w:hAnsi="Arial" w:cs="Arial"/>
          <w:sz w:val="22"/>
          <w:szCs w:val="22"/>
        </w:rPr>
        <w:t>honoring</w:t>
      </w:r>
      <w:proofErr w:type="spellEnd"/>
      <w:r w:rsidRPr="00A33D74">
        <w:rPr>
          <w:rFonts w:ascii="Arial" w:hAnsi="Arial" w:cs="Arial"/>
          <w:sz w:val="22"/>
          <w:szCs w:val="22"/>
        </w:rPr>
        <w:t xml:space="preserve"> her independence, dignity, and personal preferences.</w:t>
      </w:r>
    </w:p>
    <w:p w14:paraId="423FA420" w14:textId="77777777" w:rsidR="005E5B2C" w:rsidRDefault="005E5B2C">
      <w:pPr>
        <w:tabs>
          <w:tab w:val="left" w:pos="6540"/>
        </w:tabs>
        <w:spacing w:line="360" w:lineRule="auto"/>
        <w:rPr>
          <w:sz w:val="22"/>
          <w:szCs w:val="22"/>
        </w:rPr>
      </w:pPr>
    </w:p>
    <w:p w14:paraId="423FA421" w14:textId="77777777" w:rsidR="005E5B2C" w:rsidRDefault="005E5B2C">
      <w:pPr>
        <w:tabs>
          <w:tab w:val="left" w:pos="6540"/>
        </w:tabs>
        <w:spacing w:line="360" w:lineRule="auto"/>
        <w:rPr>
          <w:sz w:val="22"/>
          <w:szCs w:val="22"/>
        </w:rPr>
      </w:pPr>
    </w:p>
    <w:p w14:paraId="423FA422" w14:textId="77777777" w:rsidR="005E5B2C" w:rsidRDefault="005E5B2C">
      <w:pPr>
        <w:tabs>
          <w:tab w:val="left" w:pos="6540"/>
        </w:tabs>
        <w:spacing w:line="360" w:lineRule="auto"/>
        <w:rPr>
          <w:sz w:val="22"/>
          <w:szCs w:val="22"/>
        </w:rPr>
      </w:pPr>
    </w:p>
    <w:p w14:paraId="423FA423" w14:textId="77777777" w:rsidR="005E5B2C" w:rsidRDefault="005E5B2C">
      <w:pPr>
        <w:tabs>
          <w:tab w:val="left" w:pos="6540"/>
        </w:tabs>
        <w:spacing w:line="360" w:lineRule="auto"/>
        <w:rPr>
          <w:sz w:val="22"/>
          <w:szCs w:val="22"/>
        </w:rPr>
      </w:pPr>
    </w:p>
    <w:p w14:paraId="423FA424" w14:textId="5846960E" w:rsidR="005E5B2C" w:rsidRDefault="005E5B2C">
      <w:pPr>
        <w:rPr>
          <w:b/>
          <w:bCs/>
          <w:sz w:val="28"/>
          <w:szCs w:val="28"/>
        </w:rPr>
      </w:pPr>
    </w:p>
    <w:p w14:paraId="423FA425" w14:textId="77777777" w:rsidR="005E5B2C" w:rsidRDefault="00A41456">
      <w:pPr>
        <w:pStyle w:val="Heading1"/>
      </w:pPr>
      <w:r>
        <w:t>References</w:t>
      </w:r>
    </w:p>
    <w:p w14:paraId="423FA426" w14:textId="4644135E" w:rsidR="005E5B2C" w:rsidRDefault="00A41456">
      <w:r>
        <w:t xml:space="preserve">Care Act 2014 (2014) </w:t>
      </w:r>
      <w:r w:rsidRPr="00017AE7">
        <w:rPr>
          <w:i/>
          <w:iCs/>
        </w:rPr>
        <w:t>Care Act 2014. London: The Stationery Office</w:t>
      </w:r>
      <w:r>
        <w:t xml:space="preserve">. Available at: </w:t>
      </w:r>
      <w:hyperlink r:id="rId8" w:history="1">
        <w:r w:rsidR="00E65EDE" w:rsidRPr="00F23E0C">
          <w:rPr>
            <w:rStyle w:val="Hyperlink"/>
          </w:rPr>
          <w:t>https://www.legislation.gov.uk/ukpga/2014/23/contents</w:t>
        </w:r>
      </w:hyperlink>
      <w:r w:rsidR="00E65EDE">
        <w:t xml:space="preserve"> </w:t>
      </w:r>
      <w:r>
        <w:t>(Accessed: 26 July 2026).</w:t>
      </w:r>
    </w:p>
    <w:p w14:paraId="423FA427" w14:textId="58A1D832" w:rsidR="005E5B2C" w:rsidRDefault="00A41456">
      <w:r>
        <w:t xml:space="preserve">Data Protection Act 2018 (2018) </w:t>
      </w:r>
      <w:r w:rsidRPr="00017AE7">
        <w:rPr>
          <w:i/>
          <w:iCs/>
        </w:rPr>
        <w:t>Data Protection Act 2018. London: The Stationery Office</w:t>
      </w:r>
      <w:r>
        <w:t xml:space="preserve">. Available at: </w:t>
      </w:r>
      <w:hyperlink r:id="rId9" w:history="1">
        <w:r w:rsidR="00E65EDE" w:rsidRPr="00F23E0C">
          <w:rPr>
            <w:rStyle w:val="Hyperlink"/>
          </w:rPr>
          <w:t>https://www.legislation.gov.uk/ukpga/2018/12/contents</w:t>
        </w:r>
      </w:hyperlink>
      <w:r w:rsidR="00E65EDE">
        <w:t xml:space="preserve"> </w:t>
      </w:r>
      <w:r>
        <w:t>(Accessed: 26 July 2026).</w:t>
      </w:r>
    </w:p>
    <w:p w14:paraId="423FA428" w14:textId="08138665" w:rsidR="005E5B2C" w:rsidRDefault="00A41456">
      <w:r>
        <w:t xml:space="preserve">Department of Health and Social Care (2023) </w:t>
      </w:r>
      <w:r w:rsidRPr="00017AE7">
        <w:rPr>
          <w:i/>
          <w:iCs/>
        </w:rPr>
        <w:t>Care and Support Statutory Guidance</w:t>
      </w:r>
      <w:r>
        <w:t xml:space="preserve">. Available at: </w:t>
      </w:r>
      <w:hyperlink r:id="rId10" w:history="1">
        <w:r w:rsidR="00E65EDE" w:rsidRPr="00F23E0C">
          <w:rPr>
            <w:rStyle w:val="Hyperlink"/>
          </w:rPr>
          <w:t>https://www.gov.uk/government/publications/care-act-statutory-guidance</w:t>
        </w:r>
      </w:hyperlink>
      <w:r w:rsidR="00E65EDE">
        <w:t xml:space="preserve"> </w:t>
      </w:r>
      <w:r>
        <w:t>(Accessed: 26 July 2026).</w:t>
      </w:r>
    </w:p>
    <w:p w14:paraId="423FA429" w14:textId="0CE01555" w:rsidR="005E5B2C" w:rsidRDefault="00A41456">
      <w:r>
        <w:t xml:space="preserve">Equality Act 2010 (2010) Equality Act 2010. </w:t>
      </w:r>
      <w:r w:rsidRPr="00017AE7">
        <w:rPr>
          <w:i/>
          <w:iCs/>
        </w:rPr>
        <w:t>London: The Stationery Office.</w:t>
      </w:r>
      <w:r>
        <w:t xml:space="preserve"> Available at: </w:t>
      </w:r>
      <w:hyperlink r:id="rId11" w:history="1">
        <w:r w:rsidR="00E65EDE" w:rsidRPr="00F23E0C">
          <w:rPr>
            <w:rStyle w:val="Hyperlink"/>
          </w:rPr>
          <w:t>https://www.legislation.gov.uk/ukpga/2010/15/contents</w:t>
        </w:r>
      </w:hyperlink>
      <w:r w:rsidR="00E65EDE">
        <w:t xml:space="preserve"> </w:t>
      </w:r>
      <w:r>
        <w:t>(Accessed: 26 July 2026).</w:t>
      </w:r>
    </w:p>
    <w:p w14:paraId="423FA42A" w14:textId="27A18643" w:rsidR="005E5B2C" w:rsidRDefault="00A41456">
      <w:r>
        <w:t xml:space="preserve">Information Commissioner’s Office (2023) </w:t>
      </w:r>
      <w:r w:rsidRPr="00EC3432">
        <w:rPr>
          <w:i/>
          <w:iCs/>
        </w:rPr>
        <w:t>Guide to the UK General Data Protection</w:t>
      </w:r>
      <w:r>
        <w:t xml:space="preserve"> </w:t>
      </w:r>
      <w:r w:rsidRPr="00EC3432">
        <w:rPr>
          <w:i/>
          <w:iCs/>
        </w:rPr>
        <w:t>Regulation (UK GDPR)</w:t>
      </w:r>
      <w:r>
        <w:t xml:space="preserve">. Available at: </w:t>
      </w:r>
      <w:hyperlink r:id="rId12" w:history="1">
        <w:r w:rsidR="00E65EDE" w:rsidRPr="00F23E0C">
          <w:rPr>
            <w:rStyle w:val="Hyperlink"/>
          </w:rPr>
          <w:t>https://ico.org.uk</w:t>
        </w:r>
      </w:hyperlink>
      <w:r w:rsidR="00E65EDE">
        <w:t xml:space="preserve"> </w:t>
      </w:r>
      <w:r>
        <w:t>(Accessed: 26 July 2026).</w:t>
      </w:r>
    </w:p>
    <w:p w14:paraId="423FA42B" w14:textId="77777777" w:rsidR="005E5B2C" w:rsidRPr="00EC3432" w:rsidRDefault="00A41456">
      <w:pPr>
        <w:rPr>
          <w:i/>
          <w:iCs/>
        </w:rPr>
      </w:pPr>
      <w:r>
        <w:t xml:space="preserve">Shannon, C.E. and Weaver, W. (1949) </w:t>
      </w:r>
      <w:r w:rsidRPr="00EC3432">
        <w:rPr>
          <w:i/>
          <w:iCs/>
        </w:rPr>
        <w:t>The Mathematical Theory of Communication. Urbana: University of Illinois Press.</w:t>
      </w:r>
    </w:p>
    <w:p w14:paraId="423FA42C" w14:textId="1E8EFC8D" w:rsidR="005E5B2C" w:rsidRDefault="00A41456">
      <w:r>
        <w:t>Skills for Care (2022</w:t>
      </w:r>
      <w:proofErr w:type="gramStart"/>
      <w:r w:rsidR="008C21EE">
        <w:t>)</w:t>
      </w:r>
      <w:r w:rsidR="008C21EE">
        <w:rPr>
          <w:i/>
          <w:iCs/>
        </w:rPr>
        <w:t xml:space="preserve"> </w:t>
      </w:r>
      <w:r w:rsidRPr="00EC3432">
        <w:rPr>
          <w:i/>
          <w:iCs/>
        </w:rPr>
        <w:t xml:space="preserve"> Record</w:t>
      </w:r>
      <w:proofErr w:type="gramEnd"/>
      <w:r w:rsidRPr="00EC3432">
        <w:rPr>
          <w:i/>
          <w:iCs/>
        </w:rPr>
        <w:t xml:space="preserve"> Keeping in Adult Social Care</w:t>
      </w:r>
      <w:r>
        <w:t xml:space="preserve">. Available at: </w:t>
      </w:r>
      <w:hyperlink r:id="rId13" w:history="1">
        <w:r w:rsidR="00017AE7" w:rsidRPr="00F23E0C">
          <w:rPr>
            <w:rStyle w:val="Hyperlink"/>
          </w:rPr>
          <w:t>https://www.skillsforcare.org.uk</w:t>
        </w:r>
      </w:hyperlink>
      <w:r w:rsidR="00017AE7">
        <w:t xml:space="preserve"> </w:t>
      </w:r>
      <w:r>
        <w:t>(Accessed: 26 July 2026).</w:t>
      </w:r>
    </w:p>
    <w:p w14:paraId="423FA42D" w14:textId="7026AC64" w:rsidR="005E5B2C" w:rsidRDefault="00A41456" w:rsidP="007576A4">
      <w:pPr>
        <w:spacing w:line="360" w:lineRule="auto"/>
      </w:pPr>
      <w:r>
        <w:t xml:space="preserve">Skills for Care (2023) </w:t>
      </w:r>
      <w:r w:rsidRPr="008C21EE">
        <w:rPr>
          <w:i/>
          <w:iCs/>
        </w:rPr>
        <w:t>The Importance of Communication in Adult Social Care.</w:t>
      </w:r>
      <w:r>
        <w:t xml:space="preserve"> Available at: </w:t>
      </w:r>
      <w:hyperlink r:id="rId14" w:history="1">
        <w:r w:rsidR="00017AE7" w:rsidRPr="00F23E0C">
          <w:rPr>
            <w:rStyle w:val="Hyperlink"/>
          </w:rPr>
          <w:t>https://www.</w:t>
        </w:r>
        <w:r w:rsidR="00017AE7" w:rsidRPr="007576A4">
          <w:rPr>
            <w:rStyle w:val="Hyperlink"/>
            <w:rFonts w:ascii="Arial" w:hAnsi="Arial" w:cs="Arial"/>
            <w:sz w:val="22"/>
            <w:szCs w:val="22"/>
          </w:rPr>
          <w:t>skillsforcare</w:t>
        </w:r>
        <w:r w:rsidR="00017AE7" w:rsidRPr="00F23E0C">
          <w:rPr>
            <w:rStyle w:val="Hyperlink"/>
          </w:rPr>
          <w:t>.org.uk</w:t>
        </w:r>
      </w:hyperlink>
      <w:r w:rsidR="00017AE7">
        <w:t xml:space="preserve"> </w:t>
      </w:r>
      <w:r>
        <w:t>(Accessed: 26 July 2026).</w:t>
      </w:r>
    </w:p>
    <w:sectPr w:rsidR="005E5B2C">
      <w:footerReference w:type="default" r:id="rId15"/>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7DF0C" w14:textId="77777777" w:rsidR="00A41456" w:rsidRDefault="00A41456">
      <w:pPr>
        <w:spacing w:after="0" w:line="240" w:lineRule="auto"/>
      </w:pPr>
      <w:r>
        <w:separator/>
      </w:r>
    </w:p>
  </w:endnote>
  <w:endnote w:type="continuationSeparator" w:id="0">
    <w:p w14:paraId="2F05E58C" w14:textId="77777777" w:rsidR="00A41456" w:rsidRDefault="00A4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57F7792-6513-4923-A512-B9B2B88CE7F9}"/>
  </w:font>
  <w:font w:name="Calibri">
    <w:panose1 w:val="020F0502020204030204"/>
    <w:charset w:val="00"/>
    <w:family w:val="swiss"/>
    <w:pitch w:val="variable"/>
    <w:sig w:usb0="E4002EFF" w:usb1="C200247B" w:usb2="00000009" w:usb3="00000000" w:csb0="000001FF" w:csb1="00000000"/>
    <w:embedRegular r:id="rId2" w:fontKey="{D0535EBC-99DD-433A-8124-463EFDC47CDF}"/>
  </w:font>
  <w:font w:name="Cambria">
    <w:panose1 w:val="02040503050406030204"/>
    <w:charset w:val="00"/>
    <w:family w:val="roman"/>
    <w:pitch w:val="variable"/>
    <w:sig w:usb0="E00006FF" w:usb1="420024FF" w:usb2="02000000" w:usb3="00000000" w:csb0="0000019F" w:csb1="00000000"/>
    <w:embedRegular r:id="rId3" w:fontKey="{F21B15A9-F582-4A78-8659-558DD5372D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FA430" w14:textId="2AC79BE3" w:rsidR="005E5B2C" w:rsidRDefault="00A41456">
    <w:pPr>
      <w:pBdr>
        <w:top w:val="nil"/>
        <w:left w:val="nil"/>
        <w:bottom w:val="nil"/>
        <w:right w:val="nil"/>
        <w:between w:val="nil"/>
      </w:pBdr>
      <w:tabs>
        <w:tab w:val="center" w:pos="4513"/>
        <w:tab w:val="right" w:pos="9026"/>
      </w:tabs>
      <w:spacing w:after="0" w:line="240" w:lineRule="auto"/>
      <w:jc w:val="center"/>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CD1062">
      <w:rPr>
        <w:noProof/>
        <w:color w:val="000000"/>
        <w:sz w:val="22"/>
        <w:szCs w:val="22"/>
      </w:rPr>
      <w:t>2</w:t>
    </w:r>
    <w:r>
      <w:rPr>
        <w:color w:val="000000"/>
        <w:sz w:val="22"/>
        <w:szCs w:val="22"/>
      </w:rPr>
      <w:fldChar w:fldCharType="end"/>
    </w:r>
  </w:p>
  <w:p w14:paraId="423FA431" w14:textId="77777777" w:rsidR="005E5B2C" w:rsidRDefault="005E5B2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AF82F" w14:textId="77777777" w:rsidR="00A41456" w:rsidRDefault="00A41456">
      <w:pPr>
        <w:spacing w:after="0" w:line="240" w:lineRule="auto"/>
      </w:pPr>
      <w:r>
        <w:separator/>
      </w:r>
    </w:p>
  </w:footnote>
  <w:footnote w:type="continuationSeparator" w:id="0">
    <w:p w14:paraId="53B4D86F" w14:textId="77777777" w:rsidR="00A41456" w:rsidRDefault="00A41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F1811"/>
    <w:multiLevelType w:val="multilevel"/>
    <w:tmpl w:val="1D72E9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61446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B2C"/>
    <w:rsid w:val="00017AE7"/>
    <w:rsid w:val="0028384B"/>
    <w:rsid w:val="002F5754"/>
    <w:rsid w:val="00304685"/>
    <w:rsid w:val="0051096E"/>
    <w:rsid w:val="00512AF5"/>
    <w:rsid w:val="00590147"/>
    <w:rsid w:val="005E5B2C"/>
    <w:rsid w:val="005F0A4E"/>
    <w:rsid w:val="00657F3A"/>
    <w:rsid w:val="007576A4"/>
    <w:rsid w:val="00782F22"/>
    <w:rsid w:val="00841716"/>
    <w:rsid w:val="00896F64"/>
    <w:rsid w:val="008C21EE"/>
    <w:rsid w:val="00A33D74"/>
    <w:rsid w:val="00A41456"/>
    <w:rsid w:val="00BD3DBF"/>
    <w:rsid w:val="00C57EAF"/>
    <w:rsid w:val="00CA7B94"/>
    <w:rsid w:val="00CB0422"/>
    <w:rsid w:val="00CD1062"/>
    <w:rsid w:val="00D945E3"/>
    <w:rsid w:val="00E459C0"/>
    <w:rsid w:val="00E63490"/>
    <w:rsid w:val="00E65EDE"/>
    <w:rsid w:val="00EC3432"/>
    <w:rsid w:val="00F04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FA3E5"/>
  <w15:docId w15:val="{867A9905-C655-4026-AAD9-B36D4789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360" w:lineRule="auto"/>
      <w:outlineLvl w:val="0"/>
    </w:pPr>
    <w:rPr>
      <w:rFonts w:ascii="Arial" w:eastAsia="Arial" w:hAnsi="Arial" w:cs="Arial"/>
      <w:b/>
      <w:bCs/>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Arial" w:eastAsia="Arial" w:hAnsi="Arial" w:cs="Arial"/>
      <w:b/>
      <w:bCs/>
      <w:i/>
      <w:iCs/>
      <w:color w:val="2F5496"/>
      <w:sz w:val="26"/>
      <w:szCs w:val="26"/>
    </w:rPr>
  </w:style>
  <w:style w:type="paragraph" w:styleId="Heading3">
    <w:name w:val="heading 3"/>
    <w:basedOn w:val="Normal"/>
    <w:next w:val="Normal"/>
    <w:uiPriority w:val="9"/>
    <w:semiHidden/>
    <w:unhideWhenUsed/>
    <w:qFormat/>
    <w:pPr>
      <w:spacing w:line="240" w:lineRule="auto"/>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E65EDE"/>
    <w:rPr>
      <w:color w:val="0000FF" w:themeColor="hyperlink"/>
      <w:u w:val="single"/>
    </w:rPr>
  </w:style>
  <w:style w:type="character" w:styleId="UnresolvedMention">
    <w:name w:val="Unresolved Mention"/>
    <w:basedOn w:val="DefaultParagraphFont"/>
    <w:uiPriority w:val="99"/>
    <w:semiHidden/>
    <w:unhideWhenUsed/>
    <w:rsid w:val="00E65EDE"/>
    <w:rPr>
      <w:color w:val="605E5C"/>
      <w:shd w:val="clear" w:color="auto" w:fill="E1DFDD"/>
    </w:rPr>
  </w:style>
  <w:style w:type="character" w:styleId="FollowedHyperlink">
    <w:name w:val="FollowedHyperlink"/>
    <w:basedOn w:val="DefaultParagraphFont"/>
    <w:uiPriority w:val="99"/>
    <w:semiHidden/>
    <w:unhideWhenUsed/>
    <w:rsid w:val="008C21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care-act-statutory-guidance" TargetMode="External"/><Relationship Id="rId4" Type="http://schemas.openxmlformats.org/officeDocument/2006/relationships/webSettings" Target="webSettings.xml"/><Relationship Id="rId9" Type="http://schemas.openxmlformats.org/officeDocument/2006/relationships/hyperlink" Target="https://www.legislation.gov.uk/ukpga/2018/12/contents" TargetMode="External"/><Relationship Id="rId14" Type="http://schemas.openxmlformats.org/officeDocument/2006/relationships/hyperlink" Target="https://www.skillsforcare.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8</Pages>
  <Words>2277</Words>
  <Characters>12981</Characters>
  <Application>Microsoft Office Word</Application>
  <DocSecurity>0</DocSecurity>
  <Lines>108</Lines>
  <Paragraphs>30</Paragraphs>
  <ScaleCrop>false</ScaleCrop>
  <Company/>
  <LinksUpToDate>false</LinksUpToDate>
  <CharactersWithSpaces>15228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Md Ahmad</cp:lastModifiedBy>
  <cp:revision>22</cp:revision>
  <dcterms:created xsi:type="dcterms:W3CDTF">2026-08-02T16:02:00Z</dcterms:created>
  <dcterms:modified xsi:type="dcterms:W3CDTF">2026-08-03T11:54:00Z</dcterms:modified>
</cp:coreProperties>
</file>