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2103260095"/>
        <w:docPartObj>
          <w:docPartGallery w:val="Cover Pages"/>
          <w:docPartUnique/>
        </w:docPartObj>
      </w:sdtPr>
      <w:sdtEndPr>
        <w:rPr>
          <w:rFonts w:eastAsiaTheme="minorHAnsi"/>
          <w:color w:val="000000" w:themeColor="text1"/>
          <w:sz w:val="28"/>
          <w:szCs w:val="28"/>
          <w:lang w:eastAsia="en-US"/>
        </w:rPr>
      </w:sdtEndPr>
      <w:sdtContent>
        <w:p w14:paraId="44970CD3" w14:textId="27EA9DDB" w:rsidR="002B2500" w:rsidRDefault="002B2500">
          <w:pPr>
            <w:pStyle w:val="NoSpacing"/>
          </w:pPr>
        </w:p>
        <w:p w14:paraId="1AFD0076" w14:textId="53AE841F" w:rsidR="002B2500" w:rsidRDefault="002B2500">
          <w:pPr>
            <w:rPr>
              <w:rFonts w:asciiTheme="majorHAnsi" w:eastAsiaTheme="majorEastAsia" w:hAnsiTheme="majorHAnsi" w:cstheme="majorBidi"/>
              <w:color w:val="000000" w:themeColor="text1"/>
              <w:sz w:val="28"/>
              <w:szCs w:val="28"/>
              <w:lang w:val="en-US"/>
            </w:rPr>
          </w:pPr>
          <w:r>
            <w:rPr>
              <w:noProof/>
              <w:lang w:eastAsia="en-GB"/>
            </w:rPr>
            <mc:AlternateContent>
              <mc:Choice Requires="wps">
                <w:drawing>
                  <wp:anchor distT="0" distB="0" distL="114300" distR="114300" simplePos="0" relativeHeight="251660288" behindDoc="0" locked="0" layoutInCell="1" allowOverlap="1" wp14:anchorId="0B8E4232" wp14:editId="66A99AA9">
                    <wp:simplePos x="0" y="0"/>
                    <wp:positionH relativeFrom="page">
                      <wp:posOffset>1739900</wp:posOffset>
                    </wp:positionH>
                    <wp:positionV relativeFrom="page">
                      <wp:posOffset>1371600</wp:posOffset>
                    </wp:positionV>
                    <wp:extent cx="5029200" cy="5943600"/>
                    <wp:effectExtent l="0" t="0" r="0" b="0"/>
                    <wp:wrapNone/>
                    <wp:docPr id="1" name="Text Box 1"/>
                    <wp:cNvGraphicFramePr/>
                    <a:graphic xmlns:a="http://schemas.openxmlformats.org/drawingml/2006/main">
                      <a:graphicData uri="http://schemas.microsoft.com/office/word/2010/wordprocessingShape">
                        <wps:wsp>
                          <wps:cNvSpPr txBox="1"/>
                          <wps:spPr>
                            <a:xfrm>
                              <a:off x="0" y="0"/>
                              <a:ext cx="5029200" cy="59436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FE5EA00" w14:textId="796EFB34" w:rsidR="002B2500" w:rsidRDefault="002B2500" w:rsidP="002B2500">
                                <w:pPr>
                                  <w:pStyle w:val="NoSpacing"/>
                                  <w:spacing w:line="480" w:lineRule="auto"/>
                                  <w:jc w:val="center"/>
                                  <w:rPr>
                                    <w:color w:val="404040" w:themeColor="text1" w:themeTint="BF"/>
                                    <w:sz w:val="36"/>
                                    <w:szCs w:val="36"/>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2B2500">
                                      <w:rPr>
                                        <w:rFonts w:ascii="Times New Roman" w:eastAsiaTheme="minorHAnsi" w:hAnsi="Times New Roman" w:cs="Times New Roman"/>
                                        <w:i/>
                                        <w:iCs/>
                                        <w:color w:val="000000"/>
                                        <w:sz w:val="28"/>
                                        <w:szCs w:val="28"/>
                                        <w:u w:val="single" w:color="000000"/>
                                        <w:lang w:val="en-GB" w:eastAsia="en-US"/>
                                      </w:rPr>
                                      <w:t xml:space="preserve"> </w:t>
                                    </w:r>
                                    <w:r w:rsidRPr="002B2500">
                                      <w:rPr>
                                        <w:rFonts w:ascii="Times New Roman" w:eastAsiaTheme="majorEastAsia" w:hAnsi="Times New Roman" w:cs="Times New Roman"/>
                                        <w:iCs/>
                                        <w:color w:val="262626" w:themeColor="text1" w:themeTint="D9"/>
                                        <w:sz w:val="40"/>
                                        <w:szCs w:val="40"/>
                                        <w:lang w:val="en-GB"/>
                                      </w:rPr>
                                      <w:t>How effective was British opposition to the</w:t>
                                    </w:r>
                                    <w:r w:rsidR="006E37B9">
                                      <w:rPr>
                                        <w:rFonts w:ascii="Times New Roman" w:eastAsiaTheme="majorEastAsia" w:hAnsi="Times New Roman" w:cs="Times New Roman"/>
                                        <w:iCs/>
                                        <w:color w:val="262626" w:themeColor="text1" w:themeTint="D9"/>
                                        <w:sz w:val="40"/>
                                        <w:szCs w:val="40"/>
                                        <w:lang w:val="en-GB"/>
                                      </w:rPr>
                                      <w:t xml:space="preserve"> Roman invaders 55</w:t>
                                    </w:r>
                                    <w:r w:rsidRPr="002B2500">
                                      <w:rPr>
                                        <w:rFonts w:ascii="Times New Roman" w:eastAsiaTheme="majorEastAsia" w:hAnsi="Times New Roman" w:cs="Times New Roman"/>
                                        <w:iCs/>
                                        <w:color w:val="262626" w:themeColor="text1" w:themeTint="D9"/>
                                        <w:sz w:val="40"/>
                                        <w:szCs w:val="40"/>
                                        <w:lang w:val="en-GB"/>
                                      </w:rPr>
                                      <w:t>BC- AD83?</w:t>
                                    </w:r>
                                    <w:r w:rsidRPr="002B2500">
                                      <w:rPr>
                                        <w:rFonts w:asciiTheme="majorHAnsi" w:eastAsiaTheme="majorEastAsia" w:hAnsiTheme="majorHAnsi" w:cstheme="majorBidi"/>
                                        <w:color w:val="262626" w:themeColor="text1" w:themeTint="D9"/>
                                        <w:sz w:val="72"/>
                                        <w:szCs w:val="72"/>
                                        <w:lang w:val="en-GB"/>
                                      </w:rPr>
                                      <w:t xml:space="preserve"> </w:t>
                                    </w:r>
                                  </w:sdtContent>
                                </w:sdt>
                              </w:p>
                              <w:p w14:paraId="2FFBC742" w14:textId="77777777" w:rsidR="002B2500" w:rsidRDefault="002B2500" w:rsidP="002B2500">
                                <w:pPr>
                                  <w:pStyle w:val="NoSpacing"/>
                                  <w:spacing w:line="480" w:lineRule="auto"/>
                                  <w:jc w:val="center"/>
                                  <w:rPr>
                                    <w:color w:val="404040" w:themeColor="text1" w:themeTint="BF"/>
                                    <w:sz w:val="36"/>
                                    <w:szCs w:val="36"/>
                                  </w:rPr>
                                </w:pPr>
                              </w:p>
                              <w:p w14:paraId="6A4EA5DF" w14:textId="77777777" w:rsidR="002B2500" w:rsidRDefault="002B2500" w:rsidP="002B2500">
                                <w:pPr>
                                  <w:pStyle w:val="NoSpacing"/>
                                  <w:spacing w:line="480" w:lineRule="auto"/>
                                  <w:jc w:val="center"/>
                                  <w:rPr>
                                    <w:color w:val="404040" w:themeColor="text1" w:themeTint="BF"/>
                                    <w:sz w:val="36"/>
                                    <w:szCs w:val="36"/>
                                  </w:rPr>
                                </w:pPr>
                              </w:p>
                              <w:p w14:paraId="663E3B78" w14:textId="7C7C542A" w:rsidR="002B2500" w:rsidRDefault="002B2500" w:rsidP="002B2500">
                                <w:pPr>
                                  <w:pStyle w:val="NoSpacing"/>
                                  <w:spacing w:line="480" w:lineRule="auto"/>
                                  <w:jc w:val="center"/>
                                  <w:rPr>
                                    <w:rFonts w:ascii="Times New Roman" w:hAnsi="Times New Roman" w:cs="Times New Roman"/>
                                    <w:color w:val="404040" w:themeColor="text1" w:themeTint="BF"/>
                                    <w:sz w:val="30"/>
                                    <w:szCs w:val="30"/>
                                  </w:rPr>
                                </w:pPr>
                                <w:r w:rsidRPr="002B2500">
                                  <w:rPr>
                                    <w:rFonts w:ascii="Times New Roman" w:hAnsi="Times New Roman" w:cs="Times New Roman"/>
                                    <w:color w:val="404040" w:themeColor="text1" w:themeTint="BF"/>
                                    <w:sz w:val="30"/>
                                    <w:szCs w:val="30"/>
                                  </w:rPr>
                                  <w:t>By Megan Haylock</w:t>
                                </w:r>
                              </w:p>
                              <w:p w14:paraId="48B5CCD6" w14:textId="01801812" w:rsidR="002B2500" w:rsidRDefault="002B2500" w:rsidP="002B2500">
                                <w:pPr>
                                  <w:pStyle w:val="NoSpacing"/>
                                  <w:spacing w:line="480" w:lineRule="auto"/>
                                  <w:jc w:val="center"/>
                                  <w:rPr>
                                    <w:rFonts w:ascii="Times New Roman" w:hAnsi="Times New Roman" w:cs="Times New Roman"/>
                                    <w:color w:val="404040" w:themeColor="text1" w:themeTint="BF"/>
                                    <w:sz w:val="30"/>
                                    <w:szCs w:val="30"/>
                                  </w:rPr>
                                </w:pPr>
                                <w:r>
                                  <w:rPr>
                                    <w:rFonts w:ascii="Times New Roman" w:hAnsi="Times New Roman" w:cs="Times New Roman"/>
                                    <w:color w:val="404040" w:themeColor="text1" w:themeTint="BF"/>
                                    <w:sz w:val="30"/>
                                    <w:szCs w:val="30"/>
                                  </w:rPr>
                                  <w:t>1500488</w:t>
                                </w:r>
                              </w:p>
                              <w:p w14:paraId="139F3E42" w14:textId="77777777" w:rsidR="00461D79" w:rsidRDefault="00461D79" w:rsidP="002B2500">
                                <w:pPr>
                                  <w:pStyle w:val="NoSpacing"/>
                                  <w:spacing w:line="480" w:lineRule="auto"/>
                                  <w:jc w:val="center"/>
                                  <w:rPr>
                                    <w:rFonts w:ascii="Times New Roman" w:hAnsi="Times New Roman" w:cs="Times New Roman"/>
                                    <w:color w:val="404040" w:themeColor="text1" w:themeTint="BF"/>
                                    <w:sz w:val="30"/>
                                    <w:szCs w:val="30"/>
                                  </w:rPr>
                                </w:pPr>
                              </w:p>
                              <w:p w14:paraId="6C8D6BB7" w14:textId="6102E19E" w:rsidR="00461D79" w:rsidRDefault="00461D79" w:rsidP="002B2500">
                                <w:pPr>
                                  <w:pStyle w:val="NoSpacing"/>
                                  <w:spacing w:line="480" w:lineRule="auto"/>
                                  <w:jc w:val="center"/>
                                  <w:rPr>
                                    <w:rFonts w:ascii="Times New Roman" w:hAnsi="Times New Roman" w:cs="Times New Roman"/>
                                    <w:color w:val="404040" w:themeColor="text1" w:themeTint="BF"/>
                                    <w:sz w:val="30"/>
                                    <w:szCs w:val="30"/>
                                  </w:rPr>
                                </w:pPr>
                                <w:r>
                                  <w:rPr>
                                    <w:rFonts w:ascii="Times New Roman" w:hAnsi="Times New Roman" w:cs="Times New Roman"/>
                                    <w:color w:val="404040" w:themeColor="text1" w:themeTint="BF"/>
                                    <w:sz w:val="30"/>
                                    <w:szCs w:val="30"/>
                                  </w:rPr>
                                  <w:t>Dissertation submitted in partial fulfilment of a B.A</w:t>
                                </w:r>
                                <w:r w:rsidR="00654FC1">
                                  <w:rPr>
                                    <w:rFonts w:ascii="Times New Roman" w:hAnsi="Times New Roman" w:cs="Times New Roman"/>
                                    <w:color w:val="404040" w:themeColor="text1" w:themeTint="BF"/>
                                    <w:sz w:val="30"/>
                                    <w:szCs w:val="30"/>
                                  </w:rPr>
                                  <w:t>.</w:t>
                                </w:r>
                                <w:r>
                                  <w:rPr>
                                    <w:rFonts w:ascii="Times New Roman" w:hAnsi="Times New Roman" w:cs="Times New Roman"/>
                                    <w:color w:val="404040" w:themeColor="text1" w:themeTint="BF"/>
                                    <w:sz w:val="30"/>
                                    <w:szCs w:val="30"/>
                                  </w:rPr>
                                  <w:t xml:space="preserve"> (Hons)</w:t>
                                </w:r>
                                <w:r w:rsidR="00654FC1">
                                  <w:rPr>
                                    <w:rFonts w:ascii="Times New Roman" w:hAnsi="Times New Roman" w:cs="Times New Roman"/>
                                    <w:color w:val="404040" w:themeColor="text1" w:themeTint="BF"/>
                                    <w:sz w:val="30"/>
                                    <w:szCs w:val="30"/>
                                  </w:rPr>
                                  <w:t xml:space="preserve"> in Ancient History.</w:t>
                                </w:r>
                              </w:p>
                              <w:p w14:paraId="6551CAE1" w14:textId="2B1F0B57" w:rsidR="00654FC1" w:rsidRDefault="00654FC1" w:rsidP="002B2500">
                                <w:pPr>
                                  <w:pStyle w:val="NoSpacing"/>
                                  <w:spacing w:line="480" w:lineRule="auto"/>
                                  <w:jc w:val="center"/>
                                  <w:rPr>
                                    <w:rFonts w:ascii="Times New Roman" w:hAnsi="Times New Roman" w:cs="Times New Roman"/>
                                    <w:color w:val="404040" w:themeColor="text1" w:themeTint="BF"/>
                                    <w:sz w:val="30"/>
                                    <w:szCs w:val="30"/>
                                  </w:rPr>
                                </w:pPr>
                                <w:r>
                                  <w:rPr>
                                    <w:rFonts w:ascii="Times New Roman" w:hAnsi="Times New Roman" w:cs="Times New Roman"/>
                                    <w:color w:val="404040" w:themeColor="text1" w:themeTint="BF"/>
                                    <w:sz w:val="30"/>
                                    <w:szCs w:val="30"/>
                                  </w:rPr>
                                  <w:t>University of Wales Trinity Saint David</w:t>
                                </w:r>
                              </w:p>
                              <w:p w14:paraId="46966282" w14:textId="53D34598" w:rsidR="00654FC1" w:rsidRDefault="00654FC1" w:rsidP="002B2500">
                                <w:pPr>
                                  <w:pStyle w:val="NoSpacing"/>
                                  <w:spacing w:line="480" w:lineRule="auto"/>
                                  <w:jc w:val="center"/>
                                  <w:rPr>
                                    <w:rFonts w:ascii="Times New Roman" w:hAnsi="Times New Roman" w:cs="Times New Roman"/>
                                    <w:color w:val="404040" w:themeColor="text1" w:themeTint="BF"/>
                                    <w:sz w:val="30"/>
                                    <w:szCs w:val="30"/>
                                  </w:rPr>
                                </w:pPr>
                                <w:r>
                                  <w:rPr>
                                    <w:rFonts w:ascii="Times New Roman" w:hAnsi="Times New Roman" w:cs="Times New Roman"/>
                                    <w:color w:val="404040" w:themeColor="text1" w:themeTint="BF"/>
                                    <w:sz w:val="30"/>
                                    <w:szCs w:val="30"/>
                                  </w:rPr>
                                  <w:t>May 2018</w:t>
                                </w:r>
                              </w:p>
                              <w:p w14:paraId="124DF596" w14:textId="6B21CAB5" w:rsidR="00654FC1" w:rsidRPr="002B2500" w:rsidRDefault="00654FC1" w:rsidP="002B2500">
                                <w:pPr>
                                  <w:pStyle w:val="NoSpacing"/>
                                  <w:spacing w:line="480" w:lineRule="auto"/>
                                  <w:jc w:val="center"/>
                                  <w:rPr>
                                    <w:rFonts w:ascii="Times New Roman" w:hAnsi="Times New Roman" w:cs="Times New Roman"/>
                                    <w:color w:val="404040" w:themeColor="text1" w:themeTint="BF"/>
                                    <w:sz w:val="30"/>
                                    <w:szCs w:val="30"/>
                                  </w:rPr>
                                </w:pPr>
                                <w:r>
                                  <w:rPr>
                                    <w:rFonts w:ascii="Times New Roman" w:hAnsi="Times New Roman" w:cs="Times New Roman"/>
                                    <w:color w:val="404040" w:themeColor="text1" w:themeTint="BF"/>
                                    <w:sz w:val="30"/>
                                    <w:szCs w:val="30"/>
                                  </w:rPr>
                                  <w:t>Word Count: 10,265</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0B8E4232" id="_x0000_t202" coordsize="21600,21600" o:spt="202" path="m0,0l0,21600,21600,21600,21600,0xe">
                    <v:stroke joinstyle="miter"/>
                    <v:path gradientshapeok="t" o:connecttype="rect"/>
                  </v:shapetype>
                  <v:shape id="Text Box 1" o:spid="_x0000_s1026" type="#_x0000_t202" style="position:absolute;margin-left:137pt;margin-top:108pt;width:396pt;height:468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" filled="f" stroked="f" strokeweight=".5pt">
                    <v:textbox inset="0,0,0,0">
                      <w:txbxContent>
                        <w:p w14:paraId="2FE5EA00" w14:textId="796EFB34" w:rsidR="002B2500" w:rsidRDefault="002B2500" w:rsidP="002B2500">
                          <w:pPr>
                            <w:pStyle w:val="NoSpacing"/>
                            <w:spacing w:line="480" w:lineRule="auto"/>
                            <w:jc w:val="center"/>
                            <w:rPr>
                              <w:color w:val="404040" w:themeColor="text1" w:themeTint="BF"/>
                              <w:sz w:val="36"/>
                              <w:szCs w:val="36"/>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2B2500">
                                <w:rPr>
                                  <w:rFonts w:ascii="Times New Roman" w:eastAsiaTheme="minorHAnsi" w:hAnsi="Times New Roman" w:cs="Times New Roman"/>
                                  <w:i/>
                                  <w:iCs/>
                                  <w:color w:val="000000"/>
                                  <w:sz w:val="28"/>
                                  <w:szCs w:val="28"/>
                                  <w:u w:val="single" w:color="000000"/>
                                  <w:lang w:val="en-GB" w:eastAsia="en-US"/>
                                </w:rPr>
                                <w:t xml:space="preserve"> </w:t>
                              </w:r>
                              <w:r w:rsidRPr="002B2500">
                                <w:rPr>
                                  <w:rFonts w:ascii="Times New Roman" w:eastAsiaTheme="majorEastAsia" w:hAnsi="Times New Roman" w:cs="Times New Roman"/>
                                  <w:iCs/>
                                  <w:color w:val="262626" w:themeColor="text1" w:themeTint="D9"/>
                                  <w:sz w:val="40"/>
                                  <w:szCs w:val="40"/>
                                  <w:lang w:val="en-GB"/>
                                </w:rPr>
                                <w:t>How effective was British opposition to the</w:t>
                              </w:r>
                              <w:r w:rsidR="006E37B9">
                                <w:rPr>
                                  <w:rFonts w:ascii="Times New Roman" w:eastAsiaTheme="majorEastAsia" w:hAnsi="Times New Roman" w:cs="Times New Roman"/>
                                  <w:iCs/>
                                  <w:color w:val="262626" w:themeColor="text1" w:themeTint="D9"/>
                                  <w:sz w:val="40"/>
                                  <w:szCs w:val="40"/>
                                  <w:lang w:val="en-GB"/>
                                </w:rPr>
                                <w:t xml:space="preserve"> Roman invaders 55</w:t>
                              </w:r>
                              <w:r w:rsidRPr="002B2500">
                                <w:rPr>
                                  <w:rFonts w:ascii="Times New Roman" w:eastAsiaTheme="majorEastAsia" w:hAnsi="Times New Roman" w:cs="Times New Roman"/>
                                  <w:iCs/>
                                  <w:color w:val="262626" w:themeColor="text1" w:themeTint="D9"/>
                                  <w:sz w:val="40"/>
                                  <w:szCs w:val="40"/>
                                  <w:lang w:val="en-GB"/>
                                </w:rPr>
                                <w:t>BC- AD83?</w:t>
                              </w:r>
                              <w:r w:rsidRPr="002B2500">
                                <w:rPr>
                                  <w:rFonts w:asciiTheme="majorHAnsi" w:eastAsiaTheme="majorEastAsia" w:hAnsiTheme="majorHAnsi" w:cstheme="majorBidi"/>
                                  <w:color w:val="262626" w:themeColor="text1" w:themeTint="D9"/>
                                  <w:sz w:val="72"/>
                                  <w:szCs w:val="72"/>
                                  <w:lang w:val="en-GB"/>
                                </w:rPr>
                                <w:t xml:space="preserve"> </w:t>
                              </w:r>
                            </w:sdtContent>
                          </w:sdt>
                        </w:p>
                        <w:p w14:paraId="2FFBC742" w14:textId="77777777" w:rsidR="002B2500" w:rsidRDefault="002B2500" w:rsidP="002B2500">
                          <w:pPr>
                            <w:pStyle w:val="NoSpacing"/>
                            <w:spacing w:line="480" w:lineRule="auto"/>
                            <w:jc w:val="center"/>
                            <w:rPr>
                              <w:color w:val="404040" w:themeColor="text1" w:themeTint="BF"/>
                              <w:sz w:val="36"/>
                              <w:szCs w:val="36"/>
                            </w:rPr>
                          </w:pPr>
                        </w:p>
                        <w:p w14:paraId="6A4EA5DF" w14:textId="77777777" w:rsidR="002B2500" w:rsidRDefault="002B2500" w:rsidP="002B2500">
                          <w:pPr>
                            <w:pStyle w:val="NoSpacing"/>
                            <w:spacing w:line="480" w:lineRule="auto"/>
                            <w:jc w:val="center"/>
                            <w:rPr>
                              <w:color w:val="404040" w:themeColor="text1" w:themeTint="BF"/>
                              <w:sz w:val="36"/>
                              <w:szCs w:val="36"/>
                            </w:rPr>
                          </w:pPr>
                        </w:p>
                        <w:p w14:paraId="663E3B78" w14:textId="7C7C542A" w:rsidR="002B2500" w:rsidRDefault="002B2500" w:rsidP="002B2500">
                          <w:pPr>
                            <w:pStyle w:val="NoSpacing"/>
                            <w:spacing w:line="480" w:lineRule="auto"/>
                            <w:jc w:val="center"/>
                            <w:rPr>
                              <w:rFonts w:ascii="Times New Roman" w:hAnsi="Times New Roman" w:cs="Times New Roman"/>
                              <w:color w:val="404040" w:themeColor="text1" w:themeTint="BF"/>
                              <w:sz w:val="30"/>
                              <w:szCs w:val="30"/>
                            </w:rPr>
                          </w:pPr>
                          <w:r w:rsidRPr="002B2500">
                            <w:rPr>
                              <w:rFonts w:ascii="Times New Roman" w:hAnsi="Times New Roman" w:cs="Times New Roman"/>
                              <w:color w:val="404040" w:themeColor="text1" w:themeTint="BF"/>
                              <w:sz w:val="30"/>
                              <w:szCs w:val="30"/>
                            </w:rPr>
                            <w:t>By Megan Haylock</w:t>
                          </w:r>
                        </w:p>
                        <w:p w14:paraId="48B5CCD6" w14:textId="01801812" w:rsidR="002B2500" w:rsidRDefault="002B2500" w:rsidP="002B2500">
                          <w:pPr>
                            <w:pStyle w:val="NoSpacing"/>
                            <w:spacing w:line="480" w:lineRule="auto"/>
                            <w:jc w:val="center"/>
                            <w:rPr>
                              <w:rFonts w:ascii="Times New Roman" w:hAnsi="Times New Roman" w:cs="Times New Roman"/>
                              <w:color w:val="404040" w:themeColor="text1" w:themeTint="BF"/>
                              <w:sz w:val="30"/>
                              <w:szCs w:val="30"/>
                            </w:rPr>
                          </w:pPr>
                          <w:r>
                            <w:rPr>
                              <w:rFonts w:ascii="Times New Roman" w:hAnsi="Times New Roman" w:cs="Times New Roman"/>
                              <w:color w:val="404040" w:themeColor="text1" w:themeTint="BF"/>
                              <w:sz w:val="30"/>
                              <w:szCs w:val="30"/>
                            </w:rPr>
                            <w:t>1500488</w:t>
                          </w:r>
                        </w:p>
                        <w:p w14:paraId="139F3E42" w14:textId="77777777" w:rsidR="00461D79" w:rsidRDefault="00461D79" w:rsidP="002B2500">
                          <w:pPr>
                            <w:pStyle w:val="NoSpacing"/>
                            <w:spacing w:line="480" w:lineRule="auto"/>
                            <w:jc w:val="center"/>
                            <w:rPr>
                              <w:rFonts w:ascii="Times New Roman" w:hAnsi="Times New Roman" w:cs="Times New Roman"/>
                              <w:color w:val="404040" w:themeColor="text1" w:themeTint="BF"/>
                              <w:sz w:val="30"/>
                              <w:szCs w:val="30"/>
                            </w:rPr>
                          </w:pPr>
                        </w:p>
                        <w:p w14:paraId="6C8D6BB7" w14:textId="6102E19E" w:rsidR="00461D79" w:rsidRDefault="00461D79" w:rsidP="002B2500">
                          <w:pPr>
                            <w:pStyle w:val="NoSpacing"/>
                            <w:spacing w:line="480" w:lineRule="auto"/>
                            <w:jc w:val="center"/>
                            <w:rPr>
                              <w:rFonts w:ascii="Times New Roman" w:hAnsi="Times New Roman" w:cs="Times New Roman"/>
                              <w:color w:val="404040" w:themeColor="text1" w:themeTint="BF"/>
                              <w:sz w:val="30"/>
                              <w:szCs w:val="30"/>
                            </w:rPr>
                          </w:pPr>
                          <w:r>
                            <w:rPr>
                              <w:rFonts w:ascii="Times New Roman" w:hAnsi="Times New Roman" w:cs="Times New Roman"/>
                              <w:color w:val="404040" w:themeColor="text1" w:themeTint="BF"/>
                              <w:sz w:val="30"/>
                              <w:szCs w:val="30"/>
                            </w:rPr>
                            <w:t>Dissertation submitted in partial fulfilment of a B.A</w:t>
                          </w:r>
                          <w:r w:rsidR="00654FC1">
                            <w:rPr>
                              <w:rFonts w:ascii="Times New Roman" w:hAnsi="Times New Roman" w:cs="Times New Roman"/>
                              <w:color w:val="404040" w:themeColor="text1" w:themeTint="BF"/>
                              <w:sz w:val="30"/>
                              <w:szCs w:val="30"/>
                            </w:rPr>
                            <w:t>.</w:t>
                          </w:r>
                          <w:r>
                            <w:rPr>
                              <w:rFonts w:ascii="Times New Roman" w:hAnsi="Times New Roman" w:cs="Times New Roman"/>
                              <w:color w:val="404040" w:themeColor="text1" w:themeTint="BF"/>
                              <w:sz w:val="30"/>
                              <w:szCs w:val="30"/>
                            </w:rPr>
                            <w:t xml:space="preserve"> (Hons)</w:t>
                          </w:r>
                          <w:r w:rsidR="00654FC1">
                            <w:rPr>
                              <w:rFonts w:ascii="Times New Roman" w:hAnsi="Times New Roman" w:cs="Times New Roman"/>
                              <w:color w:val="404040" w:themeColor="text1" w:themeTint="BF"/>
                              <w:sz w:val="30"/>
                              <w:szCs w:val="30"/>
                            </w:rPr>
                            <w:t xml:space="preserve"> in Ancient History.</w:t>
                          </w:r>
                        </w:p>
                        <w:p w14:paraId="6551CAE1" w14:textId="2B1F0B57" w:rsidR="00654FC1" w:rsidRDefault="00654FC1" w:rsidP="002B2500">
                          <w:pPr>
                            <w:pStyle w:val="NoSpacing"/>
                            <w:spacing w:line="480" w:lineRule="auto"/>
                            <w:jc w:val="center"/>
                            <w:rPr>
                              <w:rFonts w:ascii="Times New Roman" w:hAnsi="Times New Roman" w:cs="Times New Roman"/>
                              <w:color w:val="404040" w:themeColor="text1" w:themeTint="BF"/>
                              <w:sz w:val="30"/>
                              <w:szCs w:val="30"/>
                            </w:rPr>
                          </w:pPr>
                          <w:r>
                            <w:rPr>
                              <w:rFonts w:ascii="Times New Roman" w:hAnsi="Times New Roman" w:cs="Times New Roman"/>
                              <w:color w:val="404040" w:themeColor="text1" w:themeTint="BF"/>
                              <w:sz w:val="30"/>
                              <w:szCs w:val="30"/>
                            </w:rPr>
                            <w:t>University of Wales Trinity Saint David</w:t>
                          </w:r>
                        </w:p>
                        <w:p w14:paraId="46966282" w14:textId="53D34598" w:rsidR="00654FC1" w:rsidRDefault="00654FC1" w:rsidP="002B2500">
                          <w:pPr>
                            <w:pStyle w:val="NoSpacing"/>
                            <w:spacing w:line="480" w:lineRule="auto"/>
                            <w:jc w:val="center"/>
                            <w:rPr>
                              <w:rFonts w:ascii="Times New Roman" w:hAnsi="Times New Roman" w:cs="Times New Roman"/>
                              <w:color w:val="404040" w:themeColor="text1" w:themeTint="BF"/>
                              <w:sz w:val="30"/>
                              <w:szCs w:val="30"/>
                            </w:rPr>
                          </w:pPr>
                          <w:r>
                            <w:rPr>
                              <w:rFonts w:ascii="Times New Roman" w:hAnsi="Times New Roman" w:cs="Times New Roman"/>
                              <w:color w:val="404040" w:themeColor="text1" w:themeTint="BF"/>
                              <w:sz w:val="30"/>
                              <w:szCs w:val="30"/>
                            </w:rPr>
                            <w:t>May 2018</w:t>
                          </w:r>
                        </w:p>
                        <w:p w14:paraId="124DF596" w14:textId="6B21CAB5" w:rsidR="00654FC1" w:rsidRPr="002B2500" w:rsidRDefault="00654FC1" w:rsidP="002B2500">
                          <w:pPr>
                            <w:pStyle w:val="NoSpacing"/>
                            <w:spacing w:line="480" w:lineRule="auto"/>
                            <w:jc w:val="center"/>
                            <w:rPr>
                              <w:rFonts w:ascii="Times New Roman" w:hAnsi="Times New Roman" w:cs="Times New Roman"/>
                              <w:color w:val="404040" w:themeColor="text1" w:themeTint="BF"/>
                              <w:sz w:val="30"/>
                              <w:szCs w:val="30"/>
                            </w:rPr>
                          </w:pPr>
                          <w:r>
                            <w:rPr>
                              <w:rFonts w:ascii="Times New Roman" w:hAnsi="Times New Roman" w:cs="Times New Roman"/>
                              <w:color w:val="404040" w:themeColor="text1" w:themeTint="BF"/>
                              <w:sz w:val="30"/>
                              <w:szCs w:val="30"/>
                            </w:rPr>
                            <w:t>Word Count: 10,265</w:t>
                          </w:r>
                        </w:p>
                      </w:txbxContent>
                    </v:textbox>
                    <w10:wrap anchorx="page" anchory="page"/>
                  </v:shape>
                </w:pict>
              </mc:Fallback>
            </mc:AlternateContent>
          </w:r>
          <w:r>
            <w:rPr>
              <w:color w:val="000000" w:themeColor="text1"/>
              <w:sz w:val="28"/>
              <w:szCs w:val="28"/>
              <w:lang w:val="en-US"/>
            </w:rPr>
            <w:br w:type="page"/>
          </w:r>
        </w:p>
      </w:sdtContent>
    </w:sdt>
    <w:p w14:paraId="3BAFD12C" w14:textId="77777777" w:rsidR="0070634B" w:rsidRPr="00955A14" w:rsidRDefault="0070634B" w:rsidP="00A402C2">
      <w:pPr>
        <w:pStyle w:val="Heading1"/>
        <w:spacing w:line="480" w:lineRule="auto"/>
        <w:rPr>
          <w:color w:val="000000" w:themeColor="text1"/>
          <w:sz w:val="28"/>
          <w:szCs w:val="28"/>
          <w:lang w:val="en-US"/>
        </w:rPr>
      </w:pPr>
    </w:p>
    <w:sdt>
      <w:sdtPr>
        <w:id w:val="697975217"/>
        <w:docPartObj>
          <w:docPartGallery w:val="Table of Contents"/>
          <w:docPartUnique/>
        </w:docPartObj>
      </w:sdtPr>
      <w:sdtEndPr>
        <w:rPr>
          <w:rFonts w:asciiTheme="minorHAnsi" w:eastAsiaTheme="minorHAnsi" w:hAnsiTheme="minorHAnsi" w:cstheme="minorBidi"/>
          <w:noProof/>
          <w:color w:val="auto"/>
          <w:sz w:val="24"/>
          <w:szCs w:val="24"/>
          <w:lang w:val="en-GB"/>
        </w:rPr>
      </w:sdtEndPr>
      <w:sdtContent>
        <w:p w14:paraId="40BF5613" w14:textId="7D17CAD5" w:rsidR="00955A14" w:rsidRPr="00955A14" w:rsidRDefault="00955A14" w:rsidP="00775B2A">
          <w:pPr>
            <w:pStyle w:val="TOCHeading"/>
            <w:spacing w:line="480" w:lineRule="auto"/>
            <w:jc w:val="center"/>
            <w:rPr>
              <w:i/>
              <w:color w:val="000000" w:themeColor="text1"/>
              <w:u w:val="single"/>
            </w:rPr>
          </w:pPr>
          <w:r w:rsidRPr="00955A14">
            <w:rPr>
              <w:i/>
              <w:color w:val="000000" w:themeColor="text1"/>
              <w:u w:val="single"/>
            </w:rPr>
            <w:t>Table of Contents</w:t>
          </w:r>
        </w:p>
        <w:p w14:paraId="5B76015D" w14:textId="77777777" w:rsidR="00EB0221" w:rsidRDefault="00955A14" w:rsidP="00EB0221">
          <w:pPr>
            <w:pStyle w:val="TOC1"/>
            <w:rPr>
              <w:rFonts w:eastAsiaTheme="minorEastAsia"/>
              <w:b w:val="0"/>
              <w:bCs w:val="0"/>
              <w:noProof/>
              <w:lang w:eastAsia="en-GB"/>
            </w:rPr>
          </w:pPr>
          <w:r>
            <w:fldChar w:fldCharType="begin"/>
          </w:r>
          <w:r>
            <w:instrText xml:space="preserve"> TOC \o "1-3" \h \z \u </w:instrText>
          </w:r>
          <w:r>
            <w:fldChar w:fldCharType="separate"/>
          </w:r>
          <w:hyperlink w:anchor="_Toc513693205" w:history="1">
            <w:r w:rsidR="00EB0221" w:rsidRPr="00E31A33">
              <w:rPr>
                <w:rStyle w:val="Hyperlink"/>
                <w:i/>
                <w:noProof/>
                <w:lang w:val="en-US"/>
              </w:rPr>
              <w:t>Introduction</w:t>
            </w:r>
            <w:r w:rsidR="00EB0221">
              <w:rPr>
                <w:noProof/>
                <w:webHidden/>
              </w:rPr>
              <w:tab/>
            </w:r>
            <w:r w:rsidR="00EB0221">
              <w:rPr>
                <w:noProof/>
                <w:webHidden/>
              </w:rPr>
              <w:fldChar w:fldCharType="begin"/>
            </w:r>
            <w:r w:rsidR="00EB0221">
              <w:rPr>
                <w:noProof/>
                <w:webHidden/>
              </w:rPr>
              <w:instrText xml:space="preserve"> PAGEREF _Toc513693205 \h </w:instrText>
            </w:r>
            <w:r w:rsidR="00EB0221">
              <w:rPr>
                <w:noProof/>
                <w:webHidden/>
              </w:rPr>
            </w:r>
            <w:r w:rsidR="00EB0221">
              <w:rPr>
                <w:noProof/>
                <w:webHidden/>
              </w:rPr>
              <w:fldChar w:fldCharType="separate"/>
            </w:r>
            <w:r w:rsidR="00EB0221">
              <w:rPr>
                <w:noProof/>
                <w:webHidden/>
              </w:rPr>
              <w:t>3</w:t>
            </w:r>
            <w:r w:rsidR="00EB0221">
              <w:rPr>
                <w:noProof/>
                <w:webHidden/>
              </w:rPr>
              <w:fldChar w:fldCharType="end"/>
            </w:r>
          </w:hyperlink>
        </w:p>
        <w:p w14:paraId="591F433F" w14:textId="77777777" w:rsidR="00EB0221" w:rsidRDefault="00EB0221" w:rsidP="00EB0221">
          <w:pPr>
            <w:pStyle w:val="TOC1"/>
            <w:rPr>
              <w:rFonts w:eastAsiaTheme="minorEastAsia"/>
              <w:b w:val="0"/>
              <w:bCs w:val="0"/>
              <w:noProof/>
              <w:lang w:eastAsia="en-GB"/>
            </w:rPr>
          </w:pPr>
          <w:hyperlink w:anchor="_Toc513693206" w:history="1">
            <w:r w:rsidRPr="00E31A33">
              <w:rPr>
                <w:rStyle w:val="Hyperlink"/>
                <w:i/>
                <w:noProof/>
                <w:lang w:val="en-US"/>
              </w:rPr>
              <w:t>Caratacus</w:t>
            </w:r>
            <w:r>
              <w:rPr>
                <w:noProof/>
                <w:webHidden/>
              </w:rPr>
              <w:tab/>
            </w:r>
            <w:r>
              <w:rPr>
                <w:noProof/>
                <w:webHidden/>
              </w:rPr>
              <w:fldChar w:fldCharType="begin"/>
            </w:r>
            <w:r>
              <w:rPr>
                <w:noProof/>
                <w:webHidden/>
              </w:rPr>
              <w:instrText xml:space="preserve"> PAGEREF _Toc513693206 \h </w:instrText>
            </w:r>
            <w:r>
              <w:rPr>
                <w:noProof/>
                <w:webHidden/>
              </w:rPr>
            </w:r>
            <w:r>
              <w:rPr>
                <w:noProof/>
                <w:webHidden/>
              </w:rPr>
              <w:fldChar w:fldCharType="separate"/>
            </w:r>
            <w:r>
              <w:rPr>
                <w:noProof/>
                <w:webHidden/>
              </w:rPr>
              <w:t>4</w:t>
            </w:r>
            <w:r>
              <w:rPr>
                <w:noProof/>
                <w:webHidden/>
              </w:rPr>
              <w:fldChar w:fldCharType="end"/>
            </w:r>
          </w:hyperlink>
        </w:p>
        <w:p w14:paraId="1F63A866" w14:textId="77777777" w:rsidR="00EB0221" w:rsidRDefault="00EB0221" w:rsidP="00EB0221">
          <w:pPr>
            <w:pStyle w:val="TOC1"/>
            <w:rPr>
              <w:rFonts w:eastAsiaTheme="minorEastAsia"/>
              <w:b w:val="0"/>
              <w:bCs w:val="0"/>
              <w:noProof/>
              <w:lang w:eastAsia="en-GB"/>
            </w:rPr>
          </w:pPr>
          <w:hyperlink w:anchor="_Toc513693207" w:history="1">
            <w:r w:rsidRPr="00E31A33">
              <w:rPr>
                <w:rStyle w:val="Hyperlink"/>
                <w:i/>
                <w:noProof/>
                <w:lang w:val="en-US"/>
              </w:rPr>
              <w:t>Boudicca</w:t>
            </w:r>
            <w:r>
              <w:rPr>
                <w:noProof/>
                <w:webHidden/>
              </w:rPr>
              <w:tab/>
            </w:r>
            <w:r>
              <w:rPr>
                <w:noProof/>
                <w:webHidden/>
              </w:rPr>
              <w:fldChar w:fldCharType="begin"/>
            </w:r>
            <w:r>
              <w:rPr>
                <w:noProof/>
                <w:webHidden/>
              </w:rPr>
              <w:instrText xml:space="preserve"> PAGEREF _Toc513693207 \h </w:instrText>
            </w:r>
            <w:r>
              <w:rPr>
                <w:noProof/>
                <w:webHidden/>
              </w:rPr>
            </w:r>
            <w:r>
              <w:rPr>
                <w:noProof/>
                <w:webHidden/>
              </w:rPr>
              <w:fldChar w:fldCharType="separate"/>
            </w:r>
            <w:r>
              <w:rPr>
                <w:noProof/>
                <w:webHidden/>
              </w:rPr>
              <w:t>11</w:t>
            </w:r>
            <w:r>
              <w:rPr>
                <w:noProof/>
                <w:webHidden/>
              </w:rPr>
              <w:fldChar w:fldCharType="end"/>
            </w:r>
          </w:hyperlink>
        </w:p>
        <w:p w14:paraId="4D4002BB" w14:textId="77777777" w:rsidR="00EB0221" w:rsidRDefault="00EB0221" w:rsidP="00EB0221">
          <w:pPr>
            <w:pStyle w:val="TOC1"/>
            <w:rPr>
              <w:rFonts w:eastAsiaTheme="minorEastAsia"/>
              <w:b w:val="0"/>
              <w:bCs w:val="0"/>
              <w:noProof/>
              <w:lang w:eastAsia="en-GB"/>
            </w:rPr>
          </w:pPr>
          <w:hyperlink w:anchor="_Toc513693208" w:history="1">
            <w:r w:rsidRPr="00E31A33">
              <w:rPr>
                <w:rStyle w:val="Hyperlink"/>
                <w:i/>
                <w:noProof/>
              </w:rPr>
              <w:t>Other Revolts Against the Romans</w:t>
            </w:r>
            <w:r>
              <w:rPr>
                <w:noProof/>
                <w:webHidden/>
              </w:rPr>
              <w:tab/>
            </w:r>
            <w:r>
              <w:rPr>
                <w:noProof/>
                <w:webHidden/>
              </w:rPr>
              <w:fldChar w:fldCharType="begin"/>
            </w:r>
            <w:r>
              <w:rPr>
                <w:noProof/>
                <w:webHidden/>
              </w:rPr>
              <w:instrText xml:space="preserve"> PAGEREF _Toc513693208 \h </w:instrText>
            </w:r>
            <w:r>
              <w:rPr>
                <w:noProof/>
                <w:webHidden/>
              </w:rPr>
            </w:r>
            <w:r>
              <w:rPr>
                <w:noProof/>
                <w:webHidden/>
              </w:rPr>
              <w:fldChar w:fldCharType="separate"/>
            </w:r>
            <w:r>
              <w:rPr>
                <w:noProof/>
                <w:webHidden/>
              </w:rPr>
              <w:t>22</w:t>
            </w:r>
            <w:r>
              <w:rPr>
                <w:noProof/>
                <w:webHidden/>
              </w:rPr>
              <w:fldChar w:fldCharType="end"/>
            </w:r>
          </w:hyperlink>
        </w:p>
        <w:p w14:paraId="2BB5AA2F" w14:textId="77777777" w:rsidR="00EB0221" w:rsidRDefault="00EB0221" w:rsidP="00EB0221">
          <w:pPr>
            <w:pStyle w:val="TOC1"/>
            <w:rPr>
              <w:rFonts w:eastAsiaTheme="minorEastAsia"/>
              <w:b w:val="0"/>
              <w:bCs w:val="0"/>
              <w:noProof/>
              <w:lang w:eastAsia="en-GB"/>
            </w:rPr>
          </w:pPr>
          <w:hyperlink w:anchor="_Toc513693209" w:history="1">
            <w:r w:rsidRPr="00E31A33">
              <w:rPr>
                <w:rStyle w:val="Hyperlink"/>
                <w:i/>
                <w:noProof/>
              </w:rPr>
              <w:t>Conclusion</w:t>
            </w:r>
            <w:r>
              <w:rPr>
                <w:noProof/>
                <w:webHidden/>
              </w:rPr>
              <w:tab/>
            </w:r>
            <w:r>
              <w:rPr>
                <w:noProof/>
                <w:webHidden/>
              </w:rPr>
              <w:fldChar w:fldCharType="begin"/>
            </w:r>
            <w:r>
              <w:rPr>
                <w:noProof/>
                <w:webHidden/>
              </w:rPr>
              <w:instrText xml:space="preserve"> PAGEREF _Toc513693209 \h </w:instrText>
            </w:r>
            <w:r>
              <w:rPr>
                <w:noProof/>
                <w:webHidden/>
              </w:rPr>
            </w:r>
            <w:r>
              <w:rPr>
                <w:noProof/>
                <w:webHidden/>
              </w:rPr>
              <w:fldChar w:fldCharType="separate"/>
            </w:r>
            <w:r>
              <w:rPr>
                <w:noProof/>
                <w:webHidden/>
              </w:rPr>
              <w:t>34</w:t>
            </w:r>
            <w:r>
              <w:rPr>
                <w:noProof/>
                <w:webHidden/>
              </w:rPr>
              <w:fldChar w:fldCharType="end"/>
            </w:r>
          </w:hyperlink>
        </w:p>
        <w:p w14:paraId="734E9647" w14:textId="77777777" w:rsidR="00EB0221" w:rsidRDefault="00EB0221" w:rsidP="00EB0221">
          <w:pPr>
            <w:pStyle w:val="TOC1"/>
            <w:rPr>
              <w:rFonts w:eastAsiaTheme="minorEastAsia"/>
              <w:b w:val="0"/>
              <w:bCs w:val="0"/>
              <w:noProof/>
              <w:lang w:eastAsia="en-GB"/>
            </w:rPr>
          </w:pPr>
          <w:hyperlink w:anchor="_Toc513693210" w:history="1">
            <w:r w:rsidRPr="00E31A33">
              <w:rPr>
                <w:rStyle w:val="Hyperlink"/>
                <w:i/>
                <w:noProof/>
              </w:rPr>
              <w:t>Bibliography</w:t>
            </w:r>
            <w:r>
              <w:rPr>
                <w:noProof/>
                <w:webHidden/>
              </w:rPr>
              <w:tab/>
            </w:r>
            <w:r>
              <w:rPr>
                <w:noProof/>
                <w:webHidden/>
              </w:rPr>
              <w:fldChar w:fldCharType="begin"/>
            </w:r>
            <w:r>
              <w:rPr>
                <w:noProof/>
                <w:webHidden/>
              </w:rPr>
              <w:instrText xml:space="preserve"> PAGEREF _Toc513693210 \h </w:instrText>
            </w:r>
            <w:r>
              <w:rPr>
                <w:noProof/>
                <w:webHidden/>
              </w:rPr>
            </w:r>
            <w:r>
              <w:rPr>
                <w:noProof/>
                <w:webHidden/>
              </w:rPr>
              <w:fldChar w:fldCharType="separate"/>
            </w:r>
            <w:r>
              <w:rPr>
                <w:noProof/>
                <w:webHidden/>
              </w:rPr>
              <w:t>37</w:t>
            </w:r>
            <w:r>
              <w:rPr>
                <w:noProof/>
                <w:webHidden/>
              </w:rPr>
              <w:fldChar w:fldCharType="end"/>
            </w:r>
          </w:hyperlink>
        </w:p>
        <w:p w14:paraId="28E80D64" w14:textId="77777777" w:rsidR="00EB0221" w:rsidRDefault="00EB0221" w:rsidP="00EB0221">
          <w:pPr>
            <w:pStyle w:val="TOC2"/>
            <w:tabs>
              <w:tab w:val="right" w:leader="dot" w:pos="8488"/>
            </w:tabs>
            <w:spacing w:line="480" w:lineRule="auto"/>
            <w:rPr>
              <w:rFonts w:eastAsiaTheme="minorEastAsia"/>
              <w:b w:val="0"/>
              <w:bCs w:val="0"/>
              <w:noProof/>
              <w:sz w:val="24"/>
              <w:szCs w:val="24"/>
              <w:lang w:eastAsia="en-GB"/>
            </w:rPr>
          </w:pPr>
          <w:hyperlink w:anchor="_Toc513693211" w:history="1">
            <w:r w:rsidRPr="00E31A33">
              <w:rPr>
                <w:rStyle w:val="Hyperlink"/>
                <w:i/>
                <w:noProof/>
              </w:rPr>
              <w:t>Ancient Sources</w:t>
            </w:r>
            <w:r>
              <w:rPr>
                <w:noProof/>
                <w:webHidden/>
              </w:rPr>
              <w:tab/>
            </w:r>
            <w:r>
              <w:rPr>
                <w:noProof/>
                <w:webHidden/>
              </w:rPr>
              <w:fldChar w:fldCharType="begin"/>
            </w:r>
            <w:r>
              <w:rPr>
                <w:noProof/>
                <w:webHidden/>
              </w:rPr>
              <w:instrText xml:space="preserve"> PAGEREF _Toc513693211 \h </w:instrText>
            </w:r>
            <w:r>
              <w:rPr>
                <w:noProof/>
                <w:webHidden/>
              </w:rPr>
            </w:r>
            <w:r>
              <w:rPr>
                <w:noProof/>
                <w:webHidden/>
              </w:rPr>
              <w:fldChar w:fldCharType="separate"/>
            </w:r>
            <w:r>
              <w:rPr>
                <w:noProof/>
                <w:webHidden/>
              </w:rPr>
              <w:t>37</w:t>
            </w:r>
            <w:r>
              <w:rPr>
                <w:noProof/>
                <w:webHidden/>
              </w:rPr>
              <w:fldChar w:fldCharType="end"/>
            </w:r>
          </w:hyperlink>
        </w:p>
        <w:p w14:paraId="695688DF" w14:textId="77777777" w:rsidR="00EB0221" w:rsidRDefault="00EB0221" w:rsidP="00EB0221">
          <w:pPr>
            <w:pStyle w:val="TOC2"/>
            <w:tabs>
              <w:tab w:val="right" w:leader="dot" w:pos="8488"/>
            </w:tabs>
            <w:spacing w:line="480" w:lineRule="auto"/>
            <w:rPr>
              <w:rFonts w:eastAsiaTheme="minorEastAsia"/>
              <w:b w:val="0"/>
              <w:bCs w:val="0"/>
              <w:noProof/>
              <w:sz w:val="24"/>
              <w:szCs w:val="24"/>
              <w:lang w:eastAsia="en-GB"/>
            </w:rPr>
          </w:pPr>
          <w:hyperlink w:anchor="_Toc513693212" w:history="1">
            <w:r w:rsidRPr="00E31A33">
              <w:rPr>
                <w:rStyle w:val="Hyperlink"/>
                <w:i/>
                <w:noProof/>
              </w:rPr>
              <w:t>Modern Scholarship</w:t>
            </w:r>
            <w:r>
              <w:rPr>
                <w:noProof/>
                <w:webHidden/>
              </w:rPr>
              <w:tab/>
            </w:r>
            <w:r>
              <w:rPr>
                <w:noProof/>
                <w:webHidden/>
              </w:rPr>
              <w:fldChar w:fldCharType="begin"/>
            </w:r>
            <w:r>
              <w:rPr>
                <w:noProof/>
                <w:webHidden/>
              </w:rPr>
              <w:instrText xml:space="preserve"> PAGEREF _Toc513693212 \h </w:instrText>
            </w:r>
            <w:r>
              <w:rPr>
                <w:noProof/>
                <w:webHidden/>
              </w:rPr>
            </w:r>
            <w:r>
              <w:rPr>
                <w:noProof/>
                <w:webHidden/>
              </w:rPr>
              <w:fldChar w:fldCharType="separate"/>
            </w:r>
            <w:r>
              <w:rPr>
                <w:noProof/>
                <w:webHidden/>
              </w:rPr>
              <w:t>37</w:t>
            </w:r>
            <w:r>
              <w:rPr>
                <w:noProof/>
                <w:webHidden/>
              </w:rPr>
              <w:fldChar w:fldCharType="end"/>
            </w:r>
          </w:hyperlink>
        </w:p>
        <w:p w14:paraId="0755EECC" w14:textId="13E96D6E" w:rsidR="00955A14" w:rsidRDefault="00955A14" w:rsidP="00EB0221">
          <w:pPr>
            <w:spacing w:line="480" w:lineRule="auto"/>
          </w:pPr>
          <w:r>
            <w:rPr>
              <w:b/>
              <w:bCs/>
              <w:noProof/>
            </w:rPr>
            <w:fldChar w:fldCharType="end"/>
          </w:r>
        </w:p>
      </w:sdtContent>
    </w:sdt>
    <w:p w14:paraId="770773E0" w14:textId="77777777" w:rsidR="0070634B" w:rsidRPr="00955A14" w:rsidRDefault="0070634B" w:rsidP="00A402C2">
      <w:pPr>
        <w:pStyle w:val="Heading1"/>
        <w:spacing w:line="480" w:lineRule="auto"/>
        <w:rPr>
          <w:color w:val="000000" w:themeColor="text1"/>
          <w:sz w:val="28"/>
          <w:szCs w:val="28"/>
          <w:lang w:val="en-US"/>
        </w:rPr>
      </w:pPr>
    </w:p>
    <w:p w14:paraId="73F53D60" w14:textId="77777777" w:rsidR="0070634B" w:rsidRPr="00955A14" w:rsidRDefault="0070634B" w:rsidP="00A402C2">
      <w:pPr>
        <w:pStyle w:val="Heading1"/>
        <w:spacing w:line="480" w:lineRule="auto"/>
        <w:rPr>
          <w:color w:val="000000" w:themeColor="text1"/>
          <w:sz w:val="28"/>
          <w:szCs w:val="28"/>
          <w:lang w:val="en-US"/>
        </w:rPr>
      </w:pPr>
    </w:p>
    <w:p w14:paraId="42A1BFEB" w14:textId="77777777" w:rsidR="00775B2A" w:rsidRDefault="00775B2A" w:rsidP="00A402C2">
      <w:pPr>
        <w:pStyle w:val="Heading1"/>
        <w:spacing w:line="480" w:lineRule="auto"/>
        <w:rPr>
          <w:color w:val="000000" w:themeColor="text1"/>
          <w:sz w:val="28"/>
          <w:szCs w:val="28"/>
          <w:lang w:val="en-US"/>
        </w:rPr>
      </w:pPr>
    </w:p>
    <w:p w14:paraId="524C77BB" w14:textId="77777777" w:rsidR="00775B2A" w:rsidRDefault="00775B2A" w:rsidP="00A402C2">
      <w:pPr>
        <w:pStyle w:val="Heading1"/>
        <w:spacing w:line="480" w:lineRule="auto"/>
        <w:rPr>
          <w:color w:val="000000" w:themeColor="text1"/>
          <w:sz w:val="28"/>
          <w:szCs w:val="28"/>
          <w:lang w:val="en-US"/>
        </w:rPr>
      </w:pPr>
    </w:p>
    <w:p w14:paraId="5A9A2736" w14:textId="77777777" w:rsidR="00775B2A" w:rsidRDefault="00775B2A" w:rsidP="00A402C2">
      <w:pPr>
        <w:pStyle w:val="Heading1"/>
        <w:spacing w:line="480" w:lineRule="auto"/>
        <w:rPr>
          <w:color w:val="000000" w:themeColor="text1"/>
          <w:sz w:val="28"/>
          <w:szCs w:val="28"/>
          <w:lang w:val="en-US"/>
        </w:rPr>
      </w:pPr>
    </w:p>
    <w:p w14:paraId="17FA6A30" w14:textId="77777777" w:rsidR="00775B2A" w:rsidRDefault="00775B2A" w:rsidP="00775B2A">
      <w:pPr>
        <w:rPr>
          <w:lang w:val="en-US"/>
        </w:rPr>
      </w:pPr>
    </w:p>
    <w:p w14:paraId="7CC87320" w14:textId="77777777" w:rsidR="00775B2A" w:rsidRDefault="00775B2A" w:rsidP="00775B2A">
      <w:pPr>
        <w:rPr>
          <w:lang w:val="en-US"/>
        </w:rPr>
      </w:pPr>
    </w:p>
    <w:p w14:paraId="30F57B9A" w14:textId="77777777" w:rsidR="00775B2A" w:rsidRPr="00775B2A" w:rsidRDefault="00775B2A" w:rsidP="00775B2A">
      <w:pPr>
        <w:rPr>
          <w:lang w:val="en-US"/>
        </w:rPr>
      </w:pPr>
    </w:p>
    <w:p w14:paraId="2E321DAC" w14:textId="449BF1B5" w:rsidR="00AE235F" w:rsidRPr="00A402C2" w:rsidRDefault="00AE235F" w:rsidP="006E37B9">
      <w:pPr>
        <w:pStyle w:val="Heading1"/>
        <w:spacing w:line="480" w:lineRule="auto"/>
        <w:jc w:val="center"/>
        <w:rPr>
          <w:b/>
          <w:i/>
          <w:color w:val="000000" w:themeColor="text1"/>
          <w:sz w:val="28"/>
          <w:szCs w:val="28"/>
          <w:u w:val="single"/>
          <w:lang w:val="en-US"/>
        </w:rPr>
      </w:pPr>
      <w:bookmarkStart w:id="0" w:name="_Toc513693205"/>
      <w:r>
        <w:rPr>
          <w:b/>
          <w:i/>
          <w:color w:val="000000" w:themeColor="text1"/>
          <w:sz w:val="28"/>
          <w:szCs w:val="28"/>
          <w:u w:val="single"/>
          <w:lang w:val="en-US"/>
        </w:rPr>
        <w:lastRenderedPageBreak/>
        <w:t>Introduction</w:t>
      </w:r>
      <w:bookmarkEnd w:id="0"/>
    </w:p>
    <w:p w14:paraId="1958C136" w14:textId="67D4510C" w:rsidR="00AE235F" w:rsidRPr="00A402C2" w:rsidRDefault="00A402C2" w:rsidP="00775B2A">
      <w:pPr>
        <w:spacing w:line="480" w:lineRule="auto"/>
        <w:ind w:firstLine="720"/>
        <w:rPr>
          <w:rFonts w:ascii="Times New Roman" w:hAnsi="Times New Roman" w:cs="Times New Roman"/>
          <w:lang w:val="en-US"/>
        </w:rPr>
      </w:pPr>
      <w:r w:rsidRPr="00A402C2">
        <w:rPr>
          <w:rFonts w:ascii="Times New Roman" w:hAnsi="Times New Roman" w:cs="Times New Roman"/>
          <w:lang w:val="en-US"/>
        </w:rPr>
        <w:t>In 55 BC Caesar decided to invade Britain</w:t>
      </w:r>
      <w:r>
        <w:rPr>
          <w:rStyle w:val="FootnoteReference"/>
          <w:rFonts w:ascii="Times New Roman" w:hAnsi="Times New Roman" w:cs="Times New Roman"/>
          <w:lang w:val="en-US"/>
        </w:rPr>
        <w:footnoteReference w:id="1"/>
      </w:r>
      <w:r w:rsidRPr="00A402C2">
        <w:rPr>
          <w:rFonts w:ascii="Times New Roman" w:hAnsi="Times New Roman" w:cs="Times New Roman"/>
          <w:lang w:val="en-US"/>
        </w:rPr>
        <w:t>. This decision lead to two more invasions of the Isle and a lot of unrest in Britain itself</w:t>
      </w:r>
      <w:r w:rsidR="00F05EA7">
        <w:rPr>
          <w:rFonts w:ascii="Times New Roman" w:hAnsi="Times New Roman" w:cs="Times New Roman"/>
          <w:lang w:val="en-US"/>
        </w:rPr>
        <w:t xml:space="preserve">. During the years </w:t>
      </w:r>
      <w:r w:rsidR="004067FB">
        <w:rPr>
          <w:rFonts w:ascii="Times New Roman" w:hAnsi="Times New Roman" w:cs="Times New Roman"/>
          <w:lang w:val="en-US"/>
        </w:rPr>
        <w:t>55</w:t>
      </w:r>
      <w:r w:rsidR="00F05EA7">
        <w:rPr>
          <w:rFonts w:ascii="Times New Roman" w:hAnsi="Times New Roman" w:cs="Times New Roman"/>
          <w:lang w:val="en-US"/>
        </w:rPr>
        <w:t xml:space="preserve"> BC and 83 AD there were many revolts </w:t>
      </w:r>
      <w:r w:rsidR="001E6622">
        <w:rPr>
          <w:rFonts w:ascii="Times New Roman" w:hAnsi="Times New Roman" w:cs="Times New Roman"/>
          <w:lang w:val="en-US"/>
        </w:rPr>
        <w:t xml:space="preserve">that took place but the two main revolts appear to have been Caratacus and Boudicca. There were other smaller revolts from different factions such as the Silures and Ordovices as well as from the mysterious Druids and a man named </w:t>
      </w:r>
      <w:r w:rsidR="001E6622">
        <w:rPr>
          <w:rFonts w:ascii="Times New Roman" w:hAnsi="Times New Roman" w:cs="Times New Roman"/>
        </w:rPr>
        <w:t>Cassivellaunus. By looking at these revolts we should be able to see similarities as well as how the Romans dealt with each of them. In order to assess their effectiveness, it is important to look at the archaeological evidence surrounding the revolts and compare it to the stories we are told by the ancient authors. Whilst the ma</w:t>
      </w:r>
      <w:r w:rsidR="00010F6E">
        <w:rPr>
          <w:rFonts w:ascii="Times New Roman" w:hAnsi="Times New Roman" w:cs="Times New Roman"/>
        </w:rPr>
        <w:t>jority of these rebellions are potentially fictional</w:t>
      </w:r>
      <w:r w:rsidR="00A96123">
        <w:rPr>
          <w:rFonts w:ascii="Times New Roman" w:hAnsi="Times New Roman" w:cs="Times New Roman"/>
        </w:rPr>
        <w:t>,</w:t>
      </w:r>
      <w:r w:rsidR="001E6622">
        <w:rPr>
          <w:rFonts w:ascii="Times New Roman" w:hAnsi="Times New Roman" w:cs="Times New Roman"/>
        </w:rPr>
        <w:t xml:space="preserve"> </w:t>
      </w:r>
      <w:r w:rsidR="00010F6E">
        <w:rPr>
          <w:rFonts w:ascii="Times New Roman" w:hAnsi="Times New Roman" w:cs="Times New Roman"/>
        </w:rPr>
        <w:t xml:space="preserve">either </w:t>
      </w:r>
      <w:r w:rsidR="001E6622">
        <w:rPr>
          <w:rFonts w:ascii="Times New Roman" w:hAnsi="Times New Roman" w:cs="Times New Roman"/>
        </w:rPr>
        <w:t>due to the lack of evidence surrounding the events or the question</w:t>
      </w:r>
      <w:r w:rsidR="00A96123">
        <w:rPr>
          <w:rFonts w:ascii="Times New Roman" w:hAnsi="Times New Roman" w:cs="Times New Roman"/>
        </w:rPr>
        <w:t>able</w:t>
      </w:r>
      <w:r w:rsidR="001E6622">
        <w:rPr>
          <w:rFonts w:ascii="Times New Roman" w:hAnsi="Times New Roman" w:cs="Times New Roman"/>
        </w:rPr>
        <w:t xml:space="preserve"> </w:t>
      </w:r>
      <w:r w:rsidR="004067FB">
        <w:rPr>
          <w:rFonts w:ascii="Times New Roman" w:hAnsi="Times New Roman" w:cs="Times New Roman"/>
        </w:rPr>
        <w:t>existence of some of their main players</w:t>
      </w:r>
      <w:r w:rsidR="003C6412">
        <w:rPr>
          <w:rFonts w:ascii="Times New Roman" w:hAnsi="Times New Roman" w:cs="Times New Roman"/>
        </w:rPr>
        <w:t>, there is stil</w:t>
      </w:r>
      <w:r w:rsidR="00010F6E">
        <w:rPr>
          <w:rFonts w:ascii="Times New Roman" w:hAnsi="Times New Roman" w:cs="Times New Roman"/>
        </w:rPr>
        <w:t>l some truth to be found in the accounts</w:t>
      </w:r>
      <w:r w:rsidR="003C6412">
        <w:rPr>
          <w:rFonts w:ascii="Times New Roman" w:hAnsi="Times New Roman" w:cs="Times New Roman"/>
        </w:rPr>
        <w:t xml:space="preserve"> of them.</w:t>
      </w:r>
      <w:r w:rsidR="004067FB">
        <w:rPr>
          <w:rFonts w:ascii="Times New Roman" w:hAnsi="Times New Roman" w:cs="Times New Roman"/>
        </w:rPr>
        <w:t xml:space="preserve"> </w:t>
      </w:r>
      <w:r w:rsidR="001E6622">
        <w:rPr>
          <w:rFonts w:ascii="Times New Roman" w:hAnsi="Times New Roman" w:cs="Times New Roman"/>
        </w:rPr>
        <w:t>The</w:t>
      </w:r>
      <w:r w:rsidR="004067FB">
        <w:rPr>
          <w:rFonts w:ascii="Times New Roman" w:hAnsi="Times New Roman" w:cs="Times New Roman"/>
        </w:rPr>
        <w:t xml:space="preserve"> two</w:t>
      </w:r>
      <w:r w:rsidR="001E6622">
        <w:rPr>
          <w:rFonts w:ascii="Times New Roman" w:hAnsi="Times New Roman" w:cs="Times New Roman"/>
        </w:rPr>
        <w:t xml:space="preserve"> main authors that will be u</w:t>
      </w:r>
      <w:r w:rsidR="004067FB">
        <w:rPr>
          <w:rFonts w:ascii="Times New Roman" w:hAnsi="Times New Roman" w:cs="Times New Roman"/>
        </w:rPr>
        <w:t>sed are</w:t>
      </w:r>
      <w:r w:rsidR="00A9145D">
        <w:rPr>
          <w:rFonts w:ascii="Times New Roman" w:hAnsi="Times New Roman" w:cs="Times New Roman"/>
        </w:rPr>
        <w:t xml:space="preserve"> Tacitus and Cassius Dio who</w:t>
      </w:r>
      <w:r w:rsidR="004067FB">
        <w:rPr>
          <w:rFonts w:ascii="Times New Roman" w:hAnsi="Times New Roman" w:cs="Times New Roman"/>
        </w:rPr>
        <w:t xml:space="preserve"> contradict one another</w:t>
      </w:r>
      <w:r w:rsidR="00A9145D">
        <w:rPr>
          <w:rFonts w:ascii="Times New Roman" w:hAnsi="Times New Roman" w:cs="Times New Roman"/>
        </w:rPr>
        <w:t xml:space="preserve"> in their descriptions</w:t>
      </w:r>
      <w:r w:rsidR="004067FB">
        <w:rPr>
          <w:rFonts w:ascii="Times New Roman" w:hAnsi="Times New Roman" w:cs="Times New Roman"/>
        </w:rPr>
        <w:t xml:space="preserve"> and </w:t>
      </w:r>
      <w:r w:rsidR="003C6412">
        <w:rPr>
          <w:rFonts w:ascii="Times New Roman" w:hAnsi="Times New Roman" w:cs="Times New Roman"/>
        </w:rPr>
        <w:t xml:space="preserve">both of them </w:t>
      </w:r>
      <w:r w:rsidR="004067FB">
        <w:rPr>
          <w:rFonts w:ascii="Times New Roman" w:hAnsi="Times New Roman" w:cs="Times New Roman"/>
        </w:rPr>
        <w:t xml:space="preserve">write with an agenda. Before Caesar invaded Britain, according to him, Britain did not have much contact with the rest of the world. </w:t>
      </w:r>
      <w:r w:rsidR="00A9145D">
        <w:rPr>
          <w:rFonts w:ascii="Times New Roman" w:hAnsi="Times New Roman" w:cs="Times New Roman"/>
        </w:rPr>
        <w:t>It is no surprise when the Romans land</w:t>
      </w:r>
      <w:r w:rsidR="004B1C04">
        <w:rPr>
          <w:rFonts w:ascii="Times New Roman" w:hAnsi="Times New Roman" w:cs="Times New Roman"/>
        </w:rPr>
        <w:t xml:space="preserve"> that the Britons do not take to being ruled by the </w:t>
      </w:r>
      <w:r w:rsidR="00A9145D">
        <w:rPr>
          <w:rFonts w:ascii="Times New Roman" w:hAnsi="Times New Roman" w:cs="Times New Roman"/>
        </w:rPr>
        <w:t>them</w:t>
      </w:r>
      <w:r w:rsidR="004B1C04">
        <w:rPr>
          <w:rFonts w:ascii="Times New Roman" w:hAnsi="Times New Roman" w:cs="Times New Roman"/>
        </w:rPr>
        <w:t xml:space="preserve">. </w:t>
      </w:r>
      <w:r w:rsidR="00597397">
        <w:rPr>
          <w:rFonts w:ascii="Times New Roman" w:hAnsi="Times New Roman" w:cs="Times New Roman"/>
        </w:rPr>
        <w:t>None of these revolts seem to have been ef</w:t>
      </w:r>
      <w:r w:rsidR="00A9145D">
        <w:rPr>
          <w:rFonts w:ascii="Times New Roman" w:hAnsi="Times New Roman" w:cs="Times New Roman"/>
        </w:rPr>
        <w:t>fective in the long run, if their sole</w:t>
      </w:r>
      <w:r w:rsidR="00597397">
        <w:rPr>
          <w:rFonts w:ascii="Times New Roman" w:hAnsi="Times New Roman" w:cs="Times New Roman"/>
        </w:rPr>
        <w:t xml:space="preserve"> purpose was to drive the Romans out of Britain, however</w:t>
      </w:r>
      <w:r w:rsidR="00A9145D">
        <w:rPr>
          <w:rFonts w:ascii="Times New Roman" w:hAnsi="Times New Roman" w:cs="Times New Roman"/>
        </w:rPr>
        <w:t>,</w:t>
      </w:r>
      <w:r w:rsidR="00597397">
        <w:rPr>
          <w:rFonts w:ascii="Times New Roman" w:hAnsi="Times New Roman" w:cs="Times New Roman"/>
        </w:rPr>
        <w:t xml:space="preserve"> </w:t>
      </w:r>
      <w:r w:rsidR="00A9145D">
        <w:rPr>
          <w:rFonts w:ascii="Times New Roman" w:hAnsi="Times New Roman" w:cs="Times New Roman"/>
        </w:rPr>
        <w:t xml:space="preserve">this did not stop </w:t>
      </w:r>
      <w:r w:rsidR="00597397">
        <w:rPr>
          <w:rFonts w:ascii="Times New Roman" w:hAnsi="Times New Roman" w:cs="Times New Roman"/>
        </w:rPr>
        <w:t xml:space="preserve">the </w:t>
      </w:r>
      <w:r w:rsidR="00A9145D">
        <w:rPr>
          <w:rFonts w:ascii="Times New Roman" w:hAnsi="Times New Roman" w:cs="Times New Roman"/>
        </w:rPr>
        <w:t xml:space="preserve">many factions of Britain from trying </w:t>
      </w:r>
      <w:r w:rsidR="00597397">
        <w:rPr>
          <w:rFonts w:ascii="Times New Roman" w:hAnsi="Times New Roman" w:cs="Times New Roman"/>
        </w:rPr>
        <w:t>for many years. I will be looking at why this is</w:t>
      </w:r>
      <w:r w:rsidR="00A9145D">
        <w:rPr>
          <w:rFonts w:ascii="Times New Roman" w:hAnsi="Times New Roman" w:cs="Times New Roman"/>
        </w:rPr>
        <w:t xml:space="preserve"> the case</w:t>
      </w:r>
      <w:r w:rsidR="00597397">
        <w:rPr>
          <w:rFonts w:ascii="Times New Roman" w:hAnsi="Times New Roman" w:cs="Times New Roman"/>
        </w:rPr>
        <w:t xml:space="preserve"> and if underneath the ultimate failure and defeat there was some success to the constant rebellion during these years. </w:t>
      </w:r>
    </w:p>
    <w:p w14:paraId="223BE260" w14:textId="1293466D" w:rsidR="009C5824" w:rsidRDefault="009C5824" w:rsidP="00A22577">
      <w:pPr>
        <w:pStyle w:val="Heading1"/>
        <w:spacing w:line="480" w:lineRule="auto"/>
        <w:jc w:val="center"/>
        <w:rPr>
          <w:b/>
          <w:i/>
          <w:color w:val="000000" w:themeColor="text1"/>
          <w:sz w:val="28"/>
          <w:szCs w:val="28"/>
          <w:u w:val="single"/>
          <w:lang w:val="en-US"/>
        </w:rPr>
      </w:pPr>
      <w:bookmarkStart w:id="1" w:name="_Toc513693206"/>
      <w:r>
        <w:rPr>
          <w:b/>
          <w:i/>
          <w:color w:val="000000" w:themeColor="text1"/>
          <w:sz w:val="28"/>
          <w:szCs w:val="28"/>
          <w:u w:val="single"/>
          <w:lang w:val="en-US"/>
        </w:rPr>
        <w:lastRenderedPageBreak/>
        <w:t>Caratacus</w:t>
      </w:r>
      <w:bookmarkEnd w:id="1"/>
    </w:p>
    <w:p w14:paraId="364348FE" w14:textId="13EBD4C9" w:rsidR="004A2267" w:rsidRPr="00955A14" w:rsidRDefault="007F1D39" w:rsidP="00EB0221">
      <w:pPr>
        <w:spacing w:line="480" w:lineRule="auto"/>
        <w:ind w:firstLine="720"/>
        <w:rPr>
          <w:rFonts w:ascii="Times New Roman" w:hAnsi="Times New Roman" w:cs="Times New Roman"/>
          <w:lang w:val="en-US"/>
        </w:rPr>
      </w:pPr>
      <w:bookmarkStart w:id="2" w:name="_Toc513692773"/>
      <w:r w:rsidRPr="00955A14">
        <w:rPr>
          <w:rFonts w:ascii="Times New Roman" w:hAnsi="Times New Roman" w:cs="Times New Roman"/>
          <w:lang w:val="en-US"/>
        </w:rPr>
        <w:t>In this first</w:t>
      </w:r>
      <w:r w:rsidR="009C5824" w:rsidRPr="00955A14">
        <w:rPr>
          <w:rFonts w:ascii="Times New Roman" w:hAnsi="Times New Roman" w:cs="Times New Roman"/>
          <w:lang w:val="en-US"/>
        </w:rPr>
        <w:t xml:space="preserve"> section, I will be concentrating on the effectiveness of Caratacus’</w:t>
      </w:r>
      <w:r w:rsidR="00DF2D1A" w:rsidRPr="00955A14">
        <w:rPr>
          <w:rFonts w:ascii="Times New Roman" w:hAnsi="Times New Roman" w:cs="Times New Roman"/>
          <w:lang w:val="en-US"/>
        </w:rPr>
        <w:t xml:space="preserve"> revolt</w:t>
      </w:r>
      <w:r w:rsidR="009C5824" w:rsidRPr="00955A14">
        <w:rPr>
          <w:rFonts w:ascii="Times New Roman" w:hAnsi="Times New Roman" w:cs="Times New Roman"/>
          <w:lang w:val="en-US"/>
        </w:rPr>
        <w:t xml:space="preserve"> against the Romans. </w:t>
      </w:r>
      <w:r w:rsidRPr="00955A14">
        <w:rPr>
          <w:rFonts w:ascii="Times New Roman" w:hAnsi="Times New Roman" w:cs="Times New Roman"/>
          <w:lang w:val="en-US"/>
        </w:rPr>
        <w:t xml:space="preserve">Caratacus, although not as well-known as Boudicca, played an important role in Claudius’ invasion of Britain in 43 AD. </w:t>
      </w:r>
      <w:r w:rsidR="00EB705A" w:rsidRPr="00955A14">
        <w:rPr>
          <w:rFonts w:ascii="Times New Roman" w:hAnsi="Times New Roman" w:cs="Times New Roman"/>
          <w:lang w:val="en-US"/>
        </w:rPr>
        <w:t>He was the son of Cunobelinas/</w:t>
      </w:r>
      <w:r w:rsidR="0023059B" w:rsidRPr="00955A14">
        <w:rPr>
          <w:rFonts w:ascii="Times New Roman" w:hAnsi="Times New Roman" w:cs="Times New Roman"/>
          <w:lang w:val="en-US"/>
        </w:rPr>
        <w:t>Cunobeline and the brother of Togodumnus</w:t>
      </w:r>
      <w:r w:rsidR="0023059B" w:rsidRPr="00955A14">
        <w:rPr>
          <w:rStyle w:val="FootnoteReference"/>
          <w:rFonts w:ascii="Times New Roman" w:hAnsi="Times New Roman" w:cs="Times New Roman"/>
          <w:color w:val="000000" w:themeColor="text1"/>
          <w:lang w:val="en-US"/>
        </w:rPr>
        <w:footnoteReference w:id="2"/>
      </w:r>
      <w:r w:rsidR="00DF6AF2" w:rsidRPr="00955A14">
        <w:rPr>
          <w:rFonts w:ascii="Times New Roman" w:hAnsi="Times New Roman" w:cs="Times New Roman"/>
          <w:lang w:val="en-US"/>
        </w:rPr>
        <w:t xml:space="preserve">, both of whom </w:t>
      </w:r>
      <w:r w:rsidR="00A32D32" w:rsidRPr="00955A14">
        <w:rPr>
          <w:rFonts w:ascii="Times New Roman" w:hAnsi="Times New Roman" w:cs="Times New Roman"/>
          <w:lang w:val="en-US"/>
        </w:rPr>
        <w:t>played</w:t>
      </w:r>
      <w:r w:rsidR="00DF2D1A" w:rsidRPr="00955A14">
        <w:rPr>
          <w:rFonts w:ascii="Times New Roman" w:hAnsi="Times New Roman" w:cs="Times New Roman"/>
          <w:lang w:val="en-US"/>
        </w:rPr>
        <w:t xml:space="preserve"> essential roles in this</w:t>
      </w:r>
      <w:r w:rsidR="00694009" w:rsidRPr="00955A14">
        <w:rPr>
          <w:rFonts w:ascii="Times New Roman" w:hAnsi="Times New Roman" w:cs="Times New Roman"/>
          <w:lang w:val="en-US"/>
        </w:rPr>
        <w:t xml:space="preserve"> revolt.</w:t>
      </w:r>
      <w:r w:rsidR="00B6672D" w:rsidRPr="00955A14">
        <w:rPr>
          <w:rFonts w:ascii="Times New Roman" w:hAnsi="Times New Roman" w:cs="Times New Roman"/>
          <w:lang w:val="en-US"/>
        </w:rPr>
        <w:t xml:space="preserve"> He revolted from the landing of Claudius in 43AD all the way until </w:t>
      </w:r>
      <w:r w:rsidR="00A32D32" w:rsidRPr="00955A14">
        <w:rPr>
          <w:rFonts w:ascii="Times New Roman" w:hAnsi="Times New Roman" w:cs="Times New Roman"/>
          <w:lang w:val="en-US"/>
        </w:rPr>
        <w:t>around 50-51 AD when</w:t>
      </w:r>
      <w:r w:rsidR="00D45232" w:rsidRPr="00955A14">
        <w:rPr>
          <w:rFonts w:ascii="Times New Roman" w:hAnsi="Times New Roman" w:cs="Times New Roman"/>
          <w:lang w:val="en-US"/>
        </w:rPr>
        <w:t xml:space="preserve"> he was eventually captured by </w:t>
      </w:r>
      <w:r w:rsidR="00E654B2" w:rsidRPr="00955A14">
        <w:rPr>
          <w:rFonts w:ascii="Times New Roman" w:hAnsi="Times New Roman" w:cs="Times New Roman"/>
          <w:lang w:val="en-US"/>
        </w:rPr>
        <w:t>Cartimandua and handed over to the Romans</w:t>
      </w:r>
      <w:r w:rsidR="004A2267" w:rsidRPr="00955A14">
        <w:rPr>
          <w:rStyle w:val="FootnoteReference"/>
          <w:rFonts w:ascii="Times New Roman" w:hAnsi="Times New Roman" w:cs="Times New Roman"/>
          <w:color w:val="000000" w:themeColor="text1"/>
          <w:lang w:val="en-US"/>
        </w:rPr>
        <w:footnoteReference w:id="3"/>
      </w:r>
      <w:r w:rsidR="00E654B2" w:rsidRPr="00955A14">
        <w:rPr>
          <w:rFonts w:ascii="Times New Roman" w:hAnsi="Times New Roman" w:cs="Times New Roman"/>
          <w:lang w:val="en-US"/>
        </w:rPr>
        <w:t>.</w:t>
      </w:r>
      <w:r w:rsidR="00A32D32" w:rsidRPr="00955A14">
        <w:rPr>
          <w:rFonts w:ascii="Times New Roman" w:hAnsi="Times New Roman" w:cs="Times New Roman"/>
          <w:lang w:val="en-US"/>
        </w:rPr>
        <w:t xml:space="preserve"> In order to evaluate his effectiveness</w:t>
      </w:r>
      <w:r w:rsidR="00DF2D1A" w:rsidRPr="00955A14">
        <w:rPr>
          <w:rFonts w:ascii="Times New Roman" w:hAnsi="Times New Roman" w:cs="Times New Roman"/>
          <w:lang w:val="en-US"/>
        </w:rPr>
        <w:t>, I will be looking at Togodumnus’ own revolt against the Romans, as well as the role that Verica played in getting Claudius over to Britain. Then it will be necessary to look at the archaeological evidence surrounding the revolt and the outcome of Caratacus’ capture.</w:t>
      </w:r>
      <w:bookmarkEnd w:id="2"/>
    </w:p>
    <w:p w14:paraId="4593D3EA" w14:textId="3B7E6989" w:rsidR="00B02FA7" w:rsidRDefault="004A2267" w:rsidP="004A2267">
      <w:pPr>
        <w:spacing w:line="480" w:lineRule="auto"/>
        <w:rPr>
          <w:rFonts w:ascii="Times New Roman" w:hAnsi="Times New Roman" w:cs="Times New Roman"/>
          <w:lang w:val="en-US"/>
        </w:rPr>
      </w:pPr>
      <w:r>
        <w:rPr>
          <w:lang w:val="en-US"/>
        </w:rPr>
        <w:tab/>
      </w:r>
      <w:r>
        <w:rPr>
          <w:rFonts w:ascii="Times New Roman" w:hAnsi="Times New Roman" w:cs="Times New Roman"/>
          <w:lang w:val="en-US"/>
        </w:rPr>
        <w:t xml:space="preserve">Before looking at these different characters, </w:t>
      </w:r>
      <w:r w:rsidR="00A32D32">
        <w:rPr>
          <w:rFonts w:ascii="Times New Roman" w:hAnsi="Times New Roman" w:cs="Times New Roman"/>
          <w:lang w:val="en-US"/>
        </w:rPr>
        <w:t>it is first important to examine the sources from</w:t>
      </w:r>
      <w:r>
        <w:rPr>
          <w:rFonts w:ascii="Times New Roman" w:hAnsi="Times New Roman" w:cs="Times New Roman"/>
          <w:lang w:val="en-US"/>
        </w:rPr>
        <w:t xml:space="preserve"> which we get the majority of our information.</w:t>
      </w:r>
      <w:r w:rsidR="00ED5F6D">
        <w:rPr>
          <w:rFonts w:ascii="Times New Roman" w:hAnsi="Times New Roman" w:cs="Times New Roman"/>
          <w:lang w:val="en-US"/>
        </w:rPr>
        <w:t xml:space="preserve"> Both Tacitus and Cassius Dio mention Caratacus and his brother Togodumnus in their works</w:t>
      </w:r>
      <w:r w:rsidR="006B0B8C">
        <w:rPr>
          <w:rStyle w:val="FootnoteReference"/>
          <w:rFonts w:ascii="Times New Roman" w:hAnsi="Times New Roman" w:cs="Times New Roman"/>
          <w:lang w:val="en-US"/>
        </w:rPr>
        <w:footnoteReference w:id="4"/>
      </w:r>
      <w:r w:rsidR="00ED5F6D">
        <w:rPr>
          <w:rFonts w:ascii="Times New Roman" w:hAnsi="Times New Roman" w:cs="Times New Roman"/>
          <w:lang w:val="en-US"/>
        </w:rPr>
        <w:t xml:space="preserve">. </w:t>
      </w:r>
      <w:r w:rsidR="00F64C55">
        <w:rPr>
          <w:rFonts w:ascii="Times New Roman" w:hAnsi="Times New Roman" w:cs="Times New Roman"/>
          <w:lang w:val="en-US"/>
        </w:rPr>
        <w:t xml:space="preserve">They are the only authors to actually mention Caratacus at all, and as we shall see with Boudicca, Suetonius does not spend </w:t>
      </w:r>
      <w:r w:rsidR="00076779">
        <w:rPr>
          <w:rFonts w:ascii="Times New Roman" w:hAnsi="Times New Roman" w:cs="Times New Roman"/>
          <w:lang w:val="en-US"/>
        </w:rPr>
        <w:t>much time describing the</w:t>
      </w:r>
      <w:r w:rsidR="00F64C55">
        <w:rPr>
          <w:rFonts w:ascii="Times New Roman" w:hAnsi="Times New Roman" w:cs="Times New Roman"/>
          <w:lang w:val="en-US"/>
        </w:rPr>
        <w:t xml:space="preserve"> events</w:t>
      </w:r>
      <w:r w:rsidR="00076779">
        <w:rPr>
          <w:rFonts w:ascii="Times New Roman" w:hAnsi="Times New Roman" w:cs="Times New Roman"/>
          <w:lang w:val="en-US"/>
        </w:rPr>
        <w:t xml:space="preserve"> that took place</w:t>
      </w:r>
      <w:r w:rsidR="00F64C55">
        <w:rPr>
          <w:rFonts w:ascii="Times New Roman" w:hAnsi="Times New Roman" w:cs="Times New Roman"/>
          <w:lang w:val="en-US"/>
        </w:rPr>
        <w:t xml:space="preserve"> in Britain and instead glosses over it, with</w:t>
      </w:r>
      <w:r w:rsidR="00AC6E78">
        <w:rPr>
          <w:rFonts w:ascii="Times New Roman" w:hAnsi="Times New Roman" w:cs="Times New Roman"/>
          <w:lang w:val="en-US"/>
        </w:rPr>
        <w:t xml:space="preserve"> no mention of Caratacus at all. This plays a large role later on in the credibility of Caratacus’ speech made in Rome before Emperor Claudius.</w:t>
      </w:r>
      <w:r w:rsidR="00B02FA7">
        <w:rPr>
          <w:rFonts w:ascii="Times New Roman" w:hAnsi="Times New Roman" w:cs="Times New Roman"/>
          <w:lang w:val="en-US"/>
        </w:rPr>
        <w:t xml:space="preserve"> Cassius Dio</w:t>
      </w:r>
      <w:r w:rsidR="00605E1A">
        <w:rPr>
          <w:rFonts w:ascii="Times New Roman" w:hAnsi="Times New Roman" w:cs="Times New Roman"/>
          <w:lang w:val="en-US"/>
        </w:rPr>
        <w:t xml:space="preserve"> only mentions Caratacus by name </w:t>
      </w:r>
      <w:r w:rsidR="00F173AE">
        <w:rPr>
          <w:rFonts w:ascii="Times New Roman" w:hAnsi="Times New Roman" w:cs="Times New Roman"/>
          <w:lang w:val="en-US"/>
        </w:rPr>
        <w:t>twice</w:t>
      </w:r>
      <w:r w:rsidR="00605E1A">
        <w:rPr>
          <w:rFonts w:ascii="Times New Roman" w:hAnsi="Times New Roman" w:cs="Times New Roman"/>
          <w:lang w:val="en-US"/>
        </w:rPr>
        <w:t xml:space="preserve"> and only </w:t>
      </w:r>
      <w:r w:rsidR="00F173AE">
        <w:rPr>
          <w:rFonts w:ascii="Times New Roman" w:hAnsi="Times New Roman" w:cs="Times New Roman"/>
          <w:lang w:val="en-US"/>
        </w:rPr>
        <w:t xml:space="preserve">then is it </w:t>
      </w:r>
      <w:r w:rsidR="00605E1A">
        <w:rPr>
          <w:rFonts w:ascii="Times New Roman" w:hAnsi="Times New Roman" w:cs="Times New Roman"/>
          <w:lang w:val="en-US"/>
        </w:rPr>
        <w:t>that he was defeated</w:t>
      </w:r>
      <w:r w:rsidR="00605E1A">
        <w:rPr>
          <w:rStyle w:val="FootnoteReference"/>
          <w:rFonts w:ascii="Times New Roman" w:hAnsi="Times New Roman" w:cs="Times New Roman"/>
          <w:lang w:val="en-US"/>
        </w:rPr>
        <w:footnoteReference w:id="5"/>
      </w:r>
      <w:r w:rsidR="00605E1A">
        <w:rPr>
          <w:rFonts w:ascii="Times New Roman" w:hAnsi="Times New Roman" w:cs="Times New Roman"/>
          <w:lang w:val="en-US"/>
        </w:rPr>
        <w:t>.</w:t>
      </w:r>
      <w:r w:rsidR="00176380">
        <w:rPr>
          <w:rFonts w:ascii="Times New Roman" w:hAnsi="Times New Roman" w:cs="Times New Roman"/>
          <w:lang w:val="en-US"/>
        </w:rPr>
        <w:t xml:space="preserve"> This is important because it does not tell us how he was captured</w:t>
      </w:r>
      <w:r w:rsidR="00F173AE">
        <w:rPr>
          <w:rFonts w:ascii="Times New Roman" w:hAnsi="Times New Roman" w:cs="Times New Roman"/>
          <w:lang w:val="en-US"/>
        </w:rPr>
        <w:t>, and what events led him to be alive in Rome</w:t>
      </w:r>
      <w:r w:rsidR="00176380">
        <w:rPr>
          <w:rStyle w:val="FootnoteReference"/>
          <w:rFonts w:ascii="Times New Roman" w:hAnsi="Times New Roman" w:cs="Times New Roman"/>
          <w:lang w:val="en-US"/>
        </w:rPr>
        <w:footnoteReference w:id="6"/>
      </w:r>
      <w:r w:rsidR="00176380">
        <w:rPr>
          <w:rFonts w:ascii="Times New Roman" w:hAnsi="Times New Roman" w:cs="Times New Roman"/>
          <w:lang w:val="en-US"/>
        </w:rPr>
        <w:t xml:space="preserve">. Tacitus however, </w:t>
      </w:r>
      <w:r w:rsidR="00A32D32">
        <w:rPr>
          <w:rFonts w:ascii="Times New Roman" w:hAnsi="Times New Roman" w:cs="Times New Roman"/>
          <w:lang w:val="en-US"/>
        </w:rPr>
        <w:t xml:space="preserve">mentions him </w:t>
      </w:r>
      <w:r w:rsidR="00176380">
        <w:rPr>
          <w:rFonts w:ascii="Times New Roman" w:hAnsi="Times New Roman" w:cs="Times New Roman"/>
          <w:lang w:val="en-US"/>
        </w:rPr>
        <w:t xml:space="preserve">in both his </w:t>
      </w:r>
      <w:r w:rsidR="00176380">
        <w:rPr>
          <w:rFonts w:ascii="Times New Roman" w:hAnsi="Times New Roman" w:cs="Times New Roman"/>
          <w:i/>
          <w:lang w:val="en-US"/>
        </w:rPr>
        <w:t>Annals</w:t>
      </w:r>
      <w:r w:rsidR="00176380">
        <w:rPr>
          <w:rFonts w:ascii="Times New Roman" w:hAnsi="Times New Roman" w:cs="Times New Roman"/>
          <w:lang w:val="en-US"/>
        </w:rPr>
        <w:t xml:space="preserve"> and </w:t>
      </w:r>
      <w:r w:rsidR="00176380">
        <w:rPr>
          <w:rFonts w:ascii="Times New Roman" w:hAnsi="Times New Roman" w:cs="Times New Roman"/>
          <w:i/>
          <w:lang w:val="en-US"/>
        </w:rPr>
        <w:t>Agricola</w:t>
      </w:r>
      <w:r w:rsidR="00176380">
        <w:rPr>
          <w:rFonts w:ascii="Times New Roman" w:hAnsi="Times New Roman" w:cs="Times New Roman"/>
          <w:lang w:val="en-US"/>
        </w:rPr>
        <w:t xml:space="preserve"> </w:t>
      </w:r>
      <w:r w:rsidR="00BE0736">
        <w:rPr>
          <w:rFonts w:ascii="Times New Roman" w:hAnsi="Times New Roman" w:cs="Times New Roman"/>
          <w:lang w:val="en-US"/>
        </w:rPr>
        <w:t xml:space="preserve">as well as briefly in his </w:t>
      </w:r>
      <w:r w:rsidR="00BE0736">
        <w:rPr>
          <w:rFonts w:ascii="Times New Roman" w:hAnsi="Times New Roman" w:cs="Times New Roman"/>
          <w:i/>
          <w:lang w:val="en-US"/>
        </w:rPr>
        <w:t>Histories</w:t>
      </w:r>
      <w:r w:rsidR="00BE0736">
        <w:rPr>
          <w:rFonts w:ascii="Times New Roman" w:hAnsi="Times New Roman" w:cs="Times New Roman"/>
          <w:lang w:val="en-US"/>
        </w:rPr>
        <w:t>.</w:t>
      </w:r>
      <w:r w:rsidR="007F49E4">
        <w:rPr>
          <w:rFonts w:ascii="Times New Roman" w:hAnsi="Times New Roman" w:cs="Times New Roman"/>
          <w:lang w:val="en-US"/>
        </w:rPr>
        <w:t xml:space="preserve"> These works have provided us with the </w:t>
      </w:r>
      <w:r w:rsidR="007F49E4">
        <w:rPr>
          <w:rFonts w:ascii="Times New Roman" w:hAnsi="Times New Roman" w:cs="Times New Roman"/>
          <w:lang w:val="en-US"/>
        </w:rPr>
        <w:lastRenderedPageBreak/>
        <w:t xml:space="preserve">majority of the information surrounding Caratacus and Togodumnus. </w:t>
      </w:r>
      <w:r w:rsidR="00A32D32">
        <w:rPr>
          <w:rFonts w:ascii="Times New Roman" w:hAnsi="Times New Roman" w:cs="Times New Roman"/>
          <w:lang w:val="en-US"/>
        </w:rPr>
        <w:t>Unfortunately, as</w:t>
      </w:r>
      <w:r w:rsidR="00A12CFC">
        <w:rPr>
          <w:rFonts w:ascii="Times New Roman" w:hAnsi="Times New Roman" w:cs="Times New Roman"/>
          <w:lang w:val="en-US"/>
        </w:rPr>
        <w:t xml:space="preserve"> with all ancient authors, we have to be wary of the fact that none of them were eye witnesses to the events that they were describing and these sources are all from the perspective of the so called ‘winners’ of the conquest as there are no written sources found in Britain from this time</w:t>
      </w:r>
      <w:r w:rsidR="0035319D">
        <w:rPr>
          <w:rStyle w:val="FootnoteReference"/>
          <w:rFonts w:ascii="Times New Roman" w:hAnsi="Times New Roman" w:cs="Times New Roman"/>
          <w:lang w:val="en-US"/>
        </w:rPr>
        <w:footnoteReference w:id="7"/>
      </w:r>
      <w:r w:rsidR="00A12CFC">
        <w:rPr>
          <w:rFonts w:ascii="Times New Roman" w:hAnsi="Times New Roman" w:cs="Times New Roman"/>
          <w:lang w:val="en-US"/>
        </w:rPr>
        <w:t>.</w:t>
      </w:r>
    </w:p>
    <w:p w14:paraId="0185CA22" w14:textId="775DBB6C" w:rsidR="0035319D" w:rsidRDefault="0035319D" w:rsidP="004A2267">
      <w:pPr>
        <w:spacing w:line="480" w:lineRule="auto"/>
        <w:rPr>
          <w:rFonts w:ascii="Times New Roman" w:hAnsi="Times New Roman" w:cs="Times New Roman"/>
          <w:lang w:val="en-US"/>
        </w:rPr>
      </w:pPr>
      <w:r>
        <w:rPr>
          <w:rFonts w:ascii="Times New Roman" w:hAnsi="Times New Roman" w:cs="Times New Roman"/>
          <w:lang w:val="en-US"/>
        </w:rPr>
        <w:tab/>
        <w:t>Cunobelinas was in charge of two different kingdoms, the Trinovantes and the Catuvellauni</w:t>
      </w:r>
      <w:r w:rsidR="00C4750C">
        <w:rPr>
          <w:rFonts w:ascii="Times New Roman" w:hAnsi="Times New Roman" w:cs="Times New Roman"/>
          <w:lang w:val="en-US"/>
        </w:rPr>
        <w:t xml:space="preserve">, giving him a very large and </w:t>
      </w:r>
      <w:r w:rsidR="001C0D32">
        <w:rPr>
          <w:rFonts w:ascii="Times New Roman" w:hAnsi="Times New Roman" w:cs="Times New Roman"/>
          <w:lang w:val="en-US"/>
        </w:rPr>
        <w:t>influential</w:t>
      </w:r>
      <w:r w:rsidR="00C4750C">
        <w:rPr>
          <w:rFonts w:ascii="Times New Roman" w:hAnsi="Times New Roman" w:cs="Times New Roman"/>
          <w:lang w:val="en-US"/>
        </w:rPr>
        <w:t xml:space="preserve"> territory</w:t>
      </w:r>
      <w:r w:rsidR="001C0D32">
        <w:rPr>
          <w:rStyle w:val="FootnoteReference"/>
          <w:rFonts w:ascii="Times New Roman" w:hAnsi="Times New Roman" w:cs="Times New Roman"/>
          <w:lang w:val="en-US"/>
        </w:rPr>
        <w:footnoteReference w:id="8"/>
      </w:r>
      <w:r>
        <w:rPr>
          <w:rFonts w:ascii="Times New Roman" w:hAnsi="Times New Roman" w:cs="Times New Roman"/>
          <w:lang w:val="en-US"/>
        </w:rPr>
        <w:t xml:space="preserve">. </w:t>
      </w:r>
      <w:r w:rsidR="001C0D32">
        <w:rPr>
          <w:rFonts w:ascii="Times New Roman" w:hAnsi="Times New Roman" w:cs="Times New Roman"/>
          <w:lang w:val="en-US"/>
        </w:rPr>
        <w:t>We</w:t>
      </w:r>
      <w:r w:rsidR="00D41F70">
        <w:rPr>
          <w:rFonts w:ascii="Times New Roman" w:hAnsi="Times New Roman" w:cs="Times New Roman"/>
          <w:lang w:val="en-US"/>
        </w:rPr>
        <w:t xml:space="preserve"> first get an</w:t>
      </w:r>
      <w:r w:rsidR="001C0D32">
        <w:rPr>
          <w:rFonts w:ascii="Times New Roman" w:hAnsi="Times New Roman" w:cs="Times New Roman"/>
          <w:lang w:val="en-US"/>
        </w:rPr>
        <w:t xml:space="preserve"> idea of </w:t>
      </w:r>
      <w:r w:rsidR="00D41F70">
        <w:rPr>
          <w:rFonts w:ascii="Times New Roman" w:hAnsi="Times New Roman" w:cs="Times New Roman"/>
          <w:lang w:val="en-US"/>
        </w:rPr>
        <w:t>just how</w:t>
      </w:r>
      <w:r w:rsidR="001C0D32">
        <w:rPr>
          <w:rFonts w:ascii="Times New Roman" w:hAnsi="Times New Roman" w:cs="Times New Roman"/>
          <w:lang w:val="en-US"/>
        </w:rPr>
        <w:t xml:space="preserve"> power</w:t>
      </w:r>
      <w:r w:rsidR="00D41F70">
        <w:rPr>
          <w:rFonts w:ascii="Times New Roman" w:hAnsi="Times New Roman" w:cs="Times New Roman"/>
          <w:lang w:val="en-US"/>
        </w:rPr>
        <w:t>ful he was</w:t>
      </w:r>
      <w:r w:rsidR="001C0D32">
        <w:rPr>
          <w:rFonts w:ascii="Times New Roman" w:hAnsi="Times New Roman" w:cs="Times New Roman"/>
          <w:lang w:val="en-US"/>
        </w:rPr>
        <w:t xml:space="preserve"> from Suetonius who goes on to describe Cunobelinas as </w:t>
      </w:r>
      <w:r w:rsidR="001555E8">
        <w:rPr>
          <w:rFonts w:ascii="Times New Roman" w:hAnsi="Times New Roman" w:cs="Times New Roman"/>
          <w:lang w:val="en-US"/>
        </w:rPr>
        <w:t>“king of t</w:t>
      </w:r>
      <w:r w:rsidR="00A32D32">
        <w:rPr>
          <w:rFonts w:ascii="Times New Roman" w:hAnsi="Times New Roman" w:cs="Times New Roman"/>
          <w:lang w:val="en-US"/>
        </w:rPr>
        <w:t>he Britons” according to Salway. However,</w:t>
      </w:r>
      <w:r w:rsidR="001555E8">
        <w:rPr>
          <w:rFonts w:ascii="Times New Roman" w:hAnsi="Times New Roman" w:cs="Times New Roman"/>
          <w:lang w:val="en-US"/>
        </w:rPr>
        <w:t xml:space="preserve"> other translators have merely translated this part as just </w:t>
      </w:r>
      <w:r w:rsidR="001F4E86">
        <w:rPr>
          <w:rFonts w:ascii="Times New Roman" w:hAnsi="Times New Roman" w:cs="Times New Roman"/>
          <w:lang w:val="en-US"/>
        </w:rPr>
        <w:t>“a British king”</w:t>
      </w:r>
      <w:r w:rsidR="00D41F70">
        <w:rPr>
          <w:rFonts w:ascii="Times New Roman" w:hAnsi="Times New Roman" w:cs="Times New Roman"/>
          <w:lang w:val="en-US"/>
        </w:rPr>
        <w:t xml:space="preserve"> which changes the meaning as</w:t>
      </w:r>
      <w:r w:rsidR="001F4E86">
        <w:rPr>
          <w:rFonts w:ascii="Times New Roman" w:hAnsi="Times New Roman" w:cs="Times New Roman"/>
          <w:lang w:val="en-US"/>
        </w:rPr>
        <w:t xml:space="preserve"> Cunobelinas may</w:t>
      </w:r>
      <w:r w:rsidR="00D41F70">
        <w:rPr>
          <w:rFonts w:ascii="Times New Roman" w:hAnsi="Times New Roman" w:cs="Times New Roman"/>
          <w:lang w:val="en-US"/>
        </w:rPr>
        <w:t xml:space="preserve"> not have had as much influence an</w:t>
      </w:r>
      <w:r w:rsidR="00A32D32">
        <w:rPr>
          <w:rFonts w:ascii="Times New Roman" w:hAnsi="Times New Roman" w:cs="Times New Roman"/>
          <w:lang w:val="en-US"/>
        </w:rPr>
        <w:t xml:space="preserve">d power as previously thought, as </w:t>
      </w:r>
      <w:r w:rsidR="00D41F70">
        <w:rPr>
          <w:rFonts w:ascii="Times New Roman" w:hAnsi="Times New Roman" w:cs="Times New Roman"/>
          <w:lang w:val="en-US"/>
        </w:rPr>
        <w:t>it would</w:t>
      </w:r>
      <w:r w:rsidR="0077696A">
        <w:rPr>
          <w:rFonts w:ascii="Times New Roman" w:hAnsi="Times New Roman" w:cs="Times New Roman"/>
          <w:lang w:val="en-US"/>
        </w:rPr>
        <w:t xml:space="preserve"> depend on the </w:t>
      </w:r>
      <w:r w:rsidR="006509A0">
        <w:rPr>
          <w:rFonts w:ascii="Times New Roman" w:hAnsi="Times New Roman" w:cs="Times New Roman"/>
          <w:lang w:val="en-US"/>
        </w:rPr>
        <w:t>translator’s</w:t>
      </w:r>
      <w:r w:rsidR="0077696A">
        <w:rPr>
          <w:rFonts w:ascii="Times New Roman" w:hAnsi="Times New Roman" w:cs="Times New Roman"/>
          <w:lang w:val="en-US"/>
        </w:rPr>
        <w:t xml:space="preserve"> </w:t>
      </w:r>
      <w:r w:rsidR="00832791">
        <w:rPr>
          <w:rFonts w:ascii="Times New Roman" w:hAnsi="Times New Roman" w:cs="Times New Roman"/>
          <w:lang w:val="en-US"/>
        </w:rPr>
        <w:t xml:space="preserve">interpretation of the </w:t>
      </w:r>
      <w:r w:rsidR="00D41F70">
        <w:rPr>
          <w:rFonts w:ascii="Times New Roman" w:hAnsi="Times New Roman" w:cs="Times New Roman"/>
          <w:lang w:val="en-US"/>
        </w:rPr>
        <w:t>original Latin</w:t>
      </w:r>
      <w:r w:rsidR="001F4E86">
        <w:rPr>
          <w:rStyle w:val="FootnoteReference"/>
          <w:rFonts w:ascii="Times New Roman" w:hAnsi="Times New Roman" w:cs="Times New Roman"/>
          <w:lang w:val="en-US"/>
        </w:rPr>
        <w:footnoteReference w:id="9"/>
      </w:r>
      <w:r w:rsidR="001F4E86">
        <w:rPr>
          <w:rFonts w:ascii="Times New Roman" w:hAnsi="Times New Roman" w:cs="Times New Roman"/>
          <w:lang w:val="en-US"/>
        </w:rPr>
        <w:t>.</w:t>
      </w:r>
      <w:r w:rsidR="00A619DC">
        <w:rPr>
          <w:rFonts w:ascii="Times New Roman" w:hAnsi="Times New Roman" w:cs="Times New Roman"/>
          <w:lang w:val="en-US"/>
        </w:rPr>
        <w:t xml:space="preserve"> It is not certain exactly when he died, however </w:t>
      </w:r>
      <w:r w:rsidR="002126C8">
        <w:rPr>
          <w:rFonts w:ascii="Times New Roman" w:hAnsi="Times New Roman" w:cs="Times New Roman"/>
          <w:lang w:val="en-US"/>
        </w:rPr>
        <w:t xml:space="preserve">De La </w:t>
      </w:r>
      <w:r w:rsidR="00A619DC">
        <w:rPr>
          <w:rFonts w:ascii="Times New Roman" w:hAnsi="Times New Roman" w:cs="Times New Roman"/>
          <w:lang w:val="en-US"/>
        </w:rPr>
        <w:t>B</w:t>
      </w:r>
      <w:r w:rsidR="00567180">
        <w:rPr>
          <w:rFonts w:ascii="Times New Roman" w:hAnsi="Times New Roman" w:cs="Times New Roman"/>
          <w:lang w:val="en-US"/>
        </w:rPr>
        <w:t>édoyère says it was around 41 AD</w:t>
      </w:r>
      <w:r w:rsidR="00567180">
        <w:rPr>
          <w:rStyle w:val="FootnoteReference"/>
          <w:rFonts w:ascii="Times New Roman" w:hAnsi="Times New Roman" w:cs="Times New Roman"/>
          <w:lang w:val="en-US"/>
        </w:rPr>
        <w:footnoteReference w:id="10"/>
      </w:r>
      <w:r w:rsidR="00A32D32">
        <w:rPr>
          <w:rFonts w:ascii="Times New Roman" w:hAnsi="Times New Roman" w:cs="Times New Roman"/>
          <w:lang w:val="en-US"/>
        </w:rPr>
        <w:t>. B</w:t>
      </w:r>
      <w:r w:rsidR="00567180">
        <w:rPr>
          <w:rFonts w:ascii="Times New Roman" w:hAnsi="Times New Roman" w:cs="Times New Roman"/>
          <w:lang w:val="en-US"/>
        </w:rPr>
        <w:t>ut upon his death the majority of the kingdom went to his eldest son Togodumnus. We know that Cunobelinas did exist as coins have been found</w:t>
      </w:r>
      <w:r w:rsidR="001D1CAB">
        <w:rPr>
          <w:rFonts w:ascii="Times New Roman" w:hAnsi="Times New Roman" w:cs="Times New Roman"/>
          <w:lang w:val="en-US"/>
        </w:rPr>
        <w:t xml:space="preserve"> in gold, silver and bronze which help to signify the wealth and power of his kingdom during his reign</w:t>
      </w:r>
      <w:r w:rsidR="001D1CAB">
        <w:rPr>
          <w:rStyle w:val="FootnoteReference"/>
          <w:rFonts w:ascii="Times New Roman" w:hAnsi="Times New Roman" w:cs="Times New Roman"/>
          <w:lang w:val="en-US"/>
        </w:rPr>
        <w:footnoteReference w:id="11"/>
      </w:r>
      <w:r w:rsidR="006509A0">
        <w:rPr>
          <w:rFonts w:ascii="Times New Roman" w:hAnsi="Times New Roman" w:cs="Times New Roman"/>
          <w:lang w:val="en-US"/>
        </w:rPr>
        <w:t xml:space="preserve">. These coins also play an important role because, as mentioned above, Cunobelinas was in charge of two kingdoms that had previously been separate. These coins help to prove the unification of the two </w:t>
      </w:r>
      <w:r w:rsidR="001413E7">
        <w:rPr>
          <w:rFonts w:ascii="Times New Roman" w:hAnsi="Times New Roman" w:cs="Times New Roman"/>
          <w:lang w:val="en-US"/>
        </w:rPr>
        <w:t>factions</w:t>
      </w:r>
      <w:r w:rsidR="006509A0">
        <w:rPr>
          <w:rFonts w:ascii="Times New Roman" w:hAnsi="Times New Roman" w:cs="Times New Roman"/>
          <w:lang w:val="en-US"/>
        </w:rPr>
        <w:t xml:space="preserve"> under one king, with a possible capital </w:t>
      </w:r>
      <w:r w:rsidR="00D41F70">
        <w:rPr>
          <w:rFonts w:ascii="Times New Roman" w:hAnsi="Times New Roman" w:cs="Times New Roman"/>
          <w:lang w:val="en-US"/>
        </w:rPr>
        <w:t>at</w:t>
      </w:r>
      <w:r w:rsidR="006509A0">
        <w:rPr>
          <w:rFonts w:ascii="Times New Roman" w:hAnsi="Times New Roman" w:cs="Times New Roman"/>
          <w:lang w:val="en-US"/>
        </w:rPr>
        <w:t xml:space="preserve"> Colchester</w:t>
      </w:r>
      <w:r w:rsidR="006509A0">
        <w:rPr>
          <w:rStyle w:val="FootnoteReference"/>
          <w:rFonts w:ascii="Times New Roman" w:hAnsi="Times New Roman" w:cs="Times New Roman"/>
          <w:lang w:val="en-US"/>
        </w:rPr>
        <w:footnoteReference w:id="12"/>
      </w:r>
      <w:r w:rsidR="006509A0">
        <w:rPr>
          <w:rFonts w:ascii="Times New Roman" w:hAnsi="Times New Roman" w:cs="Times New Roman"/>
          <w:lang w:val="en-US"/>
        </w:rPr>
        <w:t>, which as we shall see in the next section</w:t>
      </w:r>
      <w:r w:rsidR="00D41F70">
        <w:rPr>
          <w:rFonts w:ascii="Times New Roman" w:hAnsi="Times New Roman" w:cs="Times New Roman"/>
          <w:lang w:val="en-US"/>
        </w:rPr>
        <w:t xml:space="preserve"> on Boudicca</w:t>
      </w:r>
      <w:r w:rsidR="006509A0">
        <w:rPr>
          <w:rFonts w:ascii="Times New Roman" w:hAnsi="Times New Roman" w:cs="Times New Roman"/>
          <w:lang w:val="en-US"/>
        </w:rPr>
        <w:t xml:space="preserve"> was quickly taken over by the Romans and made into the Roman capital of Britain</w:t>
      </w:r>
      <w:r w:rsidR="00D41F70">
        <w:rPr>
          <w:rFonts w:ascii="Times New Roman" w:hAnsi="Times New Roman" w:cs="Times New Roman"/>
          <w:lang w:val="en-US"/>
        </w:rPr>
        <w:t xml:space="preserve"> after Caratacus’ revolt</w:t>
      </w:r>
      <w:r w:rsidR="00AD519E">
        <w:rPr>
          <w:rStyle w:val="FootnoteReference"/>
          <w:rFonts w:ascii="Times New Roman" w:hAnsi="Times New Roman" w:cs="Times New Roman"/>
          <w:lang w:val="en-US"/>
        </w:rPr>
        <w:footnoteReference w:id="13"/>
      </w:r>
      <w:r w:rsidR="006509A0">
        <w:rPr>
          <w:rFonts w:ascii="Times New Roman" w:hAnsi="Times New Roman" w:cs="Times New Roman"/>
          <w:lang w:val="en-US"/>
        </w:rPr>
        <w:t>.</w:t>
      </w:r>
      <w:r w:rsidR="00AD519E">
        <w:rPr>
          <w:rFonts w:ascii="Times New Roman" w:hAnsi="Times New Roman" w:cs="Times New Roman"/>
          <w:lang w:val="en-US"/>
        </w:rPr>
        <w:t xml:space="preserve"> </w:t>
      </w:r>
    </w:p>
    <w:p w14:paraId="435BC355" w14:textId="657D7159" w:rsidR="008B6BE0" w:rsidRDefault="008B6BE0" w:rsidP="004A2267">
      <w:pPr>
        <w:spacing w:line="480" w:lineRule="auto"/>
        <w:rPr>
          <w:rFonts w:ascii="Times New Roman" w:hAnsi="Times New Roman" w:cs="Times New Roman"/>
          <w:lang w:val="en-US"/>
        </w:rPr>
      </w:pPr>
      <w:r>
        <w:rPr>
          <w:rFonts w:ascii="Times New Roman" w:hAnsi="Times New Roman" w:cs="Times New Roman"/>
          <w:lang w:val="en-US"/>
        </w:rPr>
        <w:lastRenderedPageBreak/>
        <w:tab/>
        <w:t>Togodum</w:t>
      </w:r>
      <w:r w:rsidR="002A5A96">
        <w:rPr>
          <w:rFonts w:ascii="Times New Roman" w:hAnsi="Times New Roman" w:cs="Times New Roman"/>
          <w:lang w:val="en-US"/>
        </w:rPr>
        <w:t>nus, as heir, took control of his father’s kingdom whilst Caratacus decided to try and create one for himself by invading areas south of the Thames</w:t>
      </w:r>
      <w:r w:rsidR="002A5A96">
        <w:rPr>
          <w:rStyle w:val="FootnoteReference"/>
          <w:rFonts w:ascii="Times New Roman" w:hAnsi="Times New Roman" w:cs="Times New Roman"/>
          <w:lang w:val="en-US"/>
        </w:rPr>
        <w:footnoteReference w:id="14"/>
      </w:r>
      <w:r w:rsidR="002A5A96">
        <w:rPr>
          <w:rFonts w:ascii="Times New Roman" w:hAnsi="Times New Roman" w:cs="Times New Roman"/>
          <w:lang w:val="en-US"/>
        </w:rPr>
        <w:t>.</w:t>
      </w:r>
      <w:r w:rsidR="00BC14FD">
        <w:rPr>
          <w:rFonts w:ascii="Times New Roman" w:hAnsi="Times New Roman" w:cs="Times New Roman"/>
          <w:lang w:val="en-US"/>
        </w:rPr>
        <w:t xml:space="preserve"> This is important because it possibly led to Clau</w:t>
      </w:r>
      <w:r w:rsidR="00B23C45">
        <w:rPr>
          <w:rFonts w:ascii="Times New Roman" w:hAnsi="Times New Roman" w:cs="Times New Roman"/>
          <w:lang w:val="en-US"/>
        </w:rPr>
        <w:t>dius’ invasion of Britain because of</w:t>
      </w:r>
      <w:r w:rsidR="00BC14FD">
        <w:rPr>
          <w:rFonts w:ascii="Times New Roman" w:hAnsi="Times New Roman" w:cs="Times New Roman"/>
          <w:lang w:val="en-US"/>
        </w:rPr>
        <w:t xml:space="preserve"> another king by the name of Verica.</w:t>
      </w:r>
      <w:r w:rsidR="00E45066">
        <w:rPr>
          <w:rFonts w:ascii="Times New Roman" w:hAnsi="Times New Roman" w:cs="Times New Roman"/>
          <w:lang w:val="en-US"/>
        </w:rPr>
        <w:t xml:space="preserve"> Verica was leader of the Atrebates and whose land slowly fell under the influence of the Catuvellauni (Caratacus)</w:t>
      </w:r>
      <w:r w:rsidR="00E45066">
        <w:rPr>
          <w:rStyle w:val="FootnoteReference"/>
          <w:rFonts w:ascii="Times New Roman" w:hAnsi="Times New Roman" w:cs="Times New Roman"/>
          <w:lang w:val="en-US"/>
        </w:rPr>
        <w:footnoteReference w:id="15"/>
      </w:r>
      <w:r w:rsidR="00E45066">
        <w:rPr>
          <w:rFonts w:ascii="Times New Roman" w:hAnsi="Times New Roman" w:cs="Times New Roman"/>
          <w:lang w:val="en-US"/>
        </w:rPr>
        <w:t>.</w:t>
      </w:r>
      <w:r w:rsidR="00493C55">
        <w:rPr>
          <w:rFonts w:ascii="Times New Roman" w:hAnsi="Times New Roman" w:cs="Times New Roman"/>
          <w:lang w:val="en-US"/>
        </w:rPr>
        <w:t xml:space="preserve"> Because of this, </w:t>
      </w:r>
      <w:r w:rsidR="007938D1">
        <w:rPr>
          <w:rFonts w:ascii="Times New Roman" w:hAnsi="Times New Roman" w:cs="Times New Roman"/>
          <w:lang w:val="en-US"/>
        </w:rPr>
        <w:t xml:space="preserve">Verica escaped to Rome </w:t>
      </w:r>
      <w:r w:rsidR="004E23B8">
        <w:rPr>
          <w:rFonts w:ascii="Times New Roman" w:hAnsi="Times New Roman" w:cs="Times New Roman"/>
          <w:lang w:val="en-US"/>
        </w:rPr>
        <w:t xml:space="preserve">and asked Claudius for help </w:t>
      </w:r>
      <w:r w:rsidR="00F95DB5">
        <w:rPr>
          <w:rFonts w:ascii="Times New Roman" w:hAnsi="Times New Roman" w:cs="Times New Roman"/>
          <w:lang w:val="en-US"/>
        </w:rPr>
        <w:t>against the threat, who then used it as an excuse to begin a campaign to Britain</w:t>
      </w:r>
      <w:r w:rsidR="00F95DB5">
        <w:rPr>
          <w:rStyle w:val="FootnoteReference"/>
          <w:rFonts w:ascii="Times New Roman" w:hAnsi="Times New Roman" w:cs="Times New Roman"/>
          <w:lang w:val="en-US"/>
        </w:rPr>
        <w:footnoteReference w:id="16"/>
      </w:r>
      <w:r w:rsidR="00F95DB5">
        <w:rPr>
          <w:rFonts w:ascii="Times New Roman" w:hAnsi="Times New Roman" w:cs="Times New Roman"/>
          <w:lang w:val="en-US"/>
        </w:rPr>
        <w:t>.</w:t>
      </w:r>
      <w:r w:rsidR="00C84F63">
        <w:rPr>
          <w:rFonts w:ascii="Times New Roman" w:hAnsi="Times New Roman" w:cs="Times New Roman"/>
          <w:lang w:val="en-US"/>
        </w:rPr>
        <w:t xml:space="preserve"> This could not have come at a better time for Claudius</w:t>
      </w:r>
      <w:r w:rsidR="00B23C45">
        <w:rPr>
          <w:rFonts w:ascii="Times New Roman" w:hAnsi="Times New Roman" w:cs="Times New Roman"/>
          <w:lang w:val="en-US"/>
        </w:rPr>
        <w:t>, who at this point</w:t>
      </w:r>
      <w:r w:rsidR="00C84F63">
        <w:rPr>
          <w:rFonts w:ascii="Times New Roman" w:hAnsi="Times New Roman" w:cs="Times New Roman"/>
          <w:lang w:val="en-US"/>
        </w:rPr>
        <w:t xml:space="preserve"> n</w:t>
      </w:r>
      <w:r w:rsidR="00B23C45">
        <w:rPr>
          <w:rFonts w:ascii="Times New Roman" w:hAnsi="Times New Roman" w:cs="Times New Roman"/>
          <w:lang w:val="en-US"/>
        </w:rPr>
        <w:t>eeded to regain the respect of</w:t>
      </w:r>
      <w:r w:rsidR="00C84F63">
        <w:rPr>
          <w:rFonts w:ascii="Times New Roman" w:hAnsi="Times New Roman" w:cs="Times New Roman"/>
          <w:lang w:val="en-US"/>
        </w:rPr>
        <w:t xml:space="preserve"> his army</w:t>
      </w:r>
      <w:r w:rsidR="00B23C45">
        <w:rPr>
          <w:rFonts w:ascii="Times New Roman" w:hAnsi="Times New Roman" w:cs="Times New Roman"/>
          <w:lang w:val="en-US"/>
        </w:rPr>
        <w:t>,</w:t>
      </w:r>
      <w:r w:rsidR="00C84F63">
        <w:rPr>
          <w:rFonts w:ascii="Times New Roman" w:hAnsi="Times New Roman" w:cs="Times New Roman"/>
          <w:lang w:val="en-US"/>
        </w:rPr>
        <w:t xml:space="preserve"> and what a better way then continuing in Caesar’s footsteps</w:t>
      </w:r>
      <w:r w:rsidR="00C84F63">
        <w:rPr>
          <w:rStyle w:val="FootnoteReference"/>
          <w:rFonts w:ascii="Times New Roman" w:hAnsi="Times New Roman" w:cs="Times New Roman"/>
          <w:lang w:val="en-US"/>
        </w:rPr>
        <w:footnoteReference w:id="17"/>
      </w:r>
      <w:r w:rsidR="00C84F63">
        <w:rPr>
          <w:rFonts w:ascii="Times New Roman" w:hAnsi="Times New Roman" w:cs="Times New Roman"/>
          <w:lang w:val="en-US"/>
        </w:rPr>
        <w:t>.</w:t>
      </w:r>
      <w:r w:rsidR="0066499F">
        <w:rPr>
          <w:rFonts w:ascii="Times New Roman" w:hAnsi="Times New Roman" w:cs="Times New Roman"/>
          <w:lang w:val="en-US"/>
        </w:rPr>
        <w:t xml:space="preserve"> </w:t>
      </w:r>
    </w:p>
    <w:p w14:paraId="753E0A5B" w14:textId="752BDAE3" w:rsidR="0066499F" w:rsidRDefault="0066499F" w:rsidP="004A2267">
      <w:pPr>
        <w:spacing w:line="480" w:lineRule="auto"/>
        <w:rPr>
          <w:rFonts w:ascii="Times New Roman" w:hAnsi="Times New Roman" w:cs="Times New Roman"/>
          <w:lang w:val="en-US"/>
        </w:rPr>
      </w:pPr>
      <w:r>
        <w:rPr>
          <w:rFonts w:ascii="Times New Roman" w:hAnsi="Times New Roman" w:cs="Times New Roman"/>
          <w:lang w:val="en-US"/>
        </w:rPr>
        <w:tab/>
        <w:t>Unlike his father and brother, Togodumnus has no evidence to suggest he existed. Furthermore, the only reason we know his name is due to Cassius Dio</w:t>
      </w:r>
      <w:r w:rsidR="00B23C45">
        <w:rPr>
          <w:rFonts w:ascii="Times New Roman" w:hAnsi="Times New Roman" w:cs="Times New Roman"/>
          <w:lang w:val="en-US"/>
        </w:rPr>
        <w:t>,</w:t>
      </w:r>
      <w:r>
        <w:rPr>
          <w:rFonts w:ascii="Times New Roman" w:hAnsi="Times New Roman" w:cs="Times New Roman"/>
          <w:lang w:val="en-US"/>
        </w:rPr>
        <w:t xml:space="preserve"> who mentions him in passing as Tacitus and Suetonius fail to mention him by name</w:t>
      </w:r>
      <w:r w:rsidR="00C52E13">
        <w:rPr>
          <w:rStyle w:val="FootnoteReference"/>
          <w:rFonts w:ascii="Times New Roman" w:hAnsi="Times New Roman" w:cs="Times New Roman"/>
          <w:lang w:val="en-US"/>
        </w:rPr>
        <w:footnoteReference w:id="18"/>
      </w:r>
      <w:r>
        <w:rPr>
          <w:rFonts w:ascii="Times New Roman" w:hAnsi="Times New Roman" w:cs="Times New Roman"/>
          <w:lang w:val="en-US"/>
        </w:rPr>
        <w:t>.</w:t>
      </w:r>
      <w:r w:rsidR="00D0282D">
        <w:rPr>
          <w:rFonts w:ascii="Times New Roman" w:hAnsi="Times New Roman" w:cs="Times New Roman"/>
          <w:lang w:val="en-US"/>
        </w:rPr>
        <w:t xml:space="preserve"> Even though this is the case, from what Cassius Dio tells us, it appears that Togodumnus was the main leader of the forces against the Romans as, upon his death, his army “</w:t>
      </w:r>
      <w:r w:rsidR="00D0282D" w:rsidRPr="00D0282D">
        <w:rPr>
          <w:rFonts w:ascii="Times New Roman" w:hAnsi="Times New Roman" w:cs="Times New Roman"/>
          <w:lang w:val="en-US"/>
        </w:rPr>
        <w:t>united all the more firmly to avenge his death</w:t>
      </w:r>
      <w:r w:rsidR="00D0282D">
        <w:rPr>
          <w:rFonts w:ascii="Times New Roman" w:hAnsi="Times New Roman" w:cs="Times New Roman"/>
          <w:lang w:val="en-US"/>
        </w:rPr>
        <w:t>”</w:t>
      </w:r>
      <w:r w:rsidR="00D0282D">
        <w:rPr>
          <w:rStyle w:val="FootnoteReference"/>
          <w:rFonts w:ascii="Times New Roman" w:hAnsi="Times New Roman" w:cs="Times New Roman"/>
          <w:lang w:val="en-US"/>
        </w:rPr>
        <w:footnoteReference w:id="19"/>
      </w:r>
      <w:r w:rsidR="00D0282D">
        <w:rPr>
          <w:rFonts w:ascii="Times New Roman" w:hAnsi="Times New Roman" w:cs="Times New Roman"/>
          <w:lang w:val="en-US"/>
        </w:rPr>
        <w:t>. The eff</w:t>
      </w:r>
      <w:r w:rsidR="00B23C45">
        <w:rPr>
          <w:rFonts w:ascii="Times New Roman" w:hAnsi="Times New Roman" w:cs="Times New Roman"/>
          <w:lang w:val="en-US"/>
        </w:rPr>
        <w:t>ectiveness of Togodumnus is debatable</w:t>
      </w:r>
      <w:r w:rsidR="00D0282D">
        <w:rPr>
          <w:rFonts w:ascii="Times New Roman" w:hAnsi="Times New Roman" w:cs="Times New Roman"/>
          <w:lang w:val="en-US"/>
        </w:rPr>
        <w:t xml:space="preserve"> at best, as he died fairly early on in the battle</w:t>
      </w:r>
      <w:r w:rsidR="007B3905">
        <w:rPr>
          <w:rStyle w:val="FootnoteReference"/>
          <w:rFonts w:ascii="Times New Roman" w:hAnsi="Times New Roman" w:cs="Times New Roman"/>
          <w:lang w:val="en-US"/>
        </w:rPr>
        <w:footnoteReference w:id="20"/>
      </w:r>
      <w:r w:rsidR="00D0282D">
        <w:rPr>
          <w:rFonts w:ascii="Times New Roman" w:hAnsi="Times New Roman" w:cs="Times New Roman"/>
          <w:lang w:val="en-US"/>
        </w:rPr>
        <w:t xml:space="preserve"> and although, according to Cassius Dio, this helped to motivate his troops, we do not know how he died, whe</w:t>
      </w:r>
      <w:r w:rsidR="00AA4D59">
        <w:rPr>
          <w:rFonts w:ascii="Times New Roman" w:hAnsi="Times New Roman" w:cs="Times New Roman"/>
          <w:lang w:val="en-US"/>
        </w:rPr>
        <w:t>n he died or if he even existed</w:t>
      </w:r>
      <w:r w:rsidR="00AA4D59">
        <w:rPr>
          <w:rStyle w:val="FootnoteReference"/>
          <w:rFonts w:ascii="Times New Roman" w:hAnsi="Times New Roman" w:cs="Times New Roman"/>
          <w:lang w:val="en-US"/>
        </w:rPr>
        <w:footnoteReference w:id="21"/>
      </w:r>
      <w:r w:rsidR="00AA4D59">
        <w:rPr>
          <w:rFonts w:ascii="Times New Roman" w:hAnsi="Times New Roman" w:cs="Times New Roman"/>
          <w:lang w:val="en-US"/>
        </w:rPr>
        <w:t>.</w:t>
      </w:r>
    </w:p>
    <w:p w14:paraId="44837570" w14:textId="572E64F7" w:rsidR="003D1D68" w:rsidRDefault="003D1D68" w:rsidP="004A2267">
      <w:pPr>
        <w:spacing w:line="480" w:lineRule="auto"/>
        <w:rPr>
          <w:rFonts w:ascii="Times New Roman" w:hAnsi="Times New Roman" w:cs="Times New Roman"/>
          <w:lang w:val="en-US"/>
        </w:rPr>
      </w:pPr>
      <w:r>
        <w:rPr>
          <w:rFonts w:ascii="Times New Roman" w:hAnsi="Times New Roman" w:cs="Times New Roman"/>
          <w:lang w:val="en-US"/>
        </w:rPr>
        <w:tab/>
        <w:t>Upon Togodumnus’ death, the leading of t</w:t>
      </w:r>
      <w:r w:rsidR="00B23C45">
        <w:rPr>
          <w:rFonts w:ascii="Times New Roman" w:hAnsi="Times New Roman" w:cs="Times New Roman"/>
          <w:lang w:val="en-US"/>
        </w:rPr>
        <w:t>he troops was now left solely to</w:t>
      </w:r>
      <w:r>
        <w:rPr>
          <w:rFonts w:ascii="Times New Roman" w:hAnsi="Times New Roman" w:cs="Times New Roman"/>
          <w:lang w:val="en-US"/>
        </w:rPr>
        <w:t xml:space="preserve"> Caratacus. </w:t>
      </w:r>
      <w:r w:rsidR="00550D52">
        <w:rPr>
          <w:rFonts w:ascii="Times New Roman" w:hAnsi="Times New Roman" w:cs="Times New Roman"/>
          <w:lang w:val="en-US"/>
        </w:rPr>
        <w:t xml:space="preserve">A common theme that will pop up throughout </w:t>
      </w:r>
      <w:r w:rsidR="00C16D22">
        <w:rPr>
          <w:rFonts w:ascii="Times New Roman" w:hAnsi="Times New Roman" w:cs="Times New Roman"/>
          <w:lang w:val="en-US"/>
        </w:rPr>
        <w:t>the different sections</w:t>
      </w:r>
      <w:r w:rsidR="00550D52">
        <w:rPr>
          <w:rFonts w:ascii="Times New Roman" w:hAnsi="Times New Roman" w:cs="Times New Roman"/>
          <w:lang w:val="en-US"/>
        </w:rPr>
        <w:t xml:space="preserve"> is the </w:t>
      </w:r>
      <w:r w:rsidR="00550D52">
        <w:rPr>
          <w:rFonts w:ascii="Times New Roman" w:hAnsi="Times New Roman" w:cs="Times New Roman"/>
          <w:lang w:val="en-US"/>
        </w:rPr>
        <w:lastRenderedPageBreak/>
        <w:t>lack of evidence to support the existence of a particular individual</w:t>
      </w:r>
      <w:r w:rsidR="00C16D22">
        <w:rPr>
          <w:rFonts w:ascii="Times New Roman" w:hAnsi="Times New Roman" w:cs="Times New Roman"/>
          <w:lang w:val="en-US"/>
        </w:rPr>
        <w:t xml:space="preserve">. However, this is where Caratacus stands apart. During his short reign over different </w:t>
      </w:r>
      <w:r w:rsidR="002238B3">
        <w:rPr>
          <w:rFonts w:ascii="Times New Roman" w:hAnsi="Times New Roman" w:cs="Times New Roman"/>
          <w:lang w:val="en-US"/>
        </w:rPr>
        <w:t>factions</w:t>
      </w:r>
      <w:r w:rsidR="00C16D22">
        <w:rPr>
          <w:rFonts w:ascii="Times New Roman" w:hAnsi="Times New Roman" w:cs="Times New Roman"/>
          <w:lang w:val="en-US"/>
        </w:rPr>
        <w:t>, Caratacus issu</w:t>
      </w:r>
      <w:r w:rsidR="00D40FBE">
        <w:rPr>
          <w:rFonts w:ascii="Times New Roman" w:hAnsi="Times New Roman" w:cs="Times New Roman"/>
          <w:lang w:val="en-US"/>
        </w:rPr>
        <w:t xml:space="preserve">ed coins which have been </w:t>
      </w:r>
      <w:r w:rsidR="00B23C45">
        <w:rPr>
          <w:rFonts w:ascii="Times New Roman" w:hAnsi="Times New Roman" w:cs="Times New Roman"/>
          <w:lang w:val="en-US"/>
        </w:rPr>
        <w:t>found to have</w:t>
      </w:r>
      <w:r w:rsidR="00D40FBE">
        <w:rPr>
          <w:rFonts w:ascii="Times New Roman" w:hAnsi="Times New Roman" w:cs="Times New Roman"/>
          <w:lang w:val="en-US"/>
        </w:rPr>
        <w:t xml:space="preserve"> his name</w:t>
      </w:r>
      <w:r w:rsidR="00C16D22">
        <w:rPr>
          <w:rFonts w:ascii="Times New Roman" w:hAnsi="Times New Roman" w:cs="Times New Roman"/>
          <w:lang w:val="en-US"/>
        </w:rPr>
        <w:t xml:space="preserve"> on them</w:t>
      </w:r>
      <w:r w:rsidR="00C16D22">
        <w:rPr>
          <w:rStyle w:val="FootnoteReference"/>
          <w:rFonts w:ascii="Times New Roman" w:hAnsi="Times New Roman" w:cs="Times New Roman"/>
          <w:lang w:val="en-US"/>
        </w:rPr>
        <w:footnoteReference w:id="22"/>
      </w:r>
      <w:r w:rsidR="00C16D22">
        <w:rPr>
          <w:rFonts w:ascii="Times New Roman" w:hAnsi="Times New Roman" w:cs="Times New Roman"/>
          <w:lang w:val="en-US"/>
        </w:rPr>
        <w:t>.</w:t>
      </w:r>
      <w:r w:rsidR="00D40FBE">
        <w:rPr>
          <w:rFonts w:ascii="Times New Roman" w:hAnsi="Times New Roman" w:cs="Times New Roman"/>
          <w:lang w:val="en-US"/>
        </w:rPr>
        <w:t xml:space="preserve"> Although this does not prove the coup he led against the Romans, it does prove that Cassius Dio and Tacitus were right in certain aspects regarding his existence</w:t>
      </w:r>
      <w:r w:rsidR="00890C80">
        <w:rPr>
          <w:rFonts w:ascii="Times New Roman" w:hAnsi="Times New Roman" w:cs="Times New Roman"/>
          <w:lang w:val="en-US"/>
        </w:rPr>
        <w:t>. However, wha</w:t>
      </w:r>
      <w:r w:rsidR="002E47C4">
        <w:rPr>
          <w:rFonts w:ascii="Times New Roman" w:hAnsi="Times New Roman" w:cs="Times New Roman"/>
          <w:lang w:val="en-US"/>
        </w:rPr>
        <w:t>t is interesting about them as</w:t>
      </w:r>
      <w:r w:rsidR="00890C80">
        <w:rPr>
          <w:rFonts w:ascii="Times New Roman" w:hAnsi="Times New Roman" w:cs="Times New Roman"/>
          <w:lang w:val="en-US"/>
        </w:rPr>
        <w:t xml:space="preserve"> Matting</w:t>
      </w:r>
      <w:r w:rsidR="00286188">
        <w:rPr>
          <w:rFonts w:ascii="Times New Roman" w:hAnsi="Times New Roman" w:cs="Times New Roman"/>
          <w:lang w:val="en-US"/>
        </w:rPr>
        <w:t>ly points out, is that they contain Roman themes</w:t>
      </w:r>
      <w:r w:rsidR="00286188">
        <w:rPr>
          <w:rStyle w:val="FootnoteReference"/>
          <w:rFonts w:ascii="Times New Roman" w:hAnsi="Times New Roman" w:cs="Times New Roman"/>
          <w:lang w:val="en-US"/>
        </w:rPr>
        <w:footnoteReference w:id="23"/>
      </w:r>
      <w:r w:rsidR="00286188">
        <w:rPr>
          <w:rFonts w:ascii="Times New Roman" w:hAnsi="Times New Roman" w:cs="Times New Roman"/>
          <w:lang w:val="en-US"/>
        </w:rPr>
        <w:t>. This is surprising considering the events that followed from Claudius’ invasion.</w:t>
      </w:r>
    </w:p>
    <w:p w14:paraId="3B89C748" w14:textId="5FBB287A" w:rsidR="00286188" w:rsidRDefault="00286188" w:rsidP="004A2267">
      <w:pPr>
        <w:spacing w:line="480" w:lineRule="auto"/>
        <w:rPr>
          <w:rFonts w:ascii="Times New Roman" w:hAnsi="Times New Roman" w:cs="Times New Roman"/>
          <w:lang w:val="en-US"/>
        </w:rPr>
      </w:pPr>
      <w:r>
        <w:rPr>
          <w:rFonts w:ascii="Times New Roman" w:hAnsi="Times New Roman" w:cs="Times New Roman"/>
          <w:lang w:val="en-US"/>
        </w:rPr>
        <w:tab/>
        <w:t xml:space="preserve">Caratacus can be seen in both an effective light </w:t>
      </w:r>
      <w:r w:rsidR="00181FEC">
        <w:rPr>
          <w:rFonts w:ascii="Times New Roman" w:hAnsi="Times New Roman" w:cs="Times New Roman"/>
          <w:lang w:val="en-US"/>
        </w:rPr>
        <w:t>and in a non-effective light. Firstly, he was defeated multiple time</w:t>
      </w:r>
      <w:r w:rsidR="0053682C">
        <w:rPr>
          <w:rFonts w:ascii="Times New Roman" w:hAnsi="Times New Roman" w:cs="Times New Roman"/>
          <w:lang w:val="en-US"/>
        </w:rPr>
        <w:t>s</w:t>
      </w:r>
      <w:r w:rsidR="0053682C">
        <w:rPr>
          <w:rStyle w:val="FootnoteReference"/>
          <w:rFonts w:ascii="Times New Roman" w:hAnsi="Times New Roman" w:cs="Times New Roman"/>
          <w:lang w:val="en-US"/>
        </w:rPr>
        <w:footnoteReference w:id="24"/>
      </w:r>
      <w:r w:rsidR="00181FEC">
        <w:rPr>
          <w:rFonts w:ascii="Times New Roman" w:hAnsi="Times New Roman" w:cs="Times New Roman"/>
          <w:lang w:val="en-US"/>
        </w:rPr>
        <w:t>.</w:t>
      </w:r>
      <w:r w:rsidR="002817EA">
        <w:rPr>
          <w:rFonts w:ascii="Times New Roman" w:hAnsi="Times New Roman" w:cs="Times New Roman"/>
          <w:lang w:val="en-US"/>
        </w:rPr>
        <w:t xml:space="preserve"> Tacitus only starts to mention Caratacus </w:t>
      </w:r>
      <w:r w:rsidR="0076579E">
        <w:rPr>
          <w:rFonts w:ascii="Times New Roman" w:hAnsi="Times New Roman" w:cs="Times New Roman"/>
          <w:lang w:val="en-US"/>
        </w:rPr>
        <w:t>after</w:t>
      </w:r>
      <w:r w:rsidR="002817EA">
        <w:rPr>
          <w:rFonts w:ascii="Times New Roman" w:hAnsi="Times New Roman" w:cs="Times New Roman"/>
          <w:lang w:val="en-US"/>
        </w:rPr>
        <w:t xml:space="preserve"> the battle of Medway</w:t>
      </w:r>
      <w:r w:rsidR="00F32B92">
        <w:rPr>
          <w:rStyle w:val="FootnoteReference"/>
          <w:rFonts w:ascii="Times New Roman" w:hAnsi="Times New Roman" w:cs="Times New Roman"/>
          <w:lang w:val="en-US"/>
        </w:rPr>
        <w:footnoteReference w:id="25"/>
      </w:r>
      <w:r w:rsidR="002817EA">
        <w:rPr>
          <w:rFonts w:ascii="Times New Roman" w:hAnsi="Times New Roman" w:cs="Times New Roman"/>
          <w:lang w:val="en-US"/>
        </w:rPr>
        <w:t xml:space="preserve">, which will be discussed </w:t>
      </w:r>
      <w:r w:rsidR="00F32B92">
        <w:rPr>
          <w:rFonts w:ascii="Times New Roman" w:hAnsi="Times New Roman" w:cs="Times New Roman"/>
          <w:lang w:val="en-US"/>
        </w:rPr>
        <w:t>later on, whilst Cassius Dio talks about the situation before this battle</w:t>
      </w:r>
      <w:r w:rsidR="00B07C80">
        <w:rPr>
          <w:rStyle w:val="FootnoteReference"/>
          <w:rFonts w:ascii="Times New Roman" w:hAnsi="Times New Roman" w:cs="Times New Roman"/>
          <w:lang w:val="en-US"/>
        </w:rPr>
        <w:footnoteReference w:id="26"/>
      </w:r>
      <w:r w:rsidR="00433694">
        <w:rPr>
          <w:rFonts w:ascii="Times New Roman" w:hAnsi="Times New Roman" w:cs="Times New Roman"/>
          <w:lang w:val="en-US"/>
        </w:rPr>
        <w:t xml:space="preserve">. This means that although we can get a clear picture between these two authors, it appears that Cassius Dio may </w:t>
      </w:r>
      <w:r w:rsidR="002626DE">
        <w:rPr>
          <w:rFonts w:ascii="Times New Roman" w:hAnsi="Times New Roman" w:cs="Times New Roman"/>
          <w:lang w:val="en-US"/>
        </w:rPr>
        <w:t>not have either known about these events or just decided not to mention them.</w:t>
      </w:r>
      <w:r w:rsidR="00BB6604">
        <w:rPr>
          <w:rFonts w:ascii="Times New Roman" w:hAnsi="Times New Roman" w:cs="Times New Roman"/>
          <w:lang w:val="en-US"/>
        </w:rPr>
        <w:t xml:space="preserve"> </w:t>
      </w:r>
      <w:r w:rsidR="003A5792">
        <w:rPr>
          <w:rFonts w:ascii="Times New Roman" w:hAnsi="Times New Roman" w:cs="Times New Roman"/>
          <w:lang w:val="en-US"/>
        </w:rPr>
        <w:t>These multiple defeats, although ineffective, shows Caratacus’ courage and perseverance against the Romans, who had to continue to try and stop his forces</w:t>
      </w:r>
      <w:r w:rsidR="003A5792">
        <w:rPr>
          <w:rStyle w:val="FootnoteReference"/>
          <w:rFonts w:ascii="Times New Roman" w:hAnsi="Times New Roman" w:cs="Times New Roman"/>
          <w:lang w:val="en-US"/>
        </w:rPr>
        <w:footnoteReference w:id="27"/>
      </w:r>
      <w:r w:rsidR="003A5792">
        <w:rPr>
          <w:rFonts w:ascii="Times New Roman" w:hAnsi="Times New Roman" w:cs="Times New Roman"/>
          <w:lang w:val="en-US"/>
        </w:rPr>
        <w:t xml:space="preserve">. This is very effective as </w:t>
      </w:r>
      <w:r w:rsidR="00987212">
        <w:rPr>
          <w:rFonts w:ascii="Times New Roman" w:hAnsi="Times New Roman" w:cs="Times New Roman"/>
          <w:lang w:val="en-US"/>
        </w:rPr>
        <w:t xml:space="preserve">Tacitus </w:t>
      </w:r>
      <w:r w:rsidR="00B96676">
        <w:rPr>
          <w:rFonts w:ascii="Times New Roman" w:hAnsi="Times New Roman" w:cs="Times New Roman"/>
          <w:lang w:val="en-US"/>
        </w:rPr>
        <w:t>states that “</w:t>
      </w:r>
      <w:r w:rsidR="00B96676" w:rsidRPr="00B96676">
        <w:rPr>
          <w:rFonts w:ascii="Times New Roman" w:hAnsi="Times New Roman" w:cs="Times New Roman"/>
          <w:lang w:val="en-US"/>
        </w:rPr>
        <w:t>His fame had spread thence, and travelled to the neighboring islands and provinces, and w</w:t>
      </w:r>
      <w:r w:rsidR="00B96676">
        <w:rPr>
          <w:rFonts w:ascii="Times New Roman" w:hAnsi="Times New Roman" w:cs="Times New Roman"/>
          <w:lang w:val="en-US"/>
        </w:rPr>
        <w:t>as actually celebrated in Italy”</w:t>
      </w:r>
      <w:r w:rsidR="00B96676">
        <w:rPr>
          <w:rStyle w:val="FootnoteReference"/>
          <w:rFonts w:ascii="Times New Roman" w:hAnsi="Times New Roman" w:cs="Times New Roman"/>
          <w:lang w:val="en-US"/>
        </w:rPr>
        <w:footnoteReference w:id="28"/>
      </w:r>
      <w:r w:rsidR="002E47C4">
        <w:rPr>
          <w:rFonts w:ascii="Times New Roman" w:hAnsi="Times New Roman" w:cs="Times New Roman"/>
          <w:lang w:val="en-US"/>
        </w:rPr>
        <w:t>. This illustrates</w:t>
      </w:r>
      <w:r w:rsidR="00B96676">
        <w:rPr>
          <w:rFonts w:ascii="Times New Roman" w:hAnsi="Times New Roman" w:cs="Times New Roman"/>
          <w:lang w:val="en-US"/>
        </w:rPr>
        <w:t xml:space="preserve"> that Caratacus’ plight against the Romans had been noticed and this therefore makes his revolt more effective, because the Romans were even more determined to stop him</w:t>
      </w:r>
      <w:r w:rsidR="00DC12AD">
        <w:rPr>
          <w:rStyle w:val="FootnoteReference"/>
          <w:rFonts w:ascii="Times New Roman" w:hAnsi="Times New Roman" w:cs="Times New Roman"/>
          <w:lang w:val="en-US"/>
        </w:rPr>
        <w:footnoteReference w:id="29"/>
      </w:r>
      <w:r w:rsidR="00B96676">
        <w:rPr>
          <w:rFonts w:ascii="Times New Roman" w:hAnsi="Times New Roman" w:cs="Times New Roman"/>
          <w:lang w:val="en-US"/>
        </w:rPr>
        <w:t>.</w:t>
      </w:r>
      <w:r w:rsidR="00DC12AD">
        <w:rPr>
          <w:rFonts w:ascii="Times New Roman" w:hAnsi="Times New Roman" w:cs="Times New Roman"/>
          <w:lang w:val="en-US"/>
        </w:rPr>
        <w:t xml:space="preserve"> Furthermore, this revolt, according </w:t>
      </w:r>
      <w:r w:rsidR="00DC12AD">
        <w:rPr>
          <w:rFonts w:ascii="Times New Roman" w:hAnsi="Times New Roman" w:cs="Times New Roman"/>
          <w:lang w:val="en-US"/>
        </w:rPr>
        <w:lastRenderedPageBreak/>
        <w:t>to Tacitus, continued on for 9 years, longer then Boudicca’s revolt which would have helped his name to spread throughout the empire</w:t>
      </w:r>
      <w:r w:rsidR="001135B0">
        <w:rPr>
          <w:rStyle w:val="FootnoteReference"/>
          <w:rFonts w:ascii="Times New Roman" w:hAnsi="Times New Roman" w:cs="Times New Roman"/>
          <w:lang w:val="en-US"/>
        </w:rPr>
        <w:footnoteReference w:id="30"/>
      </w:r>
      <w:r w:rsidR="00DC12AD">
        <w:rPr>
          <w:rFonts w:ascii="Times New Roman" w:hAnsi="Times New Roman" w:cs="Times New Roman"/>
          <w:lang w:val="en-US"/>
        </w:rPr>
        <w:t>.</w:t>
      </w:r>
    </w:p>
    <w:p w14:paraId="2DE048F4" w14:textId="29E4334B" w:rsidR="00142D59" w:rsidRDefault="00982F9A" w:rsidP="004A2267">
      <w:pPr>
        <w:spacing w:line="480" w:lineRule="auto"/>
        <w:rPr>
          <w:rFonts w:ascii="Times New Roman" w:hAnsi="Times New Roman" w:cs="Times New Roman"/>
          <w:noProof/>
        </w:rPr>
      </w:pPr>
      <w:r>
        <w:rPr>
          <w:rFonts w:ascii="Times New Roman" w:hAnsi="Times New Roman" w:cs="Times New Roman"/>
          <w:lang w:val="en-US"/>
        </w:rPr>
        <w:tab/>
        <w:t>The battle of Medway is one of the more famous battles to take place at this time.</w:t>
      </w:r>
      <w:r w:rsidR="00D15CFB">
        <w:rPr>
          <w:rFonts w:ascii="Times New Roman" w:hAnsi="Times New Roman" w:cs="Times New Roman"/>
          <w:lang w:val="en-US"/>
        </w:rPr>
        <w:t xml:space="preserve"> Although there is no archaeological evidence to suggest this is where this battle actually took place, a coin hoard of 37 silver coins has been found at B</w:t>
      </w:r>
      <w:r w:rsidR="002238B3">
        <w:rPr>
          <w:rFonts w:ascii="Times New Roman" w:hAnsi="Times New Roman" w:cs="Times New Roman"/>
          <w:lang w:val="en-US"/>
        </w:rPr>
        <w:t>r</w:t>
      </w:r>
      <w:r w:rsidR="00D15CFB">
        <w:rPr>
          <w:rFonts w:ascii="Times New Roman" w:hAnsi="Times New Roman" w:cs="Times New Roman"/>
          <w:lang w:val="en-US"/>
        </w:rPr>
        <w:t xml:space="preserve">edgar in Kent which Peddie suggests might have been buried by a solider on their way to </w:t>
      </w:r>
      <w:r w:rsidR="004771A9">
        <w:rPr>
          <w:rFonts w:ascii="Times New Roman" w:hAnsi="Times New Roman" w:cs="Times New Roman"/>
          <w:lang w:val="en-US"/>
        </w:rPr>
        <w:t>this battle, as the dating of these coins is around 43 AD</w:t>
      </w:r>
      <w:r w:rsidR="004771A9">
        <w:rPr>
          <w:rStyle w:val="FootnoteReference"/>
          <w:rFonts w:ascii="Times New Roman" w:hAnsi="Times New Roman" w:cs="Times New Roman"/>
          <w:lang w:val="en-US"/>
        </w:rPr>
        <w:footnoteReference w:id="31"/>
      </w:r>
      <w:r w:rsidR="004771A9">
        <w:rPr>
          <w:rFonts w:ascii="Times New Roman" w:hAnsi="Times New Roman" w:cs="Times New Roman"/>
          <w:lang w:val="en-US"/>
        </w:rPr>
        <w:t xml:space="preserve">. De La </w:t>
      </w:r>
      <w:r w:rsidR="004771A9" w:rsidRPr="004771A9">
        <w:rPr>
          <w:rFonts w:ascii="Times New Roman" w:hAnsi="Times New Roman" w:cs="Times New Roman"/>
          <w:noProof/>
        </w:rPr>
        <w:t>Bédoyère also talks about this coin hoard and agrees with Peddie’s inter</w:t>
      </w:r>
      <w:r w:rsidR="004771A9">
        <w:rPr>
          <w:rFonts w:ascii="Times New Roman" w:hAnsi="Times New Roman" w:cs="Times New Roman"/>
          <w:noProof/>
        </w:rPr>
        <w:t>pretation</w:t>
      </w:r>
      <w:r w:rsidR="002E47C4">
        <w:rPr>
          <w:rFonts w:ascii="Times New Roman" w:hAnsi="Times New Roman" w:cs="Times New Roman"/>
          <w:noProof/>
        </w:rPr>
        <w:t>,</w:t>
      </w:r>
      <w:r w:rsidR="004771A9">
        <w:rPr>
          <w:rFonts w:ascii="Times New Roman" w:hAnsi="Times New Roman" w:cs="Times New Roman"/>
          <w:noProof/>
        </w:rPr>
        <w:t xml:space="preserve"> but although both of these authors talk about the idea of soldiers burying their valu</w:t>
      </w:r>
      <w:r w:rsidR="002E47C4">
        <w:rPr>
          <w:rFonts w:ascii="Times New Roman" w:hAnsi="Times New Roman" w:cs="Times New Roman"/>
          <w:noProof/>
        </w:rPr>
        <w:t>ables before the battle,</w:t>
      </w:r>
      <w:r w:rsidR="004771A9">
        <w:rPr>
          <w:rFonts w:ascii="Times New Roman" w:hAnsi="Times New Roman" w:cs="Times New Roman"/>
          <w:noProof/>
        </w:rPr>
        <w:t xml:space="preserve"> no more evidence </w:t>
      </w:r>
      <w:r w:rsidR="002E47C4">
        <w:rPr>
          <w:rFonts w:ascii="Times New Roman" w:hAnsi="Times New Roman" w:cs="Times New Roman"/>
          <w:noProof/>
        </w:rPr>
        <w:t xml:space="preserve">has </w:t>
      </w:r>
      <w:r w:rsidR="004771A9">
        <w:rPr>
          <w:rFonts w:ascii="Times New Roman" w:hAnsi="Times New Roman" w:cs="Times New Roman"/>
          <w:noProof/>
        </w:rPr>
        <w:t>been found</w:t>
      </w:r>
      <w:r w:rsidR="00142D59">
        <w:rPr>
          <w:rFonts w:ascii="Times New Roman" w:hAnsi="Times New Roman" w:cs="Times New Roman"/>
          <w:noProof/>
        </w:rPr>
        <w:t xml:space="preserve"> here</w:t>
      </w:r>
      <w:r w:rsidR="004771A9">
        <w:rPr>
          <w:rStyle w:val="FootnoteReference"/>
          <w:rFonts w:ascii="Times New Roman" w:hAnsi="Times New Roman" w:cs="Times New Roman"/>
          <w:noProof/>
        </w:rPr>
        <w:footnoteReference w:id="32"/>
      </w:r>
      <w:r w:rsidR="002E47C4">
        <w:rPr>
          <w:rFonts w:ascii="Times New Roman" w:hAnsi="Times New Roman" w:cs="Times New Roman"/>
          <w:noProof/>
        </w:rPr>
        <w:t>.</w:t>
      </w:r>
      <w:r w:rsidR="00F24401">
        <w:rPr>
          <w:rFonts w:ascii="Times New Roman" w:hAnsi="Times New Roman" w:cs="Times New Roman"/>
          <w:noProof/>
        </w:rPr>
        <w:t xml:space="preserve"> The Ba</w:t>
      </w:r>
      <w:r w:rsidR="002E47C4">
        <w:rPr>
          <w:rFonts w:ascii="Times New Roman" w:hAnsi="Times New Roman" w:cs="Times New Roman"/>
          <w:noProof/>
        </w:rPr>
        <w:t>ttle of Medway provides more evidence of</w:t>
      </w:r>
      <w:r w:rsidR="00F24401">
        <w:rPr>
          <w:rFonts w:ascii="Times New Roman" w:hAnsi="Times New Roman" w:cs="Times New Roman"/>
          <w:noProof/>
        </w:rPr>
        <w:t xml:space="preserve"> the ef</w:t>
      </w:r>
      <w:r w:rsidR="002E47C4">
        <w:rPr>
          <w:rFonts w:ascii="Times New Roman" w:hAnsi="Times New Roman" w:cs="Times New Roman"/>
          <w:noProof/>
        </w:rPr>
        <w:t>fectiveness of Caratacus for</w:t>
      </w:r>
      <w:r w:rsidR="00F24401">
        <w:rPr>
          <w:rFonts w:ascii="Times New Roman" w:hAnsi="Times New Roman" w:cs="Times New Roman"/>
          <w:noProof/>
        </w:rPr>
        <w:t xml:space="preserve"> </w:t>
      </w:r>
      <w:r w:rsidR="00AE08C1">
        <w:rPr>
          <w:rFonts w:ascii="Times New Roman" w:hAnsi="Times New Roman" w:cs="Times New Roman"/>
          <w:noProof/>
        </w:rPr>
        <w:t>of two reasons. The first is the length of the battle. It was unusual for these type</w:t>
      </w:r>
      <w:r w:rsidR="002E47C4">
        <w:rPr>
          <w:rFonts w:ascii="Times New Roman" w:hAnsi="Times New Roman" w:cs="Times New Roman"/>
          <w:noProof/>
        </w:rPr>
        <w:t>s</w:t>
      </w:r>
      <w:r w:rsidR="00AE08C1">
        <w:rPr>
          <w:rFonts w:ascii="Times New Roman" w:hAnsi="Times New Roman" w:cs="Times New Roman"/>
          <w:noProof/>
        </w:rPr>
        <w:t xml:space="preserve"> of battles to last very long, howev</w:t>
      </w:r>
      <w:r w:rsidR="002E47C4">
        <w:rPr>
          <w:rFonts w:ascii="Times New Roman" w:hAnsi="Times New Roman" w:cs="Times New Roman"/>
          <w:noProof/>
        </w:rPr>
        <w:t>er, this one lasted for more tha</w:t>
      </w:r>
      <w:r w:rsidR="00AE08C1">
        <w:rPr>
          <w:rFonts w:ascii="Times New Roman" w:hAnsi="Times New Roman" w:cs="Times New Roman"/>
          <w:noProof/>
        </w:rPr>
        <w:t>n one day</w:t>
      </w:r>
      <w:r w:rsidR="00505CE1">
        <w:rPr>
          <w:rStyle w:val="FootnoteReference"/>
          <w:rFonts w:ascii="Times New Roman" w:hAnsi="Times New Roman" w:cs="Times New Roman"/>
          <w:noProof/>
        </w:rPr>
        <w:footnoteReference w:id="33"/>
      </w:r>
      <w:r w:rsidR="00AE08C1">
        <w:rPr>
          <w:rFonts w:ascii="Times New Roman" w:hAnsi="Times New Roman" w:cs="Times New Roman"/>
          <w:noProof/>
        </w:rPr>
        <w:t>.</w:t>
      </w:r>
      <w:r w:rsidR="009B57CF">
        <w:rPr>
          <w:rFonts w:ascii="Times New Roman" w:hAnsi="Times New Roman" w:cs="Times New Roman"/>
          <w:noProof/>
        </w:rPr>
        <w:t xml:space="preserve"> Not only this, but </w:t>
      </w:r>
      <w:r w:rsidR="00F83CA8">
        <w:rPr>
          <w:rFonts w:ascii="Times New Roman" w:hAnsi="Times New Roman" w:cs="Times New Roman"/>
          <w:noProof/>
        </w:rPr>
        <w:t xml:space="preserve">as a lot of specialised troops were used in this battle by the Romans, </w:t>
      </w:r>
      <w:r w:rsidR="002E47C4">
        <w:rPr>
          <w:rFonts w:ascii="Times New Roman" w:hAnsi="Times New Roman" w:cs="Times New Roman"/>
          <w:noProof/>
        </w:rPr>
        <w:t xml:space="preserve">this </w:t>
      </w:r>
      <w:r w:rsidR="00F83CA8">
        <w:rPr>
          <w:rFonts w:ascii="Times New Roman" w:hAnsi="Times New Roman" w:cs="Times New Roman"/>
          <w:noProof/>
        </w:rPr>
        <w:t xml:space="preserve">further </w:t>
      </w:r>
      <w:r w:rsidR="002E47C4">
        <w:rPr>
          <w:rFonts w:ascii="Times New Roman" w:hAnsi="Times New Roman" w:cs="Times New Roman"/>
          <w:noProof/>
        </w:rPr>
        <w:t>proves</w:t>
      </w:r>
      <w:r w:rsidR="0020188A">
        <w:rPr>
          <w:rFonts w:ascii="Times New Roman" w:hAnsi="Times New Roman" w:cs="Times New Roman"/>
          <w:noProof/>
        </w:rPr>
        <w:t xml:space="preserve"> the threat the Romans believed Caratacus caused</w:t>
      </w:r>
      <w:r w:rsidR="00547AE8">
        <w:rPr>
          <w:rStyle w:val="FootnoteReference"/>
          <w:rFonts w:ascii="Times New Roman" w:hAnsi="Times New Roman" w:cs="Times New Roman"/>
          <w:noProof/>
        </w:rPr>
        <w:footnoteReference w:id="34"/>
      </w:r>
      <w:r w:rsidR="0020188A">
        <w:rPr>
          <w:rFonts w:ascii="Times New Roman" w:hAnsi="Times New Roman" w:cs="Times New Roman"/>
          <w:noProof/>
        </w:rPr>
        <w:t>.</w:t>
      </w:r>
    </w:p>
    <w:p w14:paraId="4E16C132" w14:textId="453E7233" w:rsidR="00913029" w:rsidRPr="004771A9" w:rsidRDefault="00913029" w:rsidP="004A2267">
      <w:pPr>
        <w:spacing w:line="480" w:lineRule="auto"/>
        <w:rPr>
          <w:rFonts w:ascii="Times New Roman" w:hAnsi="Times New Roman" w:cs="Times New Roman"/>
          <w:noProof/>
        </w:rPr>
      </w:pPr>
      <w:r>
        <w:rPr>
          <w:rFonts w:ascii="Times New Roman" w:hAnsi="Times New Roman" w:cs="Times New Roman"/>
          <w:noProof/>
        </w:rPr>
        <w:tab/>
        <w:t>After this battle however, there seems to be a gap in</w:t>
      </w:r>
      <w:r w:rsidR="0076579E">
        <w:rPr>
          <w:rFonts w:ascii="Times New Roman" w:hAnsi="Times New Roman" w:cs="Times New Roman"/>
          <w:noProof/>
        </w:rPr>
        <w:t xml:space="preserve"> the information as</w:t>
      </w:r>
      <w:r>
        <w:rPr>
          <w:rFonts w:ascii="Times New Roman" w:hAnsi="Times New Roman" w:cs="Times New Roman"/>
          <w:noProof/>
        </w:rPr>
        <w:t xml:space="preserve"> Tacitus </w:t>
      </w:r>
      <w:r w:rsidR="0076579E">
        <w:rPr>
          <w:rFonts w:ascii="Times New Roman" w:hAnsi="Times New Roman" w:cs="Times New Roman"/>
          <w:noProof/>
        </w:rPr>
        <w:t>talks about</w:t>
      </w:r>
      <w:r>
        <w:rPr>
          <w:rFonts w:ascii="Times New Roman" w:hAnsi="Times New Roman" w:cs="Times New Roman"/>
          <w:noProof/>
        </w:rPr>
        <w:t xml:space="preserve"> </w:t>
      </w:r>
      <w:r w:rsidR="00935E81">
        <w:rPr>
          <w:rFonts w:ascii="Times New Roman" w:hAnsi="Times New Roman" w:cs="Times New Roman"/>
          <w:noProof/>
        </w:rPr>
        <w:t>Caratacus and the Silures and provides no detail of the events that take place in</w:t>
      </w:r>
      <w:r w:rsidR="002E47C4">
        <w:rPr>
          <w:rFonts w:ascii="Times New Roman" w:hAnsi="Times New Roman" w:cs="Times New Roman"/>
          <w:noProof/>
        </w:rPr>
        <w:t xml:space="preserve"> </w:t>
      </w:r>
      <w:r w:rsidR="00935E81">
        <w:rPr>
          <w:rFonts w:ascii="Times New Roman" w:hAnsi="Times New Roman" w:cs="Times New Roman"/>
          <w:noProof/>
        </w:rPr>
        <w:t>between</w:t>
      </w:r>
      <w:r w:rsidR="00935E81">
        <w:rPr>
          <w:rStyle w:val="FootnoteReference"/>
          <w:rFonts w:ascii="Times New Roman" w:hAnsi="Times New Roman" w:cs="Times New Roman"/>
          <w:noProof/>
        </w:rPr>
        <w:footnoteReference w:id="35"/>
      </w:r>
      <w:r w:rsidR="00935E81">
        <w:rPr>
          <w:rFonts w:ascii="Times New Roman" w:hAnsi="Times New Roman" w:cs="Times New Roman"/>
          <w:noProof/>
        </w:rPr>
        <w:t>.</w:t>
      </w:r>
      <w:r w:rsidR="008E41DB">
        <w:rPr>
          <w:rFonts w:ascii="Times New Roman" w:hAnsi="Times New Roman" w:cs="Times New Roman"/>
          <w:noProof/>
        </w:rPr>
        <w:t xml:space="preserve"> The Silures </w:t>
      </w:r>
      <w:r w:rsidR="009E5912">
        <w:rPr>
          <w:rFonts w:ascii="Times New Roman" w:hAnsi="Times New Roman" w:cs="Times New Roman"/>
          <w:noProof/>
        </w:rPr>
        <w:t>were</w:t>
      </w:r>
      <w:r w:rsidR="008E41DB">
        <w:rPr>
          <w:rFonts w:ascii="Times New Roman" w:hAnsi="Times New Roman" w:cs="Times New Roman"/>
          <w:noProof/>
        </w:rPr>
        <w:t xml:space="preserve"> major supporters of Caratacus’ revolt against the Roman invaders </w:t>
      </w:r>
      <w:r w:rsidR="00DA45A6">
        <w:rPr>
          <w:rFonts w:ascii="Times New Roman" w:hAnsi="Times New Roman" w:cs="Times New Roman"/>
          <w:noProof/>
        </w:rPr>
        <w:t xml:space="preserve">and end up playing a larger role after Caratacus has been defeated. </w:t>
      </w:r>
      <w:r w:rsidR="00F970CA">
        <w:rPr>
          <w:rFonts w:ascii="Times New Roman" w:hAnsi="Times New Roman" w:cs="Times New Roman"/>
          <w:noProof/>
        </w:rPr>
        <w:t xml:space="preserve">They are </w:t>
      </w:r>
      <w:r w:rsidR="002E47C4">
        <w:rPr>
          <w:rFonts w:ascii="Times New Roman" w:hAnsi="Times New Roman" w:cs="Times New Roman"/>
          <w:noProof/>
        </w:rPr>
        <w:t xml:space="preserve">situated in Wales, and </w:t>
      </w:r>
      <w:r w:rsidR="00F970CA">
        <w:rPr>
          <w:rFonts w:ascii="Times New Roman" w:hAnsi="Times New Roman" w:cs="Times New Roman"/>
          <w:noProof/>
        </w:rPr>
        <w:t xml:space="preserve">we have very little information on them and other </w:t>
      </w:r>
      <w:r w:rsidR="00CD35C8">
        <w:rPr>
          <w:rFonts w:ascii="Times New Roman" w:hAnsi="Times New Roman" w:cs="Times New Roman"/>
          <w:noProof/>
        </w:rPr>
        <w:t>factions</w:t>
      </w:r>
      <w:r w:rsidR="00F970CA">
        <w:rPr>
          <w:rFonts w:ascii="Times New Roman" w:hAnsi="Times New Roman" w:cs="Times New Roman"/>
          <w:noProof/>
        </w:rPr>
        <w:t xml:space="preserve"> in the vicinity</w:t>
      </w:r>
      <w:r w:rsidR="00F970CA">
        <w:rPr>
          <w:rStyle w:val="FootnoteReference"/>
          <w:rFonts w:ascii="Times New Roman" w:hAnsi="Times New Roman" w:cs="Times New Roman"/>
          <w:noProof/>
        </w:rPr>
        <w:footnoteReference w:id="36"/>
      </w:r>
      <w:r w:rsidR="00F970CA">
        <w:rPr>
          <w:rFonts w:ascii="Times New Roman" w:hAnsi="Times New Roman" w:cs="Times New Roman"/>
          <w:noProof/>
        </w:rPr>
        <w:t>.</w:t>
      </w:r>
      <w:r w:rsidR="001D61B2">
        <w:rPr>
          <w:rFonts w:ascii="Times New Roman" w:hAnsi="Times New Roman" w:cs="Times New Roman"/>
          <w:noProof/>
        </w:rPr>
        <w:t xml:space="preserve"> The final battle seems to have ta</w:t>
      </w:r>
      <w:r w:rsidR="00EA5292">
        <w:rPr>
          <w:rFonts w:ascii="Times New Roman" w:hAnsi="Times New Roman" w:cs="Times New Roman"/>
          <w:noProof/>
        </w:rPr>
        <w:t>ken place in the Ordovices’</w:t>
      </w:r>
      <w:r w:rsidR="001D61B2">
        <w:rPr>
          <w:rFonts w:ascii="Times New Roman" w:hAnsi="Times New Roman" w:cs="Times New Roman"/>
          <w:noProof/>
        </w:rPr>
        <w:t xml:space="preserve"> territory, who were neighbours of the Silures, however we have no archaeology to back up this </w:t>
      </w:r>
      <w:r w:rsidR="001D61B2">
        <w:rPr>
          <w:rFonts w:ascii="Times New Roman" w:hAnsi="Times New Roman" w:cs="Times New Roman"/>
          <w:noProof/>
        </w:rPr>
        <w:lastRenderedPageBreak/>
        <w:t>conflict and only Tacitus’ word to go on</w:t>
      </w:r>
      <w:r w:rsidR="001D61B2">
        <w:rPr>
          <w:rStyle w:val="FootnoteReference"/>
          <w:rFonts w:ascii="Times New Roman" w:hAnsi="Times New Roman" w:cs="Times New Roman"/>
          <w:noProof/>
        </w:rPr>
        <w:footnoteReference w:id="37"/>
      </w:r>
      <w:r w:rsidR="001D61B2">
        <w:rPr>
          <w:rFonts w:ascii="Times New Roman" w:hAnsi="Times New Roman" w:cs="Times New Roman"/>
          <w:noProof/>
        </w:rPr>
        <w:t>.</w:t>
      </w:r>
      <w:r w:rsidR="00CB0167">
        <w:rPr>
          <w:rFonts w:ascii="Times New Roman" w:hAnsi="Times New Roman" w:cs="Times New Roman"/>
          <w:noProof/>
        </w:rPr>
        <w:t xml:space="preserve"> Caratacus’ forces were defeated and he ran to Cartimandua’s territory, the Brigantes. However, like with Caratacus’ brother Togodumnus, the lack of </w:t>
      </w:r>
      <w:r w:rsidR="002E47C4">
        <w:rPr>
          <w:rFonts w:ascii="Times New Roman" w:hAnsi="Times New Roman" w:cs="Times New Roman"/>
          <w:noProof/>
        </w:rPr>
        <w:t xml:space="preserve">a </w:t>
      </w:r>
      <w:r w:rsidR="00CB0167">
        <w:rPr>
          <w:rFonts w:ascii="Times New Roman" w:hAnsi="Times New Roman" w:cs="Times New Roman"/>
          <w:noProof/>
        </w:rPr>
        <w:t>leader did not stop the Silures and Or</w:t>
      </w:r>
      <w:r w:rsidR="008919E2">
        <w:rPr>
          <w:rFonts w:ascii="Times New Roman" w:hAnsi="Times New Roman" w:cs="Times New Roman"/>
          <w:noProof/>
        </w:rPr>
        <w:t>dovice</w:t>
      </w:r>
      <w:r w:rsidR="002E47C4">
        <w:rPr>
          <w:rFonts w:ascii="Times New Roman" w:hAnsi="Times New Roman" w:cs="Times New Roman"/>
          <w:noProof/>
        </w:rPr>
        <w:t xml:space="preserve"> from continuing</w:t>
      </w:r>
      <w:r w:rsidR="00CB0167">
        <w:rPr>
          <w:rFonts w:ascii="Times New Roman" w:hAnsi="Times New Roman" w:cs="Times New Roman"/>
          <w:noProof/>
        </w:rPr>
        <w:t xml:space="preserve"> with their revolt</w:t>
      </w:r>
      <w:r w:rsidR="00CB0167">
        <w:rPr>
          <w:rStyle w:val="FootnoteReference"/>
          <w:rFonts w:ascii="Times New Roman" w:hAnsi="Times New Roman" w:cs="Times New Roman"/>
          <w:noProof/>
        </w:rPr>
        <w:footnoteReference w:id="38"/>
      </w:r>
      <w:r w:rsidR="00CB0167">
        <w:rPr>
          <w:rFonts w:ascii="Times New Roman" w:hAnsi="Times New Roman" w:cs="Times New Roman"/>
          <w:noProof/>
        </w:rPr>
        <w:t>, and as we shall see later on, they ended up being fairly effective.</w:t>
      </w:r>
    </w:p>
    <w:p w14:paraId="2809B491" w14:textId="07C95CBA" w:rsidR="0066499F" w:rsidRDefault="00CB0167" w:rsidP="004A2267">
      <w:pPr>
        <w:spacing w:line="480" w:lineRule="auto"/>
        <w:rPr>
          <w:rFonts w:ascii="Times New Roman" w:hAnsi="Times New Roman" w:cs="Times New Roman"/>
          <w:lang w:val="en-US"/>
        </w:rPr>
      </w:pPr>
      <w:r>
        <w:rPr>
          <w:rFonts w:ascii="Times New Roman" w:hAnsi="Times New Roman" w:cs="Times New Roman"/>
          <w:lang w:val="en-US"/>
        </w:rPr>
        <w:tab/>
        <w:t>Caratacus is handed over to Rome by Queen Cartimandua of the Brigantes, a known client kingdom of Rome</w:t>
      </w:r>
      <w:r>
        <w:rPr>
          <w:rStyle w:val="FootnoteReference"/>
          <w:rFonts w:ascii="Times New Roman" w:hAnsi="Times New Roman" w:cs="Times New Roman"/>
          <w:lang w:val="en-US"/>
        </w:rPr>
        <w:footnoteReference w:id="39"/>
      </w:r>
      <w:r>
        <w:rPr>
          <w:rFonts w:ascii="Times New Roman" w:hAnsi="Times New Roman" w:cs="Times New Roman"/>
          <w:lang w:val="en-US"/>
        </w:rPr>
        <w:t>.</w:t>
      </w:r>
      <w:r w:rsidR="00243B45">
        <w:rPr>
          <w:rFonts w:ascii="Times New Roman" w:hAnsi="Times New Roman" w:cs="Times New Roman"/>
          <w:lang w:val="en-US"/>
        </w:rPr>
        <w:t xml:space="preserve"> Being betrayed by his own people severely reduced his effectiveness, but as seen later on, this provided Cartimandua with a standing amongst the Romans which she would</w:t>
      </w:r>
      <w:r w:rsidR="00507B02">
        <w:rPr>
          <w:rFonts w:ascii="Times New Roman" w:hAnsi="Times New Roman" w:cs="Times New Roman"/>
          <w:lang w:val="en-US"/>
        </w:rPr>
        <w:t xml:space="preserve"> need when her own people</w:t>
      </w:r>
      <w:r w:rsidR="002E47C4">
        <w:rPr>
          <w:rFonts w:ascii="Times New Roman" w:hAnsi="Times New Roman" w:cs="Times New Roman"/>
          <w:lang w:val="en-US"/>
        </w:rPr>
        <w:t xml:space="preserve"> revolted</w:t>
      </w:r>
      <w:r w:rsidR="00243B45">
        <w:rPr>
          <w:rFonts w:ascii="Times New Roman" w:hAnsi="Times New Roman" w:cs="Times New Roman"/>
          <w:lang w:val="en-US"/>
        </w:rPr>
        <w:t xml:space="preserve"> against her, and Caratacus was taken to Rome.</w:t>
      </w:r>
      <w:r w:rsidR="00243B45">
        <w:rPr>
          <w:rStyle w:val="FootnoteReference"/>
          <w:rFonts w:ascii="Times New Roman" w:hAnsi="Times New Roman" w:cs="Times New Roman"/>
          <w:lang w:val="en-US"/>
        </w:rPr>
        <w:footnoteReference w:id="40"/>
      </w:r>
    </w:p>
    <w:p w14:paraId="25C45F9B" w14:textId="53D50FBC" w:rsidR="00AB2EBC" w:rsidRDefault="00AB2EBC" w:rsidP="004A2267">
      <w:pPr>
        <w:spacing w:line="480" w:lineRule="auto"/>
        <w:rPr>
          <w:rFonts w:ascii="Times New Roman" w:hAnsi="Times New Roman" w:cs="Times New Roman"/>
          <w:lang w:val="en-US"/>
        </w:rPr>
      </w:pPr>
      <w:r>
        <w:rPr>
          <w:rFonts w:ascii="Times New Roman" w:hAnsi="Times New Roman" w:cs="Times New Roman"/>
          <w:lang w:val="en-US"/>
        </w:rPr>
        <w:tab/>
        <w:t>It is in Rome that most people remember Caratacus.</w:t>
      </w:r>
      <w:r w:rsidR="00061B2A">
        <w:rPr>
          <w:rFonts w:ascii="Times New Roman" w:hAnsi="Times New Roman" w:cs="Times New Roman"/>
          <w:lang w:val="en-US"/>
        </w:rPr>
        <w:t xml:space="preserve"> </w:t>
      </w:r>
      <w:r w:rsidR="002E47C4">
        <w:rPr>
          <w:rFonts w:ascii="Times New Roman" w:hAnsi="Times New Roman" w:cs="Times New Roman"/>
          <w:lang w:val="en-US"/>
        </w:rPr>
        <w:t>This is where Suetonius not mentioning</w:t>
      </w:r>
      <w:r w:rsidR="00061B2A">
        <w:rPr>
          <w:rFonts w:ascii="Times New Roman" w:hAnsi="Times New Roman" w:cs="Times New Roman"/>
          <w:lang w:val="en-US"/>
        </w:rPr>
        <w:t xml:space="preserve"> Caratacus in his </w:t>
      </w:r>
      <w:r w:rsidR="00061B2A">
        <w:rPr>
          <w:rFonts w:ascii="Times New Roman" w:hAnsi="Times New Roman" w:cs="Times New Roman"/>
          <w:i/>
          <w:lang w:val="en-US"/>
        </w:rPr>
        <w:t>Life of Claudius</w:t>
      </w:r>
      <w:r w:rsidR="00061B2A">
        <w:rPr>
          <w:rFonts w:ascii="Times New Roman" w:hAnsi="Times New Roman" w:cs="Times New Roman"/>
          <w:lang w:val="en-US"/>
        </w:rPr>
        <w:t xml:space="preserve"> is surprising</w:t>
      </w:r>
      <w:r w:rsidR="002E47C4">
        <w:rPr>
          <w:rFonts w:ascii="Times New Roman" w:hAnsi="Times New Roman" w:cs="Times New Roman"/>
          <w:lang w:val="en-US"/>
        </w:rPr>
        <w:t>,</w:t>
      </w:r>
      <w:r w:rsidR="00061B2A">
        <w:rPr>
          <w:rFonts w:ascii="Times New Roman" w:hAnsi="Times New Roman" w:cs="Times New Roman"/>
          <w:lang w:val="en-US"/>
        </w:rPr>
        <w:t xml:space="preserve"> because </w:t>
      </w:r>
      <w:r w:rsidR="002626DE">
        <w:rPr>
          <w:rFonts w:ascii="Times New Roman" w:hAnsi="Times New Roman" w:cs="Times New Roman"/>
          <w:lang w:val="en-US"/>
        </w:rPr>
        <w:t>Tacitus writes Caratacus’ arrival as a big event, due to the popularity of the war criminal. Caratacus, according to Tacitus, makes this massive speech as to why Claudius should spare his life and his family</w:t>
      </w:r>
      <w:r w:rsidR="002626DE">
        <w:rPr>
          <w:rStyle w:val="FootnoteReference"/>
          <w:rFonts w:ascii="Times New Roman" w:hAnsi="Times New Roman" w:cs="Times New Roman"/>
          <w:lang w:val="en-US"/>
        </w:rPr>
        <w:footnoteReference w:id="41"/>
      </w:r>
      <w:r w:rsidR="002626DE">
        <w:rPr>
          <w:rFonts w:ascii="Times New Roman" w:hAnsi="Times New Roman" w:cs="Times New Roman"/>
          <w:lang w:val="en-US"/>
        </w:rPr>
        <w:t xml:space="preserve">. </w:t>
      </w:r>
      <w:r w:rsidR="009A543C">
        <w:rPr>
          <w:rFonts w:ascii="Times New Roman" w:hAnsi="Times New Roman" w:cs="Times New Roman"/>
          <w:lang w:val="en-US"/>
        </w:rPr>
        <w:t xml:space="preserve">This speech </w:t>
      </w:r>
      <w:r w:rsidR="00042526">
        <w:rPr>
          <w:rFonts w:ascii="Times New Roman" w:hAnsi="Times New Roman" w:cs="Times New Roman"/>
          <w:lang w:val="en-US"/>
        </w:rPr>
        <w:t xml:space="preserve">obviously has been written by Tacitus with a motive in mind, as it is very unlikely </w:t>
      </w:r>
      <w:r w:rsidR="00A212B0">
        <w:rPr>
          <w:rFonts w:ascii="Times New Roman" w:hAnsi="Times New Roman" w:cs="Times New Roman"/>
          <w:lang w:val="en-US"/>
        </w:rPr>
        <w:t xml:space="preserve">that these exact words were said </w:t>
      </w:r>
      <w:r w:rsidR="00641BF9">
        <w:rPr>
          <w:rFonts w:ascii="Times New Roman" w:hAnsi="Times New Roman" w:cs="Times New Roman"/>
          <w:lang w:val="en-US"/>
        </w:rPr>
        <w:t>by</w:t>
      </w:r>
      <w:r w:rsidR="00A212B0">
        <w:rPr>
          <w:rFonts w:ascii="Times New Roman" w:hAnsi="Times New Roman" w:cs="Times New Roman"/>
          <w:lang w:val="en-US"/>
        </w:rPr>
        <w:t xml:space="preserve"> Caratacus</w:t>
      </w:r>
      <w:r w:rsidR="00641BF9">
        <w:rPr>
          <w:rFonts w:ascii="Times New Roman" w:hAnsi="Times New Roman" w:cs="Times New Roman"/>
          <w:lang w:val="en-US"/>
        </w:rPr>
        <w:t>, if he said them at all</w:t>
      </w:r>
      <w:r w:rsidR="00641BF9">
        <w:rPr>
          <w:rStyle w:val="FootnoteReference"/>
          <w:rFonts w:ascii="Times New Roman" w:hAnsi="Times New Roman" w:cs="Times New Roman"/>
          <w:lang w:val="en-US"/>
        </w:rPr>
        <w:footnoteReference w:id="42"/>
      </w:r>
      <w:r w:rsidR="00A40678">
        <w:rPr>
          <w:rFonts w:ascii="Times New Roman" w:hAnsi="Times New Roman" w:cs="Times New Roman"/>
          <w:lang w:val="en-US"/>
        </w:rPr>
        <w:t xml:space="preserve">. </w:t>
      </w:r>
      <w:r w:rsidR="001A7CF2">
        <w:rPr>
          <w:rFonts w:ascii="Times New Roman" w:hAnsi="Times New Roman" w:cs="Times New Roman"/>
          <w:lang w:val="en-US"/>
        </w:rPr>
        <w:t>Whether or not this speech</w:t>
      </w:r>
      <w:r w:rsidR="003D37D1">
        <w:rPr>
          <w:rFonts w:ascii="Times New Roman" w:hAnsi="Times New Roman" w:cs="Times New Roman"/>
          <w:lang w:val="en-US"/>
        </w:rPr>
        <w:t xml:space="preserve"> actually</w:t>
      </w:r>
      <w:r w:rsidR="001A7CF2">
        <w:rPr>
          <w:rFonts w:ascii="Times New Roman" w:hAnsi="Times New Roman" w:cs="Times New Roman"/>
          <w:lang w:val="en-US"/>
        </w:rPr>
        <w:t xml:space="preserve"> happened</w:t>
      </w:r>
      <w:r w:rsidR="003D37D1">
        <w:rPr>
          <w:rFonts w:ascii="Times New Roman" w:hAnsi="Times New Roman" w:cs="Times New Roman"/>
          <w:lang w:val="en-US"/>
        </w:rPr>
        <w:t>,</w:t>
      </w:r>
      <w:r w:rsidR="002626DE">
        <w:rPr>
          <w:rFonts w:ascii="Times New Roman" w:hAnsi="Times New Roman" w:cs="Times New Roman"/>
          <w:lang w:val="en-US"/>
        </w:rPr>
        <w:t xml:space="preserve"> Cassius Dio </w:t>
      </w:r>
      <w:r w:rsidR="001A7CF2">
        <w:rPr>
          <w:rFonts w:ascii="Times New Roman" w:hAnsi="Times New Roman" w:cs="Times New Roman"/>
          <w:lang w:val="en-US"/>
        </w:rPr>
        <w:t xml:space="preserve">seems to agree with Tacitus that Caratacus </w:t>
      </w:r>
      <w:r w:rsidR="003D37D1">
        <w:rPr>
          <w:rFonts w:ascii="Times New Roman" w:hAnsi="Times New Roman" w:cs="Times New Roman"/>
          <w:lang w:val="en-US"/>
        </w:rPr>
        <w:t>and his family were</w:t>
      </w:r>
      <w:r w:rsidR="001A7CF2">
        <w:rPr>
          <w:rFonts w:ascii="Times New Roman" w:hAnsi="Times New Roman" w:cs="Times New Roman"/>
          <w:lang w:val="en-US"/>
        </w:rPr>
        <w:t xml:space="preserve"> allowed to stay in </w:t>
      </w:r>
      <w:r w:rsidR="003D37D1">
        <w:rPr>
          <w:rFonts w:ascii="Times New Roman" w:hAnsi="Times New Roman" w:cs="Times New Roman"/>
          <w:lang w:val="en-US"/>
        </w:rPr>
        <w:t>Rome after this trial</w:t>
      </w:r>
      <w:r w:rsidR="002626DE">
        <w:rPr>
          <w:rFonts w:ascii="Times New Roman" w:hAnsi="Times New Roman" w:cs="Times New Roman"/>
          <w:lang w:val="en-US"/>
        </w:rPr>
        <w:t xml:space="preserve"> </w:t>
      </w:r>
      <w:r w:rsidR="003D37D1">
        <w:rPr>
          <w:rFonts w:ascii="Times New Roman" w:hAnsi="Times New Roman" w:cs="Times New Roman"/>
          <w:lang w:val="en-US"/>
        </w:rPr>
        <w:t xml:space="preserve">in </w:t>
      </w:r>
      <w:r w:rsidR="002626DE">
        <w:rPr>
          <w:rFonts w:ascii="Times New Roman" w:hAnsi="Times New Roman" w:cs="Times New Roman"/>
          <w:lang w:val="en-US"/>
        </w:rPr>
        <w:t>his Epitome of Book 60</w:t>
      </w:r>
      <w:r w:rsidR="00AF6465">
        <w:rPr>
          <w:rStyle w:val="FootnoteReference"/>
          <w:rFonts w:ascii="Times New Roman" w:hAnsi="Times New Roman" w:cs="Times New Roman"/>
          <w:lang w:val="en-US"/>
        </w:rPr>
        <w:footnoteReference w:id="43"/>
      </w:r>
      <w:r w:rsidR="002626DE">
        <w:rPr>
          <w:rFonts w:ascii="Times New Roman" w:hAnsi="Times New Roman" w:cs="Times New Roman"/>
          <w:lang w:val="en-US"/>
        </w:rPr>
        <w:t>.</w:t>
      </w:r>
      <w:r w:rsidR="003D37D1">
        <w:rPr>
          <w:rFonts w:ascii="Times New Roman" w:hAnsi="Times New Roman" w:cs="Times New Roman"/>
          <w:lang w:val="en-US"/>
        </w:rPr>
        <w:t xml:space="preserve"> This does make the speech more likely as Caratacus, no matter </w:t>
      </w:r>
      <w:r w:rsidR="002E47C4">
        <w:rPr>
          <w:rFonts w:ascii="Times New Roman" w:hAnsi="Times New Roman" w:cs="Times New Roman"/>
          <w:lang w:val="en-US"/>
        </w:rPr>
        <w:t>how great his popularity amongst the R</w:t>
      </w:r>
      <w:r w:rsidR="003D37D1">
        <w:rPr>
          <w:rFonts w:ascii="Times New Roman" w:hAnsi="Times New Roman" w:cs="Times New Roman"/>
          <w:lang w:val="en-US"/>
        </w:rPr>
        <w:t>omans, was still a criminal who attacked Roman soldiers but ultimately was allowed to go free.</w:t>
      </w:r>
    </w:p>
    <w:p w14:paraId="1E9F3A09" w14:textId="776214AC" w:rsidR="003D37D1" w:rsidRDefault="003D37D1" w:rsidP="004A2267">
      <w:pPr>
        <w:spacing w:line="480" w:lineRule="auto"/>
        <w:rPr>
          <w:rFonts w:ascii="Times New Roman" w:hAnsi="Times New Roman" w:cs="Times New Roman"/>
          <w:lang w:val="en-US"/>
        </w:rPr>
      </w:pPr>
      <w:r>
        <w:rPr>
          <w:rFonts w:ascii="Times New Roman" w:hAnsi="Times New Roman" w:cs="Times New Roman"/>
          <w:lang w:val="en-US"/>
        </w:rPr>
        <w:lastRenderedPageBreak/>
        <w:tab/>
        <w:t xml:space="preserve">In conclusion, we can see that </w:t>
      </w:r>
      <w:r w:rsidR="008B236B">
        <w:rPr>
          <w:rFonts w:ascii="Times New Roman" w:hAnsi="Times New Roman" w:cs="Times New Roman"/>
          <w:lang w:val="en-US"/>
        </w:rPr>
        <w:t>Caratacus was both effective and not in different ways, something that is a common theme throughout the different sections. First</w:t>
      </w:r>
      <w:r w:rsidR="00A56171">
        <w:rPr>
          <w:rFonts w:ascii="Times New Roman" w:hAnsi="Times New Roman" w:cs="Times New Roman"/>
          <w:lang w:val="en-US"/>
        </w:rPr>
        <w:t>ly,</w:t>
      </w:r>
      <w:r w:rsidR="008B236B">
        <w:rPr>
          <w:rFonts w:ascii="Times New Roman" w:hAnsi="Times New Roman" w:cs="Times New Roman"/>
          <w:lang w:val="en-US"/>
        </w:rPr>
        <w:t xml:space="preserve"> we know of his existence </w:t>
      </w:r>
      <w:r w:rsidR="003C557C">
        <w:rPr>
          <w:rFonts w:ascii="Times New Roman" w:hAnsi="Times New Roman" w:cs="Times New Roman"/>
          <w:lang w:val="en-US"/>
        </w:rPr>
        <w:t>through coins, something that can also be seen with his father Cunobelinas</w:t>
      </w:r>
      <w:r w:rsidR="006434C3">
        <w:rPr>
          <w:rFonts w:ascii="Times New Roman" w:hAnsi="Times New Roman" w:cs="Times New Roman"/>
          <w:lang w:val="en-US"/>
        </w:rPr>
        <w:t>. Although we have this evidence, there is little to suggest that his rebe</w:t>
      </w:r>
      <w:r w:rsidR="00E8170E">
        <w:rPr>
          <w:rFonts w:ascii="Times New Roman" w:hAnsi="Times New Roman" w:cs="Times New Roman"/>
          <w:lang w:val="en-US"/>
        </w:rPr>
        <w:t>llion took place, save for a hoard</w:t>
      </w:r>
      <w:r w:rsidR="006434C3">
        <w:rPr>
          <w:rFonts w:ascii="Times New Roman" w:hAnsi="Times New Roman" w:cs="Times New Roman"/>
          <w:lang w:val="en-US"/>
        </w:rPr>
        <w:t xml:space="preserve"> found in Kent which may have been buried in haste by soldiers on their way to the Battle of Medway</w:t>
      </w:r>
      <w:r w:rsidR="00A327D4">
        <w:rPr>
          <w:rStyle w:val="FootnoteReference"/>
          <w:rFonts w:ascii="Times New Roman" w:hAnsi="Times New Roman" w:cs="Times New Roman"/>
          <w:lang w:val="en-US"/>
        </w:rPr>
        <w:footnoteReference w:id="44"/>
      </w:r>
      <w:r w:rsidR="006434C3">
        <w:rPr>
          <w:rFonts w:ascii="Times New Roman" w:hAnsi="Times New Roman" w:cs="Times New Roman"/>
          <w:lang w:val="en-US"/>
        </w:rPr>
        <w:t>.</w:t>
      </w:r>
      <w:r w:rsidR="009559AD">
        <w:rPr>
          <w:rFonts w:ascii="Times New Roman" w:hAnsi="Times New Roman" w:cs="Times New Roman"/>
          <w:lang w:val="en-US"/>
        </w:rPr>
        <w:t xml:space="preserve"> Caratacus can be seen as not very effective </w:t>
      </w:r>
      <w:r w:rsidR="006D3F96">
        <w:rPr>
          <w:rFonts w:ascii="Times New Roman" w:hAnsi="Times New Roman" w:cs="Times New Roman"/>
          <w:lang w:val="en-US"/>
        </w:rPr>
        <w:t xml:space="preserve">as all of his skirmishes, throughout the eight or nine years that he rebelled, failed and his forces </w:t>
      </w:r>
      <w:r w:rsidR="002E47C4">
        <w:rPr>
          <w:rFonts w:ascii="Times New Roman" w:hAnsi="Times New Roman" w:cs="Times New Roman"/>
          <w:lang w:val="en-US"/>
        </w:rPr>
        <w:t xml:space="preserve">were </w:t>
      </w:r>
      <w:r w:rsidR="006D3F96">
        <w:rPr>
          <w:rFonts w:ascii="Times New Roman" w:hAnsi="Times New Roman" w:cs="Times New Roman"/>
          <w:lang w:val="en-US"/>
        </w:rPr>
        <w:t>defeated by the Romans. However, Car</w:t>
      </w:r>
      <w:r w:rsidR="00BE3727">
        <w:rPr>
          <w:rFonts w:ascii="Times New Roman" w:hAnsi="Times New Roman" w:cs="Times New Roman"/>
          <w:lang w:val="en-US"/>
        </w:rPr>
        <w:t>a</w:t>
      </w:r>
      <w:r w:rsidR="006D3F96">
        <w:rPr>
          <w:rFonts w:ascii="Times New Roman" w:hAnsi="Times New Roman" w:cs="Times New Roman"/>
          <w:lang w:val="en-US"/>
        </w:rPr>
        <w:t xml:space="preserve">tacus </w:t>
      </w:r>
      <w:r w:rsidR="00BE3727">
        <w:rPr>
          <w:rFonts w:ascii="Times New Roman" w:hAnsi="Times New Roman" w:cs="Times New Roman"/>
          <w:lang w:val="en-US"/>
        </w:rPr>
        <w:t xml:space="preserve">refused to give up and had the majority of the Roman army chasing him around the country, making him famous </w:t>
      </w:r>
      <w:r w:rsidR="002E47C4">
        <w:rPr>
          <w:rFonts w:ascii="Times New Roman" w:hAnsi="Times New Roman" w:cs="Times New Roman"/>
          <w:lang w:val="en-US"/>
        </w:rPr>
        <w:t>throughout</w:t>
      </w:r>
      <w:r w:rsidR="00BE3727">
        <w:rPr>
          <w:rFonts w:ascii="Times New Roman" w:hAnsi="Times New Roman" w:cs="Times New Roman"/>
          <w:lang w:val="en-US"/>
        </w:rPr>
        <w:t xml:space="preserve"> the empire. Although his revolt was not very effective, and he was given over to the Romans by Cartimandua, hi</w:t>
      </w:r>
      <w:r w:rsidR="00E0259F">
        <w:rPr>
          <w:rFonts w:ascii="Times New Roman" w:hAnsi="Times New Roman" w:cs="Times New Roman"/>
          <w:lang w:val="en-US"/>
        </w:rPr>
        <w:t>s fame showed he was effective in that his voice was heard</w:t>
      </w:r>
      <w:r w:rsidR="0011700A">
        <w:rPr>
          <w:rFonts w:ascii="Times New Roman" w:hAnsi="Times New Roman" w:cs="Times New Roman"/>
          <w:lang w:val="en-US"/>
        </w:rPr>
        <w:t xml:space="preserve"> by the Roman people</w:t>
      </w:r>
      <w:r w:rsidR="00E0259F">
        <w:rPr>
          <w:rFonts w:ascii="Times New Roman" w:hAnsi="Times New Roman" w:cs="Times New Roman"/>
          <w:lang w:val="en-US"/>
        </w:rPr>
        <w:t>.</w:t>
      </w:r>
    </w:p>
    <w:p w14:paraId="354D9F09" w14:textId="77777777" w:rsidR="001F1993" w:rsidRDefault="001F1993" w:rsidP="004A2267">
      <w:pPr>
        <w:spacing w:line="480" w:lineRule="auto"/>
        <w:rPr>
          <w:rFonts w:ascii="Times New Roman" w:hAnsi="Times New Roman" w:cs="Times New Roman"/>
          <w:lang w:val="en-US"/>
        </w:rPr>
      </w:pPr>
    </w:p>
    <w:p w14:paraId="7DDADAC2" w14:textId="77777777" w:rsidR="001F1993" w:rsidRDefault="001F1993" w:rsidP="004A2267">
      <w:pPr>
        <w:spacing w:line="480" w:lineRule="auto"/>
        <w:rPr>
          <w:rFonts w:ascii="Times New Roman" w:hAnsi="Times New Roman" w:cs="Times New Roman"/>
          <w:lang w:val="en-US"/>
        </w:rPr>
      </w:pPr>
    </w:p>
    <w:p w14:paraId="5007310C" w14:textId="77777777" w:rsidR="001F1993" w:rsidRDefault="001F1993" w:rsidP="004A2267">
      <w:pPr>
        <w:spacing w:line="480" w:lineRule="auto"/>
        <w:rPr>
          <w:rFonts w:ascii="Times New Roman" w:hAnsi="Times New Roman" w:cs="Times New Roman"/>
          <w:lang w:val="en-US"/>
        </w:rPr>
      </w:pPr>
    </w:p>
    <w:p w14:paraId="3EF17AD7" w14:textId="77777777" w:rsidR="001F1993" w:rsidRDefault="001F1993" w:rsidP="004A2267">
      <w:pPr>
        <w:spacing w:line="480" w:lineRule="auto"/>
        <w:rPr>
          <w:rFonts w:ascii="Times New Roman" w:hAnsi="Times New Roman" w:cs="Times New Roman"/>
          <w:lang w:val="en-US"/>
        </w:rPr>
      </w:pPr>
    </w:p>
    <w:p w14:paraId="51027002" w14:textId="77777777" w:rsidR="001F1993" w:rsidRDefault="001F1993" w:rsidP="004A2267">
      <w:pPr>
        <w:spacing w:line="480" w:lineRule="auto"/>
        <w:rPr>
          <w:rFonts w:ascii="Times New Roman" w:hAnsi="Times New Roman" w:cs="Times New Roman"/>
          <w:lang w:val="en-US"/>
        </w:rPr>
      </w:pPr>
    </w:p>
    <w:p w14:paraId="658FD7C3" w14:textId="77777777" w:rsidR="001F1993" w:rsidRDefault="001F1993" w:rsidP="004A2267">
      <w:pPr>
        <w:spacing w:line="480" w:lineRule="auto"/>
        <w:rPr>
          <w:rFonts w:ascii="Times New Roman" w:hAnsi="Times New Roman" w:cs="Times New Roman"/>
          <w:lang w:val="en-US"/>
        </w:rPr>
      </w:pPr>
    </w:p>
    <w:p w14:paraId="5A554847" w14:textId="77777777" w:rsidR="001F1993" w:rsidRDefault="001F1993" w:rsidP="004A2267">
      <w:pPr>
        <w:spacing w:line="480" w:lineRule="auto"/>
        <w:rPr>
          <w:rFonts w:ascii="Times New Roman" w:hAnsi="Times New Roman" w:cs="Times New Roman"/>
          <w:lang w:val="en-US"/>
        </w:rPr>
      </w:pPr>
    </w:p>
    <w:p w14:paraId="14C2AFFA" w14:textId="77777777" w:rsidR="001F1993" w:rsidRDefault="001F1993" w:rsidP="004A2267">
      <w:pPr>
        <w:spacing w:line="480" w:lineRule="auto"/>
        <w:rPr>
          <w:rFonts w:ascii="Times New Roman" w:hAnsi="Times New Roman" w:cs="Times New Roman"/>
          <w:lang w:val="en-US"/>
        </w:rPr>
      </w:pPr>
    </w:p>
    <w:p w14:paraId="0BE5B7AE" w14:textId="77777777" w:rsidR="001F1993" w:rsidRDefault="001F1993" w:rsidP="004A2267">
      <w:pPr>
        <w:spacing w:line="480" w:lineRule="auto"/>
        <w:rPr>
          <w:rFonts w:ascii="Times New Roman" w:hAnsi="Times New Roman" w:cs="Times New Roman"/>
          <w:lang w:val="en-US"/>
        </w:rPr>
      </w:pPr>
    </w:p>
    <w:p w14:paraId="40F1C744" w14:textId="2D947CC7" w:rsidR="001F1993" w:rsidRPr="00A402C2" w:rsidRDefault="001F1993" w:rsidP="00F87420">
      <w:pPr>
        <w:pStyle w:val="Heading1"/>
        <w:spacing w:line="480" w:lineRule="auto"/>
        <w:jc w:val="center"/>
        <w:rPr>
          <w:b/>
          <w:i/>
          <w:color w:val="000000" w:themeColor="text1"/>
          <w:sz w:val="28"/>
          <w:szCs w:val="28"/>
          <w:u w:val="single"/>
          <w:lang w:val="en-US"/>
        </w:rPr>
      </w:pPr>
      <w:bookmarkStart w:id="3" w:name="_Toc513693207"/>
      <w:r w:rsidRPr="0007298A">
        <w:rPr>
          <w:b/>
          <w:i/>
          <w:color w:val="000000" w:themeColor="text1"/>
          <w:sz w:val="28"/>
          <w:szCs w:val="28"/>
          <w:u w:val="single"/>
          <w:lang w:val="en-US"/>
        </w:rPr>
        <w:lastRenderedPageBreak/>
        <w:t>Boudicca</w:t>
      </w:r>
      <w:bookmarkEnd w:id="3"/>
    </w:p>
    <w:p w14:paraId="16764B5B" w14:textId="4CB293E2" w:rsidR="001F1993" w:rsidRDefault="001F1993" w:rsidP="001F1993">
      <w:pPr>
        <w:spacing w:line="480" w:lineRule="auto"/>
        <w:ind w:firstLine="720"/>
        <w:rPr>
          <w:rFonts w:ascii="Times New Roman" w:eastAsiaTheme="majorEastAsia" w:hAnsi="Times New Roman" w:cs="Times New Roman"/>
          <w:bCs/>
          <w:color w:val="000000" w:themeColor="text1"/>
          <w:lang w:val="en-US"/>
        </w:rPr>
      </w:pPr>
      <w:r>
        <w:rPr>
          <w:rFonts w:ascii="Times New Roman" w:eastAsiaTheme="majorEastAsia" w:hAnsi="Times New Roman" w:cs="Times New Roman"/>
          <w:bCs/>
          <w:color w:val="000000" w:themeColor="text1"/>
          <w:lang w:val="en-US"/>
        </w:rPr>
        <w:t xml:space="preserve">In this section I will be looking at how Boudicca’s revolt </w:t>
      </w:r>
      <w:r w:rsidR="00CF690A">
        <w:rPr>
          <w:rFonts w:ascii="Times New Roman" w:eastAsiaTheme="majorEastAsia" w:hAnsi="Times New Roman" w:cs="Times New Roman"/>
          <w:bCs/>
          <w:color w:val="000000" w:themeColor="text1"/>
          <w:lang w:val="en-US"/>
        </w:rPr>
        <w:t xml:space="preserve">in 60-61 AD </w:t>
      </w:r>
      <w:r>
        <w:rPr>
          <w:rFonts w:ascii="Times New Roman" w:eastAsiaTheme="majorEastAsia" w:hAnsi="Times New Roman" w:cs="Times New Roman"/>
          <w:bCs/>
          <w:color w:val="000000" w:themeColor="text1"/>
          <w:lang w:val="en-US"/>
        </w:rPr>
        <w:t xml:space="preserve">affected </w:t>
      </w:r>
      <w:r w:rsidR="00CF690A">
        <w:rPr>
          <w:rFonts w:ascii="Times New Roman" w:eastAsiaTheme="majorEastAsia" w:hAnsi="Times New Roman" w:cs="Times New Roman"/>
          <w:bCs/>
          <w:color w:val="000000" w:themeColor="text1"/>
          <w:lang w:val="en-US"/>
        </w:rPr>
        <w:t>the lives of the Iceni and other people</w:t>
      </w:r>
      <w:r>
        <w:rPr>
          <w:rFonts w:ascii="Times New Roman" w:eastAsiaTheme="majorEastAsia" w:hAnsi="Times New Roman" w:cs="Times New Roman"/>
          <w:bCs/>
          <w:color w:val="000000" w:themeColor="text1"/>
          <w:lang w:val="en-US"/>
        </w:rPr>
        <w:t xml:space="preserve"> in Britain. First, </w:t>
      </w:r>
      <w:r w:rsidRPr="000F6257">
        <w:rPr>
          <w:rFonts w:ascii="Times New Roman" w:eastAsiaTheme="majorEastAsia" w:hAnsi="Times New Roman" w:cs="Times New Roman"/>
          <w:bCs/>
          <w:color w:val="000000" w:themeColor="text1"/>
          <w:lang w:val="en-US"/>
        </w:rPr>
        <w:t>I will discuss</w:t>
      </w:r>
      <w:r>
        <w:rPr>
          <w:rFonts w:ascii="Times New Roman" w:eastAsiaTheme="majorEastAsia" w:hAnsi="Times New Roman" w:cs="Times New Roman"/>
          <w:bCs/>
          <w:color w:val="000000" w:themeColor="text1"/>
          <w:lang w:val="en-US"/>
        </w:rPr>
        <w:t xml:space="preserve"> Boudicca herself, addressing the contested issue of her existence and the background of her people. This will be followed by a section which addresses the short-term effects of the revolt that took place and the long-term effects this had in Britannia. </w:t>
      </w:r>
    </w:p>
    <w:p w14:paraId="533598C1" w14:textId="3ED05A0E" w:rsidR="001F1993" w:rsidRDefault="001F1993" w:rsidP="001F1993">
      <w:pPr>
        <w:spacing w:line="480" w:lineRule="auto"/>
        <w:ind w:firstLine="720"/>
        <w:rPr>
          <w:rFonts w:ascii="Times New Roman" w:eastAsia="Times New Roman" w:hAnsi="Times New Roman" w:cs="Times New Roman"/>
          <w:lang w:eastAsia="en-GB"/>
        </w:rPr>
      </w:pPr>
      <w:r w:rsidRPr="00F813D0">
        <w:rPr>
          <w:rFonts w:ascii="Times New Roman" w:eastAsiaTheme="majorEastAsia" w:hAnsi="Times New Roman" w:cs="Times New Roman"/>
          <w:bCs/>
          <w:color w:val="000000" w:themeColor="text1"/>
          <w:lang w:val="en-US"/>
        </w:rPr>
        <w:t xml:space="preserve">Boudicca is </w:t>
      </w:r>
      <w:r w:rsidR="00261AA2">
        <w:rPr>
          <w:rFonts w:ascii="Times New Roman" w:eastAsiaTheme="majorEastAsia" w:hAnsi="Times New Roman" w:cs="Times New Roman"/>
          <w:bCs/>
          <w:color w:val="000000" w:themeColor="text1"/>
          <w:lang w:val="en-US"/>
        </w:rPr>
        <w:t xml:space="preserve">only </w:t>
      </w:r>
      <w:r w:rsidRPr="00F813D0">
        <w:rPr>
          <w:rFonts w:ascii="Times New Roman" w:eastAsiaTheme="majorEastAsia" w:hAnsi="Times New Roman" w:cs="Times New Roman"/>
          <w:bCs/>
          <w:color w:val="000000" w:themeColor="text1"/>
          <w:lang w:val="en-US"/>
        </w:rPr>
        <w:t>m</w:t>
      </w:r>
      <w:r>
        <w:rPr>
          <w:rFonts w:ascii="Times New Roman" w:eastAsiaTheme="majorEastAsia" w:hAnsi="Times New Roman" w:cs="Times New Roman"/>
          <w:bCs/>
          <w:color w:val="000000" w:themeColor="text1"/>
          <w:lang w:val="en-US"/>
        </w:rPr>
        <w:t>entioned by two ancient authors:</w:t>
      </w:r>
      <w:r w:rsidRPr="00F813D0">
        <w:rPr>
          <w:rFonts w:ascii="Times New Roman" w:eastAsiaTheme="majorEastAsia" w:hAnsi="Times New Roman" w:cs="Times New Roman"/>
          <w:bCs/>
          <w:color w:val="000000" w:themeColor="text1"/>
          <w:lang w:val="en-US"/>
        </w:rPr>
        <w:t xml:space="preserve"> Tacitus and Cassius Dio. Tacitus was born around 56 AD</w:t>
      </w:r>
      <w:r w:rsidRPr="00F813D0">
        <w:rPr>
          <w:rStyle w:val="FootnoteReference"/>
          <w:rFonts w:ascii="Times New Roman" w:eastAsiaTheme="majorEastAsia" w:hAnsi="Times New Roman" w:cs="Times New Roman"/>
          <w:bCs/>
          <w:color w:val="000000" w:themeColor="text1"/>
          <w:lang w:val="en-US"/>
        </w:rPr>
        <w:footnoteReference w:id="45"/>
      </w:r>
      <w:r w:rsidRPr="00F813D0">
        <w:rPr>
          <w:rFonts w:ascii="Times New Roman" w:eastAsiaTheme="majorEastAsia" w:hAnsi="Times New Roman" w:cs="Times New Roman"/>
          <w:bCs/>
          <w:color w:val="000000" w:themeColor="text1"/>
          <w:lang w:val="en-US"/>
        </w:rPr>
        <w:t>, and would have therefore most likely heard about this revolt during his youth. However</w:t>
      </w:r>
      <w:r>
        <w:rPr>
          <w:rFonts w:ascii="Times New Roman" w:eastAsiaTheme="majorEastAsia" w:hAnsi="Times New Roman" w:cs="Times New Roman"/>
          <w:bCs/>
          <w:color w:val="000000" w:themeColor="text1"/>
          <w:lang w:val="en-US"/>
        </w:rPr>
        <w:t>, he started writing</w:t>
      </w:r>
      <w:r w:rsidRPr="00F813D0">
        <w:rPr>
          <w:rFonts w:ascii="Times New Roman" w:eastAsiaTheme="majorEastAsia" w:hAnsi="Times New Roman" w:cs="Times New Roman"/>
          <w:bCs/>
          <w:color w:val="000000" w:themeColor="text1"/>
          <w:lang w:val="en-US"/>
        </w:rPr>
        <w:t xml:space="preserve"> many years after the revolt ended, </w:t>
      </w:r>
      <w:r>
        <w:rPr>
          <w:rFonts w:ascii="Times New Roman" w:eastAsiaTheme="majorEastAsia" w:hAnsi="Times New Roman" w:cs="Times New Roman"/>
          <w:bCs/>
          <w:color w:val="000000" w:themeColor="text1"/>
          <w:lang w:val="en-US"/>
        </w:rPr>
        <w:t xml:space="preserve">and </w:t>
      </w:r>
      <w:r w:rsidRPr="00F813D0">
        <w:rPr>
          <w:rFonts w:ascii="Times New Roman" w:eastAsiaTheme="majorEastAsia" w:hAnsi="Times New Roman" w:cs="Times New Roman"/>
          <w:bCs/>
          <w:color w:val="000000" w:themeColor="text1"/>
          <w:lang w:val="en-US"/>
        </w:rPr>
        <w:t xml:space="preserve">it is believed that his works </w:t>
      </w:r>
      <w:r w:rsidRPr="00F813D0">
        <w:rPr>
          <w:rFonts w:ascii="Times New Roman" w:eastAsiaTheme="majorEastAsia" w:hAnsi="Times New Roman" w:cs="Times New Roman"/>
          <w:bCs/>
          <w:i/>
          <w:color w:val="000000" w:themeColor="text1"/>
          <w:lang w:val="en-US"/>
        </w:rPr>
        <w:t>Annals</w:t>
      </w:r>
      <w:r w:rsidRPr="00F813D0">
        <w:rPr>
          <w:rFonts w:ascii="Times New Roman" w:eastAsiaTheme="majorEastAsia" w:hAnsi="Times New Roman" w:cs="Times New Roman"/>
          <w:bCs/>
          <w:color w:val="000000" w:themeColor="text1"/>
          <w:lang w:val="en-US"/>
        </w:rPr>
        <w:t xml:space="preserve"> were published around 118 AD</w:t>
      </w:r>
      <w:r w:rsidRPr="00F813D0">
        <w:rPr>
          <w:rStyle w:val="FootnoteReference"/>
          <w:rFonts w:ascii="Times New Roman" w:eastAsiaTheme="majorEastAsia" w:hAnsi="Times New Roman" w:cs="Times New Roman"/>
          <w:bCs/>
          <w:color w:val="000000" w:themeColor="text1"/>
          <w:lang w:val="en-US"/>
        </w:rPr>
        <w:footnoteReference w:id="46"/>
      </w:r>
      <w:r w:rsidRPr="00F813D0">
        <w:rPr>
          <w:rFonts w:ascii="Times New Roman" w:eastAsiaTheme="majorEastAsia" w:hAnsi="Times New Roman" w:cs="Times New Roman"/>
          <w:bCs/>
          <w:color w:val="000000" w:themeColor="text1"/>
          <w:lang w:val="en-US"/>
        </w:rPr>
        <w:t>. Cassius Dio however is said to have been born around 155 AD, a century after the events took place</w:t>
      </w:r>
      <w:r>
        <w:rPr>
          <w:rStyle w:val="FootnoteReference"/>
          <w:rFonts w:ascii="Times New Roman" w:eastAsiaTheme="majorEastAsia" w:hAnsi="Times New Roman" w:cs="Times New Roman"/>
          <w:bCs/>
          <w:color w:val="000000" w:themeColor="text1"/>
          <w:lang w:val="en-US"/>
        </w:rPr>
        <w:footnoteReference w:id="47"/>
      </w:r>
      <w:r w:rsidRPr="00F813D0">
        <w:rPr>
          <w:rFonts w:ascii="Times New Roman" w:eastAsiaTheme="majorEastAsia" w:hAnsi="Times New Roman" w:cs="Times New Roman"/>
          <w:bCs/>
          <w:color w:val="000000" w:themeColor="text1"/>
          <w:lang w:val="en-US"/>
        </w:rPr>
        <w:t>, and his writing, the</w:t>
      </w:r>
      <w:r>
        <w:rPr>
          <w:rFonts w:ascii="Times New Roman" w:eastAsiaTheme="majorEastAsia" w:hAnsi="Times New Roman" w:cs="Times New Roman"/>
          <w:bCs/>
          <w:color w:val="000000" w:themeColor="text1"/>
          <w:lang w:val="en-US"/>
        </w:rPr>
        <w:t>refore, would have been more tha</w:t>
      </w:r>
      <w:r w:rsidR="00261AA2">
        <w:rPr>
          <w:rFonts w:ascii="Times New Roman" w:eastAsiaTheme="majorEastAsia" w:hAnsi="Times New Roman" w:cs="Times New Roman"/>
          <w:bCs/>
          <w:color w:val="000000" w:themeColor="text1"/>
          <w:lang w:val="en-US"/>
        </w:rPr>
        <w:t>n a century after Boudicca had been</w:t>
      </w:r>
      <w:r w:rsidRPr="00F813D0">
        <w:rPr>
          <w:rFonts w:ascii="Times New Roman" w:eastAsiaTheme="majorEastAsia" w:hAnsi="Times New Roman" w:cs="Times New Roman"/>
          <w:bCs/>
          <w:color w:val="000000" w:themeColor="text1"/>
          <w:lang w:val="en-US"/>
        </w:rPr>
        <w:t xml:space="preserve"> defeated</w:t>
      </w:r>
      <w:r w:rsidRPr="00F813D0">
        <w:rPr>
          <w:rStyle w:val="FootnoteReference"/>
          <w:rFonts w:ascii="Times New Roman" w:eastAsiaTheme="majorEastAsia" w:hAnsi="Times New Roman" w:cs="Times New Roman"/>
          <w:bCs/>
          <w:color w:val="000000" w:themeColor="text1"/>
          <w:lang w:val="en-US"/>
        </w:rPr>
        <w:footnoteReference w:id="48"/>
      </w:r>
      <w:r w:rsidRPr="00F813D0">
        <w:rPr>
          <w:rFonts w:ascii="Times New Roman" w:eastAsiaTheme="majorEastAsia" w:hAnsi="Times New Roman" w:cs="Times New Roman"/>
          <w:bCs/>
          <w:color w:val="000000" w:themeColor="text1"/>
          <w:lang w:val="en-US"/>
        </w:rPr>
        <w:t xml:space="preserve">. Suetonius is another author who was writing from around this period, and according to Power, may have </w:t>
      </w:r>
      <w:r>
        <w:rPr>
          <w:rFonts w:ascii="Times New Roman" w:eastAsiaTheme="majorEastAsia" w:hAnsi="Times New Roman" w:cs="Times New Roman"/>
          <w:bCs/>
          <w:color w:val="000000" w:themeColor="text1"/>
          <w:lang w:val="en-US"/>
        </w:rPr>
        <w:t>discussed the events</w:t>
      </w:r>
      <w:r w:rsidRPr="00F813D0">
        <w:rPr>
          <w:rFonts w:ascii="Times New Roman" w:eastAsiaTheme="majorEastAsia" w:hAnsi="Times New Roman" w:cs="Times New Roman"/>
          <w:bCs/>
          <w:color w:val="000000" w:themeColor="text1"/>
          <w:lang w:val="en-US"/>
        </w:rPr>
        <w:t xml:space="preserve"> with Tacitus at the end of his life</w:t>
      </w:r>
      <w:r w:rsidR="00261AA2">
        <w:rPr>
          <w:rFonts w:ascii="Times New Roman" w:eastAsiaTheme="majorEastAsia" w:hAnsi="Times New Roman" w:cs="Times New Roman"/>
          <w:bCs/>
          <w:color w:val="000000" w:themeColor="text1"/>
          <w:lang w:val="en-US"/>
        </w:rPr>
        <w:t>, although this is very unlikely</w:t>
      </w:r>
      <w:r w:rsidRPr="00F813D0">
        <w:rPr>
          <w:rStyle w:val="FootnoteReference"/>
          <w:rFonts w:ascii="Times New Roman" w:eastAsiaTheme="majorEastAsia" w:hAnsi="Times New Roman" w:cs="Times New Roman"/>
          <w:bCs/>
          <w:color w:val="000000" w:themeColor="text1"/>
          <w:lang w:val="en-US"/>
        </w:rPr>
        <w:footnoteReference w:id="49"/>
      </w:r>
      <w:r>
        <w:rPr>
          <w:rFonts w:ascii="Times New Roman" w:eastAsiaTheme="majorEastAsia" w:hAnsi="Times New Roman" w:cs="Times New Roman"/>
          <w:bCs/>
          <w:color w:val="000000" w:themeColor="text1"/>
          <w:lang w:val="en-US"/>
        </w:rPr>
        <w:t>. This has implications for</w:t>
      </w:r>
      <w:r w:rsidRPr="00F813D0">
        <w:rPr>
          <w:rFonts w:ascii="Times New Roman" w:eastAsiaTheme="majorEastAsia" w:hAnsi="Times New Roman" w:cs="Times New Roman"/>
          <w:bCs/>
          <w:color w:val="000000" w:themeColor="text1"/>
          <w:lang w:val="en-US"/>
        </w:rPr>
        <w:t xml:space="preserve"> the significance of Boudicca because in Suetonius he only briefly mentions the revolt</w:t>
      </w:r>
      <w:r>
        <w:rPr>
          <w:rFonts w:ascii="Times New Roman" w:eastAsiaTheme="majorEastAsia" w:hAnsi="Times New Roman" w:cs="Times New Roman"/>
          <w:bCs/>
          <w:color w:val="000000" w:themeColor="text1"/>
          <w:lang w:val="en-US"/>
        </w:rPr>
        <w:t>. I</w:t>
      </w:r>
      <w:r w:rsidRPr="00F813D0">
        <w:rPr>
          <w:rFonts w:ascii="Times New Roman" w:eastAsiaTheme="majorEastAsia" w:hAnsi="Times New Roman" w:cs="Times New Roman"/>
          <w:bCs/>
          <w:color w:val="000000" w:themeColor="text1"/>
          <w:lang w:val="en-US"/>
        </w:rPr>
        <w:t>n fact</w:t>
      </w:r>
      <w:r>
        <w:rPr>
          <w:rFonts w:ascii="Times New Roman" w:eastAsiaTheme="majorEastAsia" w:hAnsi="Times New Roman" w:cs="Times New Roman"/>
          <w:bCs/>
          <w:color w:val="000000" w:themeColor="text1"/>
          <w:lang w:val="en-US"/>
        </w:rPr>
        <w:t>,</w:t>
      </w:r>
      <w:r w:rsidRPr="00F813D0">
        <w:rPr>
          <w:rFonts w:ascii="Times New Roman" w:eastAsiaTheme="majorEastAsia" w:hAnsi="Times New Roman" w:cs="Times New Roman"/>
          <w:bCs/>
          <w:color w:val="000000" w:themeColor="text1"/>
          <w:lang w:val="en-US"/>
        </w:rPr>
        <w:t xml:space="preserve"> all he says is “</w:t>
      </w:r>
      <w:r w:rsidRPr="00F813D0">
        <w:rPr>
          <w:rFonts w:ascii="Times New Roman" w:eastAsia="Times New Roman" w:hAnsi="Times New Roman" w:cs="Times New Roman"/>
          <w:color w:val="000000"/>
        </w:rPr>
        <w:t>a great disaster in </w:t>
      </w:r>
      <w:r w:rsidRPr="00F813D0">
        <w:rPr>
          <w:rStyle w:val="place"/>
          <w:rFonts w:ascii="Times New Roman" w:eastAsia="Times New Roman" w:hAnsi="Times New Roman" w:cs="Times New Roman"/>
          <w:color w:val="000000"/>
        </w:rPr>
        <w:t>Britain</w:t>
      </w:r>
      <w:r w:rsidRPr="00F813D0">
        <w:rPr>
          <w:rFonts w:ascii="Times New Roman" w:eastAsia="Times New Roman" w:hAnsi="Times New Roman" w:cs="Times New Roman"/>
          <w:color w:val="000000"/>
        </w:rPr>
        <w:t>, where two of the principal towns belonging to the Romans were plundered</w:t>
      </w:r>
      <w:r w:rsidRPr="00F813D0">
        <w:rPr>
          <w:rFonts w:ascii="Times New Roman" w:eastAsia="Times New Roman" w:hAnsi="Times New Roman" w:cs="Times New Roman"/>
          <w:lang w:eastAsia="en-GB"/>
        </w:rPr>
        <w:t>”</w:t>
      </w:r>
      <w:r>
        <w:rPr>
          <w:rStyle w:val="FootnoteReference"/>
          <w:rFonts w:ascii="Times New Roman" w:eastAsia="Times New Roman" w:hAnsi="Times New Roman" w:cs="Times New Roman"/>
          <w:lang w:eastAsia="en-GB"/>
        </w:rPr>
        <w:footnoteReference w:id="50"/>
      </w:r>
      <w:r>
        <w:rPr>
          <w:rFonts w:ascii="Times New Roman" w:eastAsia="Times New Roman" w:hAnsi="Times New Roman" w:cs="Times New Roman"/>
          <w:lang w:eastAsia="en-GB"/>
        </w:rPr>
        <w:t xml:space="preserve">.  Boudicca is not mentioned at all, which leads to a significant question: If she </w:t>
      </w:r>
      <w:r w:rsidR="005E45D6">
        <w:rPr>
          <w:rFonts w:ascii="Times New Roman" w:eastAsia="Times New Roman" w:hAnsi="Times New Roman" w:cs="Times New Roman"/>
          <w:lang w:eastAsia="en-GB"/>
        </w:rPr>
        <w:t>had been</w:t>
      </w:r>
      <w:r>
        <w:rPr>
          <w:rFonts w:ascii="Times New Roman" w:eastAsia="Times New Roman" w:hAnsi="Times New Roman" w:cs="Times New Roman"/>
          <w:lang w:eastAsia="en-GB"/>
        </w:rPr>
        <w:t xml:space="preserve"> such a major player in the future of the Romans in Britain, why does Suetonius not mention her by name, let alone give further details of the revolt?</w:t>
      </w:r>
    </w:p>
    <w:p w14:paraId="4A3214E1" w14:textId="463BAEA9" w:rsidR="001F1993" w:rsidRDefault="001F1993" w:rsidP="001F1993">
      <w:pPr>
        <w:spacing w:line="480" w:lineRule="auto"/>
        <w:ind w:firstLine="720"/>
        <w:rPr>
          <w:rFonts w:ascii="Times New Roman" w:hAnsi="Times New Roman" w:cs="Times New Roman"/>
          <w:color w:val="000000"/>
        </w:rPr>
      </w:pPr>
      <w:r>
        <w:rPr>
          <w:rFonts w:ascii="Times New Roman" w:eastAsia="Times New Roman" w:hAnsi="Times New Roman" w:cs="Times New Roman"/>
          <w:lang w:eastAsia="en-GB"/>
        </w:rPr>
        <w:lastRenderedPageBreak/>
        <w:t xml:space="preserve">Before looking at this, it </w:t>
      </w:r>
      <w:r w:rsidRPr="00F63077">
        <w:rPr>
          <w:rFonts w:ascii="Times New Roman" w:eastAsia="Times New Roman" w:hAnsi="Times New Roman" w:cs="Times New Roman"/>
          <w:lang w:eastAsia="en-GB"/>
        </w:rPr>
        <w:t xml:space="preserve">is important to </w:t>
      </w:r>
      <w:r w:rsidR="005E45D6">
        <w:rPr>
          <w:rFonts w:ascii="Times New Roman" w:eastAsia="Times New Roman" w:hAnsi="Times New Roman" w:cs="Times New Roman"/>
          <w:lang w:eastAsia="en-GB"/>
        </w:rPr>
        <w:t>understand the Iceni people</w:t>
      </w:r>
      <w:r>
        <w:rPr>
          <w:rFonts w:ascii="Times New Roman" w:eastAsia="Times New Roman" w:hAnsi="Times New Roman" w:cs="Times New Roman"/>
          <w:lang w:eastAsia="en-GB"/>
        </w:rPr>
        <w:t xml:space="preserve"> as a whole, in order to see what effects the revolt had on them. The Iceni are located in what is now the county of Norfolk, with borders reaching the north part of Suffolk and the north-eastern parts of Cambridgeshire</w:t>
      </w:r>
      <w:r>
        <w:rPr>
          <w:rStyle w:val="FootnoteReference"/>
          <w:rFonts w:ascii="Times New Roman" w:eastAsia="Times New Roman" w:hAnsi="Times New Roman" w:cs="Times New Roman"/>
          <w:lang w:eastAsia="en-GB"/>
        </w:rPr>
        <w:footnoteReference w:id="51"/>
      </w:r>
      <w:r>
        <w:rPr>
          <w:rFonts w:ascii="Times New Roman" w:eastAsia="Times New Roman" w:hAnsi="Times New Roman" w:cs="Times New Roman"/>
          <w:lang w:eastAsia="en-GB"/>
        </w:rPr>
        <w:t>. They are believed</w:t>
      </w:r>
      <w:r w:rsidR="005E45D6">
        <w:rPr>
          <w:rFonts w:ascii="Times New Roman" w:eastAsia="Times New Roman" w:hAnsi="Times New Roman" w:cs="Times New Roman"/>
          <w:lang w:eastAsia="en-GB"/>
        </w:rPr>
        <w:t xml:space="preserve"> to have been one of the larger factions</w:t>
      </w:r>
      <w:r>
        <w:rPr>
          <w:rFonts w:ascii="Times New Roman" w:eastAsia="Times New Roman" w:hAnsi="Times New Roman" w:cs="Times New Roman"/>
          <w:lang w:eastAsia="en-GB"/>
        </w:rPr>
        <w:t xml:space="preserve"> of this period, with borders to the Trinovantes</w:t>
      </w:r>
      <w:r w:rsidR="005E45D6">
        <w:rPr>
          <w:rFonts w:ascii="Times New Roman" w:eastAsia="Times New Roman" w:hAnsi="Times New Roman" w:cs="Times New Roman"/>
          <w:lang w:eastAsia="en-GB"/>
        </w:rPr>
        <w:t xml:space="preserve">, another large </w:t>
      </w:r>
      <w:r w:rsidR="00A25F96">
        <w:rPr>
          <w:rFonts w:ascii="Times New Roman" w:eastAsia="Times New Roman" w:hAnsi="Times New Roman" w:cs="Times New Roman"/>
          <w:lang w:eastAsia="en-GB"/>
        </w:rPr>
        <w:t xml:space="preserve">group of </w:t>
      </w:r>
      <w:r w:rsidR="005E45D6">
        <w:rPr>
          <w:rFonts w:ascii="Times New Roman" w:eastAsia="Times New Roman" w:hAnsi="Times New Roman" w:cs="Times New Roman"/>
          <w:lang w:eastAsia="en-GB"/>
        </w:rPr>
        <w:t>people</w:t>
      </w:r>
      <w:r>
        <w:rPr>
          <w:rFonts w:ascii="Times New Roman" w:eastAsia="Times New Roman" w:hAnsi="Times New Roman" w:cs="Times New Roman"/>
          <w:lang w:eastAsia="en-GB"/>
        </w:rPr>
        <w:t xml:space="preserve"> of this time</w:t>
      </w:r>
      <w:r>
        <w:rPr>
          <w:rStyle w:val="FootnoteReference"/>
          <w:rFonts w:ascii="Times New Roman" w:eastAsia="Times New Roman" w:hAnsi="Times New Roman" w:cs="Times New Roman"/>
          <w:lang w:eastAsia="en-GB"/>
        </w:rPr>
        <w:footnoteReference w:id="52"/>
      </w:r>
      <w:r>
        <w:rPr>
          <w:rFonts w:ascii="Times New Roman" w:eastAsia="Times New Roman" w:hAnsi="Times New Roman" w:cs="Times New Roman"/>
          <w:lang w:eastAsia="en-GB"/>
        </w:rPr>
        <w:t>. It is also thought that they were one of the first</w:t>
      </w:r>
      <w:r w:rsidR="00507B02">
        <w:rPr>
          <w:rFonts w:ascii="Times New Roman" w:eastAsia="Times New Roman" w:hAnsi="Times New Roman" w:cs="Times New Roman"/>
          <w:lang w:eastAsia="en-GB"/>
        </w:rPr>
        <w:t xml:space="preserve"> factions</w:t>
      </w:r>
      <w:r>
        <w:rPr>
          <w:rFonts w:ascii="Times New Roman" w:eastAsia="Times New Roman" w:hAnsi="Times New Roman" w:cs="Times New Roman"/>
          <w:lang w:eastAsia="en-GB"/>
        </w:rPr>
        <w:t xml:space="preserve"> to surrender to the Romans upon Claudius’ landing onto the island</w:t>
      </w:r>
      <w:r>
        <w:rPr>
          <w:rStyle w:val="FootnoteReference"/>
          <w:rFonts w:ascii="Times New Roman" w:eastAsia="Times New Roman" w:hAnsi="Times New Roman" w:cs="Times New Roman"/>
          <w:lang w:eastAsia="en-GB"/>
        </w:rPr>
        <w:footnoteReference w:id="53"/>
      </w:r>
      <w:r>
        <w:rPr>
          <w:rFonts w:ascii="Times New Roman" w:eastAsia="Times New Roman" w:hAnsi="Times New Roman" w:cs="Times New Roman"/>
          <w:lang w:eastAsia="en-GB"/>
        </w:rPr>
        <w:t>. By becoming one of the client kingdoms, they assumed that they were friends with the Emperor and Rome and would therefore be at an advantage when it came to decision making. However, this was not the case as we can see from the Icenian revolt that took place in AD 47</w:t>
      </w:r>
      <w:r>
        <w:rPr>
          <w:rStyle w:val="FootnoteReference"/>
          <w:rFonts w:ascii="Times New Roman" w:eastAsia="Times New Roman" w:hAnsi="Times New Roman" w:cs="Times New Roman"/>
          <w:lang w:eastAsia="en-GB"/>
        </w:rPr>
        <w:footnoteReference w:id="54"/>
      </w:r>
      <w:r>
        <w:rPr>
          <w:rFonts w:ascii="Times New Roman" w:eastAsia="Times New Roman" w:hAnsi="Times New Roman" w:cs="Times New Roman"/>
          <w:lang w:eastAsia="en-GB"/>
        </w:rPr>
        <w:t xml:space="preserve">. Tacitus mentions this revolt briefly in is works </w:t>
      </w:r>
      <w:r>
        <w:rPr>
          <w:rFonts w:ascii="Times New Roman" w:eastAsia="Times New Roman" w:hAnsi="Times New Roman" w:cs="Times New Roman"/>
          <w:i/>
          <w:lang w:eastAsia="en-GB"/>
        </w:rPr>
        <w:t>Annals</w:t>
      </w:r>
      <w:r w:rsidRPr="00DE51F4">
        <w:rPr>
          <w:rFonts w:ascii="Times New Roman" w:eastAsia="Times New Roman" w:hAnsi="Times New Roman" w:cs="Times New Roman"/>
          <w:lang w:eastAsia="en-GB"/>
        </w:rPr>
        <w:t xml:space="preserve">, </w:t>
      </w:r>
      <w:r>
        <w:rPr>
          <w:rFonts w:ascii="Times New Roman" w:eastAsia="Times New Roman" w:hAnsi="Times New Roman" w:cs="Times New Roman"/>
          <w:lang w:eastAsia="en-GB"/>
        </w:rPr>
        <w:t xml:space="preserve">in which he states that </w:t>
      </w:r>
      <w:r w:rsidRPr="00F262DE">
        <w:rPr>
          <w:rFonts w:ascii="Times New Roman" w:hAnsi="Times New Roman" w:cs="Times New Roman"/>
          <w:color w:val="000000"/>
        </w:rPr>
        <w:t>“The Iceni, a powerful tribe, which war had not weakened, as they had voluntarily joined our all</w:t>
      </w:r>
      <w:r>
        <w:rPr>
          <w:rFonts w:ascii="Times New Roman" w:hAnsi="Times New Roman" w:cs="Times New Roman"/>
          <w:color w:val="000000"/>
        </w:rPr>
        <w:t>iance, were the first to resist</w:t>
      </w:r>
      <w:r w:rsidRPr="00F262DE">
        <w:rPr>
          <w:rFonts w:ascii="Times New Roman" w:hAnsi="Times New Roman" w:cs="Times New Roman"/>
          <w:color w:val="000000"/>
        </w:rPr>
        <w:t>”</w:t>
      </w:r>
      <w:r>
        <w:rPr>
          <w:rStyle w:val="FootnoteReference"/>
          <w:rFonts w:ascii="Times New Roman" w:hAnsi="Times New Roman" w:cs="Times New Roman"/>
          <w:color w:val="000000"/>
        </w:rPr>
        <w:footnoteReference w:id="55"/>
      </w:r>
      <w:r>
        <w:rPr>
          <w:rFonts w:ascii="Times New Roman" w:hAnsi="Times New Roman" w:cs="Times New Roman"/>
          <w:color w:val="000000"/>
        </w:rPr>
        <w:t>. This quote is particularly important because it shows that the Iceni had decided to become allies to Rome from the very beginning, and that the Romans knew thei</w:t>
      </w:r>
      <w:r w:rsidR="005E45D6">
        <w:rPr>
          <w:rFonts w:ascii="Times New Roman" w:hAnsi="Times New Roman" w:cs="Times New Roman"/>
          <w:color w:val="000000"/>
        </w:rPr>
        <w:t>r strength as one of the larger factions</w:t>
      </w:r>
      <w:r>
        <w:rPr>
          <w:rFonts w:ascii="Times New Roman" w:hAnsi="Times New Roman" w:cs="Times New Roman"/>
          <w:color w:val="000000"/>
        </w:rPr>
        <w:t xml:space="preserve"> in Britain at this time</w:t>
      </w:r>
      <w:r>
        <w:rPr>
          <w:rStyle w:val="FootnoteReference"/>
          <w:rFonts w:ascii="Times New Roman" w:hAnsi="Times New Roman" w:cs="Times New Roman"/>
          <w:color w:val="000000"/>
        </w:rPr>
        <w:footnoteReference w:id="56"/>
      </w:r>
      <w:r>
        <w:rPr>
          <w:rFonts w:ascii="Times New Roman" w:hAnsi="Times New Roman" w:cs="Times New Roman"/>
          <w:color w:val="000000"/>
        </w:rPr>
        <w:t xml:space="preserve">. </w:t>
      </w:r>
    </w:p>
    <w:p w14:paraId="7E57E3BC" w14:textId="303A88EE" w:rsidR="001F1993" w:rsidRDefault="005E45D6" w:rsidP="001F1993">
      <w:pPr>
        <w:spacing w:line="480" w:lineRule="auto"/>
        <w:ind w:firstLine="720"/>
        <w:rPr>
          <w:rFonts w:ascii="Times New Roman" w:hAnsi="Times New Roman" w:cs="Times New Roman"/>
          <w:color w:val="000000"/>
        </w:rPr>
      </w:pPr>
      <w:r>
        <w:rPr>
          <w:rFonts w:ascii="Times New Roman" w:hAnsi="Times New Roman" w:cs="Times New Roman"/>
          <w:color w:val="000000"/>
        </w:rPr>
        <w:t>According to Tacitus, t</w:t>
      </w:r>
      <w:r w:rsidR="001F1993">
        <w:rPr>
          <w:rFonts w:ascii="Times New Roman" w:hAnsi="Times New Roman" w:cs="Times New Roman"/>
          <w:color w:val="000000"/>
        </w:rPr>
        <w:t>he revolt took place because Publius Ostorius, the propraetor in Britain at this time</w:t>
      </w:r>
      <w:r w:rsidR="001F1993">
        <w:rPr>
          <w:rStyle w:val="FootnoteReference"/>
          <w:rFonts w:ascii="Times New Roman" w:hAnsi="Times New Roman" w:cs="Times New Roman"/>
          <w:color w:val="000000"/>
        </w:rPr>
        <w:footnoteReference w:id="57"/>
      </w:r>
      <w:r w:rsidR="001F1993">
        <w:rPr>
          <w:rFonts w:ascii="Times New Roman" w:hAnsi="Times New Roman" w:cs="Times New Roman"/>
          <w:color w:val="000000"/>
        </w:rPr>
        <w:t>, decided that it would be bes</w:t>
      </w:r>
      <w:r>
        <w:rPr>
          <w:rFonts w:ascii="Times New Roman" w:hAnsi="Times New Roman" w:cs="Times New Roman"/>
          <w:color w:val="000000"/>
        </w:rPr>
        <w:t>t to disarm the people</w:t>
      </w:r>
      <w:r w:rsidR="001F1993">
        <w:rPr>
          <w:rFonts w:ascii="Times New Roman" w:hAnsi="Times New Roman" w:cs="Times New Roman"/>
          <w:color w:val="000000"/>
        </w:rPr>
        <w:t xml:space="preserve"> of Britain. According to Fairclough, this was common practise by the Romans in order to secure their new territory, especially as Caratacus was still in hiding at this particular time</w:t>
      </w:r>
      <w:r w:rsidR="001F1993">
        <w:rPr>
          <w:rStyle w:val="FootnoteReference"/>
          <w:rFonts w:ascii="Times New Roman" w:hAnsi="Times New Roman" w:cs="Times New Roman"/>
          <w:color w:val="000000"/>
        </w:rPr>
        <w:footnoteReference w:id="58"/>
      </w:r>
      <w:r w:rsidR="001F1993">
        <w:rPr>
          <w:rFonts w:ascii="Times New Roman" w:hAnsi="Times New Roman" w:cs="Times New Roman"/>
          <w:color w:val="000000"/>
        </w:rPr>
        <w:t xml:space="preserve">. The significance of this is that weapons in Iron Age Britain were not solely used </w:t>
      </w:r>
      <w:r w:rsidR="001F1993">
        <w:rPr>
          <w:rFonts w:ascii="Times New Roman" w:hAnsi="Times New Roman" w:cs="Times New Roman"/>
          <w:color w:val="000000"/>
        </w:rPr>
        <w:lastRenderedPageBreak/>
        <w:t>as weapons in the wars that</w:t>
      </w:r>
      <w:r>
        <w:rPr>
          <w:rFonts w:ascii="Times New Roman" w:hAnsi="Times New Roman" w:cs="Times New Roman"/>
          <w:color w:val="000000"/>
        </w:rPr>
        <w:t xml:space="preserve"> happened between the different factions</w:t>
      </w:r>
      <w:r w:rsidR="001F1993">
        <w:rPr>
          <w:rFonts w:ascii="Times New Roman" w:hAnsi="Times New Roman" w:cs="Times New Roman"/>
          <w:color w:val="000000"/>
        </w:rPr>
        <w:t xml:space="preserve"> and on the continent, but weapons and other military symbolism </w:t>
      </w:r>
      <w:r w:rsidR="00507B02">
        <w:rPr>
          <w:rFonts w:ascii="Times New Roman" w:hAnsi="Times New Roman" w:cs="Times New Roman"/>
          <w:color w:val="000000"/>
        </w:rPr>
        <w:t>were</w:t>
      </w:r>
      <w:r w:rsidR="001F1993">
        <w:rPr>
          <w:rFonts w:ascii="Times New Roman" w:hAnsi="Times New Roman" w:cs="Times New Roman"/>
          <w:color w:val="000000"/>
        </w:rPr>
        <w:t xml:space="preserve"> part of everyday life and religion</w:t>
      </w:r>
      <w:r w:rsidR="001F1993">
        <w:rPr>
          <w:rStyle w:val="FootnoteReference"/>
          <w:rFonts w:ascii="Times New Roman" w:hAnsi="Times New Roman" w:cs="Times New Roman"/>
          <w:color w:val="000000"/>
        </w:rPr>
        <w:footnoteReference w:id="59"/>
      </w:r>
      <w:r w:rsidR="001F1993">
        <w:rPr>
          <w:rFonts w:ascii="Times New Roman" w:hAnsi="Times New Roman" w:cs="Times New Roman"/>
          <w:color w:val="000000"/>
        </w:rPr>
        <w:t xml:space="preserve">. It is clear to see from this that the Iceni did not take well to being told that they had to surrender their arms. After a battle, the location of which is speculated upon, although it is believed to at Stonea Camp in </w:t>
      </w:r>
      <w:r w:rsidR="00507B02">
        <w:rPr>
          <w:rFonts w:ascii="Times New Roman" w:hAnsi="Times New Roman" w:cs="Times New Roman"/>
          <w:color w:val="000000"/>
        </w:rPr>
        <w:t>Cambridgeshire</w:t>
      </w:r>
      <w:r w:rsidR="001F1993">
        <w:rPr>
          <w:rStyle w:val="FootnoteReference"/>
          <w:rFonts w:ascii="Times New Roman" w:hAnsi="Times New Roman" w:cs="Times New Roman"/>
          <w:color w:val="000000"/>
        </w:rPr>
        <w:footnoteReference w:id="60"/>
      </w:r>
      <w:r w:rsidR="001F1993">
        <w:rPr>
          <w:rFonts w:ascii="Times New Roman" w:hAnsi="Times New Roman" w:cs="Times New Roman"/>
          <w:color w:val="000000"/>
        </w:rPr>
        <w:t xml:space="preserve">, the Iceni were eventually defeated. What is interesting about this particular conflict, however, is that there do not seem to have been any repercussions </w:t>
      </w:r>
      <w:r w:rsidR="00507B02">
        <w:rPr>
          <w:rFonts w:ascii="Times New Roman" w:hAnsi="Times New Roman" w:cs="Times New Roman"/>
          <w:color w:val="000000"/>
        </w:rPr>
        <w:t>for</w:t>
      </w:r>
      <w:r w:rsidR="001F1993">
        <w:rPr>
          <w:rFonts w:ascii="Times New Roman" w:hAnsi="Times New Roman" w:cs="Times New Roman"/>
          <w:color w:val="000000"/>
        </w:rPr>
        <w:t xml:space="preserve"> the Iceni. All Tacitus mentions of the events after the battle is that </w:t>
      </w:r>
      <w:r w:rsidR="001F1993" w:rsidRPr="001B1733">
        <w:rPr>
          <w:rFonts w:ascii="Times New Roman" w:hAnsi="Times New Roman" w:cs="Times New Roman"/>
          <w:color w:val="000000"/>
        </w:rPr>
        <w:t>“The defeat of the Iceni quieted those who were hesitating between war and peace”</w:t>
      </w:r>
      <w:r w:rsidR="001F1993" w:rsidRPr="001B1733">
        <w:rPr>
          <w:rStyle w:val="FootnoteReference"/>
          <w:rFonts w:ascii="Times New Roman" w:hAnsi="Times New Roman" w:cs="Times New Roman"/>
          <w:color w:val="000000"/>
        </w:rPr>
        <w:footnoteReference w:id="61"/>
      </w:r>
      <w:r w:rsidR="001F1993" w:rsidRPr="001B1733">
        <w:rPr>
          <w:rFonts w:ascii="Times New Roman" w:hAnsi="Times New Roman" w:cs="Times New Roman"/>
          <w:color w:val="000000"/>
        </w:rPr>
        <w:t>,</w:t>
      </w:r>
      <w:r w:rsidR="001F1993">
        <w:rPr>
          <w:rFonts w:ascii="Helvetica" w:hAnsi="Helvetica" w:cs="Helvetica"/>
          <w:color w:val="000000"/>
        </w:rPr>
        <w:t xml:space="preserve"> </w:t>
      </w:r>
      <w:r w:rsidR="001F1993" w:rsidRPr="00395CE7">
        <w:rPr>
          <w:rFonts w:ascii="Times New Roman" w:hAnsi="Times New Roman" w:cs="Times New Roman"/>
          <w:color w:val="000000"/>
        </w:rPr>
        <w:t xml:space="preserve">and Cassius Dio makes no mention of the event at all, so what actually happened after the revolt </w:t>
      </w:r>
      <w:r w:rsidR="001F1993">
        <w:rPr>
          <w:rFonts w:ascii="Times New Roman" w:hAnsi="Times New Roman" w:cs="Times New Roman"/>
          <w:color w:val="000000"/>
        </w:rPr>
        <w:t>can only be known from Tacitus and any archaeological finds from the area. The Iceni managed to retain their status as one of the client kingdoms to the Roman Empire</w:t>
      </w:r>
      <w:r w:rsidR="001F1993">
        <w:rPr>
          <w:rStyle w:val="FootnoteReference"/>
          <w:rFonts w:ascii="Times New Roman" w:hAnsi="Times New Roman" w:cs="Times New Roman"/>
          <w:color w:val="000000"/>
        </w:rPr>
        <w:footnoteReference w:id="62"/>
      </w:r>
      <w:r w:rsidR="001F1993">
        <w:rPr>
          <w:rFonts w:ascii="Times New Roman" w:hAnsi="Times New Roman" w:cs="Times New Roman"/>
          <w:color w:val="000000"/>
        </w:rPr>
        <w:t xml:space="preserve"> and it is also believed that it was thanks to this revolt that Prasutagus began his life as the chief of the Iceni, put in place after Publius Ostorius defeated the rebels</w:t>
      </w:r>
      <w:r w:rsidR="001F1993">
        <w:rPr>
          <w:rStyle w:val="FootnoteReference"/>
          <w:rFonts w:ascii="Times New Roman" w:hAnsi="Times New Roman" w:cs="Times New Roman"/>
          <w:color w:val="000000"/>
        </w:rPr>
        <w:footnoteReference w:id="63"/>
      </w:r>
      <w:r w:rsidR="001F1993">
        <w:rPr>
          <w:rFonts w:ascii="Times New Roman" w:hAnsi="Times New Roman" w:cs="Times New Roman"/>
          <w:color w:val="000000"/>
        </w:rPr>
        <w:t xml:space="preserve">. </w:t>
      </w:r>
    </w:p>
    <w:p w14:paraId="0CC8A800" w14:textId="61791F49" w:rsidR="001F1993" w:rsidRDefault="001F1993" w:rsidP="001F1993">
      <w:pPr>
        <w:spacing w:line="480" w:lineRule="auto"/>
        <w:ind w:firstLine="720"/>
        <w:rPr>
          <w:rFonts w:ascii="Times New Roman" w:hAnsi="Times New Roman" w:cs="Times New Roman"/>
          <w:color w:val="000000"/>
        </w:rPr>
      </w:pPr>
      <w:r>
        <w:rPr>
          <w:rFonts w:ascii="Times New Roman" w:hAnsi="Times New Roman" w:cs="Times New Roman"/>
          <w:color w:val="000000"/>
        </w:rPr>
        <w:t xml:space="preserve">Prasutagus </w:t>
      </w:r>
      <w:r w:rsidR="00507B02">
        <w:rPr>
          <w:rFonts w:ascii="Times New Roman" w:hAnsi="Times New Roman" w:cs="Times New Roman"/>
          <w:color w:val="000000"/>
        </w:rPr>
        <w:t>is</w:t>
      </w:r>
      <w:r>
        <w:rPr>
          <w:rFonts w:ascii="Times New Roman" w:hAnsi="Times New Roman" w:cs="Times New Roman"/>
          <w:color w:val="000000"/>
        </w:rPr>
        <w:t>, like the Icenian revolt mentioned above, not mentioned anywhere in Cassius Dio. But unlike the revolt, we do have archaeological evidence to back up his existence. Tacitus tells us that Prasutagus had a long reign and the Iceni profited greatly under his watchful eye</w:t>
      </w:r>
      <w:r>
        <w:rPr>
          <w:rStyle w:val="FootnoteReference"/>
          <w:rFonts w:ascii="Times New Roman" w:hAnsi="Times New Roman" w:cs="Times New Roman"/>
          <w:color w:val="000000"/>
        </w:rPr>
        <w:footnoteReference w:id="64"/>
      </w:r>
      <w:r>
        <w:rPr>
          <w:rFonts w:ascii="Times New Roman" w:hAnsi="Times New Roman" w:cs="Times New Roman"/>
          <w:color w:val="000000"/>
        </w:rPr>
        <w:t>. Evidence of this can be found at Gallow’s Hill near Thetford, where pottery, coins and brooches have been found</w:t>
      </w:r>
      <w:r>
        <w:rPr>
          <w:rStyle w:val="FootnoteReference"/>
          <w:rFonts w:ascii="Times New Roman" w:hAnsi="Times New Roman" w:cs="Times New Roman"/>
          <w:color w:val="000000"/>
        </w:rPr>
        <w:footnoteReference w:id="65"/>
      </w:r>
      <w:r>
        <w:rPr>
          <w:rFonts w:ascii="Times New Roman" w:hAnsi="Times New Roman" w:cs="Times New Roman"/>
          <w:color w:val="000000"/>
        </w:rPr>
        <w:t xml:space="preserve">. The archaeological evidence we have of this Icenian king is found in some of the last Iron Age coins to be minted in </w:t>
      </w:r>
      <w:r>
        <w:rPr>
          <w:rFonts w:ascii="Times New Roman" w:hAnsi="Times New Roman" w:cs="Times New Roman"/>
          <w:color w:val="000000"/>
        </w:rPr>
        <w:lastRenderedPageBreak/>
        <w:t>Britain. Upon some found in Sussex, the name ‘PRASTO’ has been found</w:t>
      </w:r>
      <w:r>
        <w:rPr>
          <w:rStyle w:val="FootnoteReference"/>
          <w:rFonts w:ascii="Times New Roman" w:hAnsi="Times New Roman" w:cs="Times New Roman"/>
          <w:color w:val="000000"/>
        </w:rPr>
        <w:footnoteReference w:id="66"/>
      </w:r>
      <w:r>
        <w:rPr>
          <w:rFonts w:ascii="Times New Roman" w:hAnsi="Times New Roman" w:cs="Times New Roman"/>
          <w:color w:val="000000"/>
        </w:rPr>
        <w:t>. This inscription is believed to have been of Prasutagus and the dates coincide with his death, for after Prasutagus died, there seems to have been no more Roman imagery found in the Iceni territory, something that is not very surprising considering what</w:t>
      </w:r>
      <w:r w:rsidR="00507B02">
        <w:rPr>
          <w:rFonts w:ascii="Times New Roman" w:hAnsi="Times New Roman" w:cs="Times New Roman"/>
          <w:color w:val="000000"/>
        </w:rPr>
        <w:t xml:space="preserve"> supposedly</w:t>
      </w:r>
      <w:r>
        <w:rPr>
          <w:rFonts w:ascii="Times New Roman" w:hAnsi="Times New Roman" w:cs="Times New Roman"/>
          <w:color w:val="000000"/>
        </w:rPr>
        <w:t xml:space="preserve"> happened next with his wife and daughters</w:t>
      </w:r>
      <w:r>
        <w:rPr>
          <w:rStyle w:val="FootnoteReference"/>
          <w:rFonts w:ascii="Times New Roman" w:hAnsi="Times New Roman" w:cs="Times New Roman"/>
          <w:color w:val="000000"/>
        </w:rPr>
        <w:footnoteReference w:id="67"/>
      </w:r>
      <w:r>
        <w:rPr>
          <w:rFonts w:ascii="Times New Roman" w:hAnsi="Times New Roman" w:cs="Times New Roman"/>
          <w:color w:val="000000"/>
        </w:rPr>
        <w:t>.</w:t>
      </w:r>
    </w:p>
    <w:p w14:paraId="08E1AF7E" w14:textId="11FED9D8" w:rsidR="001F1993" w:rsidRDefault="001F1993" w:rsidP="001F1993">
      <w:pPr>
        <w:spacing w:line="480" w:lineRule="auto"/>
        <w:ind w:firstLine="720"/>
        <w:rPr>
          <w:rFonts w:ascii="Times New Roman" w:hAnsi="Times New Roman" w:cs="Times New Roman"/>
          <w:color w:val="000000"/>
        </w:rPr>
      </w:pPr>
      <w:r>
        <w:rPr>
          <w:rFonts w:ascii="Times New Roman" w:hAnsi="Times New Roman" w:cs="Times New Roman"/>
          <w:color w:val="000000"/>
        </w:rPr>
        <w:t>Although Prasutagus would have had his coins, which can prove his existence, no such evidence can be found for Boudicca. When looking at archaeological evidence from this time there is nothing to support Tacitus and Cassius Dio’s reports of a Warrior Queen</w:t>
      </w:r>
      <w:r>
        <w:rPr>
          <w:rStyle w:val="FootnoteReference"/>
          <w:rFonts w:ascii="Times New Roman" w:hAnsi="Times New Roman" w:cs="Times New Roman"/>
          <w:color w:val="000000"/>
        </w:rPr>
        <w:footnoteReference w:id="68"/>
      </w:r>
      <w:r>
        <w:rPr>
          <w:rFonts w:ascii="Times New Roman" w:hAnsi="Times New Roman" w:cs="Times New Roman"/>
          <w:color w:val="000000"/>
        </w:rPr>
        <w:t xml:space="preserve">. If she did exist, it does seem unlikely that Boudicca, which translates </w:t>
      </w:r>
      <w:r w:rsidR="00507B02">
        <w:rPr>
          <w:rFonts w:ascii="Times New Roman" w:hAnsi="Times New Roman" w:cs="Times New Roman"/>
          <w:color w:val="000000"/>
        </w:rPr>
        <w:t>as</w:t>
      </w:r>
      <w:r>
        <w:rPr>
          <w:rFonts w:ascii="Times New Roman" w:hAnsi="Times New Roman" w:cs="Times New Roman"/>
          <w:color w:val="000000"/>
        </w:rPr>
        <w:t xml:space="preserve"> ‘victory’, would have been her real name</w:t>
      </w:r>
      <w:r>
        <w:rPr>
          <w:rStyle w:val="FootnoteReference"/>
          <w:rFonts w:ascii="Times New Roman" w:hAnsi="Times New Roman" w:cs="Times New Roman"/>
          <w:color w:val="000000"/>
        </w:rPr>
        <w:footnoteReference w:id="69"/>
      </w:r>
      <w:r>
        <w:rPr>
          <w:rFonts w:ascii="Times New Roman" w:hAnsi="Times New Roman" w:cs="Times New Roman"/>
          <w:color w:val="000000"/>
        </w:rPr>
        <w:t>. Both Tacitus and Cassius Dio provide different accounts as to what happened that provoked Boudicca and the Trinovantes to revolt on such a large and destructive scale. Prasutagus died and evidently tried to keep the peace between his people and the Romans by leaving half of his territory to the Emperor. According to Davies, this was something that would have been agreed in the terms of becoming a client kingdom</w:t>
      </w:r>
      <w:r>
        <w:rPr>
          <w:rStyle w:val="FootnoteReference"/>
          <w:rFonts w:ascii="Times New Roman" w:hAnsi="Times New Roman" w:cs="Times New Roman"/>
          <w:color w:val="000000"/>
        </w:rPr>
        <w:footnoteReference w:id="70"/>
      </w:r>
      <w:r>
        <w:rPr>
          <w:rFonts w:ascii="Times New Roman" w:hAnsi="Times New Roman" w:cs="Times New Roman"/>
          <w:color w:val="000000"/>
        </w:rPr>
        <w:t>, however as Salway states, another reason for this could just as easily have been that Prasutagus wanted to keep the rest of his land and his family safe and secure in the future</w:t>
      </w:r>
      <w:r>
        <w:rPr>
          <w:rStyle w:val="FootnoteReference"/>
          <w:rFonts w:ascii="Times New Roman" w:hAnsi="Times New Roman" w:cs="Times New Roman"/>
          <w:color w:val="000000"/>
        </w:rPr>
        <w:footnoteReference w:id="71"/>
      </w:r>
      <w:r>
        <w:rPr>
          <w:rFonts w:ascii="Times New Roman" w:hAnsi="Times New Roman" w:cs="Times New Roman"/>
          <w:color w:val="000000"/>
        </w:rPr>
        <w:t>, something that ultimately made no difference as Nero was not as invested in the client kingdoms as Claudius had been. The fact that Nero had already got rid of two such kingdoms, in the Alpes and in Pontus, before Prasutagus’ death, supports this</w:t>
      </w:r>
      <w:r>
        <w:rPr>
          <w:rStyle w:val="FootnoteReference"/>
          <w:rFonts w:ascii="Times New Roman" w:hAnsi="Times New Roman" w:cs="Times New Roman"/>
          <w:color w:val="000000"/>
        </w:rPr>
        <w:footnoteReference w:id="72"/>
      </w:r>
      <w:r>
        <w:rPr>
          <w:rFonts w:ascii="Times New Roman" w:hAnsi="Times New Roman" w:cs="Times New Roman"/>
          <w:color w:val="000000"/>
        </w:rPr>
        <w:t xml:space="preserve">. </w:t>
      </w:r>
    </w:p>
    <w:p w14:paraId="55161DAF" w14:textId="77777777" w:rsidR="001F1993" w:rsidRDefault="001F1993" w:rsidP="001F1993">
      <w:pPr>
        <w:spacing w:line="480" w:lineRule="auto"/>
        <w:ind w:firstLine="720"/>
        <w:rPr>
          <w:rFonts w:ascii="Times New Roman" w:hAnsi="Times New Roman" w:cs="Times New Roman"/>
          <w:color w:val="000000"/>
        </w:rPr>
      </w:pPr>
      <w:r>
        <w:rPr>
          <w:rFonts w:ascii="Times New Roman" w:hAnsi="Times New Roman" w:cs="Times New Roman"/>
          <w:color w:val="000000"/>
        </w:rPr>
        <w:lastRenderedPageBreak/>
        <w:t>Cassius Dio makes no mention of the will left by Prasutagus and instead blames the revolt on the collecting of loans given to the Iceni by Rome and key officials, such as Seneca</w:t>
      </w:r>
      <w:r>
        <w:rPr>
          <w:rStyle w:val="FootnoteReference"/>
          <w:rFonts w:ascii="Times New Roman" w:hAnsi="Times New Roman" w:cs="Times New Roman"/>
          <w:color w:val="000000"/>
        </w:rPr>
        <w:footnoteReference w:id="73"/>
      </w:r>
      <w:r>
        <w:rPr>
          <w:rFonts w:ascii="Times New Roman" w:hAnsi="Times New Roman" w:cs="Times New Roman"/>
          <w:color w:val="000000"/>
        </w:rPr>
        <w:t>. As mentioned above, the Iceni were a rich client kingdom, something that the loans given to them would have helped with, and it has been suggested that the Iceni did not realise this money was a loan and not a gift</w:t>
      </w:r>
      <w:r>
        <w:rPr>
          <w:rStyle w:val="FootnoteReference"/>
          <w:rFonts w:ascii="Times New Roman" w:hAnsi="Times New Roman" w:cs="Times New Roman"/>
          <w:color w:val="000000"/>
        </w:rPr>
        <w:footnoteReference w:id="74"/>
      </w:r>
      <w:r>
        <w:rPr>
          <w:rFonts w:ascii="Times New Roman" w:hAnsi="Times New Roman" w:cs="Times New Roman"/>
          <w:color w:val="000000"/>
        </w:rPr>
        <w:t>, or that they were not expecting such a large sum of interest recalled back so suddenly</w:t>
      </w:r>
      <w:r>
        <w:rPr>
          <w:rStyle w:val="FootnoteReference"/>
          <w:rFonts w:ascii="Times New Roman" w:hAnsi="Times New Roman" w:cs="Times New Roman"/>
          <w:color w:val="000000"/>
        </w:rPr>
        <w:footnoteReference w:id="75"/>
      </w:r>
      <w:r>
        <w:rPr>
          <w:rFonts w:ascii="Times New Roman" w:hAnsi="Times New Roman" w:cs="Times New Roman"/>
          <w:color w:val="000000"/>
        </w:rPr>
        <w:t>. Either way, the Romans descended on the Iceni territory with malice</w:t>
      </w:r>
      <w:r>
        <w:rPr>
          <w:rStyle w:val="FootnoteReference"/>
          <w:rFonts w:ascii="Times New Roman" w:hAnsi="Times New Roman" w:cs="Times New Roman"/>
          <w:color w:val="000000"/>
        </w:rPr>
        <w:footnoteReference w:id="76"/>
      </w:r>
      <w:r>
        <w:rPr>
          <w:rFonts w:ascii="Times New Roman" w:hAnsi="Times New Roman" w:cs="Times New Roman"/>
          <w:color w:val="000000"/>
        </w:rPr>
        <w:t xml:space="preserve">. </w:t>
      </w:r>
    </w:p>
    <w:p w14:paraId="4C7DA328" w14:textId="471BD2ED" w:rsidR="001F1993" w:rsidRDefault="001F1993" w:rsidP="001F1993">
      <w:pPr>
        <w:spacing w:line="480" w:lineRule="auto"/>
        <w:ind w:firstLine="720"/>
        <w:rPr>
          <w:rFonts w:ascii="Times New Roman" w:hAnsi="Times New Roman" w:cs="Times New Roman"/>
          <w:color w:val="000000"/>
        </w:rPr>
      </w:pPr>
      <w:r>
        <w:rPr>
          <w:rFonts w:ascii="Times New Roman" w:hAnsi="Times New Roman" w:cs="Times New Roman"/>
          <w:color w:val="000000"/>
        </w:rPr>
        <w:t xml:space="preserve">After the supposed raping of Boudicca and the flogging of her daughters, she decided to stand up against the Roman invaders to defend her honour and her </w:t>
      </w:r>
      <w:r w:rsidR="00507B02" w:rsidRPr="00507B02">
        <w:rPr>
          <w:rFonts w:ascii="Times New Roman" w:hAnsi="Times New Roman" w:cs="Times New Roman"/>
          <w:color w:val="000000"/>
        </w:rPr>
        <w:t>people</w:t>
      </w:r>
      <w:r w:rsidRPr="00C4734B">
        <w:rPr>
          <w:rStyle w:val="FootnoteReference"/>
          <w:rFonts w:ascii="Times New Roman" w:hAnsi="Times New Roman" w:cs="Times New Roman"/>
          <w:color w:val="000000"/>
        </w:rPr>
        <w:footnoteReference w:id="77"/>
      </w:r>
      <w:r w:rsidRPr="00C4734B">
        <w:rPr>
          <w:rFonts w:ascii="Times New Roman" w:hAnsi="Times New Roman" w:cs="Times New Roman"/>
          <w:color w:val="000000"/>
        </w:rPr>
        <w:t>.</w:t>
      </w:r>
      <w:r>
        <w:rPr>
          <w:rFonts w:ascii="Times New Roman" w:hAnsi="Times New Roman" w:cs="Times New Roman"/>
          <w:color w:val="000000"/>
        </w:rPr>
        <w:t xml:space="preserve"> One of the most significant parts of the Boudiccan revolt is what happened in Colchester, London and St. Albans, or as the Romans called them, Camulodunum, Londinium and Verulamium. Both Tacitus and Cassius Dio, and even Suetonius in his small sentence on the revolt, mentions the ransacking of the towns</w:t>
      </w:r>
      <w:r>
        <w:rPr>
          <w:rStyle w:val="FootnoteReference"/>
          <w:rFonts w:ascii="Times New Roman" w:hAnsi="Times New Roman" w:cs="Times New Roman"/>
          <w:color w:val="000000"/>
        </w:rPr>
        <w:footnoteReference w:id="78"/>
      </w:r>
      <w:r>
        <w:rPr>
          <w:rFonts w:ascii="Times New Roman" w:hAnsi="Times New Roman" w:cs="Times New Roman"/>
          <w:color w:val="000000"/>
        </w:rPr>
        <w:t>. Camulodunum was the most important town ransacked in this revolt because it had been the Roman capital of Britain</w:t>
      </w:r>
      <w:r>
        <w:rPr>
          <w:rStyle w:val="FootnoteReference"/>
          <w:rFonts w:ascii="Times New Roman" w:hAnsi="Times New Roman" w:cs="Times New Roman"/>
          <w:color w:val="000000"/>
        </w:rPr>
        <w:footnoteReference w:id="79"/>
      </w:r>
      <w:r>
        <w:rPr>
          <w:rFonts w:ascii="Times New Roman" w:hAnsi="Times New Roman" w:cs="Times New Roman"/>
          <w:color w:val="000000"/>
        </w:rPr>
        <w:t>, taken from the Trinovantes and given to Roman veterans to secure the area</w:t>
      </w:r>
      <w:r>
        <w:rPr>
          <w:rStyle w:val="FootnoteReference"/>
          <w:rFonts w:ascii="Times New Roman" w:hAnsi="Times New Roman" w:cs="Times New Roman"/>
          <w:color w:val="000000"/>
        </w:rPr>
        <w:footnoteReference w:id="80"/>
      </w:r>
      <w:r>
        <w:rPr>
          <w:rFonts w:ascii="Times New Roman" w:hAnsi="Times New Roman" w:cs="Times New Roman"/>
          <w:color w:val="000000"/>
        </w:rPr>
        <w:t xml:space="preserve">. Furthermore, according to Russell and Laycock, the Romans also changed the name from Camulodunum to </w:t>
      </w:r>
      <w:r>
        <w:rPr>
          <w:rFonts w:ascii="Times New Roman" w:hAnsi="Times New Roman" w:cs="Times New Roman"/>
          <w:i/>
          <w:color w:val="000000"/>
        </w:rPr>
        <w:t>Colonia Claudia Victricensis</w:t>
      </w:r>
      <w:r w:rsidRPr="005E3152">
        <w:rPr>
          <w:rFonts w:ascii="Times New Roman" w:hAnsi="Times New Roman" w:cs="Times New Roman"/>
          <w:color w:val="000000"/>
        </w:rPr>
        <w:t>,</w:t>
      </w:r>
      <w:r>
        <w:rPr>
          <w:rFonts w:ascii="Times New Roman" w:hAnsi="Times New Roman" w:cs="Times New Roman"/>
          <w:i/>
          <w:color w:val="000000"/>
        </w:rPr>
        <w:t xml:space="preserve"> </w:t>
      </w:r>
      <w:r>
        <w:rPr>
          <w:rFonts w:ascii="Times New Roman" w:hAnsi="Times New Roman" w:cs="Times New Roman"/>
          <w:color w:val="000000"/>
        </w:rPr>
        <w:t>which translated to ‘The City of Claudius’ Victory’</w:t>
      </w:r>
      <w:r>
        <w:rPr>
          <w:rStyle w:val="FootnoteReference"/>
          <w:rFonts w:ascii="Times New Roman" w:hAnsi="Times New Roman" w:cs="Times New Roman"/>
          <w:color w:val="000000"/>
        </w:rPr>
        <w:footnoteReference w:id="81"/>
      </w:r>
      <w:r>
        <w:rPr>
          <w:rFonts w:ascii="Times New Roman" w:hAnsi="Times New Roman" w:cs="Times New Roman"/>
          <w:color w:val="000000"/>
        </w:rPr>
        <w:t>. The name, along with the building of Claudius’ Temple, came to represent everything that the Britons hated about the Romans</w:t>
      </w:r>
      <w:r>
        <w:rPr>
          <w:rStyle w:val="FootnoteReference"/>
          <w:rFonts w:ascii="Times New Roman" w:hAnsi="Times New Roman" w:cs="Times New Roman"/>
          <w:color w:val="000000"/>
        </w:rPr>
        <w:footnoteReference w:id="82"/>
      </w:r>
      <w:r>
        <w:rPr>
          <w:rFonts w:ascii="Times New Roman" w:hAnsi="Times New Roman" w:cs="Times New Roman"/>
          <w:color w:val="000000"/>
        </w:rPr>
        <w:t xml:space="preserve">. When </w:t>
      </w:r>
      <w:r>
        <w:rPr>
          <w:rFonts w:ascii="Times New Roman" w:hAnsi="Times New Roman" w:cs="Times New Roman"/>
          <w:color w:val="000000"/>
        </w:rPr>
        <w:lastRenderedPageBreak/>
        <w:t>Boudicca’s forces reached this town, they ransacked and burnt it to the ground, including the temple</w:t>
      </w:r>
      <w:r>
        <w:rPr>
          <w:rStyle w:val="FootnoteReference"/>
          <w:rFonts w:ascii="Times New Roman" w:hAnsi="Times New Roman" w:cs="Times New Roman"/>
          <w:color w:val="000000"/>
        </w:rPr>
        <w:footnoteReference w:id="83"/>
      </w:r>
      <w:r>
        <w:rPr>
          <w:rFonts w:ascii="Times New Roman" w:hAnsi="Times New Roman" w:cs="Times New Roman"/>
          <w:color w:val="000000"/>
        </w:rPr>
        <w:t>. Cassius Dio records the horror and torment that Boudicca supposedly enacted upon those residing in the town, but it was Tacitus who mentions the temple being the last hope for many Romans who fled there for protection</w:t>
      </w:r>
      <w:r>
        <w:rPr>
          <w:rStyle w:val="FootnoteReference"/>
          <w:rFonts w:ascii="Times New Roman" w:hAnsi="Times New Roman" w:cs="Times New Roman"/>
          <w:color w:val="000000"/>
        </w:rPr>
        <w:footnoteReference w:id="84"/>
      </w:r>
      <w:r>
        <w:rPr>
          <w:rFonts w:ascii="Times New Roman" w:hAnsi="Times New Roman" w:cs="Times New Roman"/>
          <w:color w:val="000000"/>
        </w:rPr>
        <w:t>. We do, however, know that something happened in Colchester, London and St. Albans because when archaeologists dig in these towns and cities a layer of ash that can be dated to around 60 AD continues to be found</w:t>
      </w:r>
      <w:r>
        <w:rPr>
          <w:rStyle w:val="FootnoteReference"/>
          <w:rFonts w:ascii="Times New Roman" w:hAnsi="Times New Roman" w:cs="Times New Roman"/>
          <w:color w:val="000000"/>
        </w:rPr>
        <w:footnoteReference w:id="85"/>
      </w:r>
      <w:r>
        <w:rPr>
          <w:rFonts w:ascii="Times New Roman" w:hAnsi="Times New Roman" w:cs="Times New Roman"/>
          <w:color w:val="000000"/>
        </w:rPr>
        <w:t>. Besides ash, Colchester has other finds that help prove that it was burnt down at this time. These include roof tiles, dates, wheat grains and even glassware and pottery</w:t>
      </w:r>
      <w:r>
        <w:rPr>
          <w:rStyle w:val="FootnoteReference"/>
          <w:rFonts w:ascii="Times New Roman" w:hAnsi="Times New Roman" w:cs="Times New Roman"/>
          <w:color w:val="000000"/>
        </w:rPr>
        <w:footnoteReference w:id="86"/>
      </w:r>
      <w:r>
        <w:rPr>
          <w:rFonts w:ascii="Times New Roman" w:hAnsi="Times New Roman" w:cs="Times New Roman"/>
          <w:color w:val="000000"/>
        </w:rPr>
        <w:t>. All of this points to a rebellion happening at this time in Britain. London also has lots of coins that have been found ranging in date from 50 AD to 60 AD, which could have been buried or dropped in the confusion and panic during Boudicca’s ransacking of the town</w:t>
      </w:r>
      <w:r>
        <w:rPr>
          <w:rStyle w:val="FootnoteReference"/>
          <w:rFonts w:ascii="Times New Roman" w:hAnsi="Times New Roman" w:cs="Times New Roman"/>
          <w:color w:val="000000"/>
        </w:rPr>
        <w:footnoteReference w:id="87"/>
      </w:r>
      <w:r>
        <w:rPr>
          <w:rFonts w:ascii="Times New Roman" w:hAnsi="Times New Roman" w:cs="Times New Roman"/>
          <w:color w:val="000000"/>
        </w:rPr>
        <w:t xml:space="preserve">. </w:t>
      </w:r>
    </w:p>
    <w:p w14:paraId="0AE9148B" w14:textId="77777777" w:rsidR="001F1993" w:rsidRDefault="001F1993" w:rsidP="001F1993">
      <w:pPr>
        <w:spacing w:line="480" w:lineRule="auto"/>
        <w:ind w:firstLine="720"/>
        <w:rPr>
          <w:rFonts w:ascii="Times New Roman" w:hAnsi="Times New Roman" w:cs="Times New Roman"/>
          <w:color w:val="000000"/>
        </w:rPr>
      </w:pPr>
      <w:r>
        <w:rPr>
          <w:rFonts w:ascii="Times New Roman" w:hAnsi="Times New Roman" w:cs="Times New Roman"/>
          <w:color w:val="000000"/>
        </w:rPr>
        <w:t>This evidence of the revolt leads to a question that historians continually debate today: Did Boudicca exist? Although we have evidence of her revolt as seen above, we have no evidence of Boudicca as a person. In Crownthorpe, a parish situated in Norfolk, a hoard was discovered in 1982 which contained many different types of drinking vessels</w:t>
      </w:r>
      <w:r>
        <w:rPr>
          <w:rStyle w:val="FootnoteReference"/>
          <w:rFonts w:ascii="Times New Roman" w:hAnsi="Times New Roman" w:cs="Times New Roman"/>
          <w:color w:val="000000"/>
        </w:rPr>
        <w:footnoteReference w:id="88"/>
      </w:r>
      <w:r>
        <w:rPr>
          <w:rFonts w:ascii="Times New Roman" w:hAnsi="Times New Roman" w:cs="Times New Roman"/>
          <w:color w:val="000000"/>
        </w:rPr>
        <w:t>. This particular hoard is important because, according to Davies and Norwich Castle Museum, these vessels have been dated to around 60 AD, and could therefore have been buried in haste by the owner who was running from Boudicca’s troops</w:t>
      </w:r>
      <w:r>
        <w:rPr>
          <w:rStyle w:val="FootnoteReference"/>
          <w:rFonts w:ascii="Times New Roman" w:hAnsi="Times New Roman" w:cs="Times New Roman"/>
          <w:color w:val="000000"/>
        </w:rPr>
        <w:footnoteReference w:id="89"/>
      </w:r>
      <w:r>
        <w:rPr>
          <w:rFonts w:ascii="Times New Roman" w:hAnsi="Times New Roman" w:cs="Times New Roman"/>
          <w:color w:val="000000"/>
        </w:rPr>
        <w:t xml:space="preserve">. However, because it cannot be dated exactly it is not possible to determine if it was before the revolution took place or if the hoard was a result of the revolt at all. Another </w:t>
      </w:r>
      <w:r>
        <w:rPr>
          <w:rFonts w:ascii="Times New Roman" w:hAnsi="Times New Roman" w:cs="Times New Roman"/>
          <w:color w:val="000000"/>
        </w:rPr>
        <w:lastRenderedPageBreak/>
        <w:t>hoard at Blackdyke Farm near the fens has also provided five Roman silver drinking cups. Although they are dated a little earlier, they seem to have been buried deliberately and once again Davies believes it was because of the turmoil of this time, although whether he means the first Icenian revolt or Boudicca’s rebellion is unclear</w:t>
      </w:r>
      <w:r>
        <w:rPr>
          <w:rStyle w:val="FootnoteReference"/>
          <w:rFonts w:ascii="Times New Roman" w:hAnsi="Times New Roman" w:cs="Times New Roman"/>
          <w:color w:val="000000"/>
        </w:rPr>
        <w:footnoteReference w:id="90"/>
      </w:r>
      <w:r>
        <w:rPr>
          <w:rFonts w:ascii="Times New Roman" w:hAnsi="Times New Roman" w:cs="Times New Roman"/>
          <w:color w:val="000000"/>
        </w:rPr>
        <w:t>. Although both of these hoards point towards the idea that there was unrest in Britain at this time, there is still no evidence of Boudicca as a person existing. Was she a figurehead of the revolt or a commanding general? Or was she merely a literary invention by Tacitus and Cassius Dio to use for their own gain? The intention may have been to make Emperor Nero seem weak as a “barbarian”</w:t>
      </w:r>
      <w:r>
        <w:rPr>
          <w:rStyle w:val="FootnoteReference"/>
          <w:rFonts w:ascii="Times New Roman" w:hAnsi="Times New Roman" w:cs="Times New Roman"/>
          <w:color w:val="000000"/>
        </w:rPr>
        <w:footnoteReference w:id="91"/>
      </w:r>
      <w:r>
        <w:rPr>
          <w:rFonts w:ascii="Times New Roman" w:hAnsi="Times New Roman" w:cs="Times New Roman"/>
          <w:color w:val="000000"/>
        </w:rPr>
        <w:t xml:space="preserve"> - women could fight his army and be victorious</w:t>
      </w:r>
      <w:r>
        <w:rPr>
          <w:rStyle w:val="FootnoteReference"/>
          <w:rFonts w:ascii="Times New Roman" w:hAnsi="Times New Roman" w:cs="Times New Roman"/>
          <w:color w:val="000000"/>
        </w:rPr>
        <w:footnoteReference w:id="92"/>
      </w:r>
      <w:r>
        <w:rPr>
          <w:rFonts w:ascii="Times New Roman" w:hAnsi="Times New Roman" w:cs="Times New Roman"/>
          <w:color w:val="000000"/>
        </w:rPr>
        <w:t>.</w:t>
      </w:r>
    </w:p>
    <w:p w14:paraId="2AC5D843" w14:textId="5C626C9A" w:rsidR="001F1993" w:rsidRDefault="001F1993" w:rsidP="001F1993">
      <w:pPr>
        <w:spacing w:line="480" w:lineRule="auto"/>
        <w:ind w:firstLine="720"/>
        <w:rPr>
          <w:rFonts w:ascii="Times New Roman" w:hAnsi="Times New Roman" w:cs="Times New Roman"/>
          <w:color w:val="000000"/>
        </w:rPr>
      </w:pPr>
      <w:r>
        <w:rPr>
          <w:rFonts w:ascii="Times New Roman" w:hAnsi="Times New Roman" w:cs="Times New Roman"/>
          <w:color w:val="000000"/>
        </w:rPr>
        <w:t>Boudicca’s revolt was not the only revolt to take place around this time in the Roman Empire. The Romans had to deal with a revolt by the Batavians only around ten years after Boudicca had been stopped</w:t>
      </w:r>
      <w:r>
        <w:rPr>
          <w:rStyle w:val="FootnoteReference"/>
          <w:rFonts w:ascii="Times New Roman" w:hAnsi="Times New Roman" w:cs="Times New Roman"/>
          <w:color w:val="000000"/>
        </w:rPr>
        <w:footnoteReference w:id="93"/>
      </w:r>
      <w:r>
        <w:rPr>
          <w:rFonts w:ascii="Times New Roman" w:hAnsi="Times New Roman" w:cs="Times New Roman"/>
          <w:color w:val="000000"/>
        </w:rPr>
        <w:t xml:space="preserve">. According to Tacitus </w:t>
      </w:r>
      <w:r w:rsidR="00507B02">
        <w:rPr>
          <w:rFonts w:ascii="Times New Roman" w:hAnsi="Times New Roman" w:cs="Times New Roman"/>
          <w:color w:val="000000"/>
        </w:rPr>
        <w:t>these people</w:t>
      </w:r>
      <w:r>
        <w:rPr>
          <w:rFonts w:ascii="Times New Roman" w:hAnsi="Times New Roman" w:cs="Times New Roman"/>
          <w:color w:val="000000"/>
        </w:rPr>
        <w:t xml:space="preserve"> also revolted against the Romans</w:t>
      </w:r>
      <w:r>
        <w:rPr>
          <w:rStyle w:val="FootnoteReference"/>
          <w:rFonts w:ascii="Times New Roman" w:hAnsi="Times New Roman" w:cs="Times New Roman"/>
          <w:color w:val="000000"/>
        </w:rPr>
        <w:footnoteReference w:id="94"/>
      </w:r>
      <w:r>
        <w:rPr>
          <w:rFonts w:ascii="Times New Roman" w:hAnsi="Times New Roman" w:cs="Times New Roman"/>
          <w:color w:val="000000"/>
        </w:rPr>
        <w:t>. Another likeness with Boudicca’s revolt was that, like the Iceni, the Batavians were also a client kingdom, but instead of money tributes, they were expected to provide troops for the Roman army</w:t>
      </w:r>
      <w:r>
        <w:rPr>
          <w:rStyle w:val="FootnoteReference"/>
          <w:rFonts w:ascii="Times New Roman" w:hAnsi="Times New Roman" w:cs="Times New Roman"/>
          <w:color w:val="000000"/>
        </w:rPr>
        <w:footnoteReference w:id="95"/>
      </w:r>
      <w:r>
        <w:rPr>
          <w:rFonts w:ascii="Times New Roman" w:hAnsi="Times New Roman" w:cs="Times New Roman"/>
          <w:color w:val="000000"/>
        </w:rPr>
        <w:t>. Although Civilis was a male leader, he did a few things Tacitus describes as “a vow often made by barbarians”</w:t>
      </w:r>
      <w:r>
        <w:rPr>
          <w:rStyle w:val="FootnoteReference"/>
          <w:rFonts w:ascii="Times New Roman" w:hAnsi="Times New Roman" w:cs="Times New Roman"/>
          <w:color w:val="000000"/>
        </w:rPr>
        <w:footnoteReference w:id="96"/>
      </w:r>
      <w:r>
        <w:rPr>
          <w:rFonts w:ascii="Times New Roman" w:hAnsi="Times New Roman" w:cs="Times New Roman"/>
          <w:color w:val="000000"/>
        </w:rPr>
        <w:t xml:space="preserve"> and dyed his hair a vivid red. He also grew it long, in comparison to Boudicca’s description in Cassius Dio “</w:t>
      </w:r>
      <w:r w:rsidRPr="00F124CD">
        <w:rPr>
          <w:rFonts w:ascii="Times New Roman" w:hAnsi="Times New Roman" w:cs="Times New Roman"/>
          <w:color w:val="000000"/>
        </w:rPr>
        <w:t>a great mass of the tawniest hair fell to her hips</w:t>
      </w:r>
      <w:r>
        <w:rPr>
          <w:rFonts w:ascii="Times New Roman" w:hAnsi="Times New Roman" w:cs="Times New Roman"/>
          <w:color w:val="000000"/>
        </w:rPr>
        <w:t>”</w:t>
      </w:r>
      <w:r>
        <w:rPr>
          <w:rStyle w:val="FootnoteReference"/>
          <w:rFonts w:ascii="Times New Roman" w:hAnsi="Times New Roman" w:cs="Times New Roman"/>
          <w:color w:val="000000"/>
        </w:rPr>
        <w:footnoteReference w:id="97"/>
      </w:r>
      <w:r>
        <w:rPr>
          <w:rFonts w:ascii="Times New Roman" w:hAnsi="Times New Roman" w:cs="Times New Roman"/>
          <w:color w:val="000000"/>
        </w:rPr>
        <w:t xml:space="preserve">. This is significant because Civilis would rather revert to his ‘native’ roots to gain support of his people than remain Roman. Once again this is the main theme running through Boudicca’s </w:t>
      </w:r>
      <w:r>
        <w:rPr>
          <w:rFonts w:ascii="Times New Roman" w:hAnsi="Times New Roman" w:cs="Times New Roman"/>
          <w:color w:val="000000"/>
        </w:rPr>
        <w:lastRenderedPageBreak/>
        <w:t>revolt: native Britons going against Roman rule</w:t>
      </w:r>
      <w:r>
        <w:rPr>
          <w:rStyle w:val="FootnoteReference"/>
          <w:rFonts w:ascii="Times New Roman" w:hAnsi="Times New Roman" w:cs="Times New Roman"/>
          <w:color w:val="000000"/>
        </w:rPr>
        <w:footnoteReference w:id="98"/>
      </w:r>
      <w:r>
        <w:rPr>
          <w:rFonts w:ascii="Times New Roman" w:hAnsi="Times New Roman" w:cs="Times New Roman"/>
          <w:color w:val="000000"/>
        </w:rPr>
        <w:t>. Although Civilis was a male leader, Tacitus does mention a strong female figure in the revolt- a prophetess by the name Velda</w:t>
      </w:r>
      <w:r>
        <w:rPr>
          <w:rStyle w:val="FootnoteReference"/>
          <w:rFonts w:ascii="Times New Roman" w:hAnsi="Times New Roman" w:cs="Times New Roman"/>
          <w:color w:val="000000"/>
        </w:rPr>
        <w:footnoteReference w:id="99"/>
      </w:r>
      <w:r>
        <w:rPr>
          <w:rFonts w:ascii="Times New Roman" w:hAnsi="Times New Roman" w:cs="Times New Roman"/>
          <w:color w:val="000000"/>
        </w:rPr>
        <w:t>. Religion is a theme that is not really touched on in the Boudiccan revolt, and the only mention of religion is Boudicca supposedly setting loose a hare from her skirts before her final battle</w:t>
      </w:r>
      <w:r>
        <w:rPr>
          <w:rStyle w:val="FootnoteReference"/>
          <w:rFonts w:ascii="Times New Roman" w:hAnsi="Times New Roman" w:cs="Times New Roman"/>
          <w:color w:val="000000"/>
        </w:rPr>
        <w:footnoteReference w:id="100"/>
      </w:r>
      <w:r>
        <w:rPr>
          <w:rFonts w:ascii="Times New Roman" w:hAnsi="Times New Roman" w:cs="Times New Roman"/>
          <w:color w:val="000000"/>
        </w:rPr>
        <w:t>. However, this is only mentioned by one author, Cassius Dio, and not by Tacitus and Suetonius, so this could also simply have been added for dramatic effect, in comparison to Velda who as a prophetess played a significant role in the Batavian revolt</w:t>
      </w:r>
      <w:r>
        <w:rPr>
          <w:rStyle w:val="FootnoteReference"/>
          <w:rFonts w:ascii="Times New Roman" w:hAnsi="Times New Roman" w:cs="Times New Roman"/>
          <w:color w:val="000000"/>
        </w:rPr>
        <w:footnoteReference w:id="101"/>
      </w:r>
      <w:r>
        <w:rPr>
          <w:rFonts w:ascii="Times New Roman" w:hAnsi="Times New Roman" w:cs="Times New Roman"/>
          <w:color w:val="000000"/>
        </w:rPr>
        <w:t>.</w:t>
      </w:r>
    </w:p>
    <w:p w14:paraId="03064BEC" w14:textId="77777777" w:rsidR="001F1993" w:rsidRDefault="001F1993" w:rsidP="001F1993">
      <w:pPr>
        <w:spacing w:line="480" w:lineRule="auto"/>
        <w:ind w:firstLine="720"/>
        <w:rPr>
          <w:rFonts w:ascii="Times New Roman" w:hAnsi="Times New Roman" w:cs="Times New Roman"/>
          <w:color w:val="000000"/>
        </w:rPr>
      </w:pPr>
      <w:r>
        <w:rPr>
          <w:rFonts w:ascii="Times New Roman" w:hAnsi="Times New Roman" w:cs="Times New Roman"/>
          <w:color w:val="000000"/>
        </w:rPr>
        <w:t>Another thing both of these revolts have in common is the success in their early stages. Both either timed their revolts, or by sheer coincidence, revolted when the main Roman army was occupied elsewhere. The Batavian revolt was set during the Civil War</w:t>
      </w:r>
      <w:r>
        <w:rPr>
          <w:rStyle w:val="FootnoteReference"/>
          <w:rFonts w:ascii="Times New Roman" w:hAnsi="Times New Roman" w:cs="Times New Roman"/>
          <w:color w:val="000000"/>
        </w:rPr>
        <w:footnoteReference w:id="102"/>
      </w:r>
      <w:r>
        <w:rPr>
          <w:rFonts w:ascii="Times New Roman" w:hAnsi="Times New Roman" w:cs="Times New Roman"/>
          <w:color w:val="000000"/>
        </w:rPr>
        <w:t>, whilst Boudicca’s revolt happened whilst the bulk of the Roman army in Britain was in Anglesey, dealing with the Druids</w:t>
      </w:r>
      <w:r>
        <w:rPr>
          <w:rStyle w:val="FootnoteReference"/>
          <w:rFonts w:ascii="Times New Roman" w:hAnsi="Times New Roman" w:cs="Times New Roman"/>
          <w:color w:val="000000"/>
        </w:rPr>
        <w:footnoteReference w:id="103"/>
      </w:r>
      <w:r>
        <w:rPr>
          <w:rFonts w:ascii="Times New Roman" w:hAnsi="Times New Roman" w:cs="Times New Roman"/>
          <w:color w:val="000000"/>
        </w:rPr>
        <w:t>. Furthermore, both revolts started for similar reasons: the heavy demands of the Romans on the people. In the Batavian case, the recruitment system was harsh and the Romans asked for too many men</w:t>
      </w:r>
      <w:r>
        <w:rPr>
          <w:rStyle w:val="FootnoteReference"/>
          <w:rFonts w:ascii="Times New Roman" w:hAnsi="Times New Roman" w:cs="Times New Roman"/>
          <w:color w:val="000000"/>
        </w:rPr>
        <w:footnoteReference w:id="104"/>
      </w:r>
      <w:r>
        <w:rPr>
          <w:rFonts w:ascii="Times New Roman" w:hAnsi="Times New Roman" w:cs="Times New Roman"/>
          <w:color w:val="000000"/>
        </w:rPr>
        <w:t>, whilst in the case of Boudicca, as seen above, the Romans tried to claim Icenian territory in a harsh manner</w:t>
      </w:r>
      <w:r>
        <w:rPr>
          <w:rStyle w:val="FootnoteReference"/>
          <w:rFonts w:ascii="Times New Roman" w:hAnsi="Times New Roman" w:cs="Times New Roman"/>
          <w:color w:val="000000"/>
        </w:rPr>
        <w:footnoteReference w:id="105"/>
      </w:r>
      <w:r>
        <w:rPr>
          <w:rFonts w:ascii="Times New Roman" w:hAnsi="Times New Roman" w:cs="Times New Roman"/>
          <w:color w:val="000000"/>
        </w:rPr>
        <w:t>. This shows us that the Roman treatment of the Icenian people was not uncommon and it is therefore possible that both Cassius Dio (when mentioning Boudicca) and Tacitus mention this harsh treatment as a way of showing that Nero left chaos wherever he went and for whoever succeeded him as Emperor</w:t>
      </w:r>
      <w:r>
        <w:rPr>
          <w:rStyle w:val="FootnoteReference"/>
          <w:rFonts w:ascii="Times New Roman" w:hAnsi="Times New Roman" w:cs="Times New Roman"/>
          <w:color w:val="000000"/>
        </w:rPr>
        <w:footnoteReference w:id="106"/>
      </w:r>
      <w:r>
        <w:rPr>
          <w:rFonts w:ascii="Times New Roman" w:hAnsi="Times New Roman" w:cs="Times New Roman"/>
          <w:color w:val="000000"/>
        </w:rPr>
        <w:t>.</w:t>
      </w:r>
    </w:p>
    <w:p w14:paraId="239B5E73" w14:textId="77777777" w:rsidR="001F1993" w:rsidRDefault="001F1993" w:rsidP="001F1993">
      <w:pPr>
        <w:spacing w:line="480" w:lineRule="auto"/>
        <w:ind w:firstLine="720"/>
        <w:rPr>
          <w:rFonts w:ascii="Times New Roman" w:hAnsi="Times New Roman" w:cs="Times New Roman"/>
          <w:color w:val="000000"/>
        </w:rPr>
      </w:pPr>
      <w:r>
        <w:rPr>
          <w:rFonts w:ascii="Times New Roman" w:hAnsi="Times New Roman" w:cs="Times New Roman"/>
          <w:color w:val="000000"/>
        </w:rPr>
        <w:lastRenderedPageBreak/>
        <w:t>Whether or not Boudicca existed, there were many repercussions of this revolt. As was to be expected, the Iceni and the Trinovantes did not go unpunished. According to Tacitus “whatever tribes still wavered or were hostile were ravaged with fire and sword”</w:t>
      </w:r>
      <w:r>
        <w:rPr>
          <w:rStyle w:val="FootnoteReference"/>
          <w:rFonts w:ascii="Times New Roman" w:hAnsi="Times New Roman" w:cs="Times New Roman"/>
          <w:color w:val="000000"/>
        </w:rPr>
        <w:footnoteReference w:id="107"/>
      </w:r>
      <w:r>
        <w:rPr>
          <w:rFonts w:ascii="Times New Roman" w:hAnsi="Times New Roman" w:cs="Times New Roman"/>
          <w:color w:val="000000"/>
        </w:rPr>
        <w:t>. This would have had serious repercussions on both of these people’s livelihoods and way of life. The first instance was the famine that hit the Iceni and Trinovantes</w:t>
      </w:r>
      <w:r>
        <w:rPr>
          <w:rStyle w:val="FootnoteReference"/>
          <w:rFonts w:ascii="Times New Roman" w:hAnsi="Times New Roman" w:cs="Times New Roman"/>
          <w:color w:val="000000"/>
        </w:rPr>
        <w:footnoteReference w:id="108"/>
      </w:r>
      <w:r>
        <w:rPr>
          <w:rFonts w:ascii="Times New Roman" w:hAnsi="Times New Roman" w:cs="Times New Roman"/>
          <w:color w:val="000000"/>
        </w:rPr>
        <w:t>. The reason for the famine was that most of the farmers and their families had joined the revolt</w:t>
      </w:r>
      <w:r>
        <w:rPr>
          <w:rStyle w:val="FootnoteReference"/>
          <w:rFonts w:ascii="Times New Roman" w:hAnsi="Times New Roman" w:cs="Times New Roman"/>
          <w:color w:val="000000"/>
        </w:rPr>
        <w:footnoteReference w:id="109"/>
      </w:r>
      <w:r>
        <w:rPr>
          <w:rFonts w:ascii="Times New Roman" w:hAnsi="Times New Roman" w:cs="Times New Roman"/>
          <w:color w:val="000000"/>
        </w:rPr>
        <w:t>. Because of this, no crops had been sewn or harvested and when the Romans forced the Britons back to their lands, many had already perished in the revolt</w:t>
      </w:r>
      <w:r>
        <w:rPr>
          <w:rStyle w:val="FootnoteReference"/>
          <w:rFonts w:ascii="Times New Roman" w:hAnsi="Times New Roman" w:cs="Times New Roman"/>
          <w:color w:val="000000"/>
        </w:rPr>
        <w:footnoteReference w:id="110"/>
      </w:r>
      <w:r>
        <w:rPr>
          <w:rFonts w:ascii="Times New Roman" w:hAnsi="Times New Roman" w:cs="Times New Roman"/>
          <w:color w:val="000000"/>
        </w:rPr>
        <w:t>. If this was not bad enough, the Romans then decided that in order to make sure that the Iceni never thought to revolt again, they would place a few forts around the Norfolk and Suffolk areas to show the Iceni of the Romans’ continued presence in Britain</w:t>
      </w:r>
      <w:r>
        <w:rPr>
          <w:rStyle w:val="FootnoteReference"/>
          <w:rFonts w:ascii="Times New Roman" w:hAnsi="Times New Roman" w:cs="Times New Roman"/>
          <w:color w:val="000000"/>
        </w:rPr>
        <w:footnoteReference w:id="111"/>
      </w:r>
      <w:r>
        <w:rPr>
          <w:rFonts w:ascii="Times New Roman" w:hAnsi="Times New Roman" w:cs="Times New Roman"/>
          <w:color w:val="000000"/>
        </w:rPr>
        <w:t>. Examples of these can be found at Ixworth and Coddenham and an even larger one can be found at Great Chesterford</w:t>
      </w:r>
      <w:r>
        <w:rPr>
          <w:rStyle w:val="FootnoteReference"/>
          <w:rFonts w:ascii="Times New Roman" w:hAnsi="Times New Roman" w:cs="Times New Roman"/>
          <w:color w:val="000000"/>
        </w:rPr>
        <w:footnoteReference w:id="112"/>
      </w:r>
      <w:r>
        <w:rPr>
          <w:rFonts w:ascii="Times New Roman" w:hAnsi="Times New Roman" w:cs="Times New Roman"/>
          <w:color w:val="000000"/>
        </w:rPr>
        <w:t>. This revolt did not just affect Norfolk in this way, but more forts were built around the country to dissuade others from following in Boudicca’s footsteps. A prime example of this is Lincoln, where pottery shards have been found that suggest that it began its existence around 60/61 AD, either during the revolt or after Boudicca’s death</w:t>
      </w:r>
      <w:r>
        <w:rPr>
          <w:rStyle w:val="FootnoteReference"/>
          <w:rFonts w:ascii="Times New Roman" w:hAnsi="Times New Roman" w:cs="Times New Roman"/>
          <w:color w:val="000000"/>
        </w:rPr>
        <w:footnoteReference w:id="113"/>
      </w:r>
      <w:r>
        <w:rPr>
          <w:rFonts w:ascii="Times New Roman" w:hAnsi="Times New Roman" w:cs="Times New Roman"/>
          <w:color w:val="000000"/>
        </w:rPr>
        <w:t>.</w:t>
      </w:r>
    </w:p>
    <w:p w14:paraId="338B1381" w14:textId="6739F3DF" w:rsidR="001F1993" w:rsidRDefault="001F1993" w:rsidP="001F1993">
      <w:pPr>
        <w:tabs>
          <w:tab w:val="left" w:pos="6220"/>
        </w:tabs>
        <w:spacing w:line="480" w:lineRule="auto"/>
        <w:ind w:firstLine="720"/>
        <w:rPr>
          <w:rFonts w:ascii="Times New Roman" w:hAnsi="Times New Roman" w:cs="Times New Roman"/>
          <w:color w:val="000000"/>
        </w:rPr>
      </w:pPr>
      <w:r>
        <w:rPr>
          <w:rFonts w:ascii="Times New Roman" w:hAnsi="Times New Roman" w:cs="Times New Roman"/>
          <w:color w:val="000000"/>
        </w:rPr>
        <w:t xml:space="preserve">However, considering these forts, evidence found at Caistor-St-Edmund (or also known as Caistor-by-Norwich) is surprising. This town was developed by the Romans from a Late Iron Age settlement and given the new name </w:t>
      </w:r>
      <w:r>
        <w:rPr>
          <w:rFonts w:ascii="Times New Roman" w:hAnsi="Times New Roman" w:cs="Times New Roman"/>
          <w:i/>
          <w:color w:val="000000"/>
        </w:rPr>
        <w:t>Venta Icenorum</w:t>
      </w:r>
      <w:r w:rsidRPr="004A6283">
        <w:rPr>
          <w:rFonts w:ascii="Times New Roman" w:hAnsi="Times New Roman" w:cs="Times New Roman"/>
          <w:color w:val="000000"/>
        </w:rPr>
        <w:t>,</w:t>
      </w:r>
      <w:r>
        <w:rPr>
          <w:rFonts w:ascii="Times New Roman" w:hAnsi="Times New Roman" w:cs="Times New Roman"/>
          <w:i/>
          <w:color w:val="000000"/>
        </w:rPr>
        <w:t xml:space="preserve"> </w:t>
      </w:r>
      <w:r>
        <w:rPr>
          <w:rFonts w:ascii="Times New Roman" w:hAnsi="Times New Roman" w:cs="Times New Roman"/>
          <w:color w:val="000000"/>
        </w:rPr>
        <w:t xml:space="preserve">meaning </w:t>
      </w:r>
      <w:r>
        <w:rPr>
          <w:rFonts w:ascii="Times New Roman" w:hAnsi="Times New Roman" w:cs="Times New Roman"/>
          <w:color w:val="000000"/>
        </w:rPr>
        <w:lastRenderedPageBreak/>
        <w:t>‘The marketplace of the Iceni’</w:t>
      </w:r>
      <w:r>
        <w:rPr>
          <w:rStyle w:val="FootnoteReference"/>
          <w:rFonts w:ascii="Times New Roman" w:hAnsi="Times New Roman" w:cs="Times New Roman"/>
          <w:i/>
          <w:color w:val="000000"/>
        </w:rPr>
        <w:footnoteReference w:id="114"/>
      </w:r>
      <w:r>
        <w:rPr>
          <w:rFonts w:ascii="Times New Roman" w:hAnsi="Times New Roman" w:cs="Times New Roman"/>
          <w:color w:val="000000"/>
        </w:rPr>
        <w:t>, becoming the new Iceni capital. However, as we can see from this area, the Iceni never fully regained the wealth and status they had before Boudicca’s revolt. The evidence found in this town is surprising, because although this particular small town had a full sized legionary fortress there to keep an eye on them</w:t>
      </w:r>
      <w:r>
        <w:rPr>
          <w:rStyle w:val="FootnoteReference"/>
          <w:rFonts w:ascii="Times New Roman" w:hAnsi="Times New Roman" w:cs="Times New Roman"/>
          <w:color w:val="000000"/>
        </w:rPr>
        <w:footnoteReference w:id="115"/>
      </w:r>
      <w:r>
        <w:rPr>
          <w:rFonts w:ascii="Times New Roman" w:hAnsi="Times New Roman" w:cs="Times New Roman"/>
          <w:color w:val="000000"/>
        </w:rPr>
        <w:t>, the Iceni seem to have been one of the least ‘Romanised’ capitals found in Britain</w:t>
      </w:r>
      <w:r>
        <w:rPr>
          <w:rStyle w:val="FootnoteReference"/>
          <w:rFonts w:ascii="Times New Roman" w:hAnsi="Times New Roman" w:cs="Times New Roman"/>
          <w:color w:val="000000"/>
        </w:rPr>
        <w:footnoteReference w:id="116"/>
      </w:r>
      <w:r>
        <w:rPr>
          <w:rFonts w:ascii="Times New Roman" w:hAnsi="Times New Roman" w:cs="Times New Roman"/>
          <w:color w:val="000000"/>
        </w:rPr>
        <w:t>. Whether this was because they believed that the fort would keep the people in line or because the Iceni were not worth the effort after the famine and rebuilding their homes we do not know</w:t>
      </w:r>
      <w:r>
        <w:rPr>
          <w:rStyle w:val="FootnoteReference"/>
          <w:rFonts w:ascii="Times New Roman" w:hAnsi="Times New Roman" w:cs="Times New Roman"/>
          <w:color w:val="000000"/>
        </w:rPr>
        <w:footnoteReference w:id="117"/>
      </w:r>
      <w:r>
        <w:rPr>
          <w:rFonts w:ascii="Times New Roman" w:hAnsi="Times New Roman" w:cs="Times New Roman"/>
          <w:color w:val="000000"/>
        </w:rPr>
        <w:t>.</w:t>
      </w:r>
    </w:p>
    <w:p w14:paraId="7977FB79" w14:textId="77777777" w:rsidR="001F1993" w:rsidRDefault="001F1993" w:rsidP="001F1993">
      <w:pPr>
        <w:tabs>
          <w:tab w:val="left" w:pos="6220"/>
        </w:tabs>
        <w:spacing w:line="480" w:lineRule="auto"/>
        <w:ind w:firstLine="720"/>
        <w:rPr>
          <w:rFonts w:ascii="Times New Roman" w:hAnsi="Times New Roman" w:cs="Times New Roman"/>
          <w:color w:val="000000"/>
        </w:rPr>
      </w:pPr>
      <w:r>
        <w:rPr>
          <w:rFonts w:ascii="Times New Roman" w:hAnsi="Times New Roman" w:cs="Times New Roman"/>
          <w:color w:val="000000"/>
        </w:rPr>
        <w:t>After the Romans decided to rebuild Colchester, they decided to move their capital to London, which also needed to be rebuilt after Boudicca’s forces burnt it to the ground</w:t>
      </w:r>
      <w:r>
        <w:rPr>
          <w:rStyle w:val="FootnoteReference"/>
          <w:rFonts w:ascii="Times New Roman" w:hAnsi="Times New Roman" w:cs="Times New Roman"/>
          <w:color w:val="000000"/>
        </w:rPr>
        <w:footnoteReference w:id="118"/>
      </w:r>
      <w:r>
        <w:rPr>
          <w:rFonts w:ascii="Times New Roman" w:hAnsi="Times New Roman" w:cs="Times New Roman"/>
          <w:color w:val="000000"/>
        </w:rPr>
        <w:t>. According to Hoffmann, London’s rebuilding took a lot longer than Colchester’s, which was also being rebuilt around the same time</w:t>
      </w:r>
      <w:r>
        <w:rPr>
          <w:rStyle w:val="FootnoteReference"/>
          <w:rFonts w:ascii="Times New Roman" w:hAnsi="Times New Roman" w:cs="Times New Roman"/>
          <w:color w:val="000000"/>
        </w:rPr>
        <w:footnoteReference w:id="119"/>
      </w:r>
      <w:r>
        <w:rPr>
          <w:rFonts w:ascii="Times New Roman" w:hAnsi="Times New Roman" w:cs="Times New Roman"/>
          <w:color w:val="000000"/>
        </w:rPr>
        <w:t>. The reason for this appears to be because the Romans in charge used their own money as well as state money in order to build this town to their image- the perfect Roman capital</w:t>
      </w:r>
      <w:r>
        <w:rPr>
          <w:rStyle w:val="FootnoteReference"/>
          <w:rFonts w:ascii="Times New Roman" w:hAnsi="Times New Roman" w:cs="Times New Roman"/>
          <w:color w:val="000000"/>
        </w:rPr>
        <w:footnoteReference w:id="120"/>
      </w:r>
      <w:r>
        <w:rPr>
          <w:rFonts w:ascii="Times New Roman" w:hAnsi="Times New Roman" w:cs="Times New Roman"/>
          <w:color w:val="000000"/>
        </w:rPr>
        <w:t>.</w:t>
      </w:r>
    </w:p>
    <w:p w14:paraId="0AF75955" w14:textId="77777777" w:rsidR="001F1993" w:rsidRDefault="001F1993" w:rsidP="001F1993">
      <w:pPr>
        <w:tabs>
          <w:tab w:val="left" w:pos="6220"/>
        </w:tabs>
        <w:spacing w:line="480" w:lineRule="auto"/>
        <w:ind w:firstLine="720"/>
        <w:rPr>
          <w:rFonts w:ascii="Times New Roman" w:hAnsi="Times New Roman" w:cs="Times New Roman"/>
          <w:color w:val="000000"/>
        </w:rPr>
      </w:pPr>
      <w:r>
        <w:rPr>
          <w:rFonts w:ascii="Times New Roman" w:hAnsi="Times New Roman" w:cs="Times New Roman"/>
          <w:color w:val="000000"/>
        </w:rPr>
        <w:t>Finally, the last major effect Boudicca’s revolt had on Britain is to do with religion. Aldrete when describing a Roman Forum mentions the presence of temples and shrines, something that can be seen throughout the Empire</w:t>
      </w:r>
      <w:r>
        <w:rPr>
          <w:rStyle w:val="FootnoteReference"/>
          <w:rFonts w:ascii="Times New Roman" w:hAnsi="Times New Roman" w:cs="Times New Roman"/>
          <w:color w:val="000000"/>
        </w:rPr>
        <w:footnoteReference w:id="121"/>
      </w:r>
      <w:r>
        <w:rPr>
          <w:rFonts w:ascii="Times New Roman" w:hAnsi="Times New Roman" w:cs="Times New Roman"/>
          <w:color w:val="000000"/>
        </w:rPr>
        <w:t>. A prime example of this would be Claudius’ temple that Boudicca’s forces subsequently burnt down</w:t>
      </w:r>
      <w:r>
        <w:rPr>
          <w:rStyle w:val="FootnoteReference"/>
          <w:rFonts w:ascii="Times New Roman" w:hAnsi="Times New Roman" w:cs="Times New Roman"/>
          <w:color w:val="000000"/>
        </w:rPr>
        <w:footnoteReference w:id="122"/>
      </w:r>
      <w:r>
        <w:rPr>
          <w:rFonts w:ascii="Times New Roman" w:hAnsi="Times New Roman" w:cs="Times New Roman"/>
          <w:color w:val="000000"/>
        </w:rPr>
        <w:t xml:space="preserve">. The Romans obviously learnt that they could not enforce Roman religion on the native population this way, which is why, when </w:t>
      </w:r>
      <w:r>
        <w:rPr>
          <w:rFonts w:ascii="Times New Roman" w:hAnsi="Times New Roman" w:cs="Times New Roman"/>
          <w:noProof/>
          <w:color w:val="000000"/>
        </w:rPr>
        <w:t>Guy De La Bédoyère</w:t>
      </w:r>
      <w:r>
        <w:rPr>
          <w:rFonts w:ascii="Times New Roman" w:hAnsi="Times New Roman" w:cs="Times New Roman"/>
          <w:color w:val="000000"/>
        </w:rPr>
        <w:t xml:space="preserve"> is describing a typical </w:t>
      </w:r>
      <w:r>
        <w:rPr>
          <w:rFonts w:ascii="Times New Roman" w:hAnsi="Times New Roman" w:cs="Times New Roman"/>
          <w:color w:val="000000"/>
        </w:rPr>
        <w:lastRenderedPageBreak/>
        <w:t>forum in Britain, he makes no mention of any temples or shrines</w:t>
      </w:r>
      <w:r>
        <w:rPr>
          <w:rStyle w:val="FootnoteReference"/>
          <w:rFonts w:ascii="Times New Roman" w:hAnsi="Times New Roman" w:cs="Times New Roman"/>
          <w:color w:val="000000"/>
        </w:rPr>
        <w:footnoteReference w:id="123"/>
      </w:r>
      <w:r>
        <w:rPr>
          <w:rFonts w:ascii="Times New Roman" w:hAnsi="Times New Roman" w:cs="Times New Roman"/>
          <w:color w:val="000000"/>
        </w:rPr>
        <w:t>. This shows us that the Romans adapted to the natives’ needs, which ultimately shows that although Boudicca’s revolt was unsuccessful and the Iceni and Trinovantes suffered afterwards, Britain was treated differently when compared to other provinces in the Roman Empire.</w:t>
      </w:r>
    </w:p>
    <w:p w14:paraId="4E2AB578" w14:textId="77777777" w:rsidR="001F1993" w:rsidRDefault="001F1993" w:rsidP="001F1993">
      <w:pPr>
        <w:tabs>
          <w:tab w:val="left" w:pos="6220"/>
        </w:tabs>
        <w:spacing w:line="480" w:lineRule="auto"/>
        <w:ind w:firstLine="720"/>
        <w:rPr>
          <w:rFonts w:ascii="Times New Roman" w:hAnsi="Times New Roman" w:cs="Times New Roman"/>
          <w:color w:val="000000"/>
        </w:rPr>
      </w:pPr>
      <w:r>
        <w:rPr>
          <w:rFonts w:ascii="Times New Roman" w:hAnsi="Times New Roman" w:cs="Times New Roman"/>
          <w:color w:val="000000"/>
        </w:rPr>
        <w:t>As we can see, Boudicca’s revolt ultimately failed, as the Romans were able to stop her troops and then proceeded to rebuild towns in an even more ‘Romanised’ way. However, just because her revolt was stopped, Boudicca still had an effect on the way in which Rome decided to govern Britain. We can see that Nero tried to abandon Britannia because of his concerns regarding the amount of work involved in maintaining the client kingdoms</w:t>
      </w:r>
      <w:r>
        <w:rPr>
          <w:rStyle w:val="FootnoteReference"/>
          <w:rFonts w:ascii="Times New Roman" w:hAnsi="Times New Roman" w:cs="Times New Roman"/>
          <w:color w:val="000000"/>
        </w:rPr>
        <w:footnoteReference w:id="124"/>
      </w:r>
      <w:r>
        <w:rPr>
          <w:rFonts w:ascii="Times New Roman" w:hAnsi="Times New Roman" w:cs="Times New Roman"/>
          <w:color w:val="000000"/>
        </w:rPr>
        <w:t>. We can also see that the Iceni capital after the revolt was the least ‘Romanised’ of all the tribal capitals in Britain</w:t>
      </w:r>
      <w:r>
        <w:rPr>
          <w:rStyle w:val="FootnoteReference"/>
          <w:rFonts w:ascii="Times New Roman" w:hAnsi="Times New Roman" w:cs="Times New Roman"/>
          <w:color w:val="000000"/>
        </w:rPr>
        <w:footnoteReference w:id="125"/>
      </w:r>
      <w:r>
        <w:rPr>
          <w:rFonts w:ascii="Times New Roman" w:hAnsi="Times New Roman" w:cs="Times New Roman"/>
          <w:color w:val="000000"/>
        </w:rPr>
        <w:t>.</w:t>
      </w:r>
    </w:p>
    <w:p w14:paraId="0EE5D771" w14:textId="77777777" w:rsidR="004A6283" w:rsidRDefault="004A6283" w:rsidP="00A55D28">
      <w:pPr>
        <w:tabs>
          <w:tab w:val="left" w:pos="6220"/>
        </w:tabs>
        <w:spacing w:line="480" w:lineRule="auto"/>
        <w:ind w:firstLine="720"/>
        <w:rPr>
          <w:rFonts w:ascii="Times New Roman" w:hAnsi="Times New Roman" w:cs="Times New Roman"/>
          <w:color w:val="000000"/>
        </w:rPr>
      </w:pPr>
    </w:p>
    <w:p w14:paraId="3B4B31FA" w14:textId="77777777" w:rsidR="004A6283" w:rsidRDefault="004A6283" w:rsidP="00A55D28">
      <w:pPr>
        <w:tabs>
          <w:tab w:val="left" w:pos="6220"/>
        </w:tabs>
        <w:spacing w:line="480" w:lineRule="auto"/>
        <w:ind w:firstLine="720"/>
        <w:rPr>
          <w:rFonts w:ascii="Times New Roman" w:hAnsi="Times New Roman" w:cs="Times New Roman"/>
          <w:color w:val="000000"/>
        </w:rPr>
      </w:pPr>
    </w:p>
    <w:p w14:paraId="4EC90994" w14:textId="77777777" w:rsidR="004A6283" w:rsidRDefault="004A6283" w:rsidP="00A55D28">
      <w:pPr>
        <w:tabs>
          <w:tab w:val="left" w:pos="6220"/>
        </w:tabs>
        <w:spacing w:line="480" w:lineRule="auto"/>
        <w:ind w:firstLine="720"/>
        <w:rPr>
          <w:rFonts w:ascii="Times New Roman" w:hAnsi="Times New Roman" w:cs="Times New Roman"/>
          <w:color w:val="000000"/>
        </w:rPr>
      </w:pPr>
    </w:p>
    <w:p w14:paraId="118150BB" w14:textId="77777777" w:rsidR="004A6283" w:rsidRDefault="004A6283" w:rsidP="00A55D28">
      <w:pPr>
        <w:tabs>
          <w:tab w:val="left" w:pos="6220"/>
        </w:tabs>
        <w:spacing w:line="480" w:lineRule="auto"/>
        <w:ind w:firstLine="720"/>
        <w:rPr>
          <w:rFonts w:ascii="Times New Roman" w:hAnsi="Times New Roman" w:cs="Times New Roman"/>
          <w:color w:val="000000"/>
        </w:rPr>
      </w:pPr>
    </w:p>
    <w:p w14:paraId="798D59BD" w14:textId="77777777" w:rsidR="008F633A" w:rsidRDefault="008F633A" w:rsidP="00A402C2">
      <w:pPr>
        <w:pStyle w:val="Heading1"/>
        <w:spacing w:line="480" w:lineRule="auto"/>
        <w:rPr>
          <w:b/>
          <w:i/>
          <w:color w:val="000000" w:themeColor="text1"/>
          <w:sz w:val="28"/>
          <w:szCs w:val="28"/>
          <w:u w:val="single"/>
        </w:rPr>
      </w:pPr>
    </w:p>
    <w:p w14:paraId="3EB8AFF5" w14:textId="77777777" w:rsidR="008F633A" w:rsidRDefault="008F633A" w:rsidP="008F633A"/>
    <w:p w14:paraId="4E430D10" w14:textId="77777777" w:rsidR="008F633A" w:rsidRDefault="008F633A" w:rsidP="008F633A"/>
    <w:p w14:paraId="7D590E74" w14:textId="77777777" w:rsidR="008F633A" w:rsidRDefault="008F633A" w:rsidP="008F633A"/>
    <w:p w14:paraId="5C8C6AB4" w14:textId="77777777" w:rsidR="008F633A" w:rsidRDefault="008F633A" w:rsidP="008F633A"/>
    <w:p w14:paraId="11E67142" w14:textId="77777777" w:rsidR="008F633A" w:rsidRDefault="008F633A" w:rsidP="008F633A"/>
    <w:p w14:paraId="509399BD" w14:textId="77777777" w:rsidR="008F633A" w:rsidRPr="008F633A" w:rsidRDefault="008F633A" w:rsidP="008F633A"/>
    <w:p w14:paraId="3E14CF1D" w14:textId="3F5A544A" w:rsidR="004A6283" w:rsidRPr="004A6283" w:rsidRDefault="004A6283" w:rsidP="00C62F3F">
      <w:pPr>
        <w:pStyle w:val="Heading1"/>
        <w:spacing w:line="480" w:lineRule="auto"/>
        <w:jc w:val="center"/>
        <w:rPr>
          <w:b/>
          <w:i/>
          <w:color w:val="000000" w:themeColor="text1"/>
          <w:sz w:val="28"/>
          <w:szCs w:val="28"/>
          <w:u w:val="single"/>
        </w:rPr>
      </w:pPr>
      <w:bookmarkStart w:id="4" w:name="_Toc513693208"/>
      <w:r w:rsidRPr="004A6283">
        <w:rPr>
          <w:b/>
          <w:i/>
          <w:color w:val="000000" w:themeColor="text1"/>
          <w:sz w:val="28"/>
          <w:szCs w:val="28"/>
          <w:u w:val="single"/>
        </w:rPr>
        <w:lastRenderedPageBreak/>
        <w:t>Other Revolts Against the Romans</w:t>
      </w:r>
      <w:bookmarkEnd w:id="4"/>
    </w:p>
    <w:p w14:paraId="0F2044EB" w14:textId="162AE657" w:rsidR="00D76063" w:rsidRDefault="004A6283" w:rsidP="00A402C2">
      <w:pPr>
        <w:spacing w:line="480" w:lineRule="auto"/>
        <w:rPr>
          <w:rFonts w:ascii="Times New Roman" w:hAnsi="Times New Roman" w:cs="Times New Roman"/>
        </w:rPr>
      </w:pPr>
      <w:r>
        <w:rPr>
          <w:rFonts w:ascii="Times New Roman" w:hAnsi="Times New Roman" w:cs="Times New Roman"/>
        </w:rPr>
        <w:tab/>
      </w:r>
      <w:r w:rsidR="00D76063">
        <w:rPr>
          <w:rFonts w:ascii="Times New Roman" w:hAnsi="Times New Roman" w:cs="Times New Roman"/>
        </w:rPr>
        <w:t xml:space="preserve">As we have seen above, there were </w:t>
      </w:r>
      <w:r w:rsidR="00507B02">
        <w:rPr>
          <w:rFonts w:ascii="Times New Roman" w:hAnsi="Times New Roman" w:cs="Times New Roman"/>
        </w:rPr>
        <w:t>two</w:t>
      </w:r>
      <w:r w:rsidR="00D76063">
        <w:rPr>
          <w:rFonts w:ascii="Times New Roman" w:hAnsi="Times New Roman" w:cs="Times New Roman"/>
        </w:rPr>
        <w:t xml:space="preserve"> major revolts against the Romans at the start of their British invasion; </w:t>
      </w:r>
      <w:r w:rsidR="00507B02">
        <w:rPr>
          <w:rFonts w:ascii="Times New Roman" w:hAnsi="Times New Roman" w:cs="Times New Roman"/>
        </w:rPr>
        <w:t>Caratacus and Boudicca</w:t>
      </w:r>
      <w:r w:rsidR="00D76063">
        <w:rPr>
          <w:rFonts w:ascii="Times New Roman" w:hAnsi="Times New Roman" w:cs="Times New Roman"/>
        </w:rPr>
        <w:t xml:space="preserve">. However, there were also a few minor revolts that happened during this time period, for example </w:t>
      </w:r>
      <w:r w:rsidR="00507B02">
        <w:rPr>
          <w:rFonts w:ascii="Times New Roman" w:hAnsi="Times New Roman" w:cs="Times New Roman"/>
        </w:rPr>
        <w:t>the Druids and other smaller factions</w:t>
      </w:r>
      <w:r w:rsidR="00D76063">
        <w:rPr>
          <w:rFonts w:ascii="Times New Roman" w:hAnsi="Times New Roman" w:cs="Times New Roman"/>
        </w:rPr>
        <w:t xml:space="preserve"> who decided </w:t>
      </w:r>
      <w:r w:rsidR="00507B02">
        <w:rPr>
          <w:rFonts w:ascii="Times New Roman" w:hAnsi="Times New Roman" w:cs="Times New Roman"/>
        </w:rPr>
        <w:t>to challenge</w:t>
      </w:r>
      <w:r w:rsidR="00D76063">
        <w:rPr>
          <w:rFonts w:ascii="Times New Roman" w:hAnsi="Times New Roman" w:cs="Times New Roman"/>
        </w:rPr>
        <w:t xml:space="preserve"> the Romans. This section will concentrate on Caesar’s landings in Britain, including </w:t>
      </w:r>
      <w:r w:rsidR="00D76063" w:rsidRPr="0016494E">
        <w:rPr>
          <w:rFonts w:ascii="Times New Roman" w:hAnsi="Times New Roman" w:cs="Times New Roman"/>
        </w:rPr>
        <w:t>Cassivellaunus</w:t>
      </w:r>
      <w:r w:rsidR="00D76063">
        <w:rPr>
          <w:rFonts w:ascii="Times New Roman" w:hAnsi="Times New Roman" w:cs="Times New Roman"/>
        </w:rPr>
        <w:t xml:space="preserve">, as well as other tribal revolts, such as the Silures and the Ordovices, the threat of the Druids and finally the Brigantes against Queen Cartimandua. </w:t>
      </w:r>
    </w:p>
    <w:p w14:paraId="6400AEBB" w14:textId="77777777" w:rsidR="00D76063" w:rsidRDefault="00D76063" w:rsidP="00D76063">
      <w:pPr>
        <w:spacing w:line="480" w:lineRule="auto"/>
        <w:rPr>
          <w:rFonts w:ascii="Times New Roman" w:hAnsi="Times New Roman" w:cs="Times New Roman"/>
        </w:rPr>
      </w:pPr>
      <w:r>
        <w:rPr>
          <w:rFonts w:ascii="Times New Roman" w:hAnsi="Times New Roman" w:cs="Times New Roman"/>
        </w:rPr>
        <w:tab/>
        <w:t>The first major revolt to happen was during Caesar’s second campaign to Britain in 54BC. During his first campaign to Britain in 55BC, his landing did not go according to plan, and after a storm destroyed his ships, Caesar left the mysterious Isle only to return a year later better prepared</w:t>
      </w:r>
      <w:r>
        <w:rPr>
          <w:rStyle w:val="FootnoteReference"/>
          <w:rFonts w:ascii="Times New Roman" w:hAnsi="Times New Roman" w:cs="Times New Roman"/>
        </w:rPr>
        <w:footnoteReference w:id="126"/>
      </w:r>
      <w:r>
        <w:rPr>
          <w:rFonts w:ascii="Times New Roman" w:hAnsi="Times New Roman" w:cs="Times New Roman"/>
        </w:rPr>
        <w:t>. Unfortunately, we only have Caesar’s accounts of the events from these years, and no archaeological evidence to back up what Julius Caesar says</w:t>
      </w:r>
      <w:r>
        <w:rPr>
          <w:rStyle w:val="FootnoteReference"/>
          <w:rFonts w:ascii="Times New Roman" w:hAnsi="Times New Roman" w:cs="Times New Roman"/>
        </w:rPr>
        <w:footnoteReference w:id="127"/>
      </w:r>
      <w:r>
        <w:rPr>
          <w:rFonts w:ascii="Times New Roman" w:hAnsi="Times New Roman" w:cs="Times New Roman"/>
        </w:rPr>
        <w:t>, and it is believed that this is the oldest surviving recording of Britain that we have access to today</w:t>
      </w:r>
      <w:r>
        <w:rPr>
          <w:rStyle w:val="FootnoteReference"/>
          <w:rFonts w:ascii="Times New Roman" w:hAnsi="Times New Roman" w:cs="Times New Roman"/>
        </w:rPr>
        <w:footnoteReference w:id="128"/>
      </w:r>
      <w:r>
        <w:rPr>
          <w:rFonts w:ascii="Times New Roman" w:hAnsi="Times New Roman" w:cs="Times New Roman"/>
        </w:rPr>
        <w:t>. But the first thing that can be noticed from Caesar’s accounts, during his first campaign to Britain, is that the Britons were waiting for him</w:t>
      </w:r>
      <w:r>
        <w:rPr>
          <w:rStyle w:val="FootnoteReference"/>
          <w:rFonts w:ascii="Times New Roman" w:hAnsi="Times New Roman" w:cs="Times New Roman"/>
        </w:rPr>
        <w:footnoteReference w:id="129"/>
      </w:r>
      <w:r>
        <w:rPr>
          <w:rFonts w:ascii="Times New Roman" w:hAnsi="Times New Roman" w:cs="Times New Roman"/>
        </w:rPr>
        <w:t xml:space="preserve">. </w:t>
      </w:r>
    </w:p>
    <w:p w14:paraId="093C2117" w14:textId="77777777" w:rsidR="00D76063" w:rsidRDefault="00D76063" w:rsidP="00D76063">
      <w:pPr>
        <w:spacing w:line="480" w:lineRule="auto"/>
        <w:ind w:firstLine="720"/>
        <w:rPr>
          <w:rFonts w:ascii="Times New Roman" w:hAnsi="Times New Roman" w:cs="Times New Roman"/>
        </w:rPr>
      </w:pPr>
      <w:r>
        <w:rPr>
          <w:rFonts w:ascii="Times New Roman" w:hAnsi="Times New Roman" w:cs="Times New Roman"/>
        </w:rPr>
        <w:t>We can gather from his writings that Rome had never come across anything like Britain or its people before, as Caesar comments “</w:t>
      </w:r>
      <w:r w:rsidRPr="00197B69">
        <w:rPr>
          <w:rFonts w:ascii="Times New Roman" w:hAnsi="Times New Roman" w:cs="Times New Roman"/>
        </w:rPr>
        <w:t>These perils frightened our soldiers, who were quite unaccustomed to battles of this kind</w:t>
      </w:r>
      <w:r>
        <w:rPr>
          <w:rFonts w:ascii="Times New Roman" w:hAnsi="Times New Roman" w:cs="Times New Roman"/>
        </w:rPr>
        <w:t>”</w:t>
      </w:r>
      <w:r>
        <w:rPr>
          <w:rStyle w:val="FootnoteReference"/>
          <w:rFonts w:ascii="Times New Roman" w:hAnsi="Times New Roman" w:cs="Times New Roman"/>
        </w:rPr>
        <w:footnoteReference w:id="130"/>
      </w:r>
      <w:r>
        <w:rPr>
          <w:rFonts w:ascii="Times New Roman" w:hAnsi="Times New Roman" w:cs="Times New Roman"/>
        </w:rPr>
        <w:t>. According to Caesar, the Britons were “hurling javelins and galloping their horses”</w:t>
      </w:r>
      <w:r>
        <w:rPr>
          <w:rStyle w:val="FootnoteReference"/>
          <w:rFonts w:ascii="Times New Roman" w:hAnsi="Times New Roman" w:cs="Times New Roman"/>
        </w:rPr>
        <w:footnoteReference w:id="131"/>
      </w:r>
      <w:r>
        <w:rPr>
          <w:rFonts w:ascii="Times New Roman" w:hAnsi="Times New Roman" w:cs="Times New Roman"/>
        </w:rPr>
        <w:t xml:space="preserve"> towards the Romans, and </w:t>
      </w:r>
      <w:r>
        <w:rPr>
          <w:rFonts w:ascii="Times New Roman" w:hAnsi="Times New Roman" w:cs="Times New Roman"/>
        </w:rPr>
        <w:lastRenderedPageBreak/>
        <w:t>this can be seen as the first signs of British opposition against the Roman invaders. It was, like the other revolts we have seen, not very successful as the Britons, like the Romans, according to Caesar, had never seen anything like the warships he had brought over from Gaul</w:t>
      </w:r>
      <w:r>
        <w:rPr>
          <w:rStyle w:val="FootnoteReference"/>
          <w:rFonts w:ascii="Times New Roman" w:hAnsi="Times New Roman" w:cs="Times New Roman"/>
        </w:rPr>
        <w:footnoteReference w:id="132"/>
      </w:r>
      <w:r>
        <w:rPr>
          <w:rFonts w:ascii="Times New Roman" w:hAnsi="Times New Roman" w:cs="Times New Roman"/>
        </w:rPr>
        <w:t xml:space="preserve">. This statement however, may not be true, and may have just been stated by Caesar for his audience to make the Britons seem the barbarians and mysterious forces that they were believed to be. </w:t>
      </w:r>
    </w:p>
    <w:p w14:paraId="62CE2B12" w14:textId="77777777" w:rsidR="00D76063" w:rsidRDefault="00D76063" w:rsidP="00D76063">
      <w:pPr>
        <w:spacing w:line="480" w:lineRule="auto"/>
        <w:ind w:firstLine="720"/>
        <w:rPr>
          <w:rFonts w:ascii="Times New Roman" w:hAnsi="Times New Roman" w:cs="Times New Roman"/>
        </w:rPr>
      </w:pPr>
      <w:r>
        <w:rPr>
          <w:rFonts w:ascii="Times New Roman" w:hAnsi="Times New Roman" w:cs="Times New Roman"/>
        </w:rPr>
        <w:t>Britain was already trading with most of Gaul at this time. Archaeological evidence can be found to support this along what appears to be a trade route from Gaul to Britain where Roman material from this time has been found</w:t>
      </w:r>
      <w:r>
        <w:rPr>
          <w:rStyle w:val="FootnoteReference"/>
          <w:rFonts w:ascii="Times New Roman" w:hAnsi="Times New Roman" w:cs="Times New Roman"/>
        </w:rPr>
        <w:footnoteReference w:id="133"/>
      </w:r>
      <w:r>
        <w:rPr>
          <w:rFonts w:ascii="Times New Roman" w:hAnsi="Times New Roman" w:cs="Times New Roman"/>
        </w:rPr>
        <w:t xml:space="preserve">. This shows that the Britons had already come into contact with the Romans, and can even be found helping the Gauls with their own resistance against the Romans, which Caesar himself states in Book 3 of his </w:t>
      </w:r>
      <w:r>
        <w:rPr>
          <w:rFonts w:ascii="Times New Roman" w:hAnsi="Times New Roman" w:cs="Times New Roman"/>
          <w:i/>
        </w:rPr>
        <w:t>Gallic War</w:t>
      </w:r>
      <w:r>
        <w:rPr>
          <w:rStyle w:val="FootnoteReference"/>
          <w:rFonts w:ascii="Times New Roman" w:hAnsi="Times New Roman" w:cs="Times New Roman"/>
        </w:rPr>
        <w:footnoteReference w:id="134"/>
      </w:r>
      <w:r>
        <w:rPr>
          <w:rFonts w:ascii="Times New Roman" w:hAnsi="Times New Roman" w:cs="Times New Roman"/>
        </w:rPr>
        <w:t>. Moorhead and Stuttard have come to the conclusion that the Gauls that Caesar asked about Britain before his departure</w:t>
      </w:r>
      <w:r>
        <w:rPr>
          <w:rStyle w:val="FootnoteReference"/>
          <w:rFonts w:ascii="Times New Roman" w:hAnsi="Times New Roman" w:cs="Times New Roman"/>
        </w:rPr>
        <w:footnoteReference w:id="135"/>
      </w:r>
      <w:r>
        <w:rPr>
          <w:rFonts w:ascii="Times New Roman" w:hAnsi="Times New Roman" w:cs="Times New Roman"/>
        </w:rPr>
        <w:t>, lied to him in order to protect the Island from further Roman influence</w:t>
      </w:r>
      <w:r>
        <w:rPr>
          <w:rStyle w:val="FootnoteReference"/>
          <w:rFonts w:ascii="Times New Roman" w:hAnsi="Times New Roman" w:cs="Times New Roman"/>
        </w:rPr>
        <w:footnoteReference w:id="136"/>
      </w:r>
      <w:r>
        <w:rPr>
          <w:rFonts w:ascii="Times New Roman" w:hAnsi="Times New Roman" w:cs="Times New Roman"/>
        </w:rPr>
        <w:t>. However, even if this was the case, either to stop any more British forces joining the Gaulish resistance or as a political movement to help his standing in Rome, Julius Caesar continued with his plans to head to Britain, ignoring all of the warnings he had been given</w:t>
      </w:r>
      <w:r>
        <w:rPr>
          <w:rStyle w:val="FootnoteReference"/>
          <w:rFonts w:ascii="Times New Roman" w:hAnsi="Times New Roman" w:cs="Times New Roman"/>
        </w:rPr>
        <w:footnoteReference w:id="137"/>
      </w:r>
      <w:r>
        <w:rPr>
          <w:rFonts w:ascii="Times New Roman" w:hAnsi="Times New Roman" w:cs="Times New Roman"/>
        </w:rPr>
        <w:t xml:space="preserve">. </w:t>
      </w:r>
    </w:p>
    <w:p w14:paraId="1A5748D4" w14:textId="77777777" w:rsidR="00D76063" w:rsidRDefault="00D76063" w:rsidP="00D76063">
      <w:pPr>
        <w:spacing w:line="480" w:lineRule="auto"/>
        <w:ind w:firstLine="720"/>
        <w:rPr>
          <w:rFonts w:ascii="Times New Roman" w:hAnsi="Times New Roman" w:cs="Times New Roman"/>
        </w:rPr>
      </w:pPr>
      <w:r>
        <w:rPr>
          <w:rFonts w:ascii="Times New Roman" w:hAnsi="Times New Roman" w:cs="Times New Roman"/>
        </w:rPr>
        <w:t xml:space="preserve">As mentioned above, the Britons did not approve of Caesar’s army landing on their beaches, and they attempted to fight the ‘invasion’ and met Caesar’s troops on the beaches that the Romans had used for their landing. Caesar mentions a confrontation of the two armies, in which after some confusion and no real winner, the native Britons </w:t>
      </w:r>
      <w:r>
        <w:rPr>
          <w:rFonts w:ascii="Times New Roman" w:hAnsi="Times New Roman" w:cs="Times New Roman"/>
        </w:rPr>
        <w:lastRenderedPageBreak/>
        <w:t>and Caesar reached an agreement wherein the native troops “returned to the fields, and the chiefs began to come from all parts to solicit Caesar’s favour for themselves and their tribes”</w:t>
      </w:r>
      <w:r>
        <w:rPr>
          <w:rStyle w:val="FootnoteReference"/>
          <w:rFonts w:ascii="Times New Roman" w:hAnsi="Times New Roman" w:cs="Times New Roman"/>
        </w:rPr>
        <w:footnoteReference w:id="138"/>
      </w:r>
      <w:r>
        <w:rPr>
          <w:rFonts w:ascii="Times New Roman" w:hAnsi="Times New Roman" w:cs="Times New Roman"/>
        </w:rPr>
        <w:t>. This peace did not last long and, once again, according to Caesar, after a period of bad weather, the Britons decided to attack the Roman camp which had been heavily damaged in the storm</w:t>
      </w:r>
      <w:r>
        <w:rPr>
          <w:rStyle w:val="FootnoteReference"/>
          <w:rFonts w:ascii="Times New Roman" w:hAnsi="Times New Roman" w:cs="Times New Roman"/>
        </w:rPr>
        <w:footnoteReference w:id="139"/>
      </w:r>
      <w:r>
        <w:rPr>
          <w:rFonts w:ascii="Times New Roman" w:hAnsi="Times New Roman" w:cs="Times New Roman"/>
        </w:rPr>
        <w:t>. The overall result of this early rebellion against Julius Caesar’s forces was that the Romans were eventually able to recover their wits and were then able to win a battle against the native Britons, demanding more hostages than Caesar had asked for previously after the first confrontation, before returning to Gaul</w:t>
      </w:r>
      <w:r>
        <w:rPr>
          <w:rStyle w:val="FootnoteReference"/>
          <w:rFonts w:ascii="Times New Roman" w:hAnsi="Times New Roman" w:cs="Times New Roman"/>
        </w:rPr>
        <w:footnoteReference w:id="140"/>
      </w:r>
      <w:r>
        <w:rPr>
          <w:rFonts w:ascii="Times New Roman" w:hAnsi="Times New Roman" w:cs="Times New Roman"/>
        </w:rPr>
        <w:t>.</w:t>
      </w:r>
    </w:p>
    <w:p w14:paraId="2191A716" w14:textId="77777777" w:rsidR="00D76063" w:rsidRDefault="00D76063" w:rsidP="00D76063">
      <w:pPr>
        <w:spacing w:line="480" w:lineRule="auto"/>
        <w:ind w:firstLine="720"/>
        <w:rPr>
          <w:rFonts w:ascii="Times New Roman" w:hAnsi="Times New Roman" w:cs="Times New Roman"/>
        </w:rPr>
      </w:pPr>
      <w:r>
        <w:rPr>
          <w:rFonts w:ascii="Times New Roman" w:hAnsi="Times New Roman" w:cs="Times New Roman"/>
        </w:rPr>
        <w:t>What can be seen from Caesar’s first expedition to Britain is that, from the very beginning, the people of Britain were heavily against Roman ideology and did not want to become part of the newly formed Roman Empire and as we shall see with Caesar’s second expedition a year later, and even in all the revolts we have seen, this feeling did not change. Caesar’s second expedition to Britain in 54BC differed from his previous expedition not only in length but in the way in which the native Britons responded to his army. His chapter on this invasion begins with a large resistance from a man named Cassivellaunus</w:t>
      </w:r>
      <w:r>
        <w:rPr>
          <w:rStyle w:val="FootnoteReference"/>
          <w:rFonts w:ascii="Times New Roman" w:hAnsi="Times New Roman" w:cs="Times New Roman"/>
        </w:rPr>
        <w:footnoteReference w:id="141"/>
      </w:r>
      <w:r>
        <w:rPr>
          <w:rFonts w:ascii="Times New Roman" w:hAnsi="Times New Roman" w:cs="Times New Roman"/>
        </w:rPr>
        <w:t>, along with the first long description we have of the people who inhabited Britain at this time</w:t>
      </w:r>
      <w:r>
        <w:rPr>
          <w:rStyle w:val="FootnoteReference"/>
          <w:rFonts w:ascii="Times New Roman" w:hAnsi="Times New Roman" w:cs="Times New Roman"/>
        </w:rPr>
        <w:footnoteReference w:id="142"/>
      </w:r>
      <w:r>
        <w:rPr>
          <w:rFonts w:ascii="Times New Roman" w:hAnsi="Times New Roman" w:cs="Times New Roman"/>
        </w:rPr>
        <w:t>. When Caesar landed, he comments on how, unlike the last time he had visited, there were no natives waiting for his ships on the shorelines, as, according to Caesar, they had left upon seeing how big Caesar’s forces were</w:t>
      </w:r>
      <w:r>
        <w:rPr>
          <w:rStyle w:val="FootnoteReference"/>
          <w:rFonts w:ascii="Times New Roman" w:hAnsi="Times New Roman" w:cs="Times New Roman"/>
        </w:rPr>
        <w:footnoteReference w:id="143"/>
      </w:r>
      <w:r>
        <w:rPr>
          <w:rFonts w:ascii="Times New Roman" w:hAnsi="Times New Roman" w:cs="Times New Roman"/>
        </w:rPr>
        <w:t xml:space="preserve">. We do not know much about Cassivellaunus, as there is no archaeological evidence to back up </w:t>
      </w:r>
      <w:r>
        <w:rPr>
          <w:rFonts w:ascii="Times New Roman" w:hAnsi="Times New Roman" w:cs="Times New Roman"/>
        </w:rPr>
        <w:lastRenderedPageBreak/>
        <w:t>his existence, however, Cassius Dio in his own works also mentions Cassivellaunus by name and how he had become the leader of the Britons against the Romans</w:t>
      </w:r>
      <w:r>
        <w:rPr>
          <w:rStyle w:val="FootnoteReference"/>
          <w:rFonts w:ascii="Times New Roman" w:hAnsi="Times New Roman" w:cs="Times New Roman"/>
        </w:rPr>
        <w:footnoteReference w:id="144"/>
      </w:r>
      <w:r>
        <w:rPr>
          <w:rFonts w:ascii="Times New Roman" w:hAnsi="Times New Roman" w:cs="Times New Roman"/>
        </w:rPr>
        <w:t xml:space="preserve">. </w:t>
      </w:r>
    </w:p>
    <w:p w14:paraId="6BC3C810" w14:textId="77777777" w:rsidR="00D76063" w:rsidRDefault="00D76063" w:rsidP="00D76063">
      <w:pPr>
        <w:spacing w:line="480" w:lineRule="auto"/>
        <w:ind w:firstLine="720"/>
        <w:rPr>
          <w:rFonts w:ascii="Times New Roman" w:hAnsi="Times New Roman" w:cs="Times New Roman"/>
        </w:rPr>
      </w:pPr>
      <w:r>
        <w:rPr>
          <w:rFonts w:ascii="Times New Roman" w:hAnsi="Times New Roman" w:cs="Times New Roman"/>
        </w:rPr>
        <w:t>The statements by Caesar and Cassius Dio are both contradictory because both give us the impression that the Britons “intrusted”</w:t>
      </w:r>
      <w:r>
        <w:rPr>
          <w:rStyle w:val="FootnoteReference"/>
          <w:rFonts w:ascii="Times New Roman" w:hAnsi="Times New Roman" w:cs="Times New Roman"/>
        </w:rPr>
        <w:footnoteReference w:id="145"/>
      </w:r>
      <w:r>
        <w:rPr>
          <w:rFonts w:ascii="Times New Roman" w:hAnsi="Times New Roman" w:cs="Times New Roman"/>
        </w:rPr>
        <w:t xml:space="preserve"> the role of leader to Cassivellaunus, however Caesar had mentioned a man named </w:t>
      </w:r>
      <w:r w:rsidRPr="00A3697F">
        <w:rPr>
          <w:rFonts w:ascii="Times New Roman" w:hAnsi="Times New Roman" w:cs="Times New Roman"/>
        </w:rPr>
        <w:t>Mandubratius</w:t>
      </w:r>
      <w:r>
        <w:rPr>
          <w:rFonts w:ascii="Times New Roman" w:hAnsi="Times New Roman" w:cs="Times New Roman"/>
        </w:rPr>
        <w:t xml:space="preserve"> who had asked him for help against Cassivellaunus who had supposedly sought refuge from the “</w:t>
      </w:r>
      <w:r w:rsidRPr="00B357EF">
        <w:rPr>
          <w:rFonts w:ascii="Times New Roman" w:hAnsi="Times New Roman" w:cs="Times New Roman"/>
        </w:rPr>
        <w:t>violence of Cassivellaunus</w:t>
      </w:r>
      <w:r>
        <w:rPr>
          <w:rFonts w:ascii="Times New Roman" w:hAnsi="Times New Roman" w:cs="Times New Roman"/>
        </w:rPr>
        <w:t>”</w:t>
      </w:r>
      <w:r>
        <w:rPr>
          <w:rStyle w:val="FootnoteReference"/>
          <w:rFonts w:ascii="Times New Roman" w:hAnsi="Times New Roman" w:cs="Times New Roman"/>
        </w:rPr>
        <w:footnoteReference w:id="146"/>
      </w:r>
      <w:r>
        <w:rPr>
          <w:rFonts w:ascii="Times New Roman" w:hAnsi="Times New Roman" w:cs="Times New Roman"/>
        </w:rPr>
        <w:t>. If this was the case, could it be possible that Cassivellaunus was used as an example of a tyrant and used by Caesar to show how fragile the alliances of the native Britons were</w:t>
      </w:r>
      <w:r>
        <w:rPr>
          <w:rStyle w:val="FootnoteReference"/>
          <w:rFonts w:ascii="Times New Roman" w:hAnsi="Times New Roman" w:cs="Times New Roman"/>
        </w:rPr>
        <w:footnoteReference w:id="147"/>
      </w:r>
      <w:r>
        <w:rPr>
          <w:rFonts w:ascii="Times New Roman" w:hAnsi="Times New Roman" w:cs="Times New Roman"/>
        </w:rPr>
        <w:t xml:space="preserve">? </w:t>
      </w:r>
    </w:p>
    <w:p w14:paraId="50DEFC2E" w14:textId="77777777" w:rsidR="00D76063" w:rsidRDefault="00D76063" w:rsidP="00502DC4">
      <w:pPr>
        <w:spacing w:line="480" w:lineRule="auto"/>
        <w:ind w:firstLine="720"/>
        <w:rPr>
          <w:rFonts w:ascii="Times New Roman" w:hAnsi="Times New Roman" w:cs="Times New Roman"/>
        </w:rPr>
      </w:pPr>
      <w:r>
        <w:rPr>
          <w:rFonts w:ascii="Times New Roman" w:hAnsi="Times New Roman" w:cs="Times New Roman"/>
        </w:rPr>
        <w:t>What we do know about Cassivellaunus from Plutarch, Cassius Dio and from Julius Caesar, is that he was king of a territory situated around the Thames</w:t>
      </w:r>
      <w:r>
        <w:rPr>
          <w:rStyle w:val="FootnoteReference"/>
          <w:rFonts w:ascii="Times New Roman" w:hAnsi="Times New Roman" w:cs="Times New Roman"/>
        </w:rPr>
        <w:footnoteReference w:id="148"/>
      </w:r>
      <w:r>
        <w:rPr>
          <w:rFonts w:ascii="Times New Roman" w:hAnsi="Times New Roman" w:cs="Times New Roman"/>
        </w:rPr>
        <w:t xml:space="preserve"> before he was chosen to lead the rest of the Britons against Caesar’s foreign invasion</w:t>
      </w:r>
      <w:r>
        <w:rPr>
          <w:rStyle w:val="FootnoteReference"/>
          <w:rFonts w:ascii="Times New Roman" w:hAnsi="Times New Roman" w:cs="Times New Roman"/>
        </w:rPr>
        <w:footnoteReference w:id="149"/>
      </w:r>
      <w:r>
        <w:rPr>
          <w:rFonts w:ascii="Times New Roman" w:hAnsi="Times New Roman" w:cs="Times New Roman"/>
        </w:rPr>
        <w:t>. Caesar tells us that they managed to push Cassivellaunus’ army back to the River Thames, after a few skirmishes, in which the Romans defeated anything the Britons threw at them</w:t>
      </w:r>
      <w:r>
        <w:rPr>
          <w:rStyle w:val="FootnoteReference"/>
          <w:rFonts w:ascii="Times New Roman" w:hAnsi="Times New Roman" w:cs="Times New Roman"/>
        </w:rPr>
        <w:footnoteReference w:id="150"/>
      </w:r>
      <w:r>
        <w:rPr>
          <w:rFonts w:ascii="Times New Roman" w:hAnsi="Times New Roman" w:cs="Times New Roman"/>
        </w:rPr>
        <w:t xml:space="preserve">. From this part of Cassivellaunus’ rebellion we can see that it was not very successful in stopping Caesar’s march inland, which ultimately shows us that this revolt was not very effective. Caesar </w:t>
      </w:r>
      <w:r w:rsidRPr="00D9323D">
        <w:rPr>
          <w:rFonts w:ascii="Times New Roman" w:hAnsi="Times New Roman" w:cs="Times New Roman"/>
        </w:rPr>
        <w:t>managed to invade and get the Tr</w:t>
      </w:r>
      <w:r>
        <w:rPr>
          <w:rFonts w:ascii="Times New Roman" w:hAnsi="Times New Roman" w:cs="Times New Roman"/>
        </w:rPr>
        <w:t>inovantes to surrender, with no fighting or argument. I</w:t>
      </w:r>
      <w:r w:rsidRPr="00D9323D">
        <w:rPr>
          <w:rFonts w:ascii="Times New Roman" w:hAnsi="Times New Roman" w:cs="Times New Roman"/>
        </w:rPr>
        <w:t>t was</w:t>
      </w:r>
      <w:r>
        <w:rPr>
          <w:rFonts w:ascii="Times New Roman" w:hAnsi="Times New Roman" w:cs="Times New Roman"/>
        </w:rPr>
        <w:t xml:space="preserve"> not long before other British k</w:t>
      </w:r>
      <w:r w:rsidRPr="00D9323D">
        <w:rPr>
          <w:rFonts w:ascii="Times New Roman" w:hAnsi="Times New Roman" w:cs="Times New Roman"/>
        </w:rPr>
        <w:t>ings followed their actions and also surrendered to Caesar, including four kings Caesar himself names: Cingetorix, Carvilius, Taximagulus and Segonax</w:t>
      </w:r>
      <w:r>
        <w:rPr>
          <w:rStyle w:val="FootnoteReference"/>
          <w:rFonts w:ascii="Times New Roman" w:hAnsi="Times New Roman" w:cs="Times New Roman"/>
        </w:rPr>
        <w:footnoteReference w:id="151"/>
      </w:r>
      <w:r w:rsidRPr="00D9323D">
        <w:rPr>
          <w:rFonts w:ascii="Times New Roman" w:hAnsi="Times New Roman" w:cs="Times New Roman"/>
        </w:rPr>
        <w:t>. The informati</w:t>
      </w:r>
      <w:r>
        <w:rPr>
          <w:rFonts w:ascii="Times New Roman" w:hAnsi="Times New Roman" w:cs="Times New Roman"/>
        </w:rPr>
        <w:t xml:space="preserve">on he then received from these </w:t>
      </w:r>
      <w:r>
        <w:rPr>
          <w:rFonts w:ascii="Times New Roman" w:hAnsi="Times New Roman" w:cs="Times New Roman"/>
        </w:rPr>
        <w:lastRenderedPageBreak/>
        <w:t>k</w:t>
      </w:r>
      <w:r w:rsidRPr="00D9323D">
        <w:rPr>
          <w:rFonts w:ascii="Times New Roman" w:hAnsi="Times New Roman" w:cs="Times New Roman"/>
        </w:rPr>
        <w:t>ings allowed Caesar to find Cassivellaunus’ stronghold and</w:t>
      </w:r>
      <w:r>
        <w:rPr>
          <w:rFonts w:ascii="Times New Roman" w:hAnsi="Times New Roman" w:cs="Times New Roman"/>
        </w:rPr>
        <w:t xml:space="preserve"> defeat his army. This was swiftly followed by Cassivellaunus surrendering to Caesar. </w:t>
      </w:r>
    </w:p>
    <w:p w14:paraId="05D7EFE9" w14:textId="2F5A9890" w:rsidR="00D76063" w:rsidRDefault="00D76063" w:rsidP="00E768E3">
      <w:pPr>
        <w:spacing w:line="480" w:lineRule="auto"/>
        <w:ind w:firstLine="720"/>
        <w:rPr>
          <w:rFonts w:ascii="Times New Roman" w:hAnsi="Times New Roman" w:cs="Times New Roman"/>
        </w:rPr>
      </w:pPr>
      <w:r>
        <w:rPr>
          <w:rFonts w:ascii="Times New Roman" w:hAnsi="Times New Roman" w:cs="Times New Roman"/>
        </w:rPr>
        <w:t>Caesar’s second campaign also came to a swift end, like his first, after a storm destroyed some of his ships and a famine in Gaul had caused more unrest</w:t>
      </w:r>
      <w:r>
        <w:rPr>
          <w:rStyle w:val="FootnoteReference"/>
          <w:rFonts w:ascii="Times New Roman" w:hAnsi="Times New Roman" w:cs="Times New Roman"/>
        </w:rPr>
        <w:footnoteReference w:id="152"/>
      </w:r>
      <w:r>
        <w:rPr>
          <w:rFonts w:ascii="Times New Roman" w:hAnsi="Times New Roman" w:cs="Times New Roman"/>
        </w:rPr>
        <w:t>. It can be said that Cassivellaunus’ resistance to Roman rule was effective in certain ways. Caesar was only able to make it as far as the Thames during this second invasion of the Isle, meaning he did not get as far into the country as he probably would have liked, especially after taking an entire winter to amass a large force for the task of conquering the people of Britain</w:t>
      </w:r>
      <w:r>
        <w:rPr>
          <w:rStyle w:val="FootnoteReference"/>
          <w:rFonts w:ascii="Times New Roman" w:hAnsi="Times New Roman" w:cs="Times New Roman"/>
        </w:rPr>
        <w:footnoteReference w:id="153"/>
      </w:r>
      <w:r>
        <w:rPr>
          <w:rFonts w:ascii="Times New Roman" w:hAnsi="Times New Roman" w:cs="Times New Roman"/>
        </w:rPr>
        <w:t>. Furthermore, as well as there being no new land gained for the Romans, Caesar did not acquire any wealth or ‘treasures’ that would have made this expedition worthwhile. Caesar, once again, as he had previously done during his first expedition to Britain, demanded hostages from the Britons, especially from Cassivellaunus as part of their peace-making agreement</w:t>
      </w:r>
      <w:r>
        <w:rPr>
          <w:rStyle w:val="FootnoteReference"/>
          <w:rFonts w:ascii="Times New Roman" w:hAnsi="Times New Roman" w:cs="Times New Roman"/>
        </w:rPr>
        <w:footnoteReference w:id="154"/>
      </w:r>
      <w:r>
        <w:rPr>
          <w:rFonts w:ascii="Times New Roman" w:hAnsi="Times New Roman" w:cs="Times New Roman"/>
        </w:rPr>
        <w:t xml:space="preserve">. It is perhaps this lack of advancement and profit that has led to Tacitus, in his works on his father-in-law </w:t>
      </w:r>
      <w:r w:rsidRPr="005217BC">
        <w:rPr>
          <w:rFonts w:ascii="Times New Roman" w:hAnsi="Times New Roman" w:cs="Times New Roman"/>
          <w:i/>
        </w:rPr>
        <w:t>Agricola</w:t>
      </w:r>
      <w:r>
        <w:rPr>
          <w:rFonts w:ascii="Times New Roman" w:hAnsi="Times New Roman" w:cs="Times New Roman"/>
        </w:rPr>
        <w:t>, to comment that Caesar only wished to see the island for himself and Rome and not arrive as a conqueror</w:t>
      </w:r>
      <w:r>
        <w:rPr>
          <w:rStyle w:val="FootnoteReference"/>
          <w:rFonts w:ascii="Times New Roman" w:hAnsi="Times New Roman" w:cs="Times New Roman"/>
        </w:rPr>
        <w:footnoteReference w:id="155"/>
      </w:r>
      <w:r>
        <w:rPr>
          <w:rFonts w:ascii="Times New Roman" w:hAnsi="Times New Roman" w:cs="Times New Roman"/>
        </w:rPr>
        <w:t xml:space="preserve">. This can therefore perhaps explain why Caesar’s landings in Britain are often referred to in academic writing and classical sources as expeditions and not invasions, although both terms have been used to describe these events in this section. </w:t>
      </w:r>
    </w:p>
    <w:p w14:paraId="481B7B4F" w14:textId="47D252CA" w:rsidR="00D76063" w:rsidRDefault="00D76063" w:rsidP="00D76063">
      <w:pPr>
        <w:spacing w:line="480" w:lineRule="auto"/>
        <w:ind w:firstLine="720"/>
        <w:rPr>
          <w:rFonts w:ascii="Times New Roman" w:hAnsi="Times New Roman" w:cs="Times New Roman"/>
        </w:rPr>
      </w:pPr>
      <w:r>
        <w:rPr>
          <w:rFonts w:ascii="Times New Roman" w:hAnsi="Times New Roman" w:cs="Times New Roman"/>
        </w:rPr>
        <w:t>As we can see from Caesar’s second landing in Britain, Cassivellaunus fought back against the Romans. However</w:t>
      </w:r>
      <w:r w:rsidR="000742FE">
        <w:rPr>
          <w:rFonts w:ascii="Times New Roman" w:hAnsi="Times New Roman" w:cs="Times New Roman"/>
        </w:rPr>
        <w:t>,</w:t>
      </w:r>
      <w:r>
        <w:rPr>
          <w:rFonts w:ascii="Times New Roman" w:hAnsi="Times New Roman" w:cs="Times New Roman"/>
        </w:rPr>
        <w:t xml:space="preserve"> his rebellion differed from those previously mentioned because it seems that he did not have the backing of the other kings and </w:t>
      </w:r>
      <w:r>
        <w:rPr>
          <w:rFonts w:ascii="Times New Roman" w:hAnsi="Times New Roman" w:cs="Times New Roman"/>
        </w:rPr>
        <w:lastRenderedPageBreak/>
        <w:t>territories of Britain in this rebellion, as they easily gave up his stronghold and gave Caesar troops to help stop him. This is unlike Boudicca whose army grew in strength and size throughout her uprising. Cassivellaunus’ effectiveness therefore, in his rebellion against the Romans, could be seen as the leas</w:t>
      </w:r>
      <w:r w:rsidR="00507B02">
        <w:rPr>
          <w:rFonts w:ascii="Times New Roman" w:hAnsi="Times New Roman" w:cs="Times New Roman"/>
        </w:rPr>
        <w:t>t effective, as he helped the British</w:t>
      </w:r>
      <w:r>
        <w:rPr>
          <w:rFonts w:ascii="Times New Roman" w:hAnsi="Times New Roman" w:cs="Times New Roman"/>
        </w:rPr>
        <w:t xml:space="preserve"> leaders to make treaties with Caesar, thus implementing Roman rule, which, if events had led that way, could have resulted in a very different Roman invasion of Britain. </w:t>
      </w:r>
    </w:p>
    <w:p w14:paraId="61567258" w14:textId="77777777" w:rsidR="00D76063" w:rsidRDefault="00D76063" w:rsidP="00D76063">
      <w:pPr>
        <w:spacing w:line="480" w:lineRule="auto"/>
        <w:ind w:firstLine="720"/>
        <w:rPr>
          <w:rFonts w:ascii="Times New Roman" w:hAnsi="Times New Roman" w:cs="Times New Roman"/>
        </w:rPr>
      </w:pPr>
      <w:r>
        <w:rPr>
          <w:rFonts w:ascii="Times New Roman" w:hAnsi="Times New Roman" w:cs="Times New Roman"/>
        </w:rPr>
        <w:t>The next group of people to revolt against the Romans were the Druids. This is a conflicted area in British history because not much is known, and what is known about them comes from Roman sources, which tended to be biased against their traditions</w:t>
      </w:r>
      <w:r>
        <w:rPr>
          <w:rStyle w:val="FootnoteReference"/>
          <w:rFonts w:ascii="Times New Roman" w:hAnsi="Times New Roman" w:cs="Times New Roman"/>
        </w:rPr>
        <w:footnoteReference w:id="156"/>
      </w:r>
      <w:r>
        <w:rPr>
          <w:rFonts w:ascii="Times New Roman" w:hAnsi="Times New Roman" w:cs="Times New Roman"/>
        </w:rPr>
        <w:t>. Another problem, as seems to be a common theme in these revolts, is that there is hardly any archaeological evidence to back up their existence. This is because, if we take what Caesar states as fact, they did not believe in the written word and learnt everything through word of mouth</w:t>
      </w:r>
      <w:r>
        <w:rPr>
          <w:rStyle w:val="FootnoteReference"/>
          <w:rFonts w:ascii="Times New Roman" w:hAnsi="Times New Roman" w:cs="Times New Roman"/>
        </w:rPr>
        <w:footnoteReference w:id="157"/>
      </w:r>
      <w:r>
        <w:rPr>
          <w:rFonts w:ascii="Times New Roman" w:hAnsi="Times New Roman" w:cs="Times New Roman"/>
        </w:rPr>
        <w:t>. What we do know, mostly from Caesar’s accounts, is that the Druids seemed to have been based in Gaul with their training happening in Britain</w:t>
      </w:r>
      <w:r>
        <w:rPr>
          <w:rStyle w:val="FootnoteReference"/>
          <w:rFonts w:ascii="Times New Roman" w:hAnsi="Times New Roman" w:cs="Times New Roman"/>
        </w:rPr>
        <w:footnoteReference w:id="158"/>
      </w:r>
      <w:r>
        <w:rPr>
          <w:rFonts w:ascii="Times New Roman" w:hAnsi="Times New Roman" w:cs="Times New Roman"/>
        </w:rPr>
        <w:t>.</w:t>
      </w:r>
    </w:p>
    <w:p w14:paraId="4C6D8258" w14:textId="77777777" w:rsidR="00D76063" w:rsidRDefault="00D76063" w:rsidP="00D76063">
      <w:pPr>
        <w:spacing w:line="480" w:lineRule="auto"/>
        <w:ind w:firstLine="720"/>
        <w:rPr>
          <w:rFonts w:ascii="Times New Roman" w:hAnsi="Times New Roman" w:cs="Times New Roman"/>
        </w:rPr>
      </w:pPr>
      <w:r>
        <w:rPr>
          <w:rFonts w:ascii="Times New Roman" w:hAnsi="Times New Roman" w:cs="Times New Roman"/>
        </w:rPr>
        <w:t>When Caesar first mentions the Druids he talks about them in a religious fashion, “</w:t>
      </w:r>
      <w:r w:rsidRPr="00D56E7A">
        <w:rPr>
          <w:rFonts w:ascii="Times New Roman" w:hAnsi="Times New Roman" w:cs="Times New Roman"/>
        </w:rPr>
        <w:t>engaged in things sacred, conduct the public and the private sacrifices, and interpret all matters of religion</w:t>
      </w:r>
      <w:r>
        <w:rPr>
          <w:rFonts w:ascii="Times New Roman" w:hAnsi="Times New Roman" w:cs="Times New Roman"/>
        </w:rPr>
        <w:t>”</w:t>
      </w:r>
      <w:r>
        <w:rPr>
          <w:rStyle w:val="FootnoteReference"/>
          <w:rFonts w:ascii="Times New Roman" w:hAnsi="Times New Roman" w:cs="Times New Roman"/>
        </w:rPr>
        <w:footnoteReference w:id="159"/>
      </w:r>
      <w:r>
        <w:rPr>
          <w:rFonts w:ascii="Times New Roman" w:hAnsi="Times New Roman" w:cs="Times New Roman"/>
        </w:rPr>
        <w:t xml:space="preserve">. This would make them very important to the running of everyday life at this time. If this was the case, then why does Caesar not mention them during any of his expeditions to Britain? Although he did not get very far into the country, with the way Caesar describes them as being the law in British society, </w:t>
      </w:r>
      <w:r>
        <w:rPr>
          <w:rFonts w:ascii="Times New Roman" w:hAnsi="Times New Roman" w:cs="Times New Roman"/>
        </w:rPr>
        <w:lastRenderedPageBreak/>
        <w:t>in which “</w:t>
      </w:r>
      <w:r w:rsidRPr="006C026B">
        <w:rPr>
          <w:rFonts w:ascii="Times New Roman" w:hAnsi="Times New Roman" w:cs="Times New Roman"/>
        </w:rPr>
        <w:t>They act as judges in practically all disputes, whether between tribes or between individuals</w:t>
      </w:r>
      <w:r>
        <w:rPr>
          <w:rFonts w:ascii="Times New Roman" w:hAnsi="Times New Roman" w:cs="Times New Roman"/>
        </w:rPr>
        <w:t>”</w:t>
      </w:r>
      <w:r>
        <w:rPr>
          <w:rStyle w:val="FootnoteReference"/>
          <w:rFonts w:ascii="Times New Roman" w:hAnsi="Times New Roman" w:cs="Times New Roman"/>
        </w:rPr>
        <w:footnoteReference w:id="160"/>
      </w:r>
      <w:r>
        <w:rPr>
          <w:rFonts w:ascii="Times New Roman" w:hAnsi="Times New Roman" w:cs="Times New Roman"/>
        </w:rPr>
        <w:t>, it is safe to assume that there would have been Druidic influence at the head of the retaliations for the Roman invaders. Furthermore, Caesar only mentions the Druids in a separate section to Britain in which he decided to explain some of the Gaulic traditions to the people of Rome</w:t>
      </w:r>
      <w:r>
        <w:rPr>
          <w:rStyle w:val="FootnoteReference"/>
          <w:rFonts w:ascii="Times New Roman" w:hAnsi="Times New Roman" w:cs="Times New Roman"/>
        </w:rPr>
        <w:footnoteReference w:id="161"/>
      </w:r>
      <w:r>
        <w:rPr>
          <w:rFonts w:ascii="Times New Roman" w:hAnsi="Times New Roman" w:cs="Times New Roman"/>
        </w:rPr>
        <w:t>, and this brings into question, why Caesar never mentions their existence in any of his main campaigns in Gaul and Britain</w:t>
      </w:r>
      <w:r>
        <w:rPr>
          <w:rStyle w:val="FootnoteReference"/>
          <w:rFonts w:ascii="Times New Roman" w:hAnsi="Times New Roman" w:cs="Times New Roman"/>
        </w:rPr>
        <w:footnoteReference w:id="162"/>
      </w:r>
      <w:r>
        <w:rPr>
          <w:rFonts w:ascii="Times New Roman" w:hAnsi="Times New Roman" w:cs="Times New Roman"/>
        </w:rPr>
        <w:t>.</w:t>
      </w:r>
    </w:p>
    <w:p w14:paraId="202E44C9" w14:textId="77777777" w:rsidR="00D76063" w:rsidRDefault="00D76063" w:rsidP="00D76063">
      <w:pPr>
        <w:spacing w:line="480" w:lineRule="auto"/>
        <w:ind w:firstLine="720"/>
        <w:rPr>
          <w:rFonts w:ascii="Times New Roman" w:hAnsi="Times New Roman" w:cs="Times New Roman"/>
        </w:rPr>
      </w:pPr>
      <w:r>
        <w:rPr>
          <w:rFonts w:ascii="Times New Roman" w:hAnsi="Times New Roman" w:cs="Times New Roman"/>
        </w:rPr>
        <w:t xml:space="preserve">The main dispute between the Romans and the Druids however, happened many years after Caesar’s landings and occurred around the same time Boudicca decided to enact her revenge against the Romans. According to Tacitus, </w:t>
      </w:r>
      <w:r w:rsidRPr="002E616A">
        <w:rPr>
          <w:rFonts w:ascii="Times New Roman" w:hAnsi="Times New Roman" w:cs="Times New Roman"/>
        </w:rPr>
        <w:t>Suetonius Paulinus</w:t>
      </w:r>
      <w:r>
        <w:rPr>
          <w:rFonts w:ascii="Times New Roman" w:hAnsi="Times New Roman" w:cs="Times New Roman"/>
        </w:rPr>
        <w:t>, who was a Roman General stationed in Britain at this time, decided to attack Anglesey, which appeared to be both a Druidic stronghold and a place for Britons to run to, to get away from the Roman invaders</w:t>
      </w:r>
      <w:r>
        <w:rPr>
          <w:rStyle w:val="FootnoteReference"/>
          <w:rFonts w:ascii="Times New Roman" w:hAnsi="Times New Roman" w:cs="Times New Roman"/>
        </w:rPr>
        <w:footnoteReference w:id="163"/>
      </w:r>
      <w:r>
        <w:rPr>
          <w:rFonts w:ascii="Times New Roman" w:hAnsi="Times New Roman" w:cs="Times New Roman"/>
        </w:rPr>
        <w:t>. The timing of the attack is what led this rebellion to be more effective than most of the others already seen, because, by attacking Anglesey, Paulinus withdrew most of his troops from around Britain to concentrate on that one place, allowing Boudicca the chance to start her own rebellion without worrying about immediate repercussions</w:t>
      </w:r>
      <w:r>
        <w:rPr>
          <w:rStyle w:val="FootnoteReference"/>
          <w:rFonts w:ascii="Times New Roman" w:hAnsi="Times New Roman" w:cs="Times New Roman"/>
        </w:rPr>
        <w:footnoteReference w:id="164"/>
      </w:r>
      <w:r>
        <w:rPr>
          <w:rFonts w:ascii="Times New Roman" w:hAnsi="Times New Roman" w:cs="Times New Roman"/>
        </w:rPr>
        <w:t>. However, there is debate as to whether or not Boudicca realised the timings of her uprising, although the general opinion does seem to be that she would have had some idea, either by the lack of Roman troops in the area or from word of mouth</w:t>
      </w:r>
      <w:r>
        <w:rPr>
          <w:rStyle w:val="FootnoteReference"/>
          <w:rFonts w:ascii="Times New Roman" w:hAnsi="Times New Roman" w:cs="Times New Roman"/>
        </w:rPr>
        <w:footnoteReference w:id="165"/>
      </w:r>
      <w:r>
        <w:rPr>
          <w:rFonts w:ascii="Times New Roman" w:hAnsi="Times New Roman" w:cs="Times New Roman"/>
        </w:rPr>
        <w:t xml:space="preserve">. </w:t>
      </w:r>
    </w:p>
    <w:p w14:paraId="2A118C31" w14:textId="77777777" w:rsidR="00D76063" w:rsidRDefault="00D76063" w:rsidP="00D76063">
      <w:pPr>
        <w:spacing w:line="480" w:lineRule="auto"/>
        <w:ind w:firstLine="720"/>
        <w:rPr>
          <w:rFonts w:ascii="Times New Roman" w:hAnsi="Times New Roman" w:cs="Times New Roman"/>
        </w:rPr>
      </w:pPr>
      <w:r>
        <w:rPr>
          <w:rFonts w:ascii="Times New Roman" w:hAnsi="Times New Roman" w:cs="Times New Roman"/>
        </w:rPr>
        <w:lastRenderedPageBreak/>
        <w:t>The trip up to Anglesey was not an easy one and the Romans encountered more rebellions on the way, mostly from the Silures and the Ordovices whose territories, which were located in Wales, they were travelling through</w:t>
      </w:r>
      <w:r>
        <w:rPr>
          <w:rStyle w:val="FootnoteReference"/>
          <w:rFonts w:ascii="Times New Roman" w:hAnsi="Times New Roman" w:cs="Times New Roman"/>
        </w:rPr>
        <w:footnoteReference w:id="166"/>
      </w:r>
      <w:r>
        <w:rPr>
          <w:rFonts w:ascii="Times New Roman" w:hAnsi="Times New Roman" w:cs="Times New Roman"/>
        </w:rPr>
        <w:t>. Tacitus describes the Silures as a “warlike tribe”</w:t>
      </w:r>
      <w:r>
        <w:rPr>
          <w:rStyle w:val="FootnoteReference"/>
          <w:rFonts w:ascii="Times New Roman" w:hAnsi="Times New Roman" w:cs="Times New Roman"/>
        </w:rPr>
        <w:footnoteReference w:id="167"/>
      </w:r>
      <w:r>
        <w:rPr>
          <w:rFonts w:ascii="Times New Roman" w:hAnsi="Times New Roman" w:cs="Times New Roman"/>
        </w:rPr>
        <w:t xml:space="preserve"> which could tell us that the Romans had dealt with them in the past, which we have seen in Caratacus’ revolt against them, as the Silures and the Ordovices both supported Caratacus’ rebellion</w:t>
      </w:r>
      <w:r>
        <w:rPr>
          <w:rStyle w:val="FootnoteReference"/>
          <w:rFonts w:ascii="Times New Roman" w:hAnsi="Times New Roman" w:cs="Times New Roman"/>
        </w:rPr>
        <w:footnoteReference w:id="168"/>
      </w:r>
      <w:r>
        <w:rPr>
          <w:rFonts w:ascii="Times New Roman" w:hAnsi="Times New Roman" w:cs="Times New Roman"/>
        </w:rPr>
        <w:t>. These two kingdoms ended up revolting against the Romans long after any other early threat to their landings, which will be discussed further.</w:t>
      </w:r>
    </w:p>
    <w:p w14:paraId="7E3BFDFA" w14:textId="77777777" w:rsidR="00D76063" w:rsidRDefault="00D76063" w:rsidP="00D76063">
      <w:pPr>
        <w:spacing w:line="480" w:lineRule="auto"/>
        <w:ind w:firstLine="720"/>
        <w:rPr>
          <w:rFonts w:ascii="Times New Roman" w:hAnsi="Times New Roman" w:cs="Times New Roman"/>
        </w:rPr>
      </w:pPr>
      <w:r>
        <w:rPr>
          <w:rFonts w:ascii="Times New Roman" w:hAnsi="Times New Roman" w:cs="Times New Roman"/>
        </w:rPr>
        <w:t>When the Romans eventually ended up in Anglesey, they were greeted with a sight that was supposed to send terror into their hearts. Tacitus describes the Druids here as “furies”</w:t>
      </w:r>
      <w:r w:rsidRPr="00A91BAF">
        <w:rPr>
          <w:rFonts w:ascii="Times New Roman" w:hAnsi="Times New Roman" w:cs="Times New Roman"/>
          <w:vertAlign w:val="superscript"/>
        </w:rPr>
        <w:t>125</w:t>
      </w:r>
      <w:r>
        <w:rPr>
          <w:rFonts w:ascii="Times New Roman" w:hAnsi="Times New Roman" w:cs="Times New Roman"/>
        </w:rPr>
        <w:t xml:space="preserve"> and that the Romans had never come into contact with anything like that before as it “scared our soldiers by the unfamiliar sight”</w:t>
      </w:r>
      <w:r>
        <w:rPr>
          <w:rStyle w:val="FootnoteReference"/>
          <w:rFonts w:ascii="Times New Roman" w:hAnsi="Times New Roman" w:cs="Times New Roman"/>
        </w:rPr>
        <w:footnoteReference w:id="169"/>
      </w:r>
      <w:r>
        <w:rPr>
          <w:rFonts w:ascii="Times New Roman" w:hAnsi="Times New Roman" w:cs="Times New Roman"/>
        </w:rPr>
        <w:t>. It is this descriptive piece that Tacitus wrote, that could have been added in order to show the horror of the Druidic movement to the Roman public</w:t>
      </w:r>
      <w:r>
        <w:rPr>
          <w:rStyle w:val="FootnoteReference"/>
          <w:rFonts w:ascii="Times New Roman" w:hAnsi="Times New Roman" w:cs="Times New Roman"/>
        </w:rPr>
        <w:footnoteReference w:id="170"/>
      </w:r>
      <w:r>
        <w:rPr>
          <w:rFonts w:ascii="Times New Roman" w:hAnsi="Times New Roman" w:cs="Times New Roman"/>
        </w:rPr>
        <w:t>. He does not go into much detail on the corresponding battle that would have followed, only that Paulinus and his troops destroyed their sacred ground, something that Hutton said was very unusual behaviour- perhaps signifying the threat the Romans believed the Druids held</w:t>
      </w:r>
      <w:r>
        <w:rPr>
          <w:rStyle w:val="FootnoteReference"/>
          <w:rFonts w:ascii="Times New Roman" w:hAnsi="Times New Roman" w:cs="Times New Roman"/>
        </w:rPr>
        <w:footnoteReference w:id="171"/>
      </w:r>
      <w:r>
        <w:rPr>
          <w:rFonts w:ascii="Times New Roman" w:hAnsi="Times New Roman" w:cs="Times New Roman"/>
        </w:rPr>
        <w:t>.</w:t>
      </w:r>
    </w:p>
    <w:p w14:paraId="5E8B5947" w14:textId="03A79CB6" w:rsidR="00D76063" w:rsidRDefault="00D76063" w:rsidP="00D76063">
      <w:pPr>
        <w:spacing w:line="480" w:lineRule="auto"/>
        <w:ind w:firstLine="720"/>
        <w:rPr>
          <w:rFonts w:ascii="Times New Roman" w:hAnsi="Times New Roman" w:cs="Times New Roman"/>
        </w:rPr>
      </w:pPr>
      <w:r>
        <w:rPr>
          <w:rFonts w:ascii="Times New Roman" w:hAnsi="Times New Roman" w:cs="Times New Roman"/>
        </w:rPr>
        <w:t>This particular uprising of the Druids was not very successful and we get the impression that the actual battle did not last very long</w:t>
      </w:r>
      <w:r>
        <w:rPr>
          <w:rStyle w:val="FootnoteReference"/>
          <w:rFonts w:ascii="Times New Roman" w:hAnsi="Times New Roman" w:cs="Times New Roman"/>
        </w:rPr>
        <w:footnoteReference w:id="172"/>
      </w:r>
      <w:r>
        <w:rPr>
          <w:rFonts w:ascii="Times New Roman" w:hAnsi="Times New Roman" w:cs="Times New Roman"/>
        </w:rPr>
        <w:t xml:space="preserve">. However, Tacitus, in his works on </w:t>
      </w:r>
      <w:r>
        <w:rPr>
          <w:rFonts w:ascii="Times New Roman" w:hAnsi="Times New Roman" w:cs="Times New Roman"/>
          <w:i/>
        </w:rPr>
        <w:t>Agricola</w:t>
      </w:r>
      <w:r>
        <w:rPr>
          <w:rFonts w:ascii="Times New Roman" w:hAnsi="Times New Roman" w:cs="Times New Roman"/>
        </w:rPr>
        <w:t xml:space="preserve">, tells us that Anglesey was lost to the Britons soon after Suetonius </w:t>
      </w:r>
      <w:r>
        <w:rPr>
          <w:rFonts w:ascii="Times New Roman" w:hAnsi="Times New Roman" w:cs="Times New Roman"/>
        </w:rPr>
        <w:lastRenderedPageBreak/>
        <w:t>Paulinus had withdrawn his troops to deal with the threat of Boudicca</w:t>
      </w:r>
      <w:r>
        <w:rPr>
          <w:rStyle w:val="FootnoteReference"/>
          <w:rFonts w:ascii="Times New Roman" w:hAnsi="Times New Roman" w:cs="Times New Roman"/>
        </w:rPr>
        <w:footnoteReference w:id="173"/>
      </w:r>
      <w:r>
        <w:rPr>
          <w:rFonts w:ascii="Times New Roman" w:hAnsi="Times New Roman" w:cs="Times New Roman"/>
        </w:rPr>
        <w:t>. Tacitus also narrates</w:t>
      </w:r>
      <w:r w:rsidR="00507B02">
        <w:rPr>
          <w:rFonts w:ascii="Times New Roman" w:hAnsi="Times New Roman" w:cs="Times New Roman"/>
        </w:rPr>
        <w:t xml:space="preserve"> that the Ordovices </w:t>
      </w:r>
      <w:r>
        <w:rPr>
          <w:rFonts w:ascii="Times New Roman" w:hAnsi="Times New Roman" w:cs="Times New Roman"/>
        </w:rPr>
        <w:t>had managed to destroy a large amount of cavalry of allied troops which Tacitus explains gave the native Britons hope</w:t>
      </w:r>
      <w:r>
        <w:rPr>
          <w:rStyle w:val="FootnoteReference"/>
          <w:rFonts w:ascii="Times New Roman" w:hAnsi="Times New Roman" w:cs="Times New Roman"/>
        </w:rPr>
        <w:footnoteReference w:id="174"/>
      </w:r>
      <w:r>
        <w:rPr>
          <w:rFonts w:ascii="Times New Roman" w:hAnsi="Times New Roman" w:cs="Times New Roman"/>
        </w:rPr>
        <w:t>. This however did not last long and Agricola was able to take back the stolen lands and stop the enemy troops</w:t>
      </w:r>
      <w:r>
        <w:rPr>
          <w:rStyle w:val="FootnoteReference"/>
          <w:rFonts w:ascii="Times New Roman" w:hAnsi="Times New Roman" w:cs="Times New Roman"/>
        </w:rPr>
        <w:footnoteReference w:id="175"/>
      </w:r>
      <w:r>
        <w:rPr>
          <w:rFonts w:ascii="Times New Roman" w:hAnsi="Times New Roman" w:cs="Times New Roman"/>
        </w:rPr>
        <w:t>. His attack was then directed back towards Anglesey, but in this account no druids are mentioned. Nor do we know what resistance Agricola met once he arrived, only that they surprised the inhabitants by swimming across to the island and not arriving in ships</w:t>
      </w:r>
      <w:r>
        <w:rPr>
          <w:rStyle w:val="FootnoteReference"/>
          <w:rFonts w:ascii="Times New Roman" w:hAnsi="Times New Roman" w:cs="Times New Roman"/>
        </w:rPr>
        <w:footnoteReference w:id="176"/>
      </w:r>
      <w:r>
        <w:rPr>
          <w:rFonts w:ascii="Times New Roman" w:hAnsi="Times New Roman" w:cs="Times New Roman"/>
        </w:rPr>
        <w:t>. It can be determined, however, that this small revolt did not amount to much as the islanders surrendered fairly quickly afterwards and it was therefore not very effective against the Roman invaders</w:t>
      </w:r>
      <w:r>
        <w:rPr>
          <w:rStyle w:val="FootnoteReference"/>
          <w:rFonts w:ascii="Times New Roman" w:hAnsi="Times New Roman" w:cs="Times New Roman"/>
        </w:rPr>
        <w:footnoteReference w:id="177"/>
      </w:r>
      <w:r>
        <w:rPr>
          <w:rFonts w:ascii="Times New Roman" w:hAnsi="Times New Roman" w:cs="Times New Roman"/>
        </w:rPr>
        <w:t>.</w:t>
      </w:r>
    </w:p>
    <w:p w14:paraId="22ECE391" w14:textId="640F0FE1" w:rsidR="00D76063" w:rsidRDefault="00D76063" w:rsidP="00D76063">
      <w:pPr>
        <w:spacing w:line="480" w:lineRule="auto"/>
        <w:ind w:firstLine="720"/>
        <w:rPr>
          <w:rFonts w:ascii="Times New Roman" w:hAnsi="Times New Roman" w:cs="Times New Roman"/>
        </w:rPr>
      </w:pPr>
      <w:r>
        <w:rPr>
          <w:rFonts w:ascii="Times New Roman" w:hAnsi="Times New Roman" w:cs="Times New Roman"/>
        </w:rPr>
        <w:t>The revolts by the Ordovices and the previous revolts orchestrated by the Silures are important because of the length of time</w:t>
      </w:r>
      <w:r w:rsidR="00507B02">
        <w:rPr>
          <w:rFonts w:ascii="Times New Roman" w:hAnsi="Times New Roman" w:cs="Times New Roman"/>
        </w:rPr>
        <w:t xml:space="preserve"> which these two faction</w:t>
      </w:r>
      <w:r>
        <w:rPr>
          <w:rFonts w:ascii="Times New Roman" w:hAnsi="Times New Roman" w:cs="Times New Roman"/>
        </w:rPr>
        <w:t>s continued to put up resistance. The Silures managed to revolt against the Romans for over thirty years, before Frontinus was able to subdue them</w:t>
      </w:r>
      <w:r>
        <w:rPr>
          <w:rStyle w:val="FootnoteReference"/>
          <w:rFonts w:ascii="Times New Roman" w:hAnsi="Times New Roman" w:cs="Times New Roman"/>
        </w:rPr>
        <w:footnoteReference w:id="178"/>
      </w:r>
      <w:r>
        <w:rPr>
          <w:rFonts w:ascii="Times New Roman" w:hAnsi="Times New Roman" w:cs="Times New Roman"/>
        </w:rPr>
        <w:t xml:space="preserve"> and the Ordovices continued to rebel against Roman rule for even longer than that</w:t>
      </w:r>
      <w:r>
        <w:rPr>
          <w:rStyle w:val="FootnoteReference"/>
          <w:rFonts w:ascii="Times New Roman" w:hAnsi="Times New Roman" w:cs="Times New Roman"/>
        </w:rPr>
        <w:footnoteReference w:id="179"/>
      </w:r>
      <w:r>
        <w:rPr>
          <w:rFonts w:ascii="Times New Roman" w:hAnsi="Times New Roman" w:cs="Times New Roman"/>
        </w:rPr>
        <w:t xml:space="preserve">. As a result, it is clear to see that, although the rebellions were once again stopped by the Romans, they still felt the need to go </w:t>
      </w:r>
      <w:r w:rsidR="00507B02">
        <w:rPr>
          <w:rFonts w:ascii="Times New Roman" w:hAnsi="Times New Roman" w:cs="Times New Roman"/>
        </w:rPr>
        <w:t>back and subdue these two factions</w:t>
      </w:r>
      <w:r>
        <w:rPr>
          <w:rFonts w:ascii="Times New Roman" w:hAnsi="Times New Roman" w:cs="Times New Roman"/>
        </w:rPr>
        <w:t xml:space="preserve"> into submission, which was not an easy task as can be seen by the time it took for the Romans to do this. However, after this mentioning of the Ordovices and Silures in Tacitus, no more mention of Roman Wales can be found in any remaining source of this time. This means that any information </w:t>
      </w:r>
      <w:r>
        <w:rPr>
          <w:rFonts w:ascii="Times New Roman" w:hAnsi="Times New Roman" w:cs="Times New Roman"/>
        </w:rPr>
        <w:lastRenderedPageBreak/>
        <w:t>from after this time can only be found in the archaeological evidence, so whether or not the Welsh kingdoms revolted again we do not know</w:t>
      </w:r>
      <w:r>
        <w:rPr>
          <w:rStyle w:val="FootnoteReference"/>
          <w:rFonts w:ascii="Times New Roman" w:hAnsi="Times New Roman" w:cs="Times New Roman"/>
        </w:rPr>
        <w:footnoteReference w:id="180"/>
      </w:r>
      <w:r>
        <w:rPr>
          <w:rFonts w:ascii="Times New Roman" w:hAnsi="Times New Roman" w:cs="Times New Roman"/>
        </w:rPr>
        <w:t>.</w:t>
      </w:r>
    </w:p>
    <w:p w14:paraId="74E3054B" w14:textId="487899E3" w:rsidR="00D76063" w:rsidRDefault="00D76063" w:rsidP="00D76063">
      <w:pPr>
        <w:spacing w:line="480" w:lineRule="auto"/>
        <w:ind w:firstLine="720"/>
        <w:rPr>
          <w:rFonts w:ascii="Times New Roman" w:hAnsi="Times New Roman" w:cs="Times New Roman"/>
        </w:rPr>
      </w:pPr>
      <w:r>
        <w:rPr>
          <w:rFonts w:ascii="Times New Roman" w:hAnsi="Times New Roman" w:cs="Times New Roman"/>
        </w:rPr>
        <w:t>The final smaller revolt that took happened during this time period is that of the Brigantes. This internecine revolt took place after Boudicca’s revolt and happened when Queen Cartimandua, who as we have seen was loyal to Rome, was driven out</w:t>
      </w:r>
      <w:r w:rsidR="00507B02">
        <w:rPr>
          <w:rFonts w:ascii="Times New Roman" w:hAnsi="Times New Roman" w:cs="Times New Roman"/>
        </w:rPr>
        <w:t xml:space="preserve"> of the country by her own people</w:t>
      </w:r>
      <w:r>
        <w:rPr>
          <w:rFonts w:ascii="Times New Roman" w:hAnsi="Times New Roman" w:cs="Times New Roman"/>
        </w:rPr>
        <w:t>. The beginning of this revolt took place after Cartimandua supposedly split from Venutius, her husband of the time</w:t>
      </w:r>
      <w:r>
        <w:rPr>
          <w:rStyle w:val="FootnoteReference"/>
          <w:rFonts w:ascii="Times New Roman" w:hAnsi="Times New Roman" w:cs="Times New Roman"/>
        </w:rPr>
        <w:footnoteReference w:id="181"/>
      </w:r>
      <w:r>
        <w:rPr>
          <w:rFonts w:ascii="Times New Roman" w:hAnsi="Times New Roman" w:cs="Times New Roman"/>
        </w:rPr>
        <w:t xml:space="preserve">. Venutius is a confusing character that Tacitus wrote about because in </w:t>
      </w:r>
      <w:r>
        <w:rPr>
          <w:rFonts w:ascii="Times New Roman" w:hAnsi="Times New Roman" w:cs="Times New Roman"/>
          <w:i/>
        </w:rPr>
        <w:t xml:space="preserve">The Annals </w:t>
      </w:r>
      <w:r>
        <w:rPr>
          <w:rFonts w:ascii="Times New Roman" w:hAnsi="Times New Roman" w:cs="Times New Roman"/>
        </w:rPr>
        <w:t>he talks about how Venutius was a loyal subject of Rome</w:t>
      </w:r>
      <w:r>
        <w:rPr>
          <w:rStyle w:val="FootnoteReference"/>
          <w:rFonts w:ascii="Times New Roman" w:hAnsi="Times New Roman" w:cs="Times New Roman"/>
        </w:rPr>
        <w:footnoteReference w:id="182"/>
      </w:r>
      <w:r>
        <w:rPr>
          <w:rFonts w:ascii="Times New Roman" w:hAnsi="Times New Roman" w:cs="Times New Roman"/>
        </w:rPr>
        <w:t xml:space="preserve"> but in his later works </w:t>
      </w:r>
      <w:r>
        <w:rPr>
          <w:rFonts w:ascii="Times New Roman" w:hAnsi="Times New Roman" w:cs="Times New Roman"/>
          <w:i/>
        </w:rPr>
        <w:t xml:space="preserve">The Histories </w:t>
      </w:r>
      <w:r>
        <w:rPr>
          <w:rFonts w:ascii="Times New Roman" w:hAnsi="Times New Roman" w:cs="Times New Roman"/>
        </w:rPr>
        <w:t>Tacitus describes him as being “</w:t>
      </w:r>
      <w:r w:rsidRPr="00EB18A9">
        <w:rPr>
          <w:rFonts w:ascii="Times New Roman" w:hAnsi="Times New Roman" w:cs="Times New Roman"/>
        </w:rPr>
        <w:t>high spirited, and hating the name of Rome</w:t>
      </w:r>
      <w:r>
        <w:rPr>
          <w:rFonts w:ascii="Times New Roman" w:hAnsi="Times New Roman" w:cs="Times New Roman"/>
        </w:rPr>
        <w:t>”</w:t>
      </w:r>
      <w:r>
        <w:rPr>
          <w:rStyle w:val="FootnoteReference"/>
          <w:rFonts w:ascii="Times New Roman" w:hAnsi="Times New Roman" w:cs="Times New Roman"/>
        </w:rPr>
        <w:footnoteReference w:id="183"/>
      </w:r>
      <w:r>
        <w:rPr>
          <w:rFonts w:ascii="Times New Roman" w:hAnsi="Times New Roman" w:cs="Times New Roman"/>
        </w:rPr>
        <w:t>. This contradiction could be due to the fact that once he was no longer married to Cartimandua, he was able to do as he wished and no longer follow the Queen’s love for all things Roman</w:t>
      </w:r>
      <w:r>
        <w:rPr>
          <w:rStyle w:val="FootnoteReference"/>
          <w:rFonts w:ascii="Times New Roman" w:hAnsi="Times New Roman" w:cs="Times New Roman"/>
        </w:rPr>
        <w:footnoteReference w:id="184"/>
      </w:r>
      <w:r>
        <w:rPr>
          <w:rFonts w:ascii="Times New Roman" w:hAnsi="Times New Roman" w:cs="Times New Roman"/>
        </w:rPr>
        <w:t>. However, this brings into question why, as it appears, he did not join Boudicca on her rampage against all things Roman</w:t>
      </w:r>
      <w:r>
        <w:rPr>
          <w:rStyle w:val="FootnoteReference"/>
          <w:rFonts w:ascii="Times New Roman" w:hAnsi="Times New Roman" w:cs="Times New Roman"/>
        </w:rPr>
        <w:footnoteReference w:id="185"/>
      </w:r>
      <w:r>
        <w:rPr>
          <w:rFonts w:ascii="Times New Roman" w:hAnsi="Times New Roman" w:cs="Times New Roman"/>
        </w:rPr>
        <w:t xml:space="preserve">. </w:t>
      </w:r>
    </w:p>
    <w:p w14:paraId="444F035C" w14:textId="77777777" w:rsidR="00D76063" w:rsidRDefault="00D76063" w:rsidP="00D76063">
      <w:pPr>
        <w:spacing w:line="480" w:lineRule="auto"/>
        <w:ind w:firstLine="720"/>
        <w:rPr>
          <w:rFonts w:ascii="Times New Roman" w:hAnsi="Times New Roman" w:cs="Times New Roman"/>
        </w:rPr>
      </w:pPr>
      <w:r>
        <w:rPr>
          <w:rFonts w:ascii="Times New Roman" w:hAnsi="Times New Roman" w:cs="Times New Roman"/>
        </w:rPr>
        <w:t>As for the evidence substantiating this revolt against Roman rule, there is not much, if any at all. It had been suggested that a site at Stanwick, near Scotch Corner could be where Venutius made his stand due to the large amount of Roman imports that have been found there</w:t>
      </w:r>
      <w:r>
        <w:rPr>
          <w:rStyle w:val="FootnoteReference"/>
          <w:rFonts w:ascii="Times New Roman" w:hAnsi="Times New Roman" w:cs="Times New Roman"/>
        </w:rPr>
        <w:footnoteReference w:id="186"/>
      </w:r>
      <w:r>
        <w:rPr>
          <w:rFonts w:ascii="Times New Roman" w:hAnsi="Times New Roman" w:cs="Times New Roman"/>
        </w:rPr>
        <w:t>. Moreover, it was also destroyed around this time period and defensive installations have been found to be incomplete</w:t>
      </w:r>
      <w:r>
        <w:rPr>
          <w:rStyle w:val="FootnoteReference"/>
          <w:rFonts w:ascii="Times New Roman" w:hAnsi="Times New Roman" w:cs="Times New Roman"/>
        </w:rPr>
        <w:footnoteReference w:id="187"/>
      </w:r>
      <w:r>
        <w:rPr>
          <w:rFonts w:ascii="Times New Roman" w:hAnsi="Times New Roman" w:cs="Times New Roman"/>
        </w:rPr>
        <w:t xml:space="preserve">. However, the literary texts </w:t>
      </w:r>
      <w:r>
        <w:rPr>
          <w:rFonts w:ascii="Times New Roman" w:hAnsi="Times New Roman" w:cs="Times New Roman"/>
        </w:rPr>
        <w:lastRenderedPageBreak/>
        <w:t>make no mention of the storming of any settlement, which could suggest that the site was merely an important centre for the Brigantes</w:t>
      </w:r>
      <w:r>
        <w:rPr>
          <w:rStyle w:val="FootnoteReference"/>
          <w:rFonts w:ascii="Times New Roman" w:hAnsi="Times New Roman" w:cs="Times New Roman"/>
        </w:rPr>
        <w:footnoteReference w:id="188"/>
      </w:r>
      <w:r>
        <w:rPr>
          <w:rFonts w:ascii="Times New Roman" w:hAnsi="Times New Roman" w:cs="Times New Roman"/>
        </w:rPr>
        <w:t xml:space="preserve">. </w:t>
      </w:r>
    </w:p>
    <w:p w14:paraId="2640B6AB" w14:textId="77777777" w:rsidR="00D76063" w:rsidRDefault="00D76063" w:rsidP="00D76063">
      <w:pPr>
        <w:spacing w:line="480" w:lineRule="auto"/>
        <w:ind w:firstLine="720"/>
        <w:rPr>
          <w:rFonts w:ascii="Times New Roman" w:hAnsi="Times New Roman" w:cs="Times New Roman"/>
        </w:rPr>
      </w:pPr>
      <w:r>
        <w:rPr>
          <w:rFonts w:ascii="Times New Roman" w:hAnsi="Times New Roman" w:cs="Times New Roman"/>
        </w:rPr>
        <w:t>The reason why this revolt can be seen as important and also effective is because, although Tacitus is the only one who makes any mention of it, this revolt helps solidify the Roman belief that the Britons were a warlike society who constantly fought one another - in this case the fighting took place only within the faction of the Brigantes</w:t>
      </w:r>
      <w:r>
        <w:rPr>
          <w:rStyle w:val="FootnoteReference"/>
          <w:rFonts w:ascii="Times New Roman" w:hAnsi="Times New Roman" w:cs="Times New Roman"/>
        </w:rPr>
        <w:footnoteReference w:id="189"/>
      </w:r>
      <w:r>
        <w:rPr>
          <w:rFonts w:ascii="Times New Roman" w:hAnsi="Times New Roman" w:cs="Times New Roman"/>
        </w:rPr>
        <w:t>. Furthermore, this revolt is also an example of the client kingdom status working. Cartimandua was always a supporter of Rome, as we have seen with Caratacus, and it is perhaps this event that led the Romans to her aid</w:t>
      </w:r>
      <w:r>
        <w:rPr>
          <w:rStyle w:val="FootnoteReference"/>
          <w:rFonts w:ascii="Times New Roman" w:hAnsi="Times New Roman" w:cs="Times New Roman"/>
        </w:rPr>
        <w:footnoteReference w:id="190"/>
      </w:r>
      <w:r>
        <w:rPr>
          <w:rFonts w:ascii="Times New Roman" w:hAnsi="Times New Roman" w:cs="Times New Roman"/>
        </w:rPr>
        <w:t xml:space="preserve">.  </w:t>
      </w:r>
    </w:p>
    <w:p w14:paraId="573D46BD" w14:textId="77777777" w:rsidR="00C04A40" w:rsidRDefault="00D76063" w:rsidP="00C04A40">
      <w:pPr>
        <w:spacing w:line="480" w:lineRule="auto"/>
        <w:ind w:firstLine="720"/>
        <w:rPr>
          <w:rFonts w:ascii="Times New Roman" w:hAnsi="Times New Roman" w:cs="Times New Roman"/>
        </w:rPr>
      </w:pPr>
      <w:r>
        <w:rPr>
          <w:rFonts w:ascii="Times New Roman" w:hAnsi="Times New Roman" w:cs="Times New Roman"/>
        </w:rPr>
        <w:t>The reason for the revolt is still being debated with historians blaming either her remarriage to Vellocatus</w:t>
      </w:r>
      <w:r>
        <w:rPr>
          <w:rStyle w:val="FootnoteReference"/>
          <w:rFonts w:ascii="Times New Roman" w:hAnsi="Times New Roman" w:cs="Times New Roman"/>
        </w:rPr>
        <w:footnoteReference w:id="191"/>
      </w:r>
      <w:r>
        <w:rPr>
          <w:rFonts w:ascii="Times New Roman" w:hAnsi="Times New Roman" w:cs="Times New Roman"/>
        </w:rPr>
        <w:t xml:space="preserve"> or her overindulgence in riches</w:t>
      </w:r>
      <w:r>
        <w:rPr>
          <w:rStyle w:val="FootnoteReference"/>
          <w:rFonts w:ascii="Times New Roman" w:hAnsi="Times New Roman" w:cs="Times New Roman"/>
        </w:rPr>
        <w:footnoteReference w:id="192"/>
      </w:r>
      <w:r>
        <w:rPr>
          <w:rFonts w:ascii="Times New Roman" w:hAnsi="Times New Roman" w:cs="Times New Roman"/>
        </w:rPr>
        <w:t xml:space="preserve">. Either way, Cartimandua had managed to turn her entire people against her. This part of Tacitus’ </w:t>
      </w:r>
      <w:r>
        <w:rPr>
          <w:rFonts w:ascii="Times New Roman" w:hAnsi="Times New Roman" w:cs="Times New Roman"/>
          <w:i/>
        </w:rPr>
        <w:t>Histories</w:t>
      </w:r>
      <w:r>
        <w:rPr>
          <w:rFonts w:ascii="Times New Roman" w:hAnsi="Times New Roman" w:cs="Times New Roman"/>
        </w:rPr>
        <w:t xml:space="preserve"> is important because Tacitus ends the section saying “</w:t>
      </w:r>
      <w:r w:rsidRPr="009C7791">
        <w:rPr>
          <w:rFonts w:ascii="Times New Roman" w:hAnsi="Times New Roman" w:cs="Times New Roman"/>
        </w:rPr>
        <w:t xml:space="preserve">Venutius retained the kingdom, </w:t>
      </w:r>
      <w:r>
        <w:rPr>
          <w:rFonts w:ascii="Times New Roman" w:hAnsi="Times New Roman" w:cs="Times New Roman"/>
        </w:rPr>
        <w:t>and we had the war on our hands</w:t>
      </w:r>
      <w:r w:rsidRPr="009C7791">
        <w:rPr>
          <w:rFonts w:ascii="Times New Roman" w:hAnsi="Times New Roman" w:cs="Times New Roman"/>
        </w:rPr>
        <w:t>”</w:t>
      </w:r>
      <w:r w:rsidRPr="009C7791">
        <w:rPr>
          <w:rStyle w:val="FootnoteReference"/>
          <w:rFonts w:ascii="Times New Roman" w:hAnsi="Times New Roman" w:cs="Times New Roman"/>
        </w:rPr>
        <w:t xml:space="preserve"> </w:t>
      </w:r>
      <w:r>
        <w:rPr>
          <w:rStyle w:val="FootnoteReference"/>
          <w:rFonts w:ascii="Times New Roman" w:hAnsi="Times New Roman" w:cs="Times New Roman"/>
        </w:rPr>
        <w:footnoteReference w:id="193"/>
      </w:r>
      <w:r>
        <w:rPr>
          <w:rFonts w:ascii="Times New Roman" w:hAnsi="Times New Roman" w:cs="Times New Roman"/>
        </w:rPr>
        <w:t>. He then makes no mention of Venutius or Cartimandua again in any of his works, which could suggest that Tacitus either planned to write it later on and never did or the section which it was written in has been lost over the years</w:t>
      </w:r>
      <w:r>
        <w:rPr>
          <w:rStyle w:val="FootnoteReference"/>
          <w:rFonts w:ascii="Times New Roman" w:hAnsi="Times New Roman" w:cs="Times New Roman"/>
        </w:rPr>
        <w:footnoteReference w:id="194"/>
      </w:r>
      <w:r>
        <w:rPr>
          <w:rFonts w:ascii="Times New Roman" w:hAnsi="Times New Roman" w:cs="Times New Roman"/>
        </w:rPr>
        <w:t xml:space="preserve">. This makes looking at the effectiveness of this revolt difficult as we do not know the full outcome of this internecine revolt or the fates of both Venutius and Cartimandua. From the quote above we can gather that the first stage of the revolt, in which Cartimandua was removed, was somewhat successful and effective for the Brigantes as he reclaimed his kingdom from the Romans, who would have to send </w:t>
      </w:r>
      <w:r>
        <w:rPr>
          <w:rFonts w:ascii="Times New Roman" w:hAnsi="Times New Roman" w:cs="Times New Roman"/>
        </w:rPr>
        <w:lastRenderedPageBreak/>
        <w:t xml:space="preserve">troops to retaliate. However, the likely outcome of this revolt is, as is a common theme throughout British revolts against the invading Romans, that the Romans were able to reclaim the Brigantes’ territory from Venutius. </w:t>
      </w:r>
    </w:p>
    <w:p w14:paraId="46F91117" w14:textId="64CF975A" w:rsidR="00C04A40" w:rsidRPr="009C7791" w:rsidRDefault="00C04A40" w:rsidP="00C04A40">
      <w:pPr>
        <w:spacing w:line="480" w:lineRule="auto"/>
        <w:ind w:firstLine="720"/>
        <w:rPr>
          <w:rFonts w:ascii="Times New Roman" w:hAnsi="Times New Roman" w:cs="Times New Roman"/>
        </w:rPr>
      </w:pPr>
      <w:r>
        <w:rPr>
          <w:rFonts w:ascii="Times New Roman" w:hAnsi="Times New Roman" w:cs="Times New Roman"/>
        </w:rPr>
        <w:t>In this section, we can conclude that there were many revolts that took place against the Romans and their occupation of Britain but they varied in both effectiveness and in length. Cassivellaunus managed to be one of the least effective revolts that we will see because he managed to convince a lot of the different factions, such as the Trinovantes, to surrender to the Romans in order to help stop his so-called tyranny</w:t>
      </w:r>
      <w:r>
        <w:rPr>
          <w:rStyle w:val="FootnoteReference"/>
          <w:rFonts w:ascii="Times New Roman" w:hAnsi="Times New Roman" w:cs="Times New Roman"/>
        </w:rPr>
        <w:footnoteReference w:id="195"/>
      </w:r>
      <w:r>
        <w:rPr>
          <w:rFonts w:ascii="Times New Roman" w:hAnsi="Times New Roman" w:cs="Times New Roman"/>
        </w:rPr>
        <w:t>. The Silures and the Ordovices, although ultimately unsuccessful in their endeavour against the Romans, managed to revolt for the longest out of any of the other people, thus creating a very big problem for the Romans who had to continue to stop their revolutions</w:t>
      </w:r>
      <w:r>
        <w:rPr>
          <w:rStyle w:val="FootnoteReference"/>
          <w:rFonts w:ascii="Times New Roman" w:hAnsi="Times New Roman" w:cs="Times New Roman"/>
        </w:rPr>
        <w:footnoteReference w:id="196"/>
      </w:r>
      <w:r>
        <w:rPr>
          <w:rFonts w:ascii="Times New Roman" w:hAnsi="Times New Roman" w:cs="Times New Roman"/>
        </w:rPr>
        <w:t xml:space="preserve">.  The Druids, like these two </w:t>
      </w:r>
      <w:r w:rsidRPr="00C04A40">
        <w:rPr>
          <w:rFonts w:ascii="Times New Roman" w:hAnsi="Times New Roman" w:cs="Times New Roman"/>
        </w:rPr>
        <w:t>factions</w:t>
      </w:r>
      <w:r>
        <w:rPr>
          <w:rFonts w:ascii="Times New Roman" w:hAnsi="Times New Roman" w:cs="Times New Roman"/>
        </w:rPr>
        <w:t>, also caused the Romans trouble as, although they had been subdued once before, before Boudicca’s revolt, they used that distraction to regroup and once again more Roman troops had to be sent to Anglesey to deal with them, although in this revolt no mention of the word Druid can be found</w:t>
      </w:r>
      <w:r>
        <w:rPr>
          <w:rStyle w:val="FootnoteReference"/>
          <w:rFonts w:ascii="Times New Roman" w:hAnsi="Times New Roman" w:cs="Times New Roman"/>
        </w:rPr>
        <w:footnoteReference w:id="197"/>
      </w:r>
      <w:r>
        <w:rPr>
          <w:rFonts w:ascii="Times New Roman" w:hAnsi="Times New Roman" w:cs="Times New Roman"/>
        </w:rPr>
        <w:t>. Finally, the revolt against Cartimandua is slightly unusual as she was a British Queen who was a Roman sympathiser that was overturned from her own tribe. This contrast is interesting because it shows that the Roman supporters were protected against the revolting tribes. However, something that is common in all of these main revolts is the lack of archaeological evidence to back up the revolts that are described by Tacitus and Caesar, which ultimately affects the effectiveness of these revolts as they may not have taken place to begin with.</w:t>
      </w:r>
    </w:p>
    <w:p w14:paraId="484C7D47" w14:textId="6FFB19F8" w:rsidR="00D20FE7" w:rsidRDefault="00D20FE7" w:rsidP="00D76063">
      <w:pPr>
        <w:spacing w:line="480" w:lineRule="auto"/>
        <w:rPr>
          <w:rFonts w:ascii="Times New Roman" w:hAnsi="Times New Roman" w:cs="Times New Roman"/>
        </w:rPr>
      </w:pPr>
    </w:p>
    <w:p w14:paraId="0F2060DA" w14:textId="68304D6E" w:rsidR="0061374D" w:rsidRDefault="0061374D" w:rsidP="00F53B32">
      <w:pPr>
        <w:pStyle w:val="Heading1"/>
        <w:spacing w:line="480" w:lineRule="auto"/>
        <w:jc w:val="center"/>
        <w:rPr>
          <w:b/>
          <w:i/>
          <w:color w:val="000000" w:themeColor="text1"/>
          <w:sz w:val="28"/>
          <w:szCs w:val="28"/>
          <w:u w:val="single"/>
        </w:rPr>
      </w:pPr>
      <w:bookmarkStart w:id="5" w:name="_Toc513693209"/>
      <w:r w:rsidRPr="0061374D">
        <w:rPr>
          <w:b/>
          <w:i/>
          <w:color w:val="000000" w:themeColor="text1"/>
          <w:sz w:val="28"/>
          <w:szCs w:val="28"/>
          <w:u w:val="single"/>
        </w:rPr>
        <w:lastRenderedPageBreak/>
        <w:t>Conclusion</w:t>
      </w:r>
      <w:bookmarkEnd w:id="5"/>
    </w:p>
    <w:p w14:paraId="5B97A834" w14:textId="36A13555" w:rsidR="0000553A" w:rsidRDefault="0061374D" w:rsidP="00D0569A">
      <w:pPr>
        <w:spacing w:line="480" w:lineRule="auto"/>
        <w:ind w:firstLine="720"/>
        <w:rPr>
          <w:rFonts w:ascii="Times New Roman" w:hAnsi="Times New Roman" w:cs="Times New Roman"/>
        </w:rPr>
      </w:pPr>
      <w:r>
        <w:rPr>
          <w:rFonts w:ascii="Times New Roman" w:hAnsi="Times New Roman" w:cs="Times New Roman"/>
        </w:rPr>
        <w:t>After looking at all these different revolts we can see that there were many similarities as well as differences</w:t>
      </w:r>
      <w:r w:rsidR="00531BAD">
        <w:rPr>
          <w:rFonts w:ascii="Times New Roman" w:hAnsi="Times New Roman" w:cs="Times New Roman"/>
        </w:rPr>
        <w:t xml:space="preserve"> in the overall events</w:t>
      </w:r>
      <w:r>
        <w:rPr>
          <w:rFonts w:ascii="Times New Roman" w:hAnsi="Times New Roman" w:cs="Times New Roman"/>
        </w:rPr>
        <w:t>.</w:t>
      </w:r>
      <w:r w:rsidR="00531BAD">
        <w:rPr>
          <w:rFonts w:ascii="Times New Roman" w:hAnsi="Times New Roman" w:cs="Times New Roman"/>
        </w:rPr>
        <w:t xml:space="preserve"> When looking at their effectiveness we can see that none of the revolts were very effective in the long run. All of them were</w:t>
      </w:r>
      <w:r w:rsidR="00776C06">
        <w:rPr>
          <w:rFonts w:ascii="Times New Roman" w:hAnsi="Times New Roman" w:cs="Times New Roman"/>
        </w:rPr>
        <w:t xml:space="preserve"> eventually</w:t>
      </w:r>
      <w:r w:rsidR="00531BAD">
        <w:rPr>
          <w:rFonts w:ascii="Times New Roman" w:hAnsi="Times New Roman" w:cs="Times New Roman"/>
        </w:rPr>
        <w:t xml:space="preserve"> </w:t>
      </w:r>
      <w:r w:rsidR="00776C06">
        <w:rPr>
          <w:rFonts w:ascii="Times New Roman" w:hAnsi="Times New Roman" w:cs="Times New Roman"/>
        </w:rPr>
        <w:t>stopped</w:t>
      </w:r>
      <w:r w:rsidR="00531BAD">
        <w:rPr>
          <w:rFonts w:ascii="Times New Roman" w:hAnsi="Times New Roman" w:cs="Times New Roman"/>
        </w:rPr>
        <w:t xml:space="preserve"> by the Romans </w:t>
      </w:r>
      <w:r w:rsidR="0070634B">
        <w:rPr>
          <w:rFonts w:ascii="Times New Roman" w:hAnsi="Times New Roman" w:cs="Times New Roman"/>
        </w:rPr>
        <w:t>who</w:t>
      </w:r>
      <w:r w:rsidR="00776C06">
        <w:rPr>
          <w:rFonts w:ascii="Times New Roman" w:hAnsi="Times New Roman" w:cs="Times New Roman"/>
        </w:rPr>
        <w:t xml:space="preserve"> were then able </w:t>
      </w:r>
      <w:r w:rsidR="00531BAD">
        <w:rPr>
          <w:rFonts w:ascii="Times New Roman" w:hAnsi="Times New Roman" w:cs="Times New Roman"/>
        </w:rPr>
        <w:t xml:space="preserve">to occupy Britain </w:t>
      </w:r>
      <w:r w:rsidR="0000553A">
        <w:rPr>
          <w:rFonts w:ascii="Times New Roman" w:hAnsi="Times New Roman" w:cs="Times New Roman"/>
        </w:rPr>
        <w:t>for over 300 years</w:t>
      </w:r>
      <w:r w:rsidR="00531BAD">
        <w:rPr>
          <w:rFonts w:ascii="Times New Roman" w:hAnsi="Times New Roman" w:cs="Times New Roman"/>
        </w:rPr>
        <w:t>. However, Caratacus and the</w:t>
      </w:r>
      <w:r w:rsidR="0000553A">
        <w:rPr>
          <w:rFonts w:ascii="Times New Roman" w:hAnsi="Times New Roman" w:cs="Times New Roman"/>
        </w:rPr>
        <w:t xml:space="preserve"> two factions,</w:t>
      </w:r>
      <w:r w:rsidR="00531BAD">
        <w:rPr>
          <w:rFonts w:ascii="Times New Roman" w:hAnsi="Times New Roman" w:cs="Times New Roman"/>
        </w:rPr>
        <w:t xml:space="preserve"> Silures and Ordovices</w:t>
      </w:r>
      <w:r w:rsidR="0000553A">
        <w:rPr>
          <w:rFonts w:ascii="Times New Roman" w:hAnsi="Times New Roman" w:cs="Times New Roman"/>
        </w:rPr>
        <w:t>,</w:t>
      </w:r>
      <w:r w:rsidR="00531BAD">
        <w:rPr>
          <w:rFonts w:ascii="Times New Roman" w:hAnsi="Times New Roman" w:cs="Times New Roman"/>
        </w:rPr>
        <w:t xml:space="preserve"> </w:t>
      </w:r>
      <w:r w:rsidR="00F92E8D">
        <w:rPr>
          <w:rFonts w:ascii="Times New Roman" w:hAnsi="Times New Roman" w:cs="Times New Roman"/>
        </w:rPr>
        <w:t>were able</w:t>
      </w:r>
      <w:r w:rsidR="0017033B">
        <w:rPr>
          <w:rFonts w:ascii="Times New Roman" w:hAnsi="Times New Roman" w:cs="Times New Roman"/>
        </w:rPr>
        <w:t xml:space="preserve"> to</w:t>
      </w:r>
      <w:r w:rsidR="00750F2E">
        <w:rPr>
          <w:rFonts w:ascii="Times New Roman" w:hAnsi="Times New Roman" w:cs="Times New Roman"/>
        </w:rPr>
        <w:t xml:space="preserve"> sustain</w:t>
      </w:r>
      <w:r w:rsidR="0017033B">
        <w:rPr>
          <w:rFonts w:ascii="Times New Roman" w:hAnsi="Times New Roman" w:cs="Times New Roman"/>
        </w:rPr>
        <w:t xml:space="preserve"> re</w:t>
      </w:r>
      <w:r w:rsidR="0000553A">
        <w:rPr>
          <w:rFonts w:ascii="Times New Roman" w:hAnsi="Times New Roman" w:cs="Times New Roman"/>
        </w:rPr>
        <w:t>volt for a long period of time. Caratacus rebelled</w:t>
      </w:r>
      <w:r w:rsidR="0017033B">
        <w:rPr>
          <w:rFonts w:ascii="Times New Roman" w:hAnsi="Times New Roman" w:cs="Times New Roman"/>
        </w:rPr>
        <w:t xml:space="preserve"> for over nine years</w:t>
      </w:r>
      <w:r w:rsidR="0017033B">
        <w:rPr>
          <w:rStyle w:val="FootnoteReference"/>
          <w:rFonts w:ascii="Times New Roman" w:hAnsi="Times New Roman" w:cs="Times New Roman"/>
        </w:rPr>
        <w:footnoteReference w:id="198"/>
      </w:r>
      <w:r w:rsidR="0017033B">
        <w:rPr>
          <w:rFonts w:ascii="Times New Roman" w:hAnsi="Times New Roman" w:cs="Times New Roman"/>
        </w:rPr>
        <w:t xml:space="preserve"> and the Silures and Ordovices for more than thirty years</w:t>
      </w:r>
      <w:r w:rsidR="0017033B">
        <w:rPr>
          <w:rStyle w:val="FootnoteReference"/>
          <w:rFonts w:ascii="Times New Roman" w:hAnsi="Times New Roman" w:cs="Times New Roman"/>
        </w:rPr>
        <w:footnoteReference w:id="199"/>
      </w:r>
      <w:r w:rsidR="0017033B">
        <w:rPr>
          <w:rFonts w:ascii="Times New Roman" w:hAnsi="Times New Roman" w:cs="Times New Roman"/>
        </w:rPr>
        <w:t xml:space="preserve">. This would have slowed the Roman conquest down considerably as more troops would have been needed to deal with these people after each battle, thus disrupting the control the Roman army had elsewhere. This movement of the army can be seen in Boudicca’s revolt where the Druids in Anglesey </w:t>
      </w:r>
      <w:r w:rsidR="00776C06">
        <w:rPr>
          <w:rFonts w:ascii="Times New Roman" w:hAnsi="Times New Roman" w:cs="Times New Roman"/>
        </w:rPr>
        <w:t>drew the troops out of the eastern part of the country, leaving it free for Boudicca’s forces to be left with hardly any opposition</w:t>
      </w:r>
      <w:r w:rsidR="00776C06">
        <w:rPr>
          <w:rStyle w:val="FootnoteReference"/>
          <w:rFonts w:ascii="Times New Roman" w:hAnsi="Times New Roman" w:cs="Times New Roman"/>
        </w:rPr>
        <w:footnoteReference w:id="200"/>
      </w:r>
      <w:r w:rsidR="00776C06">
        <w:rPr>
          <w:rFonts w:ascii="Times New Roman" w:hAnsi="Times New Roman" w:cs="Times New Roman"/>
        </w:rPr>
        <w:t>. This helped to boost the effectiveness of Boudicca’s revolt as it allowed her troops to gain ground</w:t>
      </w:r>
      <w:r w:rsidR="00D02ECE">
        <w:rPr>
          <w:rFonts w:ascii="Times New Roman" w:hAnsi="Times New Roman" w:cs="Times New Roman"/>
        </w:rPr>
        <w:t xml:space="preserve"> very quickly with early success</w:t>
      </w:r>
      <w:r w:rsidR="00AF7109">
        <w:rPr>
          <w:rFonts w:ascii="Times New Roman" w:hAnsi="Times New Roman" w:cs="Times New Roman"/>
        </w:rPr>
        <w:t>es</w:t>
      </w:r>
      <w:r w:rsidR="00776C06">
        <w:rPr>
          <w:rFonts w:ascii="Times New Roman" w:hAnsi="Times New Roman" w:cs="Times New Roman"/>
        </w:rPr>
        <w:t xml:space="preserve"> on in the revolt, which is also a common theme in the Batavian revolt</w:t>
      </w:r>
      <w:r w:rsidR="00776C06">
        <w:rPr>
          <w:rStyle w:val="FootnoteReference"/>
          <w:rFonts w:ascii="Times New Roman" w:hAnsi="Times New Roman" w:cs="Times New Roman"/>
        </w:rPr>
        <w:footnoteReference w:id="201"/>
      </w:r>
      <w:r w:rsidR="00776C06">
        <w:rPr>
          <w:rFonts w:ascii="Times New Roman" w:hAnsi="Times New Roman" w:cs="Times New Roman"/>
        </w:rPr>
        <w:t xml:space="preserve">. </w:t>
      </w:r>
    </w:p>
    <w:p w14:paraId="33CAA925" w14:textId="1D90B440" w:rsidR="00B56E0C" w:rsidRDefault="0000553A" w:rsidP="00B56E0C">
      <w:pPr>
        <w:spacing w:line="480" w:lineRule="auto"/>
        <w:ind w:firstLine="720"/>
        <w:rPr>
          <w:rFonts w:ascii="Times New Roman" w:hAnsi="Times New Roman" w:cs="Times New Roman"/>
        </w:rPr>
      </w:pPr>
      <w:r>
        <w:rPr>
          <w:rFonts w:ascii="Times New Roman" w:hAnsi="Times New Roman" w:cs="Times New Roman"/>
        </w:rPr>
        <w:t xml:space="preserve">Another piece of information that lowers the effectiveness of the majority of the people mentioned is the lack of evidence to either support the existence of the revolt or the existence of the person mentioned. The most famous </w:t>
      </w:r>
      <w:r w:rsidR="003C68F3">
        <w:rPr>
          <w:rFonts w:ascii="Times New Roman" w:hAnsi="Times New Roman" w:cs="Times New Roman"/>
        </w:rPr>
        <w:t>of which is Boudicca,</w:t>
      </w:r>
      <w:r>
        <w:rPr>
          <w:rFonts w:ascii="Times New Roman" w:hAnsi="Times New Roman" w:cs="Times New Roman"/>
        </w:rPr>
        <w:t xml:space="preserve"> whilst evidence of sacking and burning can be found in the three towns she is said to have burnt down</w:t>
      </w:r>
      <w:r>
        <w:rPr>
          <w:rStyle w:val="FootnoteReference"/>
          <w:rFonts w:ascii="Times New Roman" w:hAnsi="Times New Roman" w:cs="Times New Roman"/>
        </w:rPr>
        <w:footnoteReference w:id="202"/>
      </w:r>
      <w:r>
        <w:rPr>
          <w:rFonts w:ascii="Times New Roman" w:hAnsi="Times New Roman" w:cs="Times New Roman"/>
        </w:rPr>
        <w:t xml:space="preserve">, we have no archaeological findings to show she was a real person. The </w:t>
      </w:r>
      <w:r>
        <w:rPr>
          <w:rFonts w:ascii="Times New Roman" w:hAnsi="Times New Roman" w:cs="Times New Roman"/>
        </w:rPr>
        <w:lastRenderedPageBreak/>
        <w:t>same is said for the Druids, Cassivellaunus</w:t>
      </w:r>
      <w:r>
        <w:rPr>
          <w:rStyle w:val="FootnoteReference"/>
          <w:rFonts w:ascii="Times New Roman" w:hAnsi="Times New Roman" w:cs="Times New Roman"/>
        </w:rPr>
        <w:footnoteReference w:id="203"/>
      </w:r>
      <w:r>
        <w:rPr>
          <w:rFonts w:ascii="Times New Roman" w:hAnsi="Times New Roman" w:cs="Times New Roman"/>
        </w:rPr>
        <w:t xml:space="preserve"> and the revolt of the Brigantes against their Queen. To make matters worse, </w:t>
      </w:r>
      <w:r w:rsidR="00D16896">
        <w:rPr>
          <w:rFonts w:ascii="Times New Roman" w:hAnsi="Times New Roman" w:cs="Times New Roman"/>
        </w:rPr>
        <w:t xml:space="preserve">evidence for the battle that takes place after </w:t>
      </w:r>
      <w:r>
        <w:rPr>
          <w:rFonts w:ascii="Times New Roman" w:hAnsi="Times New Roman" w:cs="Times New Roman"/>
        </w:rPr>
        <w:t>Cartimandua’</w:t>
      </w:r>
      <w:r w:rsidR="00D16896">
        <w:rPr>
          <w:rFonts w:ascii="Times New Roman" w:hAnsi="Times New Roman" w:cs="Times New Roman"/>
        </w:rPr>
        <w:t xml:space="preserve">s flight to Rome </w:t>
      </w:r>
      <w:r>
        <w:rPr>
          <w:rFonts w:ascii="Times New Roman" w:hAnsi="Times New Roman" w:cs="Times New Roman"/>
        </w:rPr>
        <w:t>against her ex-husband is incomplete</w:t>
      </w:r>
      <w:r>
        <w:rPr>
          <w:rStyle w:val="FootnoteReference"/>
          <w:rFonts w:ascii="Times New Roman" w:hAnsi="Times New Roman" w:cs="Times New Roman"/>
        </w:rPr>
        <w:footnoteReference w:id="204"/>
      </w:r>
      <w:r>
        <w:rPr>
          <w:rFonts w:ascii="Times New Roman" w:hAnsi="Times New Roman" w:cs="Times New Roman"/>
        </w:rPr>
        <w:t>.</w:t>
      </w:r>
      <w:r w:rsidR="009F5CEC">
        <w:rPr>
          <w:rFonts w:ascii="Times New Roman" w:hAnsi="Times New Roman" w:cs="Times New Roman"/>
        </w:rPr>
        <w:t xml:space="preserve"> </w:t>
      </w:r>
      <w:r w:rsidR="005108D6">
        <w:rPr>
          <w:rFonts w:ascii="Times New Roman" w:hAnsi="Times New Roman" w:cs="Times New Roman"/>
        </w:rPr>
        <w:t>The information about t</w:t>
      </w:r>
      <w:r w:rsidR="009F5CEC">
        <w:rPr>
          <w:rFonts w:ascii="Times New Roman" w:hAnsi="Times New Roman" w:cs="Times New Roman"/>
        </w:rPr>
        <w:t>he first revolts that</w:t>
      </w:r>
      <w:r w:rsidR="005108D6">
        <w:rPr>
          <w:rFonts w:ascii="Times New Roman" w:hAnsi="Times New Roman" w:cs="Times New Roman"/>
        </w:rPr>
        <w:t xml:space="preserve"> take place against Caesar</w:t>
      </w:r>
      <w:r w:rsidR="009F5CEC">
        <w:rPr>
          <w:rFonts w:ascii="Times New Roman" w:hAnsi="Times New Roman" w:cs="Times New Roman"/>
        </w:rPr>
        <w:t xml:space="preserve"> come solely from his own writings</w:t>
      </w:r>
      <w:r>
        <w:rPr>
          <w:rFonts w:ascii="Times New Roman" w:hAnsi="Times New Roman" w:cs="Times New Roman"/>
        </w:rPr>
        <w:t xml:space="preserve">. This could lower the effectiveness </w:t>
      </w:r>
      <w:r w:rsidR="00B56E0C">
        <w:rPr>
          <w:rFonts w:ascii="Times New Roman" w:hAnsi="Times New Roman" w:cs="Times New Roman"/>
        </w:rPr>
        <w:t>of the revolts as the accounts written could be exaggerated to make the Britons seem like more o</w:t>
      </w:r>
      <w:r w:rsidR="00B64673">
        <w:rPr>
          <w:rFonts w:ascii="Times New Roman" w:hAnsi="Times New Roman" w:cs="Times New Roman"/>
        </w:rPr>
        <w:t>f a threat. O</w:t>
      </w:r>
      <w:r w:rsidR="00B56E0C">
        <w:rPr>
          <w:rFonts w:ascii="Times New Roman" w:hAnsi="Times New Roman" w:cs="Times New Roman"/>
        </w:rPr>
        <w:t xml:space="preserve">r </w:t>
      </w:r>
      <w:r w:rsidR="00B64673">
        <w:rPr>
          <w:rFonts w:ascii="Times New Roman" w:hAnsi="Times New Roman" w:cs="Times New Roman"/>
        </w:rPr>
        <w:t xml:space="preserve">it may be the case </w:t>
      </w:r>
      <w:r w:rsidR="00B56E0C">
        <w:rPr>
          <w:rFonts w:ascii="Times New Roman" w:hAnsi="Times New Roman" w:cs="Times New Roman"/>
        </w:rPr>
        <w:t xml:space="preserve">that any skirmish won by the Britons was left out in order to show the continued strength of the Roman army. </w:t>
      </w:r>
      <w:r>
        <w:rPr>
          <w:rFonts w:ascii="Times New Roman" w:hAnsi="Times New Roman" w:cs="Times New Roman"/>
        </w:rPr>
        <w:t xml:space="preserve"> </w:t>
      </w:r>
    </w:p>
    <w:p w14:paraId="31CFB21B" w14:textId="6F976E52" w:rsidR="00B56E0C" w:rsidRDefault="00B56E0C" w:rsidP="00B56E0C">
      <w:pPr>
        <w:spacing w:line="480" w:lineRule="auto"/>
        <w:ind w:firstLine="720"/>
        <w:rPr>
          <w:rFonts w:ascii="Times New Roman" w:hAnsi="Times New Roman" w:cs="Times New Roman"/>
        </w:rPr>
      </w:pPr>
      <w:r>
        <w:rPr>
          <w:rFonts w:ascii="Times New Roman" w:hAnsi="Times New Roman" w:cs="Times New Roman"/>
        </w:rPr>
        <w:t xml:space="preserve">Finally, the last part that can be seen as ineffective is that three of these people, Cartimandua, Cassivellaunus and Caratacus were eventually handed over </w:t>
      </w:r>
      <w:r w:rsidR="00B64673">
        <w:rPr>
          <w:rFonts w:ascii="Times New Roman" w:hAnsi="Times New Roman" w:cs="Times New Roman"/>
        </w:rPr>
        <w:t>to the Romans by</w:t>
      </w:r>
      <w:r>
        <w:rPr>
          <w:rFonts w:ascii="Times New Roman" w:hAnsi="Times New Roman" w:cs="Times New Roman"/>
        </w:rPr>
        <w:t xml:space="preserve"> their own people. Cassivellaunus is almost described as a tyrant by Tacitus and he ultimately made t</w:t>
      </w:r>
      <w:r w:rsidR="00B64673">
        <w:rPr>
          <w:rFonts w:ascii="Times New Roman" w:hAnsi="Times New Roman" w:cs="Times New Roman"/>
        </w:rPr>
        <w:t>he Roman invasion easier for Caesar</w:t>
      </w:r>
      <w:r>
        <w:rPr>
          <w:rFonts w:ascii="Times New Roman" w:hAnsi="Times New Roman" w:cs="Times New Roman"/>
        </w:rPr>
        <w:t xml:space="preserve"> as influential tribes, such as the Trinovantes gladly surrendered and gave up his stronghold position</w:t>
      </w:r>
      <w:r>
        <w:rPr>
          <w:rStyle w:val="FootnoteReference"/>
          <w:rFonts w:ascii="Times New Roman" w:hAnsi="Times New Roman" w:cs="Times New Roman"/>
        </w:rPr>
        <w:footnoteReference w:id="205"/>
      </w:r>
      <w:r>
        <w:rPr>
          <w:rFonts w:ascii="Times New Roman" w:hAnsi="Times New Roman" w:cs="Times New Roman"/>
        </w:rPr>
        <w:t>.</w:t>
      </w:r>
      <w:r>
        <w:rPr>
          <w:rFonts w:ascii="Times New Roman" w:hAnsi="Times New Roman" w:cs="Times New Roman"/>
        </w:rPr>
        <w:t xml:space="preserve"> Cartimandua is forced to flee to Rome after a disagreement </w:t>
      </w:r>
      <w:r w:rsidR="00AE3055">
        <w:rPr>
          <w:rFonts w:ascii="Times New Roman" w:hAnsi="Times New Roman" w:cs="Times New Roman"/>
        </w:rPr>
        <w:t>with</w:t>
      </w:r>
      <w:r>
        <w:rPr>
          <w:rFonts w:ascii="Times New Roman" w:hAnsi="Times New Roman" w:cs="Times New Roman"/>
        </w:rPr>
        <w:t>in her own tribe</w:t>
      </w:r>
      <w:r>
        <w:rPr>
          <w:rStyle w:val="FootnoteReference"/>
          <w:rFonts w:ascii="Times New Roman" w:hAnsi="Times New Roman" w:cs="Times New Roman"/>
        </w:rPr>
        <w:footnoteReference w:id="206"/>
      </w:r>
      <w:r>
        <w:rPr>
          <w:rFonts w:ascii="Times New Roman" w:hAnsi="Times New Roman" w:cs="Times New Roman"/>
        </w:rPr>
        <w:t>, whilst Caratacus is handed over by the queen of the Brigantes after seeking sanctuary there</w:t>
      </w:r>
      <w:r w:rsidR="009C204B">
        <w:rPr>
          <w:rStyle w:val="FootnoteReference"/>
          <w:rFonts w:ascii="Times New Roman" w:hAnsi="Times New Roman" w:cs="Times New Roman"/>
        </w:rPr>
        <w:footnoteReference w:id="207"/>
      </w:r>
      <w:r>
        <w:rPr>
          <w:rFonts w:ascii="Times New Roman" w:hAnsi="Times New Roman" w:cs="Times New Roman"/>
        </w:rPr>
        <w:t xml:space="preserve">. </w:t>
      </w:r>
      <w:r w:rsidR="009C204B">
        <w:rPr>
          <w:rFonts w:ascii="Times New Roman" w:hAnsi="Times New Roman" w:cs="Times New Roman"/>
        </w:rPr>
        <w:t>This shows us that not everyone in Britain agreed with the revolts and may not have wanted the constant rebellion during this time period.</w:t>
      </w:r>
    </w:p>
    <w:p w14:paraId="352EF201" w14:textId="5DBD068B" w:rsidR="0070634B" w:rsidRDefault="009C204B" w:rsidP="0070634B">
      <w:pPr>
        <w:spacing w:line="480" w:lineRule="auto"/>
        <w:ind w:firstLine="720"/>
        <w:rPr>
          <w:rFonts w:ascii="Times New Roman" w:hAnsi="Times New Roman" w:cs="Times New Roman"/>
        </w:rPr>
      </w:pPr>
      <w:r>
        <w:rPr>
          <w:rFonts w:ascii="Times New Roman" w:hAnsi="Times New Roman" w:cs="Times New Roman"/>
        </w:rPr>
        <w:t>H</w:t>
      </w:r>
      <w:r w:rsidR="00AE3055">
        <w:rPr>
          <w:rFonts w:ascii="Times New Roman" w:hAnsi="Times New Roman" w:cs="Times New Roman"/>
        </w:rPr>
        <w:t xml:space="preserve">owever, no matter </w:t>
      </w:r>
      <w:r>
        <w:rPr>
          <w:rFonts w:ascii="Times New Roman" w:hAnsi="Times New Roman" w:cs="Times New Roman"/>
        </w:rPr>
        <w:t>the lack of evidence to support their uprisings, some of these rebellions did have a positive effect. Whilst the Iceni were punished for their main rebellion in 60-61 AD</w:t>
      </w:r>
      <w:r>
        <w:rPr>
          <w:rStyle w:val="FootnoteReference"/>
          <w:rFonts w:ascii="Times New Roman" w:hAnsi="Times New Roman" w:cs="Times New Roman"/>
        </w:rPr>
        <w:footnoteReference w:id="208"/>
      </w:r>
      <w:r w:rsidR="00AE3055">
        <w:rPr>
          <w:rFonts w:ascii="Times New Roman" w:hAnsi="Times New Roman" w:cs="Times New Roman"/>
        </w:rPr>
        <w:t xml:space="preserve"> </w:t>
      </w:r>
      <w:r>
        <w:rPr>
          <w:rFonts w:ascii="Times New Roman" w:hAnsi="Times New Roman" w:cs="Times New Roman"/>
        </w:rPr>
        <w:t>evidence, from what appears to be their new capital, has suggested that the Romans did leave the Iceni to their own devices</w:t>
      </w:r>
      <w:r>
        <w:rPr>
          <w:rStyle w:val="FootnoteReference"/>
          <w:rFonts w:ascii="Times New Roman" w:hAnsi="Times New Roman" w:cs="Times New Roman"/>
        </w:rPr>
        <w:footnoteReference w:id="209"/>
      </w:r>
      <w:r>
        <w:rPr>
          <w:rFonts w:ascii="Times New Roman" w:hAnsi="Times New Roman" w:cs="Times New Roman"/>
        </w:rPr>
        <w:t xml:space="preserve">.  Furthermore, </w:t>
      </w:r>
      <w:r>
        <w:rPr>
          <w:rFonts w:ascii="Times New Roman" w:hAnsi="Times New Roman" w:cs="Times New Roman"/>
        </w:rPr>
        <w:lastRenderedPageBreak/>
        <w:t xml:space="preserve">Boudicca’s revolt also changed the way in which the Romans treated religion with no </w:t>
      </w:r>
      <w:r w:rsidR="0070634B">
        <w:rPr>
          <w:rFonts w:ascii="Times New Roman" w:hAnsi="Times New Roman" w:cs="Times New Roman"/>
        </w:rPr>
        <w:t>temples being built by the Romans in any forum</w:t>
      </w:r>
      <w:r w:rsidR="00AE3055">
        <w:rPr>
          <w:rFonts w:ascii="Times New Roman" w:hAnsi="Times New Roman" w:cs="Times New Roman"/>
        </w:rPr>
        <w:t xml:space="preserve"> in Britain</w:t>
      </w:r>
      <w:r w:rsidR="0070634B">
        <w:rPr>
          <w:rStyle w:val="FootnoteReference"/>
          <w:rFonts w:ascii="Times New Roman" w:hAnsi="Times New Roman" w:cs="Times New Roman"/>
        </w:rPr>
        <w:footnoteReference w:id="210"/>
      </w:r>
      <w:r w:rsidR="0070634B">
        <w:rPr>
          <w:rFonts w:ascii="Times New Roman" w:hAnsi="Times New Roman" w:cs="Times New Roman"/>
        </w:rPr>
        <w:t>, thus increasing Boudicca’s long-term effectiveness and making her</w:t>
      </w:r>
      <w:r w:rsidR="00AE3055">
        <w:rPr>
          <w:rFonts w:ascii="Times New Roman" w:hAnsi="Times New Roman" w:cs="Times New Roman"/>
        </w:rPr>
        <w:t>s</w:t>
      </w:r>
      <w:r w:rsidR="0070634B">
        <w:rPr>
          <w:rFonts w:ascii="Times New Roman" w:hAnsi="Times New Roman" w:cs="Times New Roman"/>
        </w:rPr>
        <w:t xml:space="preserve"> one of the most effecti</w:t>
      </w:r>
      <w:r w:rsidR="00AE3055">
        <w:rPr>
          <w:rFonts w:ascii="Times New Roman" w:hAnsi="Times New Roman" w:cs="Times New Roman"/>
        </w:rPr>
        <w:t>ve revolts we have seen so far. W</w:t>
      </w:r>
      <w:r w:rsidR="0070634B">
        <w:rPr>
          <w:rFonts w:ascii="Times New Roman" w:hAnsi="Times New Roman" w:cs="Times New Roman"/>
        </w:rPr>
        <w:t xml:space="preserve">hilst the Druids prove to be of little effect in the Roman occupation except </w:t>
      </w:r>
      <w:r w:rsidR="00AE3055">
        <w:rPr>
          <w:rFonts w:ascii="Times New Roman" w:hAnsi="Times New Roman" w:cs="Times New Roman"/>
        </w:rPr>
        <w:t xml:space="preserve">in </w:t>
      </w:r>
      <w:r w:rsidR="0070634B">
        <w:rPr>
          <w:rFonts w:ascii="Times New Roman" w:hAnsi="Times New Roman" w:cs="Times New Roman"/>
        </w:rPr>
        <w:t xml:space="preserve">helping clear the path for Boudicca and her forces. </w:t>
      </w:r>
      <w:r w:rsidR="001C1B72">
        <w:rPr>
          <w:rFonts w:ascii="Times New Roman" w:hAnsi="Times New Roman" w:cs="Times New Roman"/>
        </w:rPr>
        <w:t xml:space="preserve">However, even with these defeats, rebellions continued to take place on the Island throughout the first century as the </w:t>
      </w:r>
      <w:r w:rsidR="00E37176">
        <w:rPr>
          <w:rFonts w:ascii="Times New Roman" w:hAnsi="Times New Roman" w:cs="Times New Roman"/>
        </w:rPr>
        <w:t>interactions with Calgacus would indicate</w:t>
      </w:r>
      <w:r w:rsidR="00E37176">
        <w:rPr>
          <w:rStyle w:val="FootnoteReference"/>
          <w:rFonts w:ascii="Times New Roman" w:hAnsi="Times New Roman" w:cs="Times New Roman"/>
        </w:rPr>
        <w:footnoteReference w:id="211"/>
      </w:r>
      <w:r w:rsidR="00E37176">
        <w:rPr>
          <w:rFonts w:ascii="Times New Roman" w:hAnsi="Times New Roman" w:cs="Times New Roman"/>
        </w:rPr>
        <w:t>.</w:t>
      </w:r>
    </w:p>
    <w:p w14:paraId="2653041C" w14:textId="271AF223" w:rsidR="0070634B" w:rsidRDefault="0070634B" w:rsidP="0070634B">
      <w:pPr>
        <w:spacing w:line="480" w:lineRule="auto"/>
        <w:ind w:firstLine="720"/>
        <w:rPr>
          <w:rFonts w:ascii="Times New Roman" w:hAnsi="Times New Roman" w:cs="Times New Roman"/>
        </w:rPr>
      </w:pPr>
    </w:p>
    <w:p w14:paraId="192E824B" w14:textId="77777777" w:rsidR="00A30B27" w:rsidRDefault="00A30B27" w:rsidP="0070634B">
      <w:pPr>
        <w:spacing w:line="480" w:lineRule="auto"/>
        <w:ind w:firstLine="720"/>
        <w:rPr>
          <w:rFonts w:ascii="Times New Roman" w:hAnsi="Times New Roman" w:cs="Times New Roman"/>
        </w:rPr>
      </w:pPr>
    </w:p>
    <w:p w14:paraId="28492840" w14:textId="77777777" w:rsidR="00A30B27" w:rsidRDefault="00A30B27" w:rsidP="0070634B">
      <w:pPr>
        <w:spacing w:line="480" w:lineRule="auto"/>
        <w:ind w:firstLine="720"/>
        <w:rPr>
          <w:rFonts w:ascii="Times New Roman" w:hAnsi="Times New Roman" w:cs="Times New Roman"/>
        </w:rPr>
      </w:pPr>
    </w:p>
    <w:p w14:paraId="1999F126" w14:textId="77777777" w:rsidR="00A30B27" w:rsidRDefault="00A30B27" w:rsidP="0070634B">
      <w:pPr>
        <w:spacing w:line="480" w:lineRule="auto"/>
        <w:ind w:firstLine="720"/>
        <w:rPr>
          <w:rFonts w:ascii="Times New Roman" w:hAnsi="Times New Roman" w:cs="Times New Roman"/>
        </w:rPr>
      </w:pPr>
    </w:p>
    <w:p w14:paraId="41C506BC" w14:textId="77777777" w:rsidR="00A30B27" w:rsidRDefault="00A30B27" w:rsidP="0070634B">
      <w:pPr>
        <w:spacing w:line="480" w:lineRule="auto"/>
        <w:ind w:firstLine="720"/>
        <w:rPr>
          <w:rFonts w:ascii="Times New Roman" w:hAnsi="Times New Roman" w:cs="Times New Roman"/>
        </w:rPr>
      </w:pPr>
    </w:p>
    <w:p w14:paraId="3EA04286" w14:textId="77777777" w:rsidR="00A30B27" w:rsidRDefault="00A30B27" w:rsidP="0070634B">
      <w:pPr>
        <w:spacing w:line="480" w:lineRule="auto"/>
        <w:ind w:firstLine="720"/>
        <w:rPr>
          <w:rFonts w:ascii="Times New Roman" w:hAnsi="Times New Roman" w:cs="Times New Roman"/>
        </w:rPr>
      </w:pPr>
    </w:p>
    <w:p w14:paraId="2524DB8F" w14:textId="77777777" w:rsidR="00A30B27" w:rsidRDefault="00A30B27" w:rsidP="0070634B">
      <w:pPr>
        <w:spacing w:line="480" w:lineRule="auto"/>
        <w:ind w:firstLine="720"/>
        <w:rPr>
          <w:rFonts w:ascii="Times New Roman" w:hAnsi="Times New Roman" w:cs="Times New Roman"/>
        </w:rPr>
      </w:pPr>
    </w:p>
    <w:p w14:paraId="1207BE5D" w14:textId="77777777" w:rsidR="00A30B27" w:rsidRDefault="00A30B27" w:rsidP="0070634B">
      <w:pPr>
        <w:spacing w:line="480" w:lineRule="auto"/>
        <w:ind w:firstLine="720"/>
        <w:rPr>
          <w:rFonts w:ascii="Times New Roman" w:hAnsi="Times New Roman" w:cs="Times New Roman"/>
        </w:rPr>
      </w:pPr>
    </w:p>
    <w:p w14:paraId="4E1EBF37" w14:textId="77777777" w:rsidR="00A30B27" w:rsidRDefault="00A30B27" w:rsidP="0070634B">
      <w:pPr>
        <w:spacing w:line="480" w:lineRule="auto"/>
        <w:ind w:firstLine="720"/>
        <w:rPr>
          <w:rFonts w:ascii="Times New Roman" w:hAnsi="Times New Roman" w:cs="Times New Roman"/>
        </w:rPr>
      </w:pPr>
    </w:p>
    <w:p w14:paraId="0C9A7B1F" w14:textId="77777777" w:rsidR="00A30B27" w:rsidRDefault="00A30B27" w:rsidP="0070634B">
      <w:pPr>
        <w:spacing w:line="480" w:lineRule="auto"/>
        <w:ind w:firstLine="720"/>
        <w:rPr>
          <w:rFonts w:ascii="Times New Roman" w:hAnsi="Times New Roman" w:cs="Times New Roman"/>
        </w:rPr>
      </w:pPr>
    </w:p>
    <w:p w14:paraId="1D721B72" w14:textId="77777777" w:rsidR="00A30B27" w:rsidRDefault="00A30B27" w:rsidP="0070634B">
      <w:pPr>
        <w:spacing w:line="480" w:lineRule="auto"/>
        <w:ind w:firstLine="720"/>
        <w:rPr>
          <w:rFonts w:ascii="Times New Roman" w:hAnsi="Times New Roman" w:cs="Times New Roman"/>
        </w:rPr>
      </w:pPr>
    </w:p>
    <w:p w14:paraId="3D93AD52" w14:textId="77777777" w:rsidR="00A30B27" w:rsidRDefault="00A30B27" w:rsidP="0070634B">
      <w:pPr>
        <w:spacing w:line="480" w:lineRule="auto"/>
        <w:ind w:firstLine="720"/>
        <w:rPr>
          <w:rFonts w:ascii="Times New Roman" w:hAnsi="Times New Roman" w:cs="Times New Roman"/>
        </w:rPr>
      </w:pPr>
    </w:p>
    <w:p w14:paraId="656CF283" w14:textId="77777777" w:rsidR="00A30B27" w:rsidRDefault="00A30B27" w:rsidP="0070634B">
      <w:pPr>
        <w:spacing w:line="480" w:lineRule="auto"/>
        <w:ind w:firstLine="720"/>
        <w:rPr>
          <w:rFonts w:ascii="Times New Roman" w:hAnsi="Times New Roman" w:cs="Times New Roman"/>
        </w:rPr>
      </w:pPr>
    </w:p>
    <w:p w14:paraId="1FA06F9F" w14:textId="77777777" w:rsidR="00A30B27" w:rsidRDefault="00A30B27" w:rsidP="0070634B">
      <w:pPr>
        <w:spacing w:line="480" w:lineRule="auto"/>
        <w:ind w:firstLine="720"/>
        <w:rPr>
          <w:rFonts w:ascii="Times New Roman" w:hAnsi="Times New Roman" w:cs="Times New Roman"/>
        </w:rPr>
      </w:pPr>
    </w:p>
    <w:p w14:paraId="68E6ED0B" w14:textId="77777777" w:rsidR="00A30B27" w:rsidRDefault="00A30B27" w:rsidP="0070634B">
      <w:pPr>
        <w:spacing w:line="480" w:lineRule="auto"/>
        <w:ind w:firstLine="720"/>
        <w:rPr>
          <w:rFonts w:ascii="Times New Roman" w:hAnsi="Times New Roman" w:cs="Times New Roman"/>
        </w:rPr>
      </w:pPr>
    </w:p>
    <w:p w14:paraId="7E20A75E" w14:textId="77777777" w:rsidR="00A30B27" w:rsidRDefault="00A30B27" w:rsidP="0070634B">
      <w:pPr>
        <w:spacing w:line="480" w:lineRule="auto"/>
        <w:ind w:firstLine="720"/>
        <w:rPr>
          <w:rFonts w:ascii="Times New Roman" w:hAnsi="Times New Roman" w:cs="Times New Roman"/>
        </w:rPr>
      </w:pPr>
    </w:p>
    <w:p w14:paraId="51671367" w14:textId="77777777" w:rsidR="00775B2A" w:rsidRPr="00EF1B5C" w:rsidRDefault="00775B2A" w:rsidP="00667BF1">
      <w:pPr>
        <w:pStyle w:val="Heading1"/>
        <w:spacing w:line="480" w:lineRule="auto"/>
        <w:jc w:val="center"/>
        <w:rPr>
          <w:b/>
          <w:i/>
          <w:color w:val="000000" w:themeColor="text1"/>
          <w:sz w:val="28"/>
          <w:szCs w:val="28"/>
          <w:u w:val="single"/>
        </w:rPr>
      </w:pPr>
      <w:bookmarkStart w:id="6" w:name="_Toc513693210"/>
      <w:r w:rsidRPr="00917E33">
        <w:rPr>
          <w:b/>
          <w:i/>
          <w:color w:val="000000" w:themeColor="text1"/>
          <w:sz w:val="28"/>
          <w:szCs w:val="28"/>
          <w:u w:val="single"/>
        </w:rPr>
        <w:lastRenderedPageBreak/>
        <w:t>Bibliography</w:t>
      </w:r>
      <w:bookmarkEnd w:id="6"/>
    </w:p>
    <w:p w14:paraId="7A604768" w14:textId="77777777" w:rsidR="00775B2A" w:rsidRPr="00775B2A" w:rsidRDefault="00775B2A" w:rsidP="00775B2A">
      <w:pPr>
        <w:pStyle w:val="Heading2"/>
        <w:spacing w:line="480" w:lineRule="auto"/>
        <w:rPr>
          <w:b/>
          <w:i/>
          <w:color w:val="000000" w:themeColor="text1"/>
          <w:u w:val="single"/>
        </w:rPr>
      </w:pPr>
      <w:bookmarkStart w:id="7" w:name="_Toc513693211"/>
      <w:r w:rsidRPr="00775B2A">
        <w:rPr>
          <w:b/>
          <w:i/>
          <w:color w:val="000000" w:themeColor="text1"/>
          <w:u w:val="single"/>
        </w:rPr>
        <w:t>Ancient Sources</w:t>
      </w:r>
      <w:bookmarkEnd w:id="7"/>
    </w:p>
    <w:p w14:paraId="5AA05DAF" w14:textId="77777777" w:rsidR="00775B2A" w:rsidRDefault="00775B2A" w:rsidP="00775B2A">
      <w:pPr>
        <w:widowControl w:val="0"/>
        <w:tabs>
          <w:tab w:val="left" w:pos="20"/>
          <w:tab w:val="left" w:pos="412"/>
        </w:tabs>
        <w:autoSpaceDE w:val="0"/>
        <w:autoSpaceDN w:val="0"/>
        <w:adjustRightInd w:val="0"/>
        <w:spacing w:after="160" w:line="480" w:lineRule="auto"/>
        <w:rPr>
          <w:rFonts w:ascii="Times New Roman" w:hAnsi="Times New Roman" w:cs="Times New Roman"/>
          <w:color w:val="000000"/>
        </w:rPr>
      </w:pPr>
      <w:r>
        <w:rPr>
          <w:rFonts w:ascii="Times New Roman" w:hAnsi="Times New Roman" w:cs="Times New Roman"/>
          <w:color w:val="000000"/>
        </w:rPr>
        <w:t xml:space="preserve">Caesar, </w:t>
      </w:r>
      <w:r>
        <w:rPr>
          <w:rFonts w:ascii="Times New Roman" w:hAnsi="Times New Roman" w:cs="Times New Roman"/>
          <w:i/>
          <w:iCs/>
          <w:color w:val="000000"/>
        </w:rPr>
        <w:t>The conquest of Gaul.</w:t>
      </w:r>
      <w:r>
        <w:rPr>
          <w:rFonts w:ascii="Times New Roman" w:hAnsi="Times New Roman" w:cs="Times New Roman"/>
          <w:color w:val="000000"/>
        </w:rPr>
        <w:t xml:space="preserve"> Handford, S.A (trans). 1982. London: Penguin Group. </w:t>
      </w:r>
    </w:p>
    <w:p w14:paraId="5536FAFC" w14:textId="77777777" w:rsidR="00775B2A" w:rsidRDefault="00775B2A" w:rsidP="00775B2A">
      <w:pPr>
        <w:tabs>
          <w:tab w:val="left" w:pos="1320"/>
        </w:tabs>
        <w:spacing w:line="480" w:lineRule="auto"/>
        <w:rPr>
          <w:rFonts w:ascii="Times New Roman" w:hAnsi="Times New Roman" w:cs="Times New Roman"/>
          <w:color w:val="000000"/>
        </w:rPr>
      </w:pPr>
      <w:r>
        <w:rPr>
          <w:rFonts w:ascii="Times New Roman" w:hAnsi="Times New Roman" w:cs="Times New Roman"/>
          <w:color w:val="000000"/>
        </w:rPr>
        <w:t xml:space="preserve">Cassius Dio, </w:t>
      </w:r>
      <w:r>
        <w:rPr>
          <w:rFonts w:ascii="Times New Roman" w:hAnsi="Times New Roman" w:cs="Times New Roman"/>
          <w:i/>
          <w:iCs/>
          <w:color w:val="000000"/>
        </w:rPr>
        <w:t xml:space="preserve">Roman History. </w:t>
      </w:r>
      <w:r>
        <w:rPr>
          <w:rFonts w:ascii="Times New Roman" w:hAnsi="Times New Roman" w:cs="Times New Roman"/>
          <w:color w:val="000000"/>
        </w:rPr>
        <w:t>Cary. E (trans.).1924. Cambridge: Harvard University Press. (Loeb).</w:t>
      </w:r>
    </w:p>
    <w:p w14:paraId="39476B6A" w14:textId="77777777" w:rsidR="00775B2A" w:rsidRPr="009B0A84" w:rsidRDefault="00775B2A" w:rsidP="00775B2A">
      <w:pPr>
        <w:tabs>
          <w:tab w:val="left" w:pos="1320"/>
        </w:tabs>
        <w:spacing w:line="480" w:lineRule="auto"/>
        <w:rPr>
          <w:rFonts w:ascii="Times New Roman" w:hAnsi="Times New Roman" w:cs="Times New Roman"/>
          <w:color w:val="000000"/>
        </w:rPr>
      </w:pPr>
      <w:r>
        <w:rPr>
          <w:rFonts w:ascii="Times New Roman" w:hAnsi="Times New Roman" w:cs="Times New Roman"/>
          <w:color w:val="000000"/>
        </w:rPr>
        <w:t xml:space="preserve">Plutarch, </w:t>
      </w:r>
      <w:r>
        <w:rPr>
          <w:rFonts w:ascii="Times New Roman" w:hAnsi="Times New Roman" w:cs="Times New Roman"/>
          <w:i/>
          <w:color w:val="000000"/>
        </w:rPr>
        <w:t>Caesar.</w:t>
      </w:r>
      <w:r>
        <w:rPr>
          <w:rFonts w:ascii="Times New Roman" w:hAnsi="Times New Roman" w:cs="Times New Roman"/>
          <w:color w:val="000000"/>
        </w:rPr>
        <w:t xml:space="preserve"> Perrin, B (trans). 1919. </w:t>
      </w:r>
      <w:r w:rsidRPr="00045422">
        <w:rPr>
          <w:rFonts w:ascii="Times New Roman" w:hAnsi="Times New Roman" w:cs="Times New Roman"/>
          <w:color w:val="000000"/>
        </w:rPr>
        <w:t>London. William Heinemann Ltd</w:t>
      </w:r>
      <w:r>
        <w:rPr>
          <w:rFonts w:ascii="Times New Roman" w:hAnsi="Times New Roman" w:cs="Times New Roman"/>
          <w:color w:val="000000"/>
        </w:rPr>
        <w:t>.</w:t>
      </w:r>
    </w:p>
    <w:p w14:paraId="03F0A17F" w14:textId="77777777" w:rsidR="00775B2A" w:rsidRDefault="00775B2A" w:rsidP="00775B2A">
      <w:pPr>
        <w:tabs>
          <w:tab w:val="left" w:pos="1320"/>
        </w:tabs>
        <w:spacing w:line="480" w:lineRule="auto"/>
        <w:rPr>
          <w:rFonts w:ascii="Times New Roman" w:hAnsi="Times New Roman" w:cs="Times New Roman"/>
          <w:color w:val="000000"/>
        </w:rPr>
      </w:pPr>
      <w:r>
        <w:rPr>
          <w:rFonts w:ascii="Times New Roman" w:hAnsi="Times New Roman" w:cs="Times New Roman"/>
          <w:color w:val="000000"/>
        </w:rPr>
        <w:t xml:space="preserve">Suetonius, </w:t>
      </w:r>
      <w:r>
        <w:rPr>
          <w:rFonts w:ascii="Times New Roman" w:hAnsi="Times New Roman" w:cs="Times New Roman"/>
          <w:i/>
          <w:iCs/>
          <w:color w:val="000000"/>
        </w:rPr>
        <w:t>Caligula</w:t>
      </w:r>
      <w:r>
        <w:rPr>
          <w:rFonts w:ascii="Times New Roman" w:hAnsi="Times New Roman" w:cs="Times New Roman"/>
          <w:color w:val="000000"/>
        </w:rPr>
        <w:t>. Thomson, A (trans.) 1889. Philadelphia: Gebbie &amp; Co.</w:t>
      </w:r>
    </w:p>
    <w:p w14:paraId="41702C66" w14:textId="77777777" w:rsidR="00775B2A" w:rsidRDefault="00775B2A" w:rsidP="00775B2A">
      <w:pPr>
        <w:tabs>
          <w:tab w:val="left" w:pos="1320"/>
        </w:tabs>
        <w:spacing w:line="480" w:lineRule="auto"/>
        <w:rPr>
          <w:rFonts w:ascii="Times New Roman" w:hAnsi="Times New Roman" w:cs="Times New Roman"/>
          <w:color w:val="000000"/>
        </w:rPr>
      </w:pPr>
      <w:r>
        <w:rPr>
          <w:rFonts w:ascii="Times New Roman" w:hAnsi="Times New Roman" w:cs="Times New Roman"/>
          <w:color w:val="000000"/>
        </w:rPr>
        <w:t xml:space="preserve">Suetonius, </w:t>
      </w:r>
      <w:r>
        <w:rPr>
          <w:rFonts w:ascii="Times New Roman" w:hAnsi="Times New Roman" w:cs="Times New Roman"/>
          <w:i/>
          <w:iCs/>
          <w:color w:val="000000"/>
        </w:rPr>
        <w:t>Nero</w:t>
      </w:r>
      <w:r>
        <w:rPr>
          <w:rFonts w:ascii="Times New Roman" w:hAnsi="Times New Roman" w:cs="Times New Roman"/>
          <w:color w:val="000000"/>
        </w:rPr>
        <w:t>. Thomson, A (trans.) 1889. Philadelphia: Gebbie &amp; Co.</w:t>
      </w:r>
    </w:p>
    <w:p w14:paraId="076425CA" w14:textId="77777777" w:rsidR="00775B2A" w:rsidRDefault="00775B2A" w:rsidP="00775B2A">
      <w:pPr>
        <w:tabs>
          <w:tab w:val="left" w:pos="1320"/>
        </w:tabs>
        <w:spacing w:line="480" w:lineRule="auto"/>
        <w:rPr>
          <w:rFonts w:ascii="Times New Roman" w:hAnsi="Times New Roman" w:cs="Times New Roman"/>
          <w:color w:val="000000"/>
        </w:rPr>
      </w:pPr>
      <w:r>
        <w:rPr>
          <w:rFonts w:ascii="Times New Roman" w:hAnsi="Times New Roman" w:cs="Times New Roman"/>
          <w:color w:val="000000"/>
        </w:rPr>
        <w:t xml:space="preserve">Tacitus, </w:t>
      </w:r>
      <w:r>
        <w:rPr>
          <w:rFonts w:ascii="Times New Roman" w:hAnsi="Times New Roman" w:cs="Times New Roman"/>
          <w:i/>
          <w:iCs/>
          <w:color w:val="000000"/>
        </w:rPr>
        <w:t>Agricola</w:t>
      </w:r>
      <w:r>
        <w:rPr>
          <w:rFonts w:ascii="Times New Roman" w:hAnsi="Times New Roman" w:cs="Times New Roman"/>
          <w:color w:val="000000"/>
        </w:rPr>
        <w:t>. Church, A.J., Brodribb, W.J. (trans.). 2009. London: Everyman’s Library.</w:t>
      </w:r>
    </w:p>
    <w:p w14:paraId="280A7CF8" w14:textId="77777777" w:rsidR="00775B2A" w:rsidRDefault="00775B2A" w:rsidP="00775B2A">
      <w:pPr>
        <w:tabs>
          <w:tab w:val="left" w:pos="1320"/>
        </w:tabs>
        <w:spacing w:line="480" w:lineRule="auto"/>
        <w:rPr>
          <w:rFonts w:ascii="Times New Roman" w:hAnsi="Times New Roman" w:cs="Times New Roman"/>
          <w:color w:val="000000"/>
        </w:rPr>
      </w:pPr>
      <w:r>
        <w:rPr>
          <w:rFonts w:ascii="Times New Roman" w:hAnsi="Times New Roman" w:cs="Times New Roman"/>
          <w:color w:val="000000"/>
        </w:rPr>
        <w:t xml:space="preserve">Tacitus, </w:t>
      </w:r>
      <w:r>
        <w:rPr>
          <w:rFonts w:ascii="Times New Roman" w:hAnsi="Times New Roman" w:cs="Times New Roman"/>
          <w:i/>
          <w:iCs/>
          <w:color w:val="000000"/>
        </w:rPr>
        <w:t>Annals</w:t>
      </w:r>
      <w:r>
        <w:rPr>
          <w:rFonts w:ascii="Times New Roman" w:hAnsi="Times New Roman" w:cs="Times New Roman"/>
          <w:color w:val="000000"/>
        </w:rPr>
        <w:t>. Church, A.J., Brodribb, W.J. (trans.). 2009. London: Everyman’s Library.</w:t>
      </w:r>
    </w:p>
    <w:p w14:paraId="3568ED9E" w14:textId="77777777" w:rsidR="00775B2A" w:rsidRPr="00D91A80" w:rsidRDefault="00775B2A" w:rsidP="00775B2A">
      <w:pPr>
        <w:tabs>
          <w:tab w:val="left" w:pos="1320"/>
        </w:tabs>
        <w:spacing w:line="480" w:lineRule="auto"/>
        <w:rPr>
          <w:color w:val="000000" w:themeColor="text1"/>
        </w:rPr>
      </w:pPr>
      <w:r>
        <w:rPr>
          <w:rFonts w:ascii="Times New Roman" w:hAnsi="Times New Roman" w:cs="Times New Roman"/>
          <w:color w:val="000000"/>
        </w:rPr>
        <w:t xml:space="preserve">Tacitus, </w:t>
      </w:r>
      <w:r>
        <w:rPr>
          <w:rFonts w:ascii="Times New Roman" w:hAnsi="Times New Roman" w:cs="Times New Roman"/>
          <w:i/>
          <w:iCs/>
          <w:color w:val="000000"/>
        </w:rPr>
        <w:t>Histories</w:t>
      </w:r>
      <w:r>
        <w:rPr>
          <w:rFonts w:ascii="Times New Roman" w:hAnsi="Times New Roman" w:cs="Times New Roman"/>
          <w:color w:val="000000"/>
        </w:rPr>
        <w:t>. Church, A.J., Brodribb, W.J. (trans.). 2009. London: Everyman’s Library.</w:t>
      </w:r>
      <w:r w:rsidRPr="00D91A80">
        <w:rPr>
          <w:color w:val="000000" w:themeColor="text1"/>
        </w:rPr>
        <w:tab/>
      </w:r>
    </w:p>
    <w:p w14:paraId="157090BB" w14:textId="77777777" w:rsidR="00775B2A" w:rsidRPr="00775B2A" w:rsidRDefault="00775B2A" w:rsidP="00775B2A">
      <w:pPr>
        <w:pStyle w:val="Heading2"/>
        <w:spacing w:line="480" w:lineRule="auto"/>
        <w:rPr>
          <w:b/>
          <w:i/>
          <w:color w:val="000000" w:themeColor="text1"/>
          <w:u w:val="single"/>
        </w:rPr>
      </w:pPr>
      <w:bookmarkStart w:id="8" w:name="_Toc513693212"/>
      <w:r w:rsidRPr="00775B2A">
        <w:rPr>
          <w:b/>
          <w:i/>
          <w:color w:val="000000" w:themeColor="text1"/>
          <w:u w:val="single"/>
        </w:rPr>
        <w:t>Modern Scholarship</w:t>
      </w:r>
      <w:bookmarkEnd w:id="8"/>
    </w:p>
    <w:p w14:paraId="1A6D109B" w14:textId="77777777" w:rsidR="00775B2A" w:rsidRDefault="00775B2A" w:rsidP="00775B2A">
      <w:pPr>
        <w:spacing w:line="480" w:lineRule="auto"/>
        <w:rPr>
          <w:rFonts w:ascii="Times New Roman" w:hAnsi="Times New Roman" w:cs="Times New Roman"/>
          <w:color w:val="000000"/>
        </w:rPr>
      </w:pPr>
      <w:r>
        <w:rPr>
          <w:rFonts w:ascii="Times New Roman" w:hAnsi="Times New Roman" w:cs="Times New Roman"/>
          <w:color w:val="000000"/>
        </w:rPr>
        <w:t xml:space="preserve">Adler, E. 2008. ‘Boudica’s Speeches in Tacitus and Dio’, </w:t>
      </w:r>
      <w:r w:rsidRPr="00BF1D52">
        <w:rPr>
          <w:rFonts w:ascii="Times New Roman" w:hAnsi="Times New Roman" w:cs="Times New Roman"/>
          <w:i/>
          <w:color w:val="000000"/>
        </w:rPr>
        <w:t>The</w:t>
      </w:r>
      <w:r>
        <w:rPr>
          <w:rFonts w:ascii="Times New Roman" w:hAnsi="Times New Roman" w:cs="Times New Roman"/>
          <w:color w:val="000000"/>
        </w:rPr>
        <w:t xml:space="preserve"> C</w:t>
      </w:r>
      <w:r>
        <w:rPr>
          <w:rFonts w:ascii="Times New Roman" w:hAnsi="Times New Roman" w:cs="Times New Roman"/>
          <w:i/>
          <w:iCs/>
          <w:color w:val="000000"/>
        </w:rPr>
        <w:t>lassical World,</w:t>
      </w:r>
      <w:r>
        <w:rPr>
          <w:rFonts w:ascii="Times New Roman" w:hAnsi="Times New Roman" w:cs="Times New Roman"/>
          <w:color w:val="000000"/>
        </w:rPr>
        <w:t xml:space="preserve"> Vol. 101, 2, 173-195.</w:t>
      </w:r>
      <w:r w:rsidRPr="0072758D">
        <w:rPr>
          <w:rFonts w:ascii="Times New Roman" w:hAnsi="Times New Roman" w:cs="Times New Roman"/>
          <w:color w:val="000000"/>
        </w:rPr>
        <w:t xml:space="preserve"> </w:t>
      </w:r>
    </w:p>
    <w:p w14:paraId="6522C666" w14:textId="77777777" w:rsidR="00775B2A" w:rsidRDefault="00775B2A" w:rsidP="00775B2A">
      <w:pPr>
        <w:spacing w:line="480" w:lineRule="auto"/>
        <w:rPr>
          <w:rFonts w:ascii="Times New Roman" w:hAnsi="Times New Roman" w:cs="Times New Roman"/>
          <w:color w:val="000000"/>
        </w:rPr>
      </w:pPr>
      <w:r w:rsidRPr="00897125">
        <w:rPr>
          <w:rFonts w:ascii="Times New Roman" w:hAnsi="Times New Roman" w:cs="Times New Roman"/>
          <w:color w:val="000000"/>
        </w:rPr>
        <w:t xml:space="preserve">Aldrete, G.A. 2004. </w:t>
      </w:r>
      <w:r w:rsidRPr="00897125">
        <w:rPr>
          <w:rFonts w:ascii="Times New Roman" w:hAnsi="Times New Roman" w:cs="Times New Roman"/>
          <w:i/>
          <w:iCs/>
          <w:color w:val="000000"/>
        </w:rPr>
        <w:t xml:space="preserve">Daily Life in the Roman City: Rome, Pompeii and Ostia. </w:t>
      </w:r>
      <w:r w:rsidRPr="00897125">
        <w:rPr>
          <w:rFonts w:ascii="Times New Roman" w:hAnsi="Times New Roman" w:cs="Times New Roman"/>
          <w:color w:val="000000"/>
        </w:rPr>
        <w:t>Norman: Oklahoma Press.</w:t>
      </w:r>
    </w:p>
    <w:p w14:paraId="02222AD3" w14:textId="77777777" w:rsidR="00775B2A" w:rsidRPr="000F317D" w:rsidRDefault="00775B2A" w:rsidP="00775B2A">
      <w:pPr>
        <w:spacing w:line="480" w:lineRule="auto"/>
        <w:rPr>
          <w:rFonts w:ascii="Times New Roman" w:hAnsi="Times New Roman" w:cs="Times New Roman"/>
          <w:color w:val="000000"/>
        </w:rPr>
      </w:pPr>
      <w:r>
        <w:rPr>
          <w:rFonts w:ascii="Times New Roman" w:hAnsi="Times New Roman" w:cs="Times New Roman"/>
          <w:color w:val="000000"/>
        </w:rPr>
        <w:t xml:space="preserve">Braund, D. 1996. </w:t>
      </w:r>
      <w:r>
        <w:rPr>
          <w:rFonts w:ascii="Times New Roman" w:hAnsi="Times New Roman" w:cs="Times New Roman"/>
          <w:i/>
          <w:color w:val="000000"/>
        </w:rPr>
        <w:t xml:space="preserve">Ruling Roman Britain: Kings, Queens, Governors, and Emperors from Julius Caesar to Agricola. </w:t>
      </w:r>
      <w:r>
        <w:rPr>
          <w:rFonts w:ascii="Times New Roman" w:hAnsi="Times New Roman" w:cs="Times New Roman"/>
          <w:color w:val="000000"/>
        </w:rPr>
        <w:t>London: Routledge</w:t>
      </w:r>
    </w:p>
    <w:p w14:paraId="73D1861D" w14:textId="77777777" w:rsidR="00775B2A" w:rsidRDefault="00775B2A" w:rsidP="00775B2A">
      <w:pPr>
        <w:widowControl w:val="0"/>
        <w:tabs>
          <w:tab w:val="left" w:pos="20"/>
          <w:tab w:val="left" w:pos="412"/>
        </w:tabs>
        <w:autoSpaceDE w:val="0"/>
        <w:autoSpaceDN w:val="0"/>
        <w:adjustRightInd w:val="0"/>
        <w:spacing w:line="480" w:lineRule="auto"/>
        <w:rPr>
          <w:rFonts w:ascii="Times New Roman" w:hAnsi="Times New Roman" w:cs="Times New Roman"/>
          <w:color w:val="000000"/>
        </w:rPr>
      </w:pPr>
      <w:r>
        <w:rPr>
          <w:rFonts w:ascii="Times New Roman" w:hAnsi="Times New Roman" w:cs="Times New Roman"/>
          <w:color w:val="000000"/>
        </w:rPr>
        <w:t xml:space="preserve">Davies, J. 1999. ‘Patterns, Power and Political Progress in Iron Age Norfolk’., in Davies, J. and Williamson, T. (eds), </w:t>
      </w:r>
      <w:r>
        <w:rPr>
          <w:rFonts w:ascii="Times New Roman" w:hAnsi="Times New Roman" w:cs="Times New Roman"/>
          <w:i/>
          <w:iCs/>
          <w:color w:val="000000"/>
        </w:rPr>
        <w:t xml:space="preserve">Land of the Iceni: The Iron Age in Northern East Anglia. </w:t>
      </w:r>
      <w:r>
        <w:rPr>
          <w:rFonts w:ascii="Times New Roman" w:hAnsi="Times New Roman" w:cs="Times New Roman"/>
          <w:color w:val="000000"/>
        </w:rPr>
        <w:t xml:space="preserve">Norwich: F. Crowe and Sons Ltd, 14-44. </w:t>
      </w:r>
    </w:p>
    <w:p w14:paraId="4812FFD9" w14:textId="77777777" w:rsidR="00775B2A" w:rsidRDefault="00775B2A" w:rsidP="00775B2A">
      <w:pPr>
        <w:widowControl w:val="0"/>
        <w:tabs>
          <w:tab w:val="left" w:pos="20"/>
          <w:tab w:val="left" w:pos="412"/>
        </w:tabs>
        <w:autoSpaceDE w:val="0"/>
        <w:autoSpaceDN w:val="0"/>
        <w:adjustRightInd w:val="0"/>
        <w:spacing w:line="480" w:lineRule="auto"/>
        <w:rPr>
          <w:rFonts w:ascii="Times New Roman" w:hAnsi="Times New Roman" w:cs="Times New Roman"/>
          <w:color w:val="000000"/>
        </w:rPr>
      </w:pPr>
      <w:r>
        <w:rPr>
          <w:rFonts w:ascii="Times New Roman" w:hAnsi="Times New Roman" w:cs="Times New Roman"/>
          <w:color w:val="000000"/>
        </w:rPr>
        <w:lastRenderedPageBreak/>
        <w:t xml:space="preserve">Davies, J. 2009. </w:t>
      </w:r>
      <w:r>
        <w:rPr>
          <w:rFonts w:ascii="Times New Roman" w:hAnsi="Times New Roman" w:cs="Times New Roman"/>
          <w:i/>
          <w:iCs/>
          <w:color w:val="000000"/>
        </w:rPr>
        <w:t xml:space="preserve">The land of Boudica: Prehistoric and Roman Norfolk. </w:t>
      </w:r>
      <w:r>
        <w:rPr>
          <w:rFonts w:ascii="Times New Roman" w:hAnsi="Times New Roman" w:cs="Times New Roman"/>
          <w:color w:val="000000"/>
        </w:rPr>
        <w:t>Oxford: Oxbow Books.</w:t>
      </w:r>
      <w:r w:rsidRPr="0072758D">
        <w:rPr>
          <w:rFonts w:ascii="Times New Roman" w:hAnsi="Times New Roman" w:cs="Times New Roman"/>
          <w:color w:val="000000"/>
        </w:rPr>
        <w:t xml:space="preserve"> </w:t>
      </w:r>
    </w:p>
    <w:p w14:paraId="1BEDF53C" w14:textId="77777777" w:rsidR="00775B2A" w:rsidRPr="00775B2A" w:rsidRDefault="00775B2A" w:rsidP="00775B2A">
      <w:pPr>
        <w:widowControl w:val="0"/>
        <w:tabs>
          <w:tab w:val="left" w:pos="20"/>
          <w:tab w:val="left" w:pos="412"/>
        </w:tabs>
        <w:autoSpaceDE w:val="0"/>
        <w:autoSpaceDN w:val="0"/>
        <w:adjustRightInd w:val="0"/>
        <w:spacing w:line="480" w:lineRule="auto"/>
        <w:rPr>
          <w:rFonts w:ascii="Times New Roman" w:hAnsi="Times New Roman" w:cs="Times New Roman"/>
          <w:color w:val="000000"/>
          <w:lang w:val="fr-FR"/>
        </w:rPr>
      </w:pPr>
      <w:r w:rsidRPr="00775B2A">
        <w:rPr>
          <w:rFonts w:ascii="Times New Roman" w:hAnsi="Times New Roman" w:cs="Times New Roman"/>
          <w:color w:val="000000"/>
          <w:lang w:val="fr-FR"/>
        </w:rPr>
        <w:t xml:space="preserve">De La Bédoyère, G. 2013. </w:t>
      </w:r>
      <w:r w:rsidRPr="00775B2A">
        <w:rPr>
          <w:rFonts w:ascii="Times New Roman" w:hAnsi="Times New Roman" w:cs="Times New Roman"/>
          <w:i/>
          <w:iCs/>
          <w:color w:val="000000"/>
          <w:lang w:val="fr-FR"/>
        </w:rPr>
        <w:t>Roman Britain: a new history.</w:t>
      </w:r>
      <w:r w:rsidRPr="00775B2A">
        <w:rPr>
          <w:rFonts w:ascii="Times New Roman" w:hAnsi="Times New Roman" w:cs="Times New Roman"/>
          <w:color w:val="000000"/>
          <w:lang w:val="fr-FR"/>
        </w:rPr>
        <w:t xml:space="preserve"> London: Thames &amp; Hudson Ltd.</w:t>
      </w:r>
    </w:p>
    <w:p w14:paraId="12E5CAA1" w14:textId="77777777" w:rsidR="00775B2A" w:rsidRDefault="00775B2A" w:rsidP="00775B2A">
      <w:pPr>
        <w:widowControl w:val="0"/>
        <w:tabs>
          <w:tab w:val="left" w:pos="20"/>
          <w:tab w:val="left" w:pos="412"/>
        </w:tabs>
        <w:autoSpaceDE w:val="0"/>
        <w:autoSpaceDN w:val="0"/>
        <w:adjustRightInd w:val="0"/>
        <w:spacing w:line="480" w:lineRule="auto"/>
        <w:rPr>
          <w:rFonts w:ascii="Times New Roman" w:hAnsi="Times New Roman" w:cs="Times New Roman"/>
          <w:color w:val="000000"/>
        </w:rPr>
      </w:pPr>
      <w:r w:rsidRPr="00775B2A">
        <w:rPr>
          <w:rFonts w:ascii="Times New Roman" w:hAnsi="Times New Roman" w:cs="Times New Roman"/>
          <w:color w:val="000000"/>
          <w:lang w:val="fr-FR"/>
        </w:rPr>
        <w:t xml:space="preserve">De La Bédoyère, G. 2016. </w:t>
      </w:r>
      <w:r>
        <w:rPr>
          <w:rFonts w:ascii="Times New Roman" w:hAnsi="Times New Roman" w:cs="Times New Roman"/>
          <w:i/>
          <w:iCs/>
          <w:color w:val="000000"/>
        </w:rPr>
        <w:t>The Real Lives of Roman Britain.</w:t>
      </w:r>
      <w:r>
        <w:rPr>
          <w:rFonts w:ascii="Times New Roman" w:hAnsi="Times New Roman" w:cs="Times New Roman"/>
          <w:color w:val="000000"/>
        </w:rPr>
        <w:t xml:space="preserve"> London: Yale University Press.</w:t>
      </w:r>
    </w:p>
    <w:p w14:paraId="149B2F13" w14:textId="77777777" w:rsidR="00775B2A" w:rsidRPr="00DE4B99" w:rsidRDefault="00775B2A" w:rsidP="00775B2A">
      <w:pPr>
        <w:widowControl w:val="0"/>
        <w:tabs>
          <w:tab w:val="left" w:pos="20"/>
          <w:tab w:val="left" w:pos="412"/>
        </w:tabs>
        <w:autoSpaceDE w:val="0"/>
        <w:autoSpaceDN w:val="0"/>
        <w:adjustRightInd w:val="0"/>
        <w:spacing w:line="480" w:lineRule="auto"/>
        <w:rPr>
          <w:rFonts w:ascii="Times New Roman" w:hAnsi="Times New Roman" w:cs="Times New Roman"/>
          <w:color w:val="000000"/>
        </w:rPr>
      </w:pPr>
      <w:r w:rsidRPr="00DE4B99">
        <w:rPr>
          <w:rFonts w:ascii="Times New Roman" w:hAnsi="Times New Roman" w:cs="Times New Roman"/>
          <w:color w:val="000000"/>
        </w:rPr>
        <w:t>Dyson, S.L. 1971. ‘Native Revolts in the Roman Empire’, </w:t>
      </w:r>
      <w:r w:rsidRPr="00DE4B99">
        <w:rPr>
          <w:rFonts w:ascii="Times New Roman" w:hAnsi="Times New Roman" w:cs="Times New Roman"/>
          <w:i/>
          <w:iCs/>
          <w:color w:val="262626"/>
        </w:rPr>
        <w:t xml:space="preserve">Historia: Zeitschrift für Alte Geschichte, </w:t>
      </w:r>
      <w:r w:rsidRPr="00DE4B99">
        <w:rPr>
          <w:rFonts w:ascii="Times New Roman" w:hAnsi="Times New Roman" w:cs="Times New Roman"/>
          <w:iCs/>
          <w:color w:val="262626"/>
        </w:rPr>
        <w:t>239-274.</w:t>
      </w:r>
      <w:r w:rsidRPr="00DE4B99">
        <w:rPr>
          <w:rFonts w:ascii="Times New Roman" w:hAnsi="Times New Roman" w:cs="Times New Roman"/>
          <w:color w:val="000000"/>
        </w:rPr>
        <w:t xml:space="preserve"> </w:t>
      </w:r>
    </w:p>
    <w:p w14:paraId="2069A24D" w14:textId="77777777" w:rsidR="00775B2A" w:rsidRDefault="00775B2A" w:rsidP="00775B2A">
      <w:pPr>
        <w:widowControl w:val="0"/>
        <w:tabs>
          <w:tab w:val="left" w:pos="20"/>
          <w:tab w:val="left" w:pos="412"/>
        </w:tabs>
        <w:autoSpaceDE w:val="0"/>
        <w:autoSpaceDN w:val="0"/>
        <w:adjustRightInd w:val="0"/>
        <w:spacing w:line="480" w:lineRule="auto"/>
        <w:rPr>
          <w:rFonts w:ascii="Times New Roman" w:hAnsi="Times New Roman" w:cs="Times New Roman"/>
          <w:color w:val="000000"/>
        </w:rPr>
      </w:pPr>
      <w:r>
        <w:rPr>
          <w:rFonts w:ascii="Times New Roman" w:hAnsi="Times New Roman" w:cs="Times New Roman"/>
          <w:color w:val="000000"/>
        </w:rPr>
        <w:t xml:space="preserve">Fairclough, J. 2010. </w:t>
      </w:r>
      <w:r>
        <w:rPr>
          <w:rFonts w:ascii="Times New Roman" w:hAnsi="Times New Roman" w:cs="Times New Roman"/>
          <w:i/>
          <w:iCs/>
          <w:color w:val="000000"/>
        </w:rPr>
        <w:t>Boudica to Raedwald: East Anglia’s relations with Rome.</w:t>
      </w:r>
      <w:r>
        <w:rPr>
          <w:rFonts w:ascii="Times New Roman" w:hAnsi="Times New Roman" w:cs="Times New Roman"/>
          <w:color w:val="000000"/>
        </w:rPr>
        <w:t xml:space="preserve"> Ipswich: Print Wright Ltd.</w:t>
      </w:r>
    </w:p>
    <w:p w14:paraId="0F8438DF" w14:textId="77777777" w:rsidR="00775B2A" w:rsidRPr="00781672" w:rsidRDefault="00775B2A" w:rsidP="00775B2A">
      <w:pPr>
        <w:widowControl w:val="0"/>
        <w:tabs>
          <w:tab w:val="left" w:pos="20"/>
          <w:tab w:val="left" w:pos="412"/>
        </w:tabs>
        <w:autoSpaceDE w:val="0"/>
        <w:autoSpaceDN w:val="0"/>
        <w:adjustRightInd w:val="0"/>
        <w:spacing w:line="480" w:lineRule="auto"/>
        <w:rPr>
          <w:rFonts w:ascii="Times New Roman" w:hAnsi="Times New Roman" w:cs="Times New Roman"/>
          <w:color w:val="000000"/>
        </w:rPr>
      </w:pPr>
      <w:r w:rsidRPr="00781672">
        <w:rPr>
          <w:rFonts w:ascii="Times New Roman" w:hAnsi="Times New Roman" w:cs="Times New Roman"/>
          <w:color w:val="000000"/>
          <w:spacing w:val="5"/>
          <w:kern w:val="1"/>
        </w:rPr>
        <w:t xml:space="preserve">Frere, S.1991 </w:t>
      </w:r>
      <w:r w:rsidRPr="00781672">
        <w:rPr>
          <w:rFonts w:ascii="Times New Roman" w:hAnsi="Times New Roman" w:cs="Times New Roman"/>
          <w:i/>
          <w:iCs/>
          <w:color w:val="000000"/>
          <w:spacing w:val="5"/>
          <w:kern w:val="1"/>
        </w:rPr>
        <w:t xml:space="preserve">Britannia: A History of Roman Britain. </w:t>
      </w:r>
      <w:r w:rsidRPr="00781672">
        <w:rPr>
          <w:rFonts w:ascii="Times New Roman" w:hAnsi="Times New Roman" w:cs="Times New Roman"/>
          <w:color w:val="000000"/>
          <w:spacing w:val="5"/>
          <w:kern w:val="1"/>
        </w:rPr>
        <w:t>London</w:t>
      </w:r>
      <w:r w:rsidRPr="00781672">
        <w:rPr>
          <w:rFonts w:ascii="Times New Roman" w:hAnsi="Times New Roman" w:cs="Times New Roman"/>
          <w:i/>
          <w:iCs/>
          <w:color w:val="000000"/>
          <w:spacing w:val="5"/>
          <w:kern w:val="1"/>
        </w:rPr>
        <w:t xml:space="preserve">: </w:t>
      </w:r>
      <w:r w:rsidRPr="00781672">
        <w:rPr>
          <w:rFonts w:ascii="Times New Roman" w:hAnsi="Times New Roman" w:cs="Times New Roman"/>
          <w:color w:val="000000"/>
          <w:spacing w:val="5"/>
          <w:kern w:val="1"/>
        </w:rPr>
        <w:t>Pimlico.</w:t>
      </w:r>
    </w:p>
    <w:p w14:paraId="5E866EC5" w14:textId="77777777" w:rsidR="00775B2A" w:rsidRDefault="00775B2A" w:rsidP="00775B2A">
      <w:pPr>
        <w:widowControl w:val="0"/>
        <w:tabs>
          <w:tab w:val="left" w:pos="20"/>
          <w:tab w:val="left" w:pos="412"/>
        </w:tabs>
        <w:autoSpaceDE w:val="0"/>
        <w:autoSpaceDN w:val="0"/>
        <w:adjustRightInd w:val="0"/>
        <w:spacing w:line="480" w:lineRule="auto"/>
        <w:ind w:left="-1"/>
        <w:rPr>
          <w:rFonts w:ascii="Times New Roman" w:hAnsi="Times New Roman" w:cs="Times New Roman"/>
          <w:color w:val="000000"/>
        </w:rPr>
      </w:pPr>
      <w:r>
        <w:rPr>
          <w:rFonts w:ascii="Times New Roman" w:hAnsi="Times New Roman" w:cs="Times New Roman"/>
          <w:color w:val="000000"/>
        </w:rPr>
        <w:t xml:space="preserve">Hind, J.G.F. 2007. ‘A.Plautius’ Campaign in Britain: an alternative reading of the narrative in Cassius Dio (60.19.5 - 21.2)’, </w:t>
      </w:r>
      <w:r>
        <w:rPr>
          <w:rFonts w:ascii="Times New Roman" w:hAnsi="Times New Roman" w:cs="Times New Roman"/>
          <w:i/>
          <w:iCs/>
          <w:color w:val="000000"/>
        </w:rPr>
        <w:t>Britannia</w:t>
      </w:r>
      <w:r>
        <w:rPr>
          <w:rFonts w:ascii="Times New Roman" w:hAnsi="Times New Roman" w:cs="Times New Roman"/>
          <w:color w:val="000000"/>
        </w:rPr>
        <w:t xml:space="preserve">, Vol. 38, 93 –106. </w:t>
      </w:r>
    </w:p>
    <w:p w14:paraId="66545867" w14:textId="77777777" w:rsidR="00775B2A" w:rsidRPr="000D3AA6" w:rsidRDefault="00775B2A" w:rsidP="00775B2A">
      <w:pPr>
        <w:widowControl w:val="0"/>
        <w:tabs>
          <w:tab w:val="left" w:pos="20"/>
          <w:tab w:val="left" w:pos="412"/>
        </w:tabs>
        <w:autoSpaceDE w:val="0"/>
        <w:autoSpaceDN w:val="0"/>
        <w:adjustRightInd w:val="0"/>
        <w:spacing w:line="480" w:lineRule="auto"/>
        <w:ind w:left="-1"/>
        <w:rPr>
          <w:rFonts w:ascii="Times New Roman" w:hAnsi="Times New Roman" w:cs="Times New Roman"/>
          <w:color w:val="000000"/>
        </w:rPr>
      </w:pPr>
      <w:r>
        <w:rPr>
          <w:rFonts w:ascii="Times New Roman" w:hAnsi="Times New Roman" w:cs="Times New Roman"/>
          <w:color w:val="000000"/>
        </w:rPr>
        <w:t xml:space="preserve">Hobbs, R. and Jackson, R. 2015. </w:t>
      </w:r>
      <w:r>
        <w:rPr>
          <w:rFonts w:ascii="Times New Roman" w:hAnsi="Times New Roman" w:cs="Times New Roman"/>
          <w:i/>
          <w:color w:val="000000"/>
        </w:rPr>
        <w:t>Roman Britain.</w:t>
      </w:r>
      <w:r>
        <w:rPr>
          <w:rFonts w:ascii="Times New Roman" w:hAnsi="Times New Roman" w:cs="Times New Roman"/>
          <w:color w:val="000000"/>
        </w:rPr>
        <w:t xml:space="preserve"> London: The British Museum Press.</w:t>
      </w:r>
    </w:p>
    <w:p w14:paraId="4CD04348" w14:textId="77777777" w:rsidR="00775B2A" w:rsidRDefault="00775B2A" w:rsidP="00775B2A">
      <w:pPr>
        <w:widowControl w:val="0"/>
        <w:tabs>
          <w:tab w:val="left" w:pos="20"/>
          <w:tab w:val="left" w:pos="412"/>
        </w:tabs>
        <w:autoSpaceDE w:val="0"/>
        <w:autoSpaceDN w:val="0"/>
        <w:adjustRightInd w:val="0"/>
        <w:spacing w:line="480" w:lineRule="auto"/>
        <w:ind w:left="-1"/>
        <w:rPr>
          <w:rFonts w:ascii="Times New Roman" w:hAnsi="Times New Roman" w:cs="Times New Roman"/>
          <w:color w:val="000000"/>
        </w:rPr>
      </w:pPr>
      <w:r>
        <w:rPr>
          <w:rFonts w:ascii="Times New Roman" w:hAnsi="Times New Roman" w:cs="Times New Roman"/>
          <w:color w:val="000000"/>
        </w:rPr>
        <w:t xml:space="preserve">Hingley, R., and Unwin, C. 2006. </w:t>
      </w:r>
      <w:r>
        <w:rPr>
          <w:rFonts w:ascii="Times New Roman" w:hAnsi="Times New Roman" w:cs="Times New Roman"/>
          <w:i/>
          <w:iCs/>
          <w:color w:val="000000"/>
        </w:rPr>
        <w:t>Boudica: Iron Age Warrior Queen.</w:t>
      </w:r>
      <w:r>
        <w:rPr>
          <w:rFonts w:ascii="Times New Roman" w:hAnsi="Times New Roman" w:cs="Times New Roman"/>
          <w:color w:val="000000"/>
        </w:rPr>
        <w:t xml:space="preserve"> Cornwall: MPG Books. </w:t>
      </w:r>
    </w:p>
    <w:p w14:paraId="6CB1EF27" w14:textId="77777777" w:rsidR="00775B2A" w:rsidRDefault="00775B2A" w:rsidP="00775B2A">
      <w:pPr>
        <w:widowControl w:val="0"/>
        <w:tabs>
          <w:tab w:val="left" w:pos="20"/>
          <w:tab w:val="left" w:pos="412"/>
        </w:tabs>
        <w:autoSpaceDE w:val="0"/>
        <w:autoSpaceDN w:val="0"/>
        <w:adjustRightInd w:val="0"/>
        <w:spacing w:line="480" w:lineRule="auto"/>
        <w:ind w:left="-1"/>
        <w:rPr>
          <w:rFonts w:ascii="Times New Roman" w:hAnsi="Times New Roman" w:cs="Times New Roman"/>
          <w:color w:val="000000"/>
        </w:rPr>
      </w:pPr>
      <w:r>
        <w:rPr>
          <w:rFonts w:ascii="Times New Roman" w:hAnsi="Times New Roman" w:cs="Times New Roman"/>
          <w:color w:val="000000"/>
        </w:rPr>
        <w:t xml:space="preserve">Hoffman, B. 2013. </w:t>
      </w:r>
      <w:r>
        <w:rPr>
          <w:rFonts w:ascii="Times New Roman" w:hAnsi="Times New Roman" w:cs="Times New Roman"/>
          <w:i/>
          <w:iCs/>
          <w:color w:val="000000"/>
        </w:rPr>
        <w:t xml:space="preserve">The Roman Invasion of Britain: Archaeology versus History. </w:t>
      </w:r>
      <w:r>
        <w:rPr>
          <w:rFonts w:ascii="Times New Roman" w:hAnsi="Times New Roman" w:cs="Times New Roman"/>
          <w:color w:val="000000"/>
        </w:rPr>
        <w:t>Yorkshire: Pen &amp; Sword Books Ltd.</w:t>
      </w:r>
    </w:p>
    <w:p w14:paraId="0130AEBF" w14:textId="77777777" w:rsidR="00775B2A" w:rsidRDefault="00775B2A" w:rsidP="00775B2A">
      <w:pPr>
        <w:widowControl w:val="0"/>
        <w:tabs>
          <w:tab w:val="left" w:pos="20"/>
          <w:tab w:val="left" w:pos="412"/>
        </w:tabs>
        <w:autoSpaceDE w:val="0"/>
        <w:autoSpaceDN w:val="0"/>
        <w:adjustRightInd w:val="0"/>
        <w:spacing w:line="480" w:lineRule="auto"/>
        <w:ind w:left="-1"/>
        <w:rPr>
          <w:rFonts w:ascii="Times New Roman" w:hAnsi="Times New Roman" w:cs="Times New Roman"/>
          <w:color w:val="000000"/>
        </w:rPr>
      </w:pPr>
      <w:r>
        <w:rPr>
          <w:rFonts w:ascii="Times New Roman" w:hAnsi="Times New Roman" w:cs="Times New Roman"/>
          <w:color w:val="000000"/>
        </w:rPr>
        <w:t xml:space="preserve">Howard, N. 2008. </w:t>
      </w:r>
      <w:r>
        <w:rPr>
          <w:rFonts w:ascii="Times New Roman" w:hAnsi="Times New Roman" w:cs="Times New Roman"/>
          <w:i/>
          <w:iCs/>
          <w:color w:val="000000"/>
        </w:rPr>
        <w:t>Cartimandua Queen of the Brigantes.</w:t>
      </w:r>
      <w:r>
        <w:rPr>
          <w:rFonts w:ascii="Times New Roman" w:hAnsi="Times New Roman" w:cs="Times New Roman"/>
          <w:color w:val="000000"/>
        </w:rPr>
        <w:t xml:space="preserve"> Gloucestershire: The History Press. </w:t>
      </w:r>
    </w:p>
    <w:p w14:paraId="43AC875D" w14:textId="77777777" w:rsidR="00775B2A" w:rsidRDefault="00775B2A" w:rsidP="00775B2A">
      <w:pPr>
        <w:widowControl w:val="0"/>
        <w:tabs>
          <w:tab w:val="left" w:pos="20"/>
          <w:tab w:val="left" w:pos="412"/>
        </w:tabs>
        <w:autoSpaceDE w:val="0"/>
        <w:autoSpaceDN w:val="0"/>
        <w:adjustRightInd w:val="0"/>
        <w:spacing w:line="480" w:lineRule="auto"/>
        <w:rPr>
          <w:rFonts w:ascii="Times New Roman" w:hAnsi="Times New Roman" w:cs="Times New Roman"/>
          <w:color w:val="000000"/>
        </w:rPr>
      </w:pPr>
      <w:r>
        <w:rPr>
          <w:rFonts w:ascii="Times New Roman" w:hAnsi="Times New Roman" w:cs="Times New Roman"/>
          <w:color w:val="000000"/>
        </w:rPr>
        <w:t xml:space="preserve">Hutton, R. 2011. </w:t>
      </w:r>
      <w:r>
        <w:rPr>
          <w:rFonts w:ascii="Times New Roman" w:hAnsi="Times New Roman" w:cs="Times New Roman"/>
          <w:i/>
          <w:iCs/>
          <w:color w:val="000000"/>
        </w:rPr>
        <w:t>Blood and Mistletoe: The History of the Druids in Britain.</w:t>
      </w:r>
      <w:r>
        <w:rPr>
          <w:rFonts w:ascii="Times New Roman" w:hAnsi="Times New Roman" w:cs="Times New Roman"/>
          <w:color w:val="000000"/>
        </w:rPr>
        <w:t xml:space="preserve"> New Haven: Yale University Press.</w:t>
      </w:r>
      <w:r w:rsidRPr="00F46267">
        <w:rPr>
          <w:rFonts w:ascii="Times New Roman" w:hAnsi="Times New Roman" w:cs="Times New Roman"/>
          <w:color w:val="000000"/>
        </w:rPr>
        <w:t xml:space="preserve"> </w:t>
      </w:r>
      <w:r>
        <w:rPr>
          <w:rFonts w:ascii="Times New Roman" w:hAnsi="Times New Roman" w:cs="Times New Roman"/>
          <w:color w:val="000000"/>
        </w:rPr>
        <w:t xml:space="preserve">Millet, M. 1992. </w:t>
      </w:r>
      <w:r>
        <w:rPr>
          <w:rFonts w:ascii="Times New Roman" w:hAnsi="Times New Roman" w:cs="Times New Roman"/>
          <w:i/>
          <w:iCs/>
          <w:color w:val="000000"/>
        </w:rPr>
        <w:t xml:space="preserve">The Romanisation of Britain: An essay in archaeological interpretation. </w:t>
      </w:r>
      <w:r>
        <w:rPr>
          <w:rFonts w:ascii="Times New Roman" w:hAnsi="Times New Roman" w:cs="Times New Roman"/>
          <w:color w:val="000000"/>
        </w:rPr>
        <w:t xml:space="preserve">Cambridge: Cambridge university press. </w:t>
      </w:r>
    </w:p>
    <w:p w14:paraId="4CD1DA8B" w14:textId="77777777" w:rsidR="00775B2A" w:rsidRDefault="00775B2A" w:rsidP="00775B2A">
      <w:pPr>
        <w:widowControl w:val="0"/>
        <w:tabs>
          <w:tab w:val="left" w:pos="20"/>
          <w:tab w:val="left" w:pos="412"/>
        </w:tabs>
        <w:autoSpaceDE w:val="0"/>
        <w:autoSpaceDN w:val="0"/>
        <w:adjustRightInd w:val="0"/>
        <w:spacing w:line="480" w:lineRule="auto"/>
        <w:rPr>
          <w:rFonts w:ascii="Times New Roman" w:hAnsi="Times New Roman" w:cs="Times New Roman"/>
          <w:color w:val="000000"/>
        </w:rPr>
      </w:pPr>
      <w:r>
        <w:rPr>
          <w:rFonts w:ascii="Times New Roman" w:hAnsi="Times New Roman" w:cs="Times New Roman"/>
          <w:color w:val="000000"/>
        </w:rPr>
        <w:t xml:space="preserve">Manning, W. 2001. </w:t>
      </w:r>
      <w:r>
        <w:rPr>
          <w:rFonts w:ascii="Times New Roman" w:hAnsi="Times New Roman" w:cs="Times New Roman"/>
          <w:i/>
          <w:color w:val="000000"/>
        </w:rPr>
        <w:t xml:space="preserve">A Pocket Guide:  Roman Wales. </w:t>
      </w:r>
      <w:r>
        <w:rPr>
          <w:rFonts w:ascii="Times New Roman" w:hAnsi="Times New Roman" w:cs="Times New Roman"/>
          <w:color w:val="000000"/>
        </w:rPr>
        <w:t>Cardiff: University of Wales Press.</w:t>
      </w:r>
    </w:p>
    <w:p w14:paraId="05317BC6" w14:textId="77777777" w:rsidR="00BF1D52" w:rsidRDefault="00BF1D52" w:rsidP="00775B2A">
      <w:pPr>
        <w:widowControl w:val="0"/>
        <w:tabs>
          <w:tab w:val="left" w:pos="20"/>
          <w:tab w:val="left" w:pos="412"/>
        </w:tabs>
        <w:autoSpaceDE w:val="0"/>
        <w:autoSpaceDN w:val="0"/>
        <w:adjustRightInd w:val="0"/>
        <w:spacing w:line="480" w:lineRule="auto"/>
        <w:rPr>
          <w:rFonts w:ascii="Times New Roman" w:hAnsi="Times New Roman" w:cs="Times New Roman"/>
          <w:color w:val="000000"/>
        </w:rPr>
      </w:pPr>
    </w:p>
    <w:p w14:paraId="29B9F10C" w14:textId="77777777" w:rsidR="00775B2A" w:rsidRPr="005B3A98" w:rsidRDefault="00775B2A" w:rsidP="00775B2A">
      <w:pPr>
        <w:widowControl w:val="0"/>
        <w:tabs>
          <w:tab w:val="left" w:pos="20"/>
          <w:tab w:val="left" w:pos="412"/>
        </w:tabs>
        <w:autoSpaceDE w:val="0"/>
        <w:autoSpaceDN w:val="0"/>
        <w:adjustRightInd w:val="0"/>
        <w:spacing w:line="480" w:lineRule="auto"/>
        <w:rPr>
          <w:rFonts w:ascii="Times New Roman" w:hAnsi="Times New Roman" w:cs="Times New Roman"/>
          <w:color w:val="000000"/>
        </w:rPr>
      </w:pPr>
      <w:r>
        <w:rPr>
          <w:rFonts w:ascii="Times New Roman" w:hAnsi="Times New Roman" w:cs="Times New Roman"/>
          <w:color w:val="000000"/>
        </w:rPr>
        <w:lastRenderedPageBreak/>
        <w:t xml:space="preserve">Mattingly, D. 2007. </w:t>
      </w:r>
      <w:r>
        <w:rPr>
          <w:rFonts w:ascii="Times New Roman" w:hAnsi="Times New Roman" w:cs="Times New Roman"/>
          <w:i/>
          <w:color w:val="000000"/>
        </w:rPr>
        <w:t>An Imperial Possession: Britain in the Roman Empire.</w:t>
      </w:r>
      <w:r>
        <w:rPr>
          <w:rFonts w:ascii="Times New Roman" w:hAnsi="Times New Roman" w:cs="Times New Roman"/>
          <w:color w:val="000000"/>
        </w:rPr>
        <w:t xml:space="preserve"> London: Penguin Group.</w:t>
      </w:r>
    </w:p>
    <w:p w14:paraId="5D611813" w14:textId="77777777" w:rsidR="00775B2A" w:rsidRPr="000D3AA6" w:rsidRDefault="00775B2A" w:rsidP="00775B2A">
      <w:pPr>
        <w:widowControl w:val="0"/>
        <w:tabs>
          <w:tab w:val="left" w:pos="20"/>
          <w:tab w:val="left" w:pos="412"/>
        </w:tabs>
        <w:autoSpaceDE w:val="0"/>
        <w:autoSpaceDN w:val="0"/>
        <w:adjustRightInd w:val="0"/>
        <w:spacing w:line="480" w:lineRule="auto"/>
        <w:rPr>
          <w:rFonts w:ascii="Times New Roman" w:hAnsi="Times New Roman" w:cs="Times New Roman"/>
          <w:color w:val="000000"/>
        </w:rPr>
      </w:pPr>
      <w:r w:rsidRPr="000D3AA6">
        <w:rPr>
          <w:rFonts w:ascii="Times New Roman" w:hAnsi="Times New Roman" w:cs="Times New Roman"/>
          <w:color w:val="000000"/>
        </w:rPr>
        <w:t xml:space="preserve">Millet, M. 2005. </w:t>
      </w:r>
      <w:r w:rsidRPr="000D3AA6">
        <w:rPr>
          <w:rFonts w:ascii="Times New Roman" w:hAnsi="Times New Roman" w:cs="Times New Roman"/>
          <w:i/>
          <w:iCs/>
          <w:color w:val="000000"/>
        </w:rPr>
        <w:t xml:space="preserve">The Romanisation of Britain: An essay in archaeological interpretation. </w:t>
      </w:r>
      <w:r w:rsidRPr="000D3AA6">
        <w:rPr>
          <w:rFonts w:ascii="Times New Roman" w:hAnsi="Times New Roman" w:cs="Times New Roman"/>
          <w:color w:val="000000"/>
        </w:rPr>
        <w:t>Cambridge: Cambridge university press.</w:t>
      </w:r>
    </w:p>
    <w:p w14:paraId="70E56C03" w14:textId="77777777" w:rsidR="00775B2A" w:rsidRDefault="00775B2A" w:rsidP="00775B2A">
      <w:pPr>
        <w:widowControl w:val="0"/>
        <w:tabs>
          <w:tab w:val="left" w:pos="20"/>
          <w:tab w:val="left" w:pos="412"/>
        </w:tabs>
        <w:autoSpaceDE w:val="0"/>
        <w:autoSpaceDN w:val="0"/>
        <w:adjustRightInd w:val="0"/>
        <w:spacing w:line="480" w:lineRule="auto"/>
        <w:rPr>
          <w:rFonts w:ascii="Times New Roman" w:hAnsi="Times New Roman" w:cs="Times New Roman"/>
          <w:color w:val="000000"/>
        </w:rPr>
      </w:pPr>
      <w:r>
        <w:rPr>
          <w:rFonts w:ascii="Times New Roman" w:hAnsi="Times New Roman" w:cs="Times New Roman"/>
          <w:color w:val="000000"/>
        </w:rPr>
        <w:t xml:space="preserve">Moorhead, S. and Stuttard, D. 2016. </w:t>
      </w:r>
      <w:r>
        <w:rPr>
          <w:rFonts w:ascii="Times New Roman" w:hAnsi="Times New Roman" w:cs="Times New Roman"/>
          <w:i/>
          <w:iCs/>
          <w:color w:val="000000"/>
        </w:rPr>
        <w:t>The Romans Who Shaped Britain.</w:t>
      </w:r>
      <w:r>
        <w:rPr>
          <w:rFonts w:ascii="Times New Roman" w:hAnsi="Times New Roman" w:cs="Times New Roman"/>
          <w:color w:val="000000"/>
        </w:rPr>
        <w:t xml:space="preserve"> London: Thames &amp; Hudson Ltd.</w:t>
      </w:r>
    </w:p>
    <w:p w14:paraId="2C6DAA80" w14:textId="77777777" w:rsidR="00775B2A" w:rsidRDefault="00775B2A" w:rsidP="00775B2A">
      <w:pPr>
        <w:widowControl w:val="0"/>
        <w:tabs>
          <w:tab w:val="left" w:pos="20"/>
          <w:tab w:val="left" w:pos="412"/>
        </w:tabs>
        <w:autoSpaceDE w:val="0"/>
        <w:autoSpaceDN w:val="0"/>
        <w:adjustRightInd w:val="0"/>
        <w:spacing w:line="480" w:lineRule="auto"/>
        <w:rPr>
          <w:rFonts w:ascii="Times New Roman" w:hAnsi="Times New Roman" w:cs="Times New Roman"/>
          <w:color w:val="000000"/>
        </w:rPr>
      </w:pPr>
      <w:r>
        <w:rPr>
          <w:rFonts w:ascii="Times New Roman" w:hAnsi="Times New Roman" w:cs="Times New Roman"/>
          <w:color w:val="000000"/>
        </w:rPr>
        <w:t xml:space="preserve">Morse, M.A. 2005. </w:t>
      </w:r>
      <w:r>
        <w:rPr>
          <w:rFonts w:ascii="Times New Roman" w:hAnsi="Times New Roman" w:cs="Times New Roman"/>
          <w:i/>
          <w:iCs/>
          <w:color w:val="000000"/>
        </w:rPr>
        <w:t>How the Celts came to Britain: Druids, Ancient skulls and the Birth of Archaeology.</w:t>
      </w:r>
      <w:r>
        <w:rPr>
          <w:rFonts w:ascii="Times New Roman" w:hAnsi="Times New Roman" w:cs="Times New Roman"/>
          <w:color w:val="000000"/>
        </w:rPr>
        <w:t xml:space="preserve"> Gloucestershire: Tempus Publishing Limited.</w:t>
      </w:r>
    </w:p>
    <w:p w14:paraId="0632AA46" w14:textId="77777777" w:rsidR="00775B2A" w:rsidRDefault="00775B2A" w:rsidP="00775B2A">
      <w:pPr>
        <w:widowControl w:val="0"/>
        <w:tabs>
          <w:tab w:val="left" w:pos="20"/>
          <w:tab w:val="left" w:pos="412"/>
        </w:tabs>
        <w:autoSpaceDE w:val="0"/>
        <w:autoSpaceDN w:val="0"/>
        <w:adjustRightInd w:val="0"/>
        <w:spacing w:line="480" w:lineRule="auto"/>
        <w:rPr>
          <w:rFonts w:ascii="Times New Roman" w:hAnsi="Times New Roman" w:cs="Times New Roman"/>
          <w:color w:val="000000"/>
        </w:rPr>
      </w:pPr>
      <w:r>
        <w:rPr>
          <w:rFonts w:ascii="Times New Roman" w:hAnsi="Times New Roman" w:cs="Times New Roman"/>
          <w:color w:val="000000"/>
        </w:rPr>
        <w:t xml:space="preserve">Pagàn, V.E. 2017. </w:t>
      </w:r>
      <w:r>
        <w:rPr>
          <w:rFonts w:ascii="Times New Roman" w:hAnsi="Times New Roman" w:cs="Times New Roman"/>
          <w:i/>
          <w:iCs/>
          <w:color w:val="000000"/>
        </w:rPr>
        <w:t>Tacitus.</w:t>
      </w:r>
      <w:r>
        <w:rPr>
          <w:rFonts w:ascii="Times New Roman" w:hAnsi="Times New Roman" w:cs="Times New Roman"/>
          <w:color w:val="000000"/>
        </w:rPr>
        <w:t xml:space="preserve"> London: I.B.Taurius &amp; Co. Ltd.</w:t>
      </w:r>
    </w:p>
    <w:p w14:paraId="60BAF4A1" w14:textId="77777777" w:rsidR="00775B2A" w:rsidRDefault="00775B2A" w:rsidP="00775B2A">
      <w:pPr>
        <w:widowControl w:val="0"/>
        <w:tabs>
          <w:tab w:val="left" w:pos="20"/>
          <w:tab w:val="left" w:pos="412"/>
        </w:tabs>
        <w:autoSpaceDE w:val="0"/>
        <w:autoSpaceDN w:val="0"/>
        <w:adjustRightInd w:val="0"/>
        <w:spacing w:line="480" w:lineRule="auto"/>
        <w:rPr>
          <w:rFonts w:ascii="Times New Roman" w:hAnsi="Times New Roman" w:cs="Times New Roman"/>
          <w:color w:val="000000"/>
        </w:rPr>
      </w:pPr>
      <w:r>
        <w:rPr>
          <w:rFonts w:ascii="Times New Roman" w:hAnsi="Times New Roman" w:cs="Times New Roman"/>
          <w:color w:val="000000"/>
        </w:rPr>
        <w:t xml:space="preserve">Peddie, J. 1997. </w:t>
      </w:r>
      <w:r>
        <w:rPr>
          <w:rFonts w:ascii="Times New Roman" w:hAnsi="Times New Roman" w:cs="Times New Roman"/>
          <w:i/>
          <w:iCs/>
          <w:color w:val="000000"/>
        </w:rPr>
        <w:t>Conquest: Roman invasion of Britain.</w:t>
      </w:r>
      <w:r>
        <w:rPr>
          <w:rFonts w:ascii="Times New Roman" w:hAnsi="Times New Roman" w:cs="Times New Roman"/>
          <w:color w:val="000000"/>
        </w:rPr>
        <w:t xml:space="preserve"> Gloucestershire: Sutton Publishing.</w:t>
      </w:r>
    </w:p>
    <w:p w14:paraId="7F479CFA" w14:textId="77777777" w:rsidR="00775B2A" w:rsidRDefault="00775B2A" w:rsidP="00775B2A">
      <w:pPr>
        <w:widowControl w:val="0"/>
        <w:tabs>
          <w:tab w:val="left" w:pos="20"/>
          <w:tab w:val="left" w:pos="412"/>
        </w:tabs>
        <w:autoSpaceDE w:val="0"/>
        <w:autoSpaceDN w:val="0"/>
        <w:adjustRightInd w:val="0"/>
        <w:spacing w:line="480" w:lineRule="auto"/>
        <w:rPr>
          <w:rFonts w:ascii="Times New Roman" w:hAnsi="Times New Roman" w:cs="Times New Roman"/>
          <w:color w:val="000000"/>
        </w:rPr>
      </w:pPr>
      <w:r>
        <w:rPr>
          <w:rFonts w:ascii="Times New Roman" w:hAnsi="Times New Roman" w:cs="Times New Roman"/>
          <w:color w:val="000000"/>
        </w:rPr>
        <w:t xml:space="preserve">Power, T. 2014. ‘Suetonius’ Tacitus’, </w:t>
      </w:r>
      <w:r>
        <w:rPr>
          <w:rFonts w:ascii="Times New Roman" w:hAnsi="Times New Roman" w:cs="Times New Roman"/>
          <w:i/>
          <w:iCs/>
          <w:color w:val="000000"/>
        </w:rPr>
        <w:t>The Journal of Roman Studies</w:t>
      </w:r>
      <w:r>
        <w:rPr>
          <w:rFonts w:ascii="Times New Roman" w:hAnsi="Times New Roman" w:cs="Times New Roman"/>
          <w:color w:val="000000"/>
        </w:rPr>
        <w:t xml:space="preserve">, Vol. 104, 205-225. </w:t>
      </w:r>
    </w:p>
    <w:p w14:paraId="795E1083" w14:textId="77777777" w:rsidR="00775B2A" w:rsidRDefault="00775B2A" w:rsidP="00775B2A">
      <w:pPr>
        <w:widowControl w:val="0"/>
        <w:tabs>
          <w:tab w:val="left" w:pos="20"/>
          <w:tab w:val="left" w:pos="412"/>
        </w:tabs>
        <w:autoSpaceDE w:val="0"/>
        <w:autoSpaceDN w:val="0"/>
        <w:adjustRightInd w:val="0"/>
        <w:spacing w:line="480" w:lineRule="auto"/>
        <w:rPr>
          <w:rFonts w:ascii="Times New Roman" w:hAnsi="Times New Roman" w:cs="Times New Roman"/>
          <w:color w:val="000000"/>
        </w:rPr>
      </w:pPr>
      <w:r>
        <w:rPr>
          <w:rFonts w:ascii="Times New Roman" w:hAnsi="Times New Roman" w:cs="Times New Roman"/>
          <w:color w:val="000000"/>
        </w:rPr>
        <w:t xml:space="preserve">Russell, M., and Laycock, S. 2011. </w:t>
      </w:r>
      <w:r>
        <w:rPr>
          <w:rFonts w:ascii="Times New Roman" w:hAnsi="Times New Roman" w:cs="Times New Roman"/>
          <w:i/>
          <w:iCs/>
          <w:color w:val="000000"/>
        </w:rPr>
        <w:t xml:space="preserve">UnRoman Britain: Exposing the Great myth of Britannia. </w:t>
      </w:r>
      <w:r>
        <w:rPr>
          <w:rFonts w:ascii="Times New Roman" w:hAnsi="Times New Roman" w:cs="Times New Roman"/>
          <w:color w:val="000000"/>
        </w:rPr>
        <w:t xml:space="preserve">United Kingdom: The History Press Ltd. </w:t>
      </w:r>
    </w:p>
    <w:p w14:paraId="28AC6ECC" w14:textId="77777777" w:rsidR="00775B2A" w:rsidRDefault="00775B2A" w:rsidP="00775B2A">
      <w:pPr>
        <w:widowControl w:val="0"/>
        <w:tabs>
          <w:tab w:val="left" w:pos="20"/>
          <w:tab w:val="left" w:pos="412"/>
        </w:tabs>
        <w:autoSpaceDE w:val="0"/>
        <w:autoSpaceDN w:val="0"/>
        <w:adjustRightInd w:val="0"/>
        <w:spacing w:line="480" w:lineRule="auto"/>
        <w:rPr>
          <w:rFonts w:ascii="Times New Roman" w:hAnsi="Times New Roman" w:cs="Times New Roman"/>
          <w:color w:val="000000"/>
        </w:rPr>
      </w:pPr>
      <w:r>
        <w:rPr>
          <w:rFonts w:ascii="Times New Roman" w:hAnsi="Times New Roman" w:cs="Times New Roman"/>
          <w:color w:val="000000"/>
        </w:rPr>
        <w:t xml:space="preserve">Salway, P. 2001. </w:t>
      </w:r>
      <w:r>
        <w:rPr>
          <w:rFonts w:ascii="Times New Roman" w:hAnsi="Times New Roman" w:cs="Times New Roman"/>
          <w:i/>
          <w:iCs/>
          <w:color w:val="000000"/>
        </w:rPr>
        <w:t xml:space="preserve">A history of Roman Britain. </w:t>
      </w:r>
      <w:r>
        <w:rPr>
          <w:rFonts w:ascii="Times New Roman" w:hAnsi="Times New Roman" w:cs="Times New Roman"/>
          <w:color w:val="000000"/>
        </w:rPr>
        <w:t>Oxford: Oxford University Press.</w:t>
      </w:r>
    </w:p>
    <w:p w14:paraId="7A234FAA" w14:textId="77777777" w:rsidR="00775B2A" w:rsidRDefault="00775B2A" w:rsidP="00775B2A">
      <w:pPr>
        <w:widowControl w:val="0"/>
        <w:tabs>
          <w:tab w:val="left" w:pos="20"/>
          <w:tab w:val="left" w:pos="412"/>
        </w:tabs>
        <w:autoSpaceDE w:val="0"/>
        <w:autoSpaceDN w:val="0"/>
        <w:adjustRightInd w:val="0"/>
        <w:spacing w:line="480" w:lineRule="auto"/>
        <w:rPr>
          <w:rFonts w:ascii="Times New Roman" w:hAnsi="Times New Roman" w:cs="Times New Roman"/>
          <w:color w:val="000000"/>
        </w:rPr>
      </w:pPr>
      <w:r w:rsidRPr="00F46267">
        <w:rPr>
          <w:rFonts w:ascii="Times New Roman" w:hAnsi="Times New Roman" w:cs="Times New Roman"/>
          <w:color w:val="000000"/>
        </w:rPr>
        <w:t xml:space="preserve"> </w:t>
      </w:r>
      <w:r>
        <w:rPr>
          <w:rFonts w:ascii="Times New Roman" w:hAnsi="Times New Roman" w:cs="Times New Roman"/>
          <w:color w:val="000000"/>
        </w:rPr>
        <w:t xml:space="preserve">Standing, G. 2005. ‘The Varain disaster and the Boudiccan Revolt: Fabled Victories?’, </w:t>
      </w:r>
      <w:r>
        <w:rPr>
          <w:rFonts w:ascii="Times New Roman" w:hAnsi="Times New Roman" w:cs="Times New Roman"/>
          <w:i/>
          <w:iCs/>
          <w:color w:val="000000"/>
        </w:rPr>
        <w:t>Britannia</w:t>
      </w:r>
      <w:r>
        <w:rPr>
          <w:rFonts w:ascii="Times New Roman" w:hAnsi="Times New Roman" w:cs="Times New Roman"/>
          <w:color w:val="000000"/>
        </w:rPr>
        <w:t>, Vol. 36, 373-375.</w:t>
      </w:r>
    </w:p>
    <w:p w14:paraId="37B41881" w14:textId="77777777" w:rsidR="00775B2A" w:rsidRDefault="00775B2A" w:rsidP="00775B2A">
      <w:pPr>
        <w:widowControl w:val="0"/>
        <w:tabs>
          <w:tab w:val="left" w:pos="20"/>
          <w:tab w:val="left" w:pos="412"/>
        </w:tabs>
        <w:autoSpaceDE w:val="0"/>
        <w:autoSpaceDN w:val="0"/>
        <w:adjustRightInd w:val="0"/>
        <w:spacing w:line="480" w:lineRule="auto"/>
        <w:rPr>
          <w:rFonts w:ascii="Times New Roman" w:hAnsi="Times New Roman" w:cs="Times New Roman"/>
          <w:color w:val="000000"/>
        </w:rPr>
      </w:pPr>
      <w:r>
        <w:rPr>
          <w:rFonts w:ascii="Times New Roman" w:hAnsi="Times New Roman" w:cs="Times New Roman"/>
          <w:color w:val="000000"/>
        </w:rPr>
        <w:t xml:space="preserve">Todd, M. 1999.  </w:t>
      </w:r>
      <w:r>
        <w:rPr>
          <w:rFonts w:ascii="Times New Roman" w:hAnsi="Times New Roman" w:cs="Times New Roman"/>
          <w:i/>
          <w:iCs/>
          <w:color w:val="000000"/>
        </w:rPr>
        <w:t>Roman Britain.</w:t>
      </w:r>
      <w:r>
        <w:rPr>
          <w:rFonts w:ascii="Times New Roman" w:hAnsi="Times New Roman" w:cs="Times New Roman"/>
          <w:color w:val="000000"/>
        </w:rPr>
        <w:t xml:space="preserve"> Oxford: Blackwell Publishers Ltd.</w:t>
      </w:r>
    </w:p>
    <w:p w14:paraId="131CEE7F" w14:textId="77777777" w:rsidR="00775B2A" w:rsidRDefault="00775B2A" w:rsidP="00775B2A">
      <w:pPr>
        <w:spacing w:line="480" w:lineRule="auto"/>
        <w:rPr>
          <w:rFonts w:ascii="Times New Roman" w:hAnsi="Times New Roman" w:cs="Times New Roman"/>
          <w:color w:val="000000"/>
        </w:rPr>
      </w:pPr>
      <w:r>
        <w:rPr>
          <w:rFonts w:ascii="Times New Roman" w:hAnsi="Times New Roman" w:cs="Times New Roman"/>
          <w:color w:val="000000"/>
        </w:rPr>
        <w:t xml:space="preserve">Waite, J. 2011. </w:t>
      </w:r>
      <w:r>
        <w:rPr>
          <w:rFonts w:ascii="Times New Roman" w:hAnsi="Times New Roman" w:cs="Times New Roman"/>
          <w:i/>
          <w:iCs/>
          <w:color w:val="000000"/>
        </w:rPr>
        <w:t>To Rule Britannia: The Claudian Invasion of Britain AD 43</w:t>
      </w:r>
      <w:r>
        <w:rPr>
          <w:rFonts w:ascii="Times New Roman" w:hAnsi="Times New Roman" w:cs="Times New Roman"/>
          <w:color w:val="000000"/>
        </w:rPr>
        <w:t>. Gloucestershire: The History Press.</w:t>
      </w:r>
    </w:p>
    <w:p w14:paraId="57F64B9D" w14:textId="77777777" w:rsidR="00775B2A" w:rsidRPr="009E3FBA" w:rsidRDefault="00775B2A" w:rsidP="00775B2A">
      <w:pPr>
        <w:spacing w:line="480" w:lineRule="auto"/>
      </w:pPr>
      <w:r>
        <w:rPr>
          <w:rFonts w:ascii="Times New Roman" w:hAnsi="Times New Roman" w:cs="Times New Roman"/>
          <w:color w:val="000000"/>
        </w:rPr>
        <w:t xml:space="preserve">Webb, S. 2011. </w:t>
      </w:r>
      <w:r>
        <w:rPr>
          <w:rFonts w:ascii="Times New Roman" w:hAnsi="Times New Roman" w:cs="Times New Roman"/>
          <w:i/>
          <w:color w:val="000000"/>
        </w:rPr>
        <w:t>Life in Roman London.</w:t>
      </w:r>
      <w:r>
        <w:rPr>
          <w:rFonts w:ascii="Times New Roman" w:hAnsi="Times New Roman" w:cs="Times New Roman"/>
          <w:color w:val="000000"/>
        </w:rPr>
        <w:t xml:space="preserve"> Gloucestershire: The History Press.</w:t>
      </w:r>
    </w:p>
    <w:p w14:paraId="26B94EF9" w14:textId="77A37C86" w:rsidR="00A30B27" w:rsidRPr="0061374D" w:rsidRDefault="00775B2A" w:rsidP="00A30B27">
      <w:pPr>
        <w:spacing w:line="480" w:lineRule="auto"/>
        <w:rPr>
          <w:rFonts w:ascii="Times New Roman" w:hAnsi="Times New Roman" w:cs="Times New Roman"/>
        </w:rPr>
      </w:pPr>
      <w:r w:rsidRPr="00C47DF8">
        <w:rPr>
          <w:rFonts w:ascii="Times New Roman" w:hAnsi="Times New Roman" w:cs="Times New Roman"/>
        </w:rPr>
        <w:t xml:space="preserve">Webster, G. 1981. </w:t>
      </w:r>
      <w:r w:rsidRPr="00C47DF8">
        <w:rPr>
          <w:rFonts w:ascii="Times New Roman" w:hAnsi="Times New Roman" w:cs="Times New Roman"/>
          <w:i/>
        </w:rPr>
        <w:t>Rome Against Caratacus: The Roman Campaigns in Britain AD 48-58.</w:t>
      </w:r>
      <w:r w:rsidRPr="00C47DF8">
        <w:rPr>
          <w:rFonts w:ascii="Times New Roman" w:hAnsi="Times New Roman" w:cs="Times New Roman"/>
        </w:rPr>
        <w:t xml:space="preserve"> London: B.T. Batsford Ltd.</w:t>
      </w:r>
      <w:bookmarkStart w:id="9" w:name="_GoBack"/>
      <w:bookmarkEnd w:id="9"/>
    </w:p>
    <w:sectPr w:rsidR="00A30B27" w:rsidRPr="0061374D" w:rsidSect="00955A14">
      <w:footerReference w:type="even" r:id="rId7"/>
      <w:footerReference w:type="default" r:id="rId8"/>
      <w:pgSz w:w="11900" w:h="16840"/>
      <w:pgMar w:top="1440" w:right="1134" w:bottom="1440" w:left="2268" w:header="720" w:footer="720" w:gutter="0"/>
      <w:cols w:space="720"/>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BC2D509" w14:textId="77777777" w:rsidR="00035742" w:rsidRDefault="00035742" w:rsidP="00B06E78">
      <w:r>
        <w:separator/>
      </w:r>
    </w:p>
  </w:endnote>
  <w:endnote w:type="continuationSeparator" w:id="0">
    <w:p w14:paraId="69D1DECF" w14:textId="77777777" w:rsidR="00035742" w:rsidRDefault="00035742" w:rsidP="00B06E7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Segoe UI">
    <w:altName w:val="Calibri"/>
    <w:charset w:val="00"/>
    <w:family w:val="swiss"/>
    <w:pitch w:val="variable"/>
    <w:sig w:usb0="E10022FF" w:usb1="C000E47F" w:usb2="00000029" w:usb3="00000000" w:csb0="000001DF" w:csb1="00000000"/>
  </w:font>
  <w:font w:name="Helvetica">
    <w:panose1 w:val="00000000000000000000"/>
    <w:charset w:val="00"/>
    <w:family w:val="swiss"/>
    <w:pitch w:val="variable"/>
    <w:sig w:usb0="E00002FF" w:usb1="5000785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0A2384E" w14:textId="77777777" w:rsidR="00776C06" w:rsidRDefault="00776C06" w:rsidP="00C47D2E">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6A56B631" w14:textId="77777777" w:rsidR="00776C06" w:rsidRDefault="00776C06" w:rsidP="00B06E78">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E2598DA" w14:textId="00F56FD1" w:rsidR="00776C06" w:rsidRDefault="00776C06" w:rsidP="00C47D2E">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F873BD">
      <w:rPr>
        <w:rStyle w:val="PageNumber"/>
        <w:noProof/>
      </w:rPr>
      <w:t>2</w:t>
    </w:r>
    <w:r>
      <w:rPr>
        <w:rStyle w:val="PageNumber"/>
      </w:rPr>
      <w:fldChar w:fldCharType="end"/>
    </w:r>
  </w:p>
  <w:p w14:paraId="4365B3AB" w14:textId="77777777" w:rsidR="00776C06" w:rsidRDefault="00776C06" w:rsidP="00B06E78">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6505349" w14:textId="77777777" w:rsidR="00035742" w:rsidRDefault="00035742" w:rsidP="00B06E78">
      <w:r>
        <w:separator/>
      </w:r>
    </w:p>
  </w:footnote>
  <w:footnote w:type="continuationSeparator" w:id="0">
    <w:p w14:paraId="7CDEE7E3" w14:textId="77777777" w:rsidR="00035742" w:rsidRDefault="00035742" w:rsidP="00B06E78">
      <w:r>
        <w:continuationSeparator/>
      </w:r>
    </w:p>
  </w:footnote>
  <w:footnote w:id="1">
    <w:p w14:paraId="22759202" w14:textId="5E0958DB" w:rsidR="00776C06" w:rsidRPr="00A402C2" w:rsidRDefault="00776C06">
      <w:pPr>
        <w:pStyle w:val="FootnoteText"/>
      </w:pPr>
      <w:r>
        <w:rPr>
          <w:rStyle w:val="FootnoteReference"/>
        </w:rPr>
        <w:footnoteRef/>
      </w:r>
      <w:r>
        <w:t xml:space="preserve"> </w:t>
      </w:r>
      <w:r w:rsidRPr="00A402C2">
        <w:t xml:space="preserve">Caesar </w:t>
      </w:r>
      <w:r w:rsidRPr="00A402C2">
        <w:rPr>
          <w:i/>
        </w:rPr>
        <w:t xml:space="preserve">Gallic War </w:t>
      </w:r>
      <w:r w:rsidRPr="00A402C2">
        <w:t>4.23-4.26</w:t>
      </w:r>
    </w:p>
  </w:footnote>
  <w:footnote w:id="2">
    <w:p w14:paraId="42186616" w14:textId="62033C63" w:rsidR="00776C06" w:rsidRPr="00F75505" w:rsidRDefault="00776C06" w:rsidP="00AD519E">
      <w:pPr>
        <w:pStyle w:val="FootnoteText"/>
      </w:pPr>
      <w:r>
        <w:rPr>
          <w:rStyle w:val="FootnoteReference"/>
        </w:rPr>
        <w:footnoteRef/>
      </w:r>
      <w:r>
        <w:t xml:space="preserve"> </w:t>
      </w:r>
      <w:r w:rsidRPr="00F75505">
        <w:rPr>
          <w:noProof/>
        </w:rPr>
        <w:t>Hind 2007: 96 ; Webster 1981: 14</w:t>
      </w:r>
    </w:p>
  </w:footnote>
  <w:footnote w:id="3">
    <w:p w14:paraId="16F5CDFE" w14:textId="6B32B575" w:rsidR="00776C06" w:rsidRPr="00F75505" w:rsidRDefault="00776C06" w:rsidP="00AD519E">
      <w:pPr>
        <w:pStyle w:val="FootnoteText"/>
      </w:pPr>
      <w:r>
        <w:rPr>
          <w:rStyle w:val="FootnoteReference"/>
        </w:rPr>
        <w:footnoteRef/>
      </w:r>
      <w:r>
        <w:t xml:space="preserve"> </w:t>
      </w:r>
      <w:r w:rsidRPr="00F75505">
        <w:rPr>
          <w:noProof/>
        </w:rPr>
        <w:t>Mattingly 2007: 102</w:t>
      </w:r>
    </w:p>
  </w:footnote>
  <w:footnote w:id="4">
    <w:p w14:paraId="7BA38DB9" w14:textId="1D3B0687" w:rsidR="00776C06" w:rsidRPr="00A81D64" w:rsidRDefault="00776C06">
      <w:pPr>
        <w:pStyle w:val="FootnoteText"/>
      </w:pPr>
      <w:r>
        <w:rPr>
          <w:rStyle w:val="FootnoteReference"/>
        </w:rPr>
        <w:footnoteRef/>
      </w:r>
      <w:r>
        <w:t xml:space="preserve"> </w:t>
      </w:r>
      <w:r w:rsidRPr="00A81D64">
        <w:t xml:space="preserve">Tacitus </w:t>
      </w:r>
      <w:r w:rsidRPr="00A81D64">
        <w:rPr>
          <w:i/>
        </w:rPr>
        <w:t>Annals</w:t>
      </w:r>
      <w:r w:rsidRPr="00A81D64">
        <w:t> 12.33-12.</w:t>
      </w:r>
      <w:r>
        <w:t xml:space="preserve">38 </w:t>
      </w:r>
      <w:r w:rsidRPr="00A81D64">
        <w:t>; Cassius Dio 60.20-21, 60.33</w:t>
      </w:r>
    </w:p>
  </w:footnote>
  <w:footnote w:id="5">
    <w:p w14:paraId="438B3515" w14:textId="6D5101F1" w:rsidR="00776C06" w:rsidRPr="00F75505" w:rsidRDefault="00776C06" w:rsidP="00AD519E">
      <w:pPr>
        <w:pStyle w:val="FootnoteText"/>
      </w:pPr>
      <w:r>
        <w:rPr>
          <w:rStyle w:val="FootnoteReference"/>
        </w:rPr>
        <w:footnoteRef/>
      </w:r>
      <w:r>
        <w:t xml:space="preserve"> </w:t>
      </w:r>
      <w:r w:rsidRPr="00F75505">
        <w:t>Cassius Dio 60.20</w:t>
      </w:r>
    </w:p>
  </w:footnote>
  <w:footnote w:id="6">
    <w:p w14:paraId="3D76D9F7" w14:textId="41B904D5" w:rsidR="00776C06" w:rsidRPr="001C0D32" w:rsidRDefault="00776C06" w:rsidP="00AD519E">
      <w:pPr>
        <w:pStyle w:val="FootnoteText"/>
      </w:pPr>
      <w:r>
        <w:rPr>
          <w:rStyle w:val="FootnoteReference"/>
        </w:rPr>
        <w:footnoteRef/>
      </w:r>
      <w:r>
        <w:t xml:space="preserve"> </w:t>
      </w:r>
      <w:r w:rsidRPr="001C0D32">
        <w:rPr>
          <w:noProof/>
        </w:rPr>
        <w:t>Hind 2007: 97</w:t>
      </w:r>
    </w:p>
  </w:footnote>
  <w:footnote w:id="7">
    <w:p w14:paraId="13A5F4B4" w14:textId="5559AEF0" w:rsidR="00776C06" w:rsidRPr="001C0D32" w:rsidRDefault="00776C06" w:rsidP="00AD519E">
      <w:pPr>
        <w:pStyle w:val="FootnoteText"/>
      </w:pPr>
      <w:r>
        <w:rPr>
          <w:rStyle w:val="FootnoteReference"/>
        </w:rPr>
        <w:footnoteRef/>
      </w:r>
      <w:r>
        <w:t xml:space="preserve"> </w:t>
      </w:r>
      <w:r w:rsidRPr="001C0D32">
        <w:rPr>
          <w:noProof/>
        </w:rPr>
        <w:t>Russell and Laycock 2011</w:t>
      </w:r>
      <w:r>
        <w:rPr>
          <w:noProof/>
        </w:rPr>
        <w:t xml:space="preserve"> </w:t>
      </w:r>
      <w:r w:rsidRPr="001C0D32">
        <w:rPr>
          <w:noProof/>
        </w:rPr>
        <w:t>: 25</w:t>
      </w:r>
    </w:p>
  </w:footnote>
  <w:footnote w:id="8">
    <w:p w14:paraId="681614E6" w14:textId="785AFAF0" w:rsidR="00776C06" w:rsidRPr="001C0D32" w:rsidRDefault="00776C06" w:rsidP="00AD519E">
      <w:pPr>
        <w:pStyle w:val="FootnoteText"/>
      </w:pPr>
      <w:r>
        <w:rPr>
          <w:rStyle w:val="FootnoteReference"/>
        </w:rPr>
        <w:footnoteRef/>
      </w:r>
      <w:r>
        <w:t xml:space="preserve"> </w:t>
      </w:r>
      <w:r w:rsidRPr="00567180">
        <w:rPr>
          <w:noProof/>
        </w:rPr>
        <w:t>Salway 1993</w:t>
      </w:r>
      <w:r>
        <w:rPr>
          <w:noProof/>
        </w:rPr>
        <w:t xml:space="preserve"> </w:t>
      </w:r>
      <w:r w:rsidRPr="00567180">
        <w:rPr>
          <w:noProof/>
        </w:rPr>
        <w:t>: 47</w:t>
      </w:r>
    </w:p>
  </w:footnote>
  <w:footnote w:id="9">
    <w:p w14:paraId="54796795" w14:textId="231B7B36" w:rsidR="00776C06" w:rsidRPr="00A81D64" w:rsidRDefault="00776C06" w:rsidP="00AD519E">
      <w:pPr>
        <w:pStyle w:val="FootnoteText"/>
      </w:pPr>
      <w:r>
        <w:rPr>
          <w:rStyle w:val="FootnoteReference"/>
        </w:rPr>
        <w:footnoteRef/>
      </w:r>
      <w:r w:rsidRPr="00A81D64">
        <w:t xml:space="preserve"> </w:t>
      </w:r>
      <w:r w:rsidRPr="00A81D64">
        <w:rPr>
          <w:noProof/>
        </w:rPr>
        <w:t xml:space="preserve">Salway 1993 : 47 ; Suetonius </w:t>
      </w:r>
      <w:r w:rsidRPr="00A81D64">
        <w:rPr>
          <w:i/>
          <w:noProof/>
        </w:rPr>
        <w:t>Caligula</w:t>
      </w:r>
      <w:r w:rsidRPr="00A81D64">
        <w:rPr>
          <w:noProof/>
        </w:rPr>
        <w:t xml:space="preserve"> 44</w:t>
      </w:r>
    </w:p>
  </w:footnote>
  <w:footnote w:id="10">
    <w:p w14:paraId="566D037F" w14:textId="46BC4896" w:rsidR="00776C06" w:rsidRPr="00F173AE" w:rsidRDefault="00776C06" w:rsidP="00AD519E">
      <w:pPr>
        <w:pStyle w:val="FootnoteText"/>
        <w:rPr>
          <w:lang w:val="fr-FR"/>
        </w:rPr>
      </w:pPr>
      <w:r>
        <w:rPr>
          <w:rStyle w:val="FootnoteReference"/>
        </w:rPr>
        <w:footnoteRef/>
      </w:r>
      <w:r w:rsidRPr="00A81D64">
        <w:t xml:space="preserve"> </w:t>
      </w:r>
      <w:r w:rsidRPr="00A81D64">
        <w:rPr>
          <w:noProof/>
        </w:rPr>
        <w:t>De La B</w:t>
      </w:r>
      <w:r w:rsidRPr="00F173AE">
        <w:rPr>
          <w:noProof/>
          <w:lang w:val="fr-FR"/>
        </w:rPr>
        <w:t>édoyère 2016 : 15</w:t>
      </w:r>
    </w:p>
  </w:footnote>
  <w:footnote w:id="11">
    <w:p w14:paraId="754E3C95" w14:textId="13BCA2C0" w:rsidR="00776C06" w:rsidRPr="002A5A96" w:rsidRDefault="00776C06" w:rsidP="00AD519E">
      <w:pPr>
        <w:pStyle w:val="FootnoteText"/>
      </w:pPr>
      <w:r>
        <w:rPr>
          <w:rStyle w:val="FootnoteReference"/>
        </w:rPr>
        <w:footnoteRef/>
      </w:r>
      <w:r w:rsidRPr="002A5A96">
        <w:t xml:space="preserve"> </w:t>
      </w:r>
      <w:r w:rsidRPr="002A5A96">
        <w:rPr>
          <w:noProof/>
        </w:rPr>
        <w:t>Peddie 1997 : 17-18</w:t>
      </w:r>
    </w:p>
  </w:footnote>
  <w:footnote w:id="12">
    <w:p w14:paraId="47E12E33" w14:textId="042B7F3B" w:rsidR="00776C06" w:rsidRPr="002A5A96" w:rsidRDefault="00776C06" w:rsidP="00AD519E">
      <w:pPr>
        <w:pStyle w:val="FootnoteText"/>
      </w:pPr>
      <w:r>
        <w:rPr>
          <w:rStyle w:val="FootnoteReference"/>
        </w:rPr>
        <w:footnoteRef/>
      </w:r>
      <w:r w:rsidRPr="002A5A96">
        <w:t xml:space="preserve"> </w:t>
      </w:r>
      <w:r w:rsidRPr="00567180">
        <w:rPr>
          <w:noProof/>
        </w:rPr>
        <w:t>Salway 1993</w:t>
      </w:r>
      <w:r>
        <w:rPr>
          <w:noProof/>
        </w:rPr>
        <w:t xml:space="preserve"> </w:t>
      </w:r>
      <w:r w:rsidRPr="00567180">
        <w:rPr>
          <w:noProof/>
        </w:rPr>
        <w:t>: 47</w:t>
      </w:r>
    </w:p>
  </w:footnote>
  <w:footnote w:id="13">
    <w:p w14:paraId="34733351" w14:textId="05901969" w:rsidR="00776C06" w:rsidRPr="002A5A96" w:rsidRDefault="00776C06" w:rsidP="00AD519E">
      <w:pPr>
        <w:pStyle w:val="FootnoteText"/>
      </w:pPr>
      <w:r>
        <w:rPr>
          <w:rStyle w:val="FootnoteReference"/>
        </w:rPr>
        <w:footnoteRef/>
      </w:r>
      <w:r>
        <w:t xml:space="preserve"> </w:t>
      </w:r>
      <w:r w:rsidRPr="002A5A96">
        <w:rPr>
          <w:noProof/>
        </w:rPr>
        <w:t>Todd 1999 : 70</w:t>
      </w:r>
    </w:p>
  </w:footnote>
  <w:footnote w:id="14">
    <w:p w14:paraId="1B9AF857" w14:textId="6FC6E195" w:rsidR="00776C06" w:rsidRPr="002A5A96" w:rsidRDefault="00776C06">
      <w:pPr>
        <w:pStyle w:val="FootnoteText"/>
      </w:pPr>
      <w:r>
        <w:rPr>
          <w:rStyle w:val="FootnoteReference"/>
        </w:rPr>
        <w:footnoteRef/>
      </w:r>
      <w:r>
        <w:t xml:space="preserve"> </w:t>
      </w:r>
      <w:r w:rsidRPr="00A13013">
        <w:rPr>
          <w:noProof/>
        </w:rPr>
        <w:t>Webster 1981 : 14</w:t>
      </w:r>
    </w:p>
  </w:footnote>
  <w:footnote w:id="15">
    <w:p w14:paraId="2B7296E3" w14:textId="531BC0DB" w:rsidR="00776C06" w:rsidRPr="00A13013" w:rsidRDefault="00776C06">
      <w:pPr>
        <w:pStyle w:val="FootnoteText"/>
      </w:pPr>
      <w:r>
        <w:rPr>
          <w:rStyle w:val="FootnoteReference"/>
        </w:rPr>
        <w:footnoteRef/>
      </w:r>
      <w:r>
        <w:t xml:space="preserve"> </w:t>
      </w:r>
      <w:r w:rsidRPr="00A13013">
        <w:t>Waite 2011 : 69</w:t>
      </w:r>
    </w:p>
  </w:footnote>
  <w:footnote w:id="16">
    <w:p w14:paraId="31907ECC" w14:textId="126B2A41" w:rsidR="00776C06" w:rsidRPr="00A13013" w:rsidRDefault="00776C06">
      <w:pPr>
        <w:pStyle w:val="FootnoteText"/>
      </w:pPr>
      <w:r>
        <w:rPr>
          <w:rStyle w:val="FootnoteReference"/>
        </w:rPr>
        <w:footnoteRef/>
      </w:r>
      <w:r>
        <w:t xml:space="preserve"> Cassius Dio 6</w:t>
      </w:r>
      <w:r w:rsidRPr="00A13013">
        <w:t>0.19</w:t>
      </w:r>
    </w:p>
  </w:footnote>
  <w:footnote w:id="17">
    <w:p w14:paraId="598317FF" w14:textId="65130BB4" w:rsidR="00776C06" w:rsidRPr="00A13013" w:rsidRDefault="00776C06">
      <w:pPr>
        <w:pStyle w:val="FootnoteText"/>
      </w:pPr>
      <w:r>
        <w:rPr>
          <w:rStyle w:val="FootnoteReference"/>
        </w:rPr>
        <w:footnoteRef/>
      </w:r>
      <w:r>
        <w:t xml:space="preserve"> </w:t>
      </w:r>
      <w:r>
        <w:rPr>
          <w:noProof/>
        </w:rPr>
        <w:t>Salway 1993 : 57</w:t>
      </w:r>
    </w:p>
  </w:footnote>
  <w:footnote w:id="18">
    <w:p w14:paraId="7BC459ED" w14:textId="329BDA16" w:rsidR="00776C06" w:rsidRPr="00F173AE" w:rsidRDefault="00776C06">
      <w:pPr>
        <w:pStyle w:val="FootnoteText"/>
      </w:pPr>
      <w:r>
        <w:rPr>
          <w:rStyle w:val="FootnoteReference"/>
        </w:rPr>
        <w:footnoteRef/>
      </w:r>
      <w:r w:rsidRPr="00F173AE">
        <w:t xml:space="preserve"> Cassius Dio 60.20</w:t>
      </w:r>
    </w:p>
  </w:footnote>
  <w:footnote w:id="19">
    <w:p w14:paraId="2A3C969F" w14:textId="15B1E90E" w:rsidR="00776C06" w:rsidRPr="00EF4878" w:rsidRDefault="00776C06">
      <w:pPr>
        <w:pStyle w:val="FootnoteText"/>
      </w:pPr>
      <w:r>
        <w:rPr>
          <w:rStyle w:val="FootnoteReference"/>
        </w:rPr>
        <w:footnoteRef/>
      </w:r>
      <w:r w:rsidRPr="00EF4878">
        <w:t xml:space="preserve"> Cassius Dio 60.21</w:t>
      </w:r>
    </w:p>
  </w:footnote>
  <w:footnote w:id="20">
    <w:p w14:paraId="20C3FA14" w14:textId="01AF5FBE" w:rsidR="00776C06" w:rsidRPr="00EF4878" w:rsidRDefault="00776C06">
      <w:pPr>
        <w:pStyle w:val="FootnoteText"/>
      </w:pPr>
      <w:r>
        <w:rPr>
          <w:rStyle w:val="FootnoteReference"/>
        </w:rPr>
        <w:footnoteRef/>
      </w:r>
      <w:r>
        <w:t xml:space="preserve"> </w:t>
      </w:r>
      <w:r>
        <w:rPr>
          <w:noProof/>
        </w:rPr>
        <w:t>Hoffmann</w:t>
      </w:r>
      <w:r w:rsidRPr="00EF4878">
        <w:rPr>
          <w:noProof/>
        </w:rPr>
        <w:t xml:space="preserve"> 2013</w:t>
      </w:r>
      <w:r>
        <w:rPr>
          <w:noProof/>
        </w:rPr>
        <w:t xml:space="preserve"> : 49</w:t>
      </w:r>
    </w:p>
  </w:footnote>
  <w:footnote w:id="21">
    <w:p w14:paraId="13C30978" w14:textId="61C8C58B" w:rsidR="00776C06" w:rsidRPr="00EF4878" w:rsidRDefault="00776C06">
      <w:pPr>
        <w:pStyle w:val="FootnoteText"/>
      </w:pPr>
      <w:r>
        <w:rPr>
          <w:rStyle w:val="FootnoteReference"/>
        </w:rPr>
        <w:footnoteRef/>
      </w:r>
      <w:r>
        <w:t xml:space="preserve"> </w:t>
      </w:r>
      <w:r>
        <w:rPr>
          <w:noProof/>
        </w:rPr>
        <w:t>Braund 1996</w:t>
      </w:r>
      <w:r w:rsidRPr="00EF4878">
        <w:rPr>
          <w:noProof/>
        </w:rPr>
        <w:t> : 101</w:t>
      </w:r>
    </w:p>
  </w:footnote>
  <w:footnote w:id="22">
    <w:p w14:paraId="0BD037ED" w14:textId="6F19AAFD" w:rsidR="00776C06" w:rsidRPr="00B07C80" w:rsidRDefault="00776C06">
      <w:pPr>
        <w:pStyle w:val="FootnoteText"/>
      </w:pPr>
      <w:r>
        <w:rPr>
          <w:rStyle w:val="FootnoteReference"/>
        </w:rPr>
        <w:footnoteRef/>
      </w:r>
      <w:r>
        <w:t xml:space="preserve"> </w:t>
      </w:r>
      <w:r w:rsidRPr="00B07C80">
        <w:rPr>
          <w:noProof/>
        </w:rPr>
        <w:t xml:space="preserve">Braund </w:t>
      </w:r>
      <w:r w:rsidRPr="0061374D">
        <w:rPr>
          <w:noProof/>
        </w:rPr>
        <w:t>1996</w:t>
      </w:r>
      <w:r w:rsidRPr="00B07C80">
        <w:rPr>
          <w:noProof/>
        </w:rPr>
        <w:t> : 72</w:t>
      </w:r>
    </w:p>
  </w:footnote>
  <w:footnote w:id="23">
    <w:p w14:paraId="5373CF5C" w14:textId="2A4E231B" w:rsidR="00776C06" w:rsidRPr="00B07C80" w:rsidRDefault="00776C06">
      <w:pPr>
        <w:pStyle w:val="FootnoteText"/>
      </w:pPr>
      <w:r>
        <w:rPr>
          <w:rStyle w:val="FootnoteReference"/>
        </w:rPr>
        <w:footnoteRef/>
      </w:r>
      <w:r>
        <w:t xml:space="preserve"> </w:t>
      </w:r>
      <w:r w:rsidRPr="00B07C80">
        <w:rPr>
          <w:noProof/>
        </w:rPr>
        <w:t>Mattingly 2007 : 73</w:t>
      </w:r>
    </w:p>
  </w:footnote>
  <w:footnote w:id="24">
    <w:p w14:paraId="16675C29" w14:textId="3239E982" w:rsidR="00776C06" w:rsidRPr="00B07C80" w:rsidRDefault="00776C06">
      <w:pPr>
        <w:pStyle w:val="FootnoteText"/>
      </w:pPr>
      <w:r>
        <w:rPr>
          <w:rStyle w:val="FootnoteReference"/>
        </w:rPr>
        <w:footnoteRef/>
      </w:r>
      <w:r>
        <w:t xml:space="preserve"> </w:t>
      </w:r>
      <w:r w:rsidRPr="00B07C80">
        <w:rPr>
          <w:noProof/>
        </w:rPr>
        <w:t>Todd 1999 : 49</w:t>
      </w:r>
    </w:p>
  </w:footnote>
  <w:footnote w:id="25">
    <w:p w14:paraId="0C9B87E1" w14:textId="65935282" w:rsidR="00776C06" w:rsidRPr="00F173AE" w:rsidRDefault="00776C06">
      <w:pPr>
        <w:pStyle w:val="FootnoteText"/>
      </w:pPr>
      <w:r>
        <w:rPr>
          <w:rStyle w:val="FootnoteReference"/>
        </w:rPr>
        <w:footnoteRef/>
      </w:r>
      <w:r w:rsidRPr="00F173AE">
        <w:t xml:space="preserve"> Tacitus </w:t>
      </w:r>
      <w:r w:rsidRPr="00F173AE">
        <w:rPr>
          <w:i/>
        </w:rPr>
        <w:t xml:space="preserve">Annals </w:t>
      </w:r>
      <w:r w:rsidRPr="00F173AE">
        <w:t>12.33-12.38</w:t>
      </w:r>
    </w:p>
  </w:footnote>
  <w:footnote w:id="26">
    <w:p w14:paraId="309D91A2" w14:textId="31E8E236" w:rsidR="00776C06" w:rsidRPr="00F173AE" w:rsidRDefault="00776C06">
      <w:pPr>
        <w:pStyle w:val="FootnoteText"/>
      </w:pPr>
      <w:r>
        <w:rPr>
          <w:rStyle w:val="FootnoteReference"/>
        </w:rPr>
        <w:footnoteRef/>
      </w:r>
      <w:r w:rsidRPr="00F173AE">
        <w:t xml:space="preserve"> Cassius Dio 60.20-60.21</w:t>
      </w:r>
    </w:p>
  </w:footnote>
  <w:footnote w:id="27">
    <w:p w14:paraId="6B3548B9" w14:textId="18493EFB" w:rsidR="00776C06" w:rsidRPr="001135B0" w:rsidRDefault="00776C06">
      <w:pPr>
        <w:pStyle w:val="FootnoteText"/>
      </w:pPr>
      <w:r>
        <w:rPr>
          <w:rStyle w:val="FootnoteReference"/>
        </w:rPr>
        <w:footnoteRef/>
      </w:r>
      <w:r>
        <w:t xml:space="preserve"> </w:t>
      </w:r>
      <w:r w:rsidRPr="001135B0">
        <w:rPr>
          <w:noProof/>
        </w:rPr>
        <w:t>Mattingly 2007 : 103</w:t>
      </w:r>
    </w:p>
  </w:footnote>
  <w:footnote w:id="28">
    <w:p w14:paraId="155BAD5D" w14:textId="382AC362" w:rsidR="00776C06" w:rsidRPr="001135B0" w:rsidRDefault="00776C06">
      <w:pPr>
        <w:pStyle w:val="FootnoteText"/>
      </w:pPr>
      <w:r>
        <w:rPr>
          <w:rStyle w:val="FootnoteReference"/>
        </w:rPr>
        <w:footnoteRef/>
      </w:r>
      <w:r>
        <w:t xml:space="preserve"> </w:t>
      </w:r>
      <w:r w:rsidRPr="001135B0">
        <w:t xml:space="preserve">Tacitus </w:t>
      </w:r>
      <w:r w:rsidRPr="001135B0">
        <w:rPr>
          <w:i/>
        </w:rPr>
        <w:t xml:space="preserve">Annals </w:t>
      </w:r>
      <w:r w:rsidRPr="001135B0">
        <w:t>12.36</w:t>
      </w:r>
    </w:p>
  </w:footnote>
  <w:footnote w:id="29">
    <w:p w14:paraId="5197D0B5" w14:textId="3141BC64" w:rsidR="00776C06" w:rsidRPr="001135B0" w:rsidRDefault="00776C06">
      <w:pPr>
        <w:pStyle w:val="FootnoteText"/>
      </w:pPr>
      <w:r>
        <w:rPr>
          <w:rStyle w:val="FootnoteReference"/>
        </w:rPr>
        <w:footnoteRef/>
      </w:r>
      <w:r>
        <w:t xml:space="preserve"> </w:t>
      </w:r>
      <w:r w:rsidRPr="001135B0">
        <w:rPr>
          <w:noProof/>
        </w:rPr>
        <w:t>Hoffmann 2013 : 80-81</w:t>
      </w:r>
    </w:p>
  </w:footnote>
  <w:footnote w:id="30">
    <w:p w14:paraId="54983FCB" w14:textId="4E855B07" w:rsidR="00776C06" w:rsidRPr="00F173AE" w:rsidRDefault="00776C06">
      <w:pPr>
        <w:pStyle w:val="FootnoteText"/>
      </w:pPr>
      <w:r>
        <w:rPr>
          <w:rStyle w:val="FootnoteReference"/>
        </w:rPr>
        <w:footnoteRef/>
      </w:r>
      <w:r w:rsidRPr="00F173AE">
        <w:t xml:space="preserve"> Tacitus </w:t>
      </w:r>
      <w:r w:rsidRPr="00F173AE">
        <w:rPr>
          <w:i/>
        </w:rPr>
        <w:t xml:space="preserve">Annals </w:t>
      </w:r>
      <w:r w:rsidRPr="00F173AE">
        <w:t>12.36</w:t>
      </w:r>
    </w:p>
  </w:footnote>
  <w:footnote w:id="31">
    <w:p w14:paraId="4FA51B99" w14:textId="581453B0" w:rsidR="00776C06" w:rsidRPr="00F173AE" w:rsidRDefault="00776C06">
      <w:pPr>
        <w:pStyle w:val="FootnoteText"/>
      </w:pPr>
      <w:r>
        <w:rPr>
          <w:rStyle w:val="FootnoteReference"/>
        </w:rPr>
        <w:footnoteRef/>
      </w:r>
      <w:r w:rsidRPr="00F173AE">
        <w:t xml:space="preserve"> </w:t>
      </w:r>
      <w:r w:rsidRPr="00F173AE">
        <w:rPr>
          <w:noProof/>
        </w:rPr>
        <w:t>Peddie 1997 : 74</w:t>
      </w:r>
    </w:p>
  </w:footnote>
  <w:footnote w:id="32">
    <w:p w14:paraId="767D9895" w14:textId="1E5EFC7D" w:rsidR="00776C06" w:rsidRPr="00F173AE" w:rsidRDefault="00776C06">
      <w:pPr>
        <w:pStyle w:val="FootnoteText"/>
      </w:pPr>
      <w:r>
        <w:rPr>
          <w:rStyle w:val="FootnoteReference"/>
        </w:rPr>
        <w:footnoteRef/>
      </w:r>
      <w:r w:rsidRPr="00F173AE">
        <w:t xml:space="preserve"> </w:t>
      </w:r>
      <w:r w:rsidRPr="00F173AE">
        <w:rPr>
          <w:noProof/>
        </w:rPr>
        <w:t>De La Bédoyère 2016 : 19</w:t>
      </w:r>
    </w:p>
  </w:footnote>
  <w:footnote w:id="33">
    <w:p w14:paraId="381BB75C" w14:textId="16DE7E35" w:rsidR="00776C06" w:rsidRPr="00547AE8" w:rsidRDefault="00776C06">
      <w:pPr>
        <w:pStyle w:val="FootnoteText"/>
      </w:pPr>
      <w:r>
        <w:rPr>
          <w:rStyle w:val="FootnoteReference"/>
        </w:rPr>
        <w:footnoteRef/>
      </w:r>
      <w:r w:rsidRPr="00547AE8">
        <w:t xml:space="preserve"> </w:t>
      </w:r>
      <w:r w:rsidRPr="00547AE8">
        <w:rPr>
          <w:noProof/>
        </w:rPr>
        <w:t>Moorhead and Stuttard 2016 : 47</w:t>
      </w:r>
    </w:p>
  </w:footnote>
  <w:footnote w:id="34">
    <w:p w14:paraId="2E1AE756" w14:textId="32385FF9" w:rsidR="00776C06" w:rsidRPr="00547AE8" w:rsidRDefault="00776C06">
      <w:pPr>
        <w:pStyle w:val="FootnoteText"/>
      </w:pPr>
      <w:r>
        <w:rPr>
          <w:rStyle w:val="FootnoteReference"/>
        </w:rPr>
        <w:footnoteRef/>
      </w:r>
      <w:r>
        <w:t xml:space="preserve"> </w:t>
      </w:r>
      <w:r w:rsidRPr="00547AE8">
        <w:t>Cassius Dio 60.20</w:t>
      </w:r>
    </w:p>
  </w:footnote>
  <w:footnote w:id="35">
    <w:p w14:paraId="0D22216D" w14:textId="677D7301" w:rsidR="00776C06" w:rsidRPr="001D61B2" w:rsidRDefault="00776C06">
      <w:pPr>
        <w:pStyle w:val="FootnoteText"/>
      </w:pPr>
      <w:r>
        <w:rPr>
          <w:rStyle w:val="FootnoteReference"/>
        </w:rPr>
        <w:footnoteRef/>
      </w:r>
      <w:r>
        <w:t xml:space="preserve"> </w:t>
      </w:r>
      <w:r w:rsidRPr="001D61B2">
        <w:rPr>
          <w:noProof/>
        </w:rPr>
        <w:t xml:space="preserve">Hoffmann 2013 : 79 ; Tacitus </w:t>
      </w:r>
      <w:r w:rsidRPr="001D61B2">
        <w:rPr>
          <w:i/>
          <w:noProof/>
        </w:rPr>
        <w:t>Annals</w:t>
      </w:r>
      <w:r w:rsidRPr="001D61B2">
        <w:rPr>
          <w:noProof/>
        </w:rPr>
        <w:t xml:space="preserve"> 12.33</w:t>
      </w:r>
    </w:p>
  </w:footnote>
  <w:footnote w:id="36">
    <w:p w14:paraId="2270BDB9" w14:textId="55ADAFF4" w:rsidR="00776C06" w:rsidRPr="001D61B2" w:rsidRDefault="00776C06">
      <w:pPr>
        <w:pStyle w:val="FootnoteText"/>
      </w:pPr>
      <w:r>
        <w:rPr>
          <w:rStyle w:val="FootnoteReference"/>
        </w:rPr>
        <w:footnoteRef/>
      </w:r>
      <w:r>
        <w:t xml:space="preserve"> </w:t>
      </w:r>
      <w:r w:rsidRPr="001D61B2">
        <w:rPr>
          <w:noProof/>
        </w:rPr>
        <w:t>Todd 1999 : 20</w:t>
      </w:r>
    </w:p>
  </w:footnote>
  <w:footnote w:id="37">
    <w:p w14:paraId="36CD91DD" w14:textId="1493F739" w:rsidR="00776C06" w:rsidRPr="001D61B2" w:rsidRDefault="00776C06">
      <w:pPr>
        <w:pStyle w:val="FootnoteText"/>
      </w:pPr>
      <w:r>
        <w:rPr>
          <w:rStyle w:val="FootnoteReference"/>
        </w:rPr>
        <w:footnoteRef/>
      </w:r>
      <w:r>
        <w:t xml:space="preserve"> </w:t>
      </w:r>
      <w:r w:rsidRPr="001D61B2">
        <w:rPr>
          <w:noProof/>
        </w:rPr>
        <w:t>Hoffmann 2013 : 79</w:t>
      </w:r>
    </w:p>
  </w:footnote>
  <w:footnote w:id="38">
    <w:p w14:paraId="2A33D8D5" w14:textId="07825C8A" w:rsidR="00776C06" w:rsidRPr="00243B45" w:rsidRDefault="00776C06">
      <w:pPr>
        <w:pStyle w:val="FootnoteText"/>
      </w:pPr>
      <w:r>
        <w:rPr>
          <w:rStyle w:val="FootnoteReference"/>
        </w:rPr>
        <w:footnoteRef/>
      </w:r>
      <w:r>
        <w:t xml:space="preserve"> </w:t>
      </w:r>
      <w:r w:rsidRPr="00243B45">
        <w:rPr>
          <w:noProof/>
        </w:rPr>
        <w:t xml:space="preserve">Braund </w:t>
      </w:r>
      <w:r w:rsidRPr="0061374D">
        <w:rPr>
          <w:noProof/>
        </w:rPr>
        <w:t>1996</w:t>
      </w:r>
      <w:r w:rsidRPr="00B07C80">
        <w:rPr>
          <w:noProof/>
        </w:rPr>
        <w:t> </w:t>
      </w:r>
      <w:r w:rsidRPr="00243B45">
        <w:rPr>
          <w:noProof/>
        </w:rPr>
        <w:t> : 101</w:t>
      </w:r>
    </w:p>
  </w:footnote>
  <w:footnote w:id="39">
    <w:p w14:paraId="6E4F2C1C" w14:textId="04A923B9" w:rsidR="00776C06" w:rsidRPr="00243B45" w:rsidRDefault="00776C06">
      <w:pPr>
        <w:pStyle w:val="FootnoteText"/>
      </w:pPr>
      <w:r>
        <w:rPr>
          <w:rStyle w:val="FootnoteReference"/>
        </w:rPr>
        <w:footnoteRef/>
      </w:r>
      <w:r>
        <w:t xml:space="preserve"> </w:t>
      </w:r>
      <w:r w:rsidRPr="00243B45">
        <w:t xml:space="preserve">Tacitus </w:t>
      </w:r>
      <w:r w:rsidRPr="00243B45">
        <w:rPr>
          <w:i/>
        </w:rPr>
        <w:t>Annals</w:t>
      </w:r>
      <w:r w:rsidRPr="00243B45">
        <w:t xml:space="preserve"> 12.36 ; Tacitus </w:t>
      </w:r>
      <w:r w:rsidRPr="00243B45">
        <w:rPr>
          <w:i/>
        </w:rPr>
        <w:t>Histories</w:t>
      </w:r>
      <w:r w:rsidRPr="00243B45">
        <w:t xml:space="preserve"> 3.45</w:t>
      </w:r>
    </w:p>
  </w:footnote>
  <w:footnote w:id="40">
    <w:p w14:paraId="38BBA11C" w14:textId="55C995F0" w:rsidR="00776C06" w:rsidRPr="00243B45" w:rsidRDefault="00776C06">
      <w:pPr>
        <w:pStyle w:val="FootnoteText"/>
      </w:pPr>
      <w:r>
        <w:rPr>
          <w:rStyle w:val="FootnoteReference"/>
        </w:rPr>
        <w:footnoteRef/>
      </w:r>
      <w:r>
        <w:t xml:space="preserve"> </w:t>
      </w:r>
      <w:r w:rsidRPr="00243B45">
        <w:rPr>
          <w:noProof/>
        </w:rPr>
        <w:t>Russell and Laycock 2011 : 57</w:t>
      </w:r>
    </w:p>
  </w:footnote>
  <w:footnote w:id="41">
    <w:p w14:paraId="578AB008" w14:textId="047DB0D0" w:rsidR="00776C06" w:rsidRPr="00F173AE" w:rsidRDefault="00776C06">
      <w:pPr>
        <w:pStyle w:val="FootnoteText"/>
      </w:pPr>
      <w:r>
        <w:rPr>
          <w:rStyle w:val="FootnoteReference"/>
        </w:rPr>
        <w:footnoteRef/>
      </w:r>
      <w:r w:rsidRPr="00F173AE">
        <w:t xml:space="preserve"> Tacitus </w:t>
      </w:r>
      <w:r w:rsidRPr="00F173AE">
        <w:rPr>
          <w:i/>
        </w:rPr>
        <w:t>Annals</w:t>
      </w:r>
      <w:r w:rsidRPr="00F173AE">
        <w:t xml:space="preserve"> 12.37</w:t>
      </w:r>
    </w:p>
  </w:footnote>
  <w:footnote w:id="42">
    <w:p w14:paraId="297E5769" w14:textId="32218925" w:rsidR="00776C06" w:rsidRPr="00F173AE" w:rsidRDefault="00776C06">
      <w:pPr>
        <w:pStyle w:val="FootnoteText"/>
      </w:pPr>
      <w:r>
        <w:rPr>
          <w:rStyle w:val="FootnoteReference"/>
        </w:rPr>
        <w:footnoteRef/>
      </w:r>
      <w:r w:rsidRPr="00F173AE">
        <w:t xml:space="preserve"> </w:t>
      </w:r>
      <w:r w:rsidRPr="00F173AE">
        <w:rPr>
          <w:noProof/>
        </w:rPr>
        <w:t xml:space="preserve">Braund </w:t>
      </w:r>
      <w:r w:rsidRPr="0061374D">
        <w:rPr>
          <w:noProof/>
        </w:rPr>
        <w:t>1996</w:t>
      </w:r>
      <w:r w:rsidRPr="00B07C80">
        <w:rPr>
          <w:noProof/>
        </w:rPr>
        <w:t> </w:t>
      </w:r>
      <w:r w:rsidRPr="00F173AE">
        <w:rPr>
          <w:noProof/>
        </w:rPr>
        <w:t> : 113</w:t>
      </w:r>
    </w:p>
  </w:footnote>
  <w:footnote w:id="43">
    <w:p w14:paraId="5CD6D460" w14:textId="76FC1DE4" w:rsidR="00776C06" w:rsidRPr="00F173AE" w:rsidRDefault="00776C06">
      <w:pPr>
        <w:pStyle w:val="FootnoteText"/>
      </w:pPr>
      <w:r>
        <w:rPr>
          <w:rStyle w:val="FootnoteReference"/>
        </w:rPr>
        <w:footnoteRef/>
      </w:r>
      <w:r w:rsidRPr="00F173AE">
        <w:t xml:space="preserve"> Cassius Dio 60.33</w:t>
      </w:r>
    </w:p>
  </w:footnote>
  <w:footnote w:id="44">
    <w:p w14:paraId="5EAF60B1" w14:textId="75D6CF1A" w:rsidR="00776C06" w:rsidRPr="00F173AE" w:rsidRDefault="00776C06">
      <w:pPr>
        <w:pStyle w:val="FootnoteText"/>
      </w:pPr>
      <w:r>
        <w:rPr>
          <w:rStyle w:val="FootnoteReference"/>
        </w:rPr>
        <w:footnoteRef/>
      </w:r>
      <w:r>
        <w:t xml:space="preserve"> </w:t>
      </w:r>
      <w:r w:rsidRPr="00F173AE">
        <w:rPr>
          <w:noProof/>
        </w:rPr>
        <w:t>Peddie 1997 : 74</w:t>
      </w:r>
    </w:p>
  </w:footnote>
  <w:footnote w:id="45">
    <w:p w14:paraId="5780A125" w14:textId="77777777" w:rsidR="00776C06" w:rsidRPr="0007298A" w:rsidRDefault="00776C06" w:rsidP="001F1993">
      <w:pPr>
        <w:pStyle w:val="FootnoteText"/>
        <w:rPr>
          <w:rFonts w:cs="Times New Roman"/>
          <w:szCs w:val="20"/>
          <w:lang w:val="fr-FR"/>
        </w:rPr>
      </w:pPr>
      <w:r w:rsidRPr="0007298A">
        <w:rPr>
          <w:rStyle w:val="FootnoteReference"/>
          <w:rFonts w:cs="Times New Roman"/>
          <w:szCs w:val="20"/>
        </w:rPr>
        <w:footnoteRef/>
      </w:r>
      <w:r w:rsidRPr="0007298A">
        <w:rPr>
          <w:rFonts w:cs="Times New Roman"/>
          <w:szCs w:val="20"/>
          <w:lang w:val="fr-FR"/>
        </w:rPr>
        <w:t xml:space="preserve"> </w:t>
      </w:r>
      <w:r w:rsidRPr="0007298A">
        <w:rPr>
          <w:rFonts w:cs="Times New Roman"/>
          <w:noProof/>
          <w:szCs w:val="20"/>
          <w:lang w:val="fr-FR"/>
        </w:rPr>
        <w:t xml:space="preserve">Pagán 2017: 2 </w:t>
      </w:r>
    </w:p>
  </w:footnote>
  <w:footnote w:id="46">
    <w:p w14:paraId="7CB2FF80" w14:textId="77777777" w:rsidR="00776C06" w:rsidRPr="0007298A" w:rsidRDefault="00776C06" w:rsidP="001F1993">
      <w:pPr>
        <w:pStyle w:val="FootnoteText"/>
        <w:rPr>
          <w:rFonts w:cs="Times New Roman"/>
          <w:szCs w:val="20"/>
          <w:lang w:val="fr-FR"/>
        </w:rPr>
      </w:pPr>
      <w:r w:rsidRPr="0007298A">
        <w:rPr>
          <w:rStyle w:val="FootnoteReference"/>
          <w:rFonts w:cs="Times New Roman"/>
          <w:szCs w:val="20"/>
        </w:rPr>
        <w:footnoteRef/>
      </w:r>
      <w:r w:rsidRPr="0007298A">
        <w:rPr>
          <w:rFonts w:cs="Times New Roman"/>
          <w:szCs w:val="20"/>
          <w:lang w:val="fr-FR"/>
        </w:rPr>
        <w:t xml:space="preserve"> </w:t>
      </w:r>
      <w:r w:rsidRPr="0007298A">
        <w:rPr>
          <w:rFonts w:cs="Times New Roman"/>
          <w:noProof/>
          <w:szCs w:val="20"/>
          <w:lang w:val="fr-FR"/>
        </w:rPr>
        <w:t>Power 2014 : 205</w:t>
      </w:r>
    </w:p>
  </w:footnote>
  <w:footnote w:id="47">
    <w:p w14:paraId="7A00C363" w14:textId="77777777" w:rsidR="00776C06" w:rsidRPr="0007298A" w:rsidRDefault="00776C06" w:rsidP="001F1993">
      <w:pPr>
        <w:pStyle w:val="FootnoteText"/>
        <w:rPr>
          <w:rFonts w:cs="Times New Roman"/>
          <w:szCs w:val="20"/>
          <w:lang w:val="fr-CH"/>
        </w:rPr>
      </w:pPr>
      <w:r w:rsidRPr="0007298A">
        <w:rPr>
          <w:rStyle w:val="FootnoteReference"/>
          <w:rFonts w:cs="Times New Roman"/>
          <w:szCs w:val="20"/>
        </w:rPr>
        <w:footnoteRef/>
      </w:r>
      <w:r w:rsidRPr="0007298A">
        <w:rPr>
          <w:rFonts w:cs="Times New Roman"/>
          <w:szCs w:val="20"/>
          <w:lang w:val="fr-FR"/>
        </w:rPr>
        <w:t xml:space="preserve"> </w:t>
      </w:r>
      <w:r w:rsidRPr="0007298A">
        <w:rPr>
          <w:rFonts w:cs="Times New Roman"/>
          <w:szCs w:val="20"/>
          <w:lang w:val="fr-CH"/>
        </w:rPr>
        <w:t xml:space="preserve">De La </w:t>
      </w:r>
      <w:r w:rsidRPr="0007298A">
        <w:rPr>
          <w:rFonts w:cs="Times New Roman"/>
          <w:noProof/>
          <w:szCs w:val="20"/>
          <w:lang w:val="fr-CH"/>
        </w:rPr>
        <w:t>Bédoyère 2016 : 26</w:t>
      </w:r>
    </w:p>
  </w:footnote>
  <w:footnote w:id="48">
    <w:p w14:paraId="0A54B0C4" w14:textId="77777777" w:rsidR="00776C06" w:rsidRPr="0007298A" w:rsidRDefault="00776C06" w:rsidP="001F1993">
      <w:pPr>
        <w:pStyle w:val="FootnoteText"/>
        <w:rPr>
          <w:rFonts w:cs="Times New Roman"/>
          <w:szCs w:val="20"/>
        </w:rPr>
      </w:pPr>
      <w:r w:rsidRPr="0007298A">
        <w:rPr>
          <w:rStyle w:val="FootnoteReference"/>
          <w:rFonts w:cs="Times New Roman"/>
          <w:szCs w:val="20"/>
        </w:rPr>
        <w:footnoteRef/>
      </w:r>
      <w:r w:rsidRPr="0007298A">
        <w:rPr>
          <w:rFonts w:cs="Times New Roman"/>
          <w:szCs w:val="20"/>
        </w:rPr>
        <w:t xml:space="preserve"> </w:t>
      </w:r>
      <w:r w:rsidRPr="0007298A">
        <w:rPr>
          <w:rFonts w:cs="Times New Roman"/>
          <w:noProof/>
          <w:szCs w:val="20"/>
        </w:rPr>
        <w:t>Standing 2005 : 373</w:t>
      </w:r>
    </w:p>
  </w:footnote>
  <w:footnote w:id="49">
    <w:p w14:paraId="6E0E1628" w14:textId="77777777" w:rsidR="00776C06" w:rsidRPr="0007298A" w:rsidRDefault="00776C06" w:rsidP="001F1993">
      <w:pPr>
        <w:pStyle w:val="FootnoteText"/>
        <w:rPr>
          <w:rFonts w:cs="Times New Roman"/>
          <w:szCs w:val="20"/>
        </w:rPr>
      </w:pPr>
      <w:r w:rsidRPr="0007298A">
        <w:rPr>
          <w:rStyle w:val="FootnoteReference"/>
          <w:rFonts w:cs="Times New Roman"/>
          <w:szCs w:val="20"/>
        </w:rPr>
        <w:footnoteRef/>
      </w:r>
      <w:r w:rsidRPr="0007298A">
        <w:rPr>
          <w:rFonts w:cs="Times New Roman"/>
          <w:szCs w:val="20"/>
        </w:rPr>
        <w:t xml:space="preserve"> </w:t>
      </w:r>
      <w:r w:rsidRPr="0007298A">
        <w:rPr>
          <w:rFonts w:cs="Times New Roman"/>
          <w:noProof/>
          <w:szCs w:val="20"/>
        </w:rPr>
        <w:t>Power 2014 : 205</w:t>
      </w:r>
    </w:p>
  </w:footnote>
  <w:footnote w:id="50">
    <w:p w14:paraId="2D74FD42" w14:textId="77777777" w:rsidR="00776C06" w:rsidRPr="003B7705" w:rsidRDefault="00776C06" w:rsidP="001F1993">
      <w:pPr>
        <w:pStyle w:val="FootnoteText"/>
      </w:pPr>
      <w:r w:rsidRPr="0007298A">
        <w:rPr>
          <w:rStyle w:val="FootnoteReference"/>
          <w:rFonts w:cs="Times New Roman"/>
          <w:szCs w:val="20"/>
        </w:rPr>
        <w:footnoteRef/>
      </w:r>
      <w:r w:rsidRPr="0007298A">
        <w:rPr>
          <w:rFonts w:cs="Times New Roman"/>
          <w:szCs w:val="20"/>
        </w:rPr>
        <w:t xml:space="preserve"> Suetonius </w:t>
      </w:r>
      <w:r w:rsidRPr="0007298A">
        <w:rPr>
          <w:rFonts w:cs="Times New Roman"/>
          <w:i/>
          <w:szCs w:val="20"/>
        </w:rPr>
        <w:t>Nero</w:t>
      </w:r>
      <w:r w:rsidRPr="0007298A">
        <w:rPr>
          <w:rFonts w:cs="Times New Roman"/>
          <w:szCs w:val="20"/>
        </w:rPr>
        <w:t xml:space="preserve"> 39</w:t>
      </w:r>
    </w:p>
  </w:footnote>
  <w:footnote w:id="51">
    <w:p w14:paraId="7C24A936" w14:textId="77777777" w:rsidR="00776C06" w:rsidRPr="0007298A" w:rsidRDefault="00776C06" w:rsidP="001F1993">
      <w:pPr>
        <w:pStyle w:val="FootnoteText"/>
        <w:rPr>
          <w:rFonts w:cs="Times New Roman"/>
          <w:szCs w:val="20"/>
        </w:rPr>
      </w:pPr>
      <w:r w:rsidRPr="0007298A">
        <w:rPr>
          <w:rStyle w:val="FootnoteReference"/>
          <w:rFonts w:cs="Times New Roman"/>
          <w:szCs w:val="20"/>
        </w:rPr>
        <w:footnoteRef/>
      </w:r>
      <w:r w:rsidRPr="0007298A">
        <w:rPr>
          <w:rFonts w:cs="Times New Roman"/>
          <w:szCs w:val="20"/>
        </w:rPr>
        <w:t xml:space="preserve"> </w:t>
      </w:r>
      <w:r w:rsidRPr="0007298A">
        <w:rPr>
          <w:rFonts w:cs="Times New Roman"/>
          <w:noProof/>
          <w:szCs w:val="20"/>
        </w:rPr>
        <w:t>Davies 1999 : 14</w:t>
      </w:r>
    </w:p>
  </w:footnote>
  <w:footnote w:id="52">
    <w:p w14:paraId="257C6D76" w14:textId="77777777" w:rsidR="00776C06" w:rsidRPr="0007298A" w:rsidRDefault="00776C06" w:rsidP="001F1993">
      <w:pPr>
        <w:pStyle w:val="FootnoteText"/>
        <w:rPr>
          <w:rFonts w:cs="Times New Roman"/>
          <w:szCs w:val="20"/>
        </w:rPr>
      </w:pPr>
      <w:r w:rsidRPr="0007298A">
        <w:rPr>
          <w:rStyle w:val="FootnoteReference"/>
          <w:rFonts w:cs="Times New Roman"/>
          <w:szCs w:val="20"/>
        </w:rPr>
        <w:footnoteRef/>
      </w:r>
      <w:r w:rsidRPr="0007298A">
        <w:rPr>
          <w:rFonts w:cs="Times New Roman"/>
          <w:szCs w:val="20"/>
        </w:rPr>
        <w:t xml:space="preserve"> </w:t>
      </w:r>
      <w:r w:rsidRPr="0007298A">
        <w:rPr>
          <w:rFonts w:cs="Times New Roman"/>
          <w:noProof/>
          <w:szCs w:val="20"/>
        </w:rPr>
        <w:t xml:space="preserve">Davies 2009 : 108 </w:t>
      </w:r>
    </w:p>
  </w:footnote>
  <w:footnote w:id="53">
    <w:p w14:paraId="318010A0" w14:textId="77777777" w:rsidR="00776C06" w:rsidRPr="0007298A" w:rsidRDefault="00776C06" w:rsidP="001F1993">
      <w:pPr>
        <w:pStyle w:val="FootnoteText"/>
        <w:rPr>
          <w:rFonts w:cs="Times New Roman"/>
          <w:szCs w:val="20"/>
        </w:rPr>
      </w:pPr>
      <w:r w:rsidRPr="0007298A">
        <w:rPr>
          <w:rStyle w:val="FootnoteReference"/>
          <w:rFonts w:cs="Times New Roman"/>
          <w:szCs w:val="20"/>
        </w:rPr>
        <w:footnoteRef/>
      </w:r>
      <w:r w:rsidRPr="0007298A">
        <w:rPr>
          <w:rFonts w:cs="Times New Roman"/>
          <w:szCs w:val="20"/>
        </w:rPr>
        <w:t xml:space="preserve"> </w:t>
      </w:r>
      <w:r w:rsidRPr="0007298A">
        <w:rPr>
          <w:rFonts w:cs="Times New Roman"/>
          <w:noProof/>
          <w:szCs w:val="20"/>
        </w:rPr>
        <w:t>Fairclough 2010 : 19</w:t>
      </w:r>
    </w:p>
  </w:footnote>
  <w:footnote w:id="54">
    <w:p w14:paraId="190A8BEA" w14:textId="77777777" w:rsidR="00776C06" w:rsidRPr="0007298A" w:rsidRDefault="00776C06" w:rsidP="001F1993">
      <w:pPr>
        <w:pStyle w:val="FootnoteText"/>
        <w:rPr>
          <w:rFonts w:cs="Times New Roman"/>
          <w:szCs w:val="20"/>
        </w:rPr>
      </w:pPr>
      <w:r w:rsidRPr="0007298A">
        <w:rPr>
          <w:rStyle w:val="FootnoteReference"/>
          <w:rFonts w:cs="Times New Roman"/>
          <w:szCs w:val="20"/>
        </w:rPr>
        <w:footnoteRef/>
      </w:r>
      <w:r w:rsidRPr="0007298A">
        <w:rPr>
          <w:rFonts w:cs="Times New Roman"/>
          <w:szCs w:val="20"/>
        </w:rPr>
        <w:t xml:space="preserve"> </w:t>
      </w:r>
      <w:r w:rsidRPr="0007298A">
        <w:rPr>
          <w:rFonts w:cs="Times New Roman"/>
          <w:noProof/>
          <w:szCs w:val="20"/>
        </w:rPr>
        <w:t>Frere 1991 : 93</w:t>
      </w:r>
    </w:p>
  </w:footnote>
  <w:footnote w:id="55">
    <w:p w14:paraId="44A655EA" w14:textId="77777777" w:rsidR="00776C06" w:rsidRPr="0007298A" w:rsidRDefault="00776C06" w:rsidP="001F1993">
      <w:pPr>
        <w:pStyle w:val="FootnoteText"/>
        <w:rPr>
          <w:rFonts w:cs="Times New Roman"/>
          <w:szCs w:val="20"/>
        </w:rPr>
      </w:pPr>
      <w:r w:rsidRPr="0007298A">
        <w:rPr>
          <w:rStyle w:val="FootnoteReference"/>
          <w:rFonts w:cs="Times New Roman"/>
          <w:szCs w:val="20"/>
        </w:rPr>
        <w:footnoteRef/>
      </w:r>
      <w:r w:rsidRPr="0007298A">
        <w:rPr>
          <w:rFonts w:cs="Times New Roman"/>
          <w:szCs w:val="20"/>
        </w:rPr>
        <w:t xml:space="preserve"> Tacitus, </w:t>
      </w:r>
      <w:r w:rsidRPr="0007298A">
        <w:rPr>
          <w:rFonts w:cs="Times New Roman"/>
          <w:i/>
          <w:szCs w:val="20"/>
        </w:rPr>
        <w:t>Annals</w:t>
      </w:r>
      <w:r w:rsidRPr="0007298A">
        <w:rPr>
          <w:rFonts w:cs="Times New Roman"/>
          <w:szCs w:val="20"/>
        </w:rPr>
        <w:t xml:space="preserve"> 12.31</w:t>
      </w:r>
    </w:p>
  </w:footnote>
  <w:footnote w:id="56">
    <w:p w14:paraId="3C3ADDE8" w14:textId="77777777" w:rsidR="00776C06" w:rsidRPr="0007298A" w:rsidRDefault="00776C06" w:rsidP="001F1993">
      <w:pPr>
        <w:pStyle w:val="FootnoteText"/>
        <w:rPr>
          <w:rFonts w:cs="Times New Roman"/>
          <w:szCs w:val="20"/>
        </w:rPr>
      </w:pPr>
      <w:r w:rsidRPr="0007298A">
        <w:rPr>
          <w:rStyle w:val="FootnoteReference"/>
          <w:rFonts w:cs="Times New Roman"/>
          <w:szCs w:val="20"/>
        </w:rPr>
        <w:footnoteRef/>
      </w:r>
      <w:r w:rsidRPr="0007298A">
        <w:rPr>
          <w:rFonts w:cs="Times New Roman"/>
          <w:szCs w:val="20"/>
        </w:rPr>
        <w:t xml:space="preserve"> </w:t>
      </w:r>
      <w:r w:rsidRPr="0007298A">
        <w:rPr>
          <w:rFonts w:cs="Times New Roman"/>
          <w:noProof/>
          <w:szCs w:val="20"/>
        </w:rPr>
        <w:t>Davies 2009 : 109</w:t>
      </w:r>
    </w:p>
  </w:footnote>
  <w:footnote w:id="57">
    <w:p w14:paraId="395FD656" w14:textId="77777777" w:rsidR="00776C06" w:rsidRPr="0007298A" w:rsidRDefault="00776C06" w:rsidP="001F1993">
      <w:pPr>
        <w:pStyle w:val="FootnoteText"/>
        <w:rPr>
          <w:rFonts w:cs="Times New Roman"/>
          <w:szCs w:val="20"/>
        </w:rPr>
      </w:pPr>
      <w:r w:rsidRPr="0007298A">
        <w:rPr>
          <w:rStyle w:val="FootnoteReference"/>
          <w:rFonts w:cs="Times New Roman"/>
          <w:szCs w:val="20"/>
        </w:rPr>
        <w:footnoteRef/>
      </w:r>
      <w:r w:rsidRPr="0007298A">
        <w:rPr>
          <w:rFonts w:cs="Times New Roman"/>
          <w:szCs w:val="20"/>
        </w:rPr>
        <w:t xml:space="preserve"> Tacitus, </w:t>
      </w:r>
      <w:r w:rsidRPr="0007298A">
        <w:rPr>
          <w:rFonts w:cs="Times New Roman"/>
          <w:i/>
          <w:szCs w:val="20"/>
        </w:rPr>
        <w:t>Annals</w:t>
      </w:r>
      <w:r w:rsidRPr="0007298A">
        <w:rPr>
          <w:rFonts w:cs="Times New Roman"/>
          <w:szCs w:val="20"/>
        </w:rPr>
        <w:t xml:space="preserve"> 12.31</w:t>
      </w:r>
    </w:p>
  </w:footnote>
  <w:footnote w:id="58">
    <w:p w14:paraId="2CAE7EE7" w14:textId="77777777" w:rsidR="00776C06" w:rsidRPr="0007298A" w:rsidRDefault="00776C06" w:rsidP="001F1993">
      <w:pPr>
        <w:pStyle w:val="FootnoteText"/>
        <w:rPr>
          <w:rFonts w:cs="Times New Roman"/>
          <w:szCs w:val="20"/>
        </w:rPr>
      </w:pPr>
      <w:r w:rsidRPr="0007298A">
        <w:rPr>
          <w:rStyle w:val="FootnoteReference"/>
          <w:rFonts w:cs="Times New Roman"/>
          <w:szCs w:val="20"/>
        </w:rPr>
        <w:footnoteRef/>
      </w:r>
      <w:r w:rsidRPr="0007298A">
        <w:rPr>
          <w:rFonts w:cs="Times New Roman"/>
          <w:szCs w:val="20"/>
        </w:rPr>
        <w:t xml:space="preserve"> </w:t>
      </w:r>
      <w:r w:rsidRPr="0007298A">
        <w:rPr>
          <w:rFonts w:cs="Times New Roman"/>
          <w:noProof/>
          <w:szCs w:val="20"/>
        </w:rPr>
        <w:t>Fairclough 2010 : 20</w:t>
      </w:r>
    </w:p>
  </w:footnote>
  <w:footnote w:id="59">
    <w:p w14:paraId="3D473FB5" w14:textId="77777777" w:rsidR="00776C06" w:rsidRPr="000036E4" w:rsidRDefault="00776C06" w:rsidP="001F1993">
      <w:pPr>
        <w:pStyle w:val="FootnoteText"/>
      </w:pPr>
      <w:r w:rsidRPr="0007298A">
        <w:rPr>
          <w:rStyle w:val="FootnoteReference"/>
          <w:rFonts w:cs="Times New Roman"/>
          <w:szCs w:val="20"/>
        </w:rPr>
        <w:footnoteRef/>
      </w:r>
      <w:r w:rsidRPr="0007298A">
        <w:rPr>
          <w:rFonts w:cs="Times New Roman"/>
          <w:szCs w:val="20"/>
        </w:rPr>
        <w:t xml:space="preserve"> </w:t>
      </w:r>
      <w:r w:rsidRPr="0007298A">
        <w:rPr>
          <w:rFonts w:cs="Times New Roman"/>
          <w:noProof/>
          <w:szCs w:val="20"/>
        </w:rPr>
        <w:t>Millet 2005: 35</w:t>
      </w:r>
    </w:p>
  </w:footnote>
  <w:footnote w:id="60">
    <w:p w14:paraId="7163C9C9" w14:textId="77777777" w:rsidR="00776C06" w:rsidRPr="0007298A" w:rsidRDefault="00776C06" w:rsidP="001F1993">
      <w:pPr>
        <w:pStyle w:val="FootnoteText"/>
        <w:rPr>
          <w:rFonts w:cs="Times New Roman"/>
          <w:szCs w:val="20"/>
        </w:rPr>
      </w:pPr>
      <w:r w:rsidRPr="0007298A">
        <w:rPr>
          <w:rStyle w:val="FootnoteReference"/>
          <w:rFonts w:cs="Times New Roman"/>
          <w:szCs w:val="20"/>
        </w:rPr>
        <w:footnoteRef/>
      </w:r>
      <w:r w:rsidRPr="0007298A">
        <w:rPr>
          <w:rFonts w:cs="Times New Roman"/>
          <w:szCs w:val="20"/>
        </w:rPr>
        <w:t xml:space="preserve"> </w:t>
      </w:r>
      <w:r w:rsidRPr="0007298A">
        <w:rPr>
          <w:rFonts w:cs="Times New Roman"/>
          <w:noProof/>
          <w:szCs w:val="20"/>
        </w:rPr>
        <w:t>Davies 2009: 135</w:t>
      </w:r>
    </w:p>
  </w:footnote>
  <w:footnote w:id="61">
    <w:p w14:paraId="1C41055B" w14:textId="77777777" w:rsidR="00776C06" w:rsidRPr="0007298A" w:rsidRDefault="00776C06" w:rsidP="001F1993">
      <w:pPr>
        <w:pStyle w:val="FootnoteText"/>
        <w:rPr>
          <w:rFonts w:cs="Times New Roman"/>
          <w:szCs w:val="20"/>
        </w:rPr>
      </w:pPr>
      <w:r w:rsidRPr="0007298A">
        <w:rPr>
          <w:rStyle w:val="FootnoteReference"/>
          <w:rFonts w:cs="Times New Roman"/>
          <w:szCs w:val="20"/>
        </w:rPr>
        <w:footnoteRef/>
      </w:r>
      <w:r w:rsidRPr="0007298A">
        <w:rPr>
          <w:rFonts w:cs="Times New Roman"/>
          <w:szCs w:val="20"/>
        </w:rPr>
        <w:t xml:space="preserve"> Tacitus </w:t>
      </w:r>
      <w:r w:rsidRPr="0007298A">
        <w:rPr>
          <w:rFonts w:cs="Times New Roman"/>
          <w:i/>
          <w:szCs w:val="20"/>
        </w:rPr>
        <w:t>Annals</w:t>
      </w:r>
      <w:r w:rsidRPr="0007298A">
        <w:rPr>
          <w:rFonts w:cs="Times New Roman"/>
          <w:szCs w:val="20"/>
        </w:rPr>
        <w:t xml:space="preserve"> 12.32</w:t>
      </w:r>
    </w:p>
  </w:footnote>
  <w:footnote w:id="62">
    <w:p w14:paraId="057725BD" w14:textId="77777777" w:rsidR="00776C06" w:rsidRPr="0007298A" w:rsidRDefault="00776C06" w:rsidP="001F1993">
      <w:pPr>
        <w:pStyle w:val="FootnoteText"/>
        <w:rPr>
          <w:rFonts w:cs="Times New Roman"/>
          <w:szCs w:val="20"/>
        </w:rPr>
      </w:pPr>
      <w:r w:rsidRPr="0007298A">
        <w:rPr>
          <w:rStyle w:val="FootnoteReference"/>
          <w:rFonts w:cs="Times New Roman"/>
          <w:szCs w:val="20"/>
        </w:rPr>
        <w:footnoteRef/>
      </w:r>
      <w:r w:rsidRPr="0007298A">
        <w:rPr>
          <w:rFonts w:cs="Times New Roman"/>
          <w:szCs w:val="20"/>
        </w:rPr>
        <w:t xml:space="preserve"> </w:t>
      </w:r>
      <w:r w:rsidRPr="0007298A">
        <w:rPr>
          <w:rFonts w:cs="Times New Roman"/>
          <w:noProof/>
          <w:szCs w:val="20"/>
        </w:rPr>
        <w:t>Fairclough 2010: 20</w:t>
      </w:r>
    </w:p>
  </w:footnote>
  <w:footnote w:id="63">
    <w:p w14:paraId="46EF878C" w14:textId="77777777" w:rsidR="00776C06" w:rsidRPr="0007298A" w:rsidRDefault="00776C06" w:rsidP="001F1993">
      <w:pPr>
        <w:pStyle w:val="FootnoteText"/>
        <w:rPr>
          <w:rFonts w:cs="Times New Roman"/>
          <w:szCs w:val="20"/>
        </w:rPr>
      </w:pPr>
      <w:r w:rsidRPr="0007298A">
        <w:rPr>
          <w:rStyle w:val="FootnoteReference"/>
          <w:rFonts w:cs="Times New Roman"/>
          <w:szCs w:val="20"/>
        </w:rPr>
        <w:footnoteRef/>
      </w:r>
      <w:r w:rsidRPr="0007298A">
        <w:rPr>
          <w:rFonts w:cs="Times New Roman"/>
          <w:szCs w:val="20"/>
        </w:rPr>
        <w:t xml:space="preserve"> </w:t>
      </w:r>
      <w:r w:rsidRPr="0007298A">
        <w:rPr>
          <w:rFonts w:cs="Times New Roman"/>
          <w:noProof/>
          <w:szCs w:val="20"/>
        </w:rPr>
        <w:t>Moorhead and Stuttard 2016: 71</w:t>
      </w:r>
    </w:p>
  </w:footnote>
  <w:footnote w:id="64">
    <w:p w14:paraId="6E2FCF10" w14:textId="77777777" w:rsidR="00776C06" w:rsidRPr="0007298A" w:rsidRDefault="00776C06" w:rsidP="001F1993">
      <w:pPr>
        <w:pStyle w:val="FootnoteText"/>
        <w:rPr>
          <w:rFonts w:cs="Times New Roman"/>
          <w:szCs w:val="20"/>
        </w:rPr>
      </w:pPr>
      <w:r w:rsidRPr="0007298A">
        <w:rPr>
          <w:rStyle w:val="FootnoteReference"/>
          <w:rFonts w:cs="Times New Roman"/>
          <w:szCs w:val="20"/>
        </w:rPr>
        <w:footnoteRef/>
      </w:r>
      <w:r w:rsidRPr="0007298A">
        <w:rPr>
          <w:rFonts w:cs="Times New Roman"/>
          <w:szCs w:val="20"/>
        </w:rPr>
        <w:t xml:space="preserve"> Tacitus </w:t>
      </w:r>
      <w:r w:rsidRPr="0007298A">
        <w:rPr>
          <w:rFonts w:cs="Times New Roman"/>
          <w:i/>
          <w:szCs w:val="20"/>
        </w:rPr>
        <w:t>Annals</w:t>
      </w:r>
      <w:r w:rsidRPr="0007298A">
        <w:rPr>
          <w:rFonts w:cs="Times New Roman"/>
          <w:szCs w:val="20"/>
        </w:rPr>
        <w:t xml:space="preserve"> </w:t>
      </w:r>
      <w:r>
        <w:rPr>
          <w:rFonts w:cs="Times New Roman"/>
          <w:szCs w:val="20"/>
        </w:rPr>
        <w:t>14.31</w:t>
      </w:r>
    </w:p>
  </w:footnote>
  <w:footnote w:id="65">
    <w:p w14:paraId="3B278469" w14:textId="77777777" w:rsidR="00776C06" w:rsidRPr="0007298A" w:rsidRDefault="00776C06" w:rsidP="001F1993">
      <w:pPr>
        <w:pStyle w:val="FootnoteText"/>
        <w:rPr>
          <w:rFonts w:cs="Times New Roman"/>
          <w:szCs w:val="20"/>
        </w:rPr>
      </w:pPr>
      <w:r w:rsidRPr="0007298A">
        <w:rPr>
          <w:rStyle w:val="FootnoteReference"/>
          <w:rFonts w:cs="Times New Roman"/>
          <w:szCs w:val="20"/>
        </w:rPr>
        <w:footnoteRef/>
      </w:r>
      <w:r w:rsidRPr="0007298A">
        <w:rPr>
          <w:rFonts w:cs="Times New Roman"/>
          <w:szCs w:val="20"/>
        </w:rPr>
        <w:t xml:space="preserve"> </w:t>
      </w:r>
      <w:r w:rsidRPr="0007298A">
        <w:rPr>
          <w:rFonts w:cs="Times New Roman"/>
          <w:noProof/>
          <w:szCs w:val="20"/>
        </w:rPr>
        <w:t>Moorhead and Stuttard 2016: 71-72</w:t>
      </w:r>
    </w:p>
  </w:footnote>
  <w:footnote w:id="66">
    <w:p w14:paraId="760F83B0" w14:textId="77777777" w:rsidR="00776C06" w:rsidRPr="0007298A" w:rsidRDefault="00776C06" w:rsidP="001F1993">
      <w:pPr>
        <w:pStyle w:val="FootnoteText"/>
        <w:rPr>
          <w:rFonts w:cs="Times New Roman"/>
          <w:szCs w:val="20"/>
        </w:rPr>
      </w:pPr>
      <w:r w:rsidRPr="0007298A">
        <w:rPr>
          <w:rStyle w:val="FootnoteReference"/>
          <w:rFonts w:cs="Times New Roman"/>
          <w:szCs w:val="20"/>
        </w:rPr>
        <w:footnoteRef/>
      </w:r>
      <w:r w:rsidRPr="0007298A">
        <w:rPr>
          <w:rFonts w:cs="Times New Roman"/>
          <w:szCs w:val="20"/>
        </w:rPr>
        <w:t xml:space="preserve"> </w:t>
      </w:r>
      <w:r w:rsidRPr="0007298A">
        <w:rPr>
          <w:rFonts w:cs="Times New Roman"/>
          <w:noProof/>
          <w:szCs w:val="20"/>
        </w:rPr>
        <w:t>Russell and Laycock 2011: 50</w:t>
      </w:r>
    </w:p>
  </w:footnote>
  <w:footnote w:id="67">
    <w:p w14:paraId="4C3BE515" w14:textId="77777777" w:rsidR="00776C06" w:rsidRPr="00B01CA4" w:rsidRDefault="00776C06" w:rsidP="001F1993">
      <w:pPr>
        <w:pStyle w:val="FootnoteText"/>
      </w:pPr>
      <w:r w:rsidRPr="0007298A">
        <w:rPr>
          <w:rStyle w:val="FootnoteReference"/>
          <w:rFonts w:cs="Times New Roman"/>
          <w:szCs w:val="20"/>
        </w:rPr>
        <w:footnoteRef/>
      </w:r>
      <w:r w:rsidRPr="0007298A">
        <w:rPr>
          <w:rFonts w:cs="Times New Roman"/>
          <w:szCs w:val="20"/>
        </w:rPr>
        <w:t xml:space="preserve"> </w:t>
      </w:r>
      <w:r w:rsidRPr="0007298A">
        <w:rPr>
          <w:rFonts w:cs="Times New Roman"/>
          <w:noProof/>
          <w:szCs w:val="20"/>
        </w:rPr>
        <w:t>Russell and Laycock 2011: 51</w:t>
      </w:r>
    </w:p>
  </w:footnote>
  <w:footnote w:id="68">
    <w:p w14:paraId="30D03112" w14:textId="77777777" w:rsidR="00776C06" w:rsidRPr="00A07B2A" w:rsidRDefault="00776C06" w:rsidP="001F1993">
      <w:pPr>
        <w:pStyle w:val="FootnoteText"/>
        <w:rPr>
          <w:rFonts w:cs="Times New Roman"/>
          <w:szCs w:val="20"/>
          <w:lang w:val="fr-CH"/>
        </w:rPr>
      </w:pPr>
      <w:r w:rsidRPr="00A07B2A">
        <w:rPr>
          <w:rStyle w:val="FootnoteReference"/>
          <w:rFonts w:cs="Times New Roman"/>
          <w:szCs w:val="20"/>
        </w:rPr>
        <w:footnoteRef/>
      </w:r>
      <w:r w:rsidRPr="00A07B2A">
        <w:rPr>
          <w:rFonts w:cs="Times New Roman"/>
          <w:szCs w:val="20"/>
          <w:lang w:val="fr-FR"/>
        </w:rPr>
        <w:t xml:space="preserve"> </w:t>
      </w:r>
      <w:r w:rsidRPr="00A07B2A">
        <w:rPr>
          <w:rFonts w:cs="Times New Roman"/>
          <w:noProof/>
          <w:szCs w:val="20"/>
          <w:lang w:val="fr-CH"/>
        </w:rPr>
        <w:t>De La Bédoyère 2016: 26</w:t>
      </w:r>
    </w:p>
  </w:footnote>
  <w:footnote w:id="69">
    <w:p w14:paraId="3DF73C3B" w14:textId="77777777" w:rsidR="00776C06" w:rsidRPr="00A07B2A" w:rsidRDefault="00776C06" w:rsidP="001F1993">
      <w:pPr>
        <w:pStyle w:val="FootnoteText"/>
        <w:rPr>
          <w:rFonts w:cs="Times New Roman"/>
          <w:szCs w:val="20"/>
          <w:lang w:val="fr-CH"/>
        </w:rPr>
      </w:pPr>
      <w:r w:rsidRPr="00A07B2A">
        <w:rPr>
          <w:rStyle w:val="FootnoteReference"/>
          <w:rFonts w:cs="Times New Roman"/>
          <w:szCs w:val="20"/>
        </w:rPr>
        <w:footnoteRef/>
      </w:r>
      <w:r w:rsidRPr="00A07B2A">
        <w:rPr>
          <w:rFonts w:cs="Times New Roman"/>
          <w:szCs w:val="20"/>
          <w:lang w:val="fr-FR"/>
        </w:rPr>
        <w:t xml:space="preserve"> </w:t>
      </w:r>
      <w:r w:rsidRPr="00A07B2A">
        <w:rPr>
          <w:rFonts w:cs="Times New Roman"/>
          <w:noProof/>
          <w:szCs w:val="20"/>
          <w:lang w:val="fr-CH"/>
        </w:rPr>
        <w:t>Davies 2009: 141</w:t>
      </w:r>
    </w:p>
  </w:footnote>
  <w:footnote w:id="70">
    <w:p w14:paraId="50CE8238" w14:textId="77777777" w:rsidR="00776C06" w:rsidRPr="00A07B2A" w:rsidRDefault="00776C06" w:rsidP="001F1993">
      <w:pPr>
        <w:pStyle w:val="FootnoteText"/>
        <w:rPr>
          <w:rFonts w:cs="Times New Roman"/>
          <w:szCs w:val="20"/>
          <w:lang w:val="fr-CH"/>
        </w:rPr>
      </w:pPr>
      <w:r w:rsidRPr="00A07B2A">
        <w:rPr>
          <w:rStyle w:val="FootnoteReference"/>
          <w:rFonts w:cs="Times New Roman"/>
          <w:szCs w:val="20"/>
        </w:rPr>
        <w:footnoteRef/>
      </w:r>
      <w:r w:rsidRPr="00A07B2A">
        <w:rPr>
          <w:rFonts w:cs="Times New Roman"/>
          <w:szCs w:val="20"/>
          <w:lang w:val="fr-FR"/>
        </w:rPr>
        <w:t xml:space="preserve"> </w:t>
      </w:r>
      <w:r w:rsidRPr="00A07B2A">
        <w:rPr>
          <w:rFonts w:cs="Times New Roman"/>
          <w:noProof/>
          <w:szCs w:val="20"/>
          <w:lang w:val="fr-CH"/>
        </w:rPr>
        <w:t>Davies 2009: 135</w:t>
      </w:r>
    </w:p>
  </w:footnote>
  <w:footnote w:id="71">
    <w:p w14:paraId="1D666F92" w14:textId="77777777" w:rsidR="00776C06" w:rsidRPr="00A07B2A" w:rsidRDefault="00776C06" w:rsidP="001F1993">
      <w:pPr>
        <w:pStyle w:val="FootnoteText"/>
        <w:rPr>
          <w:rFonts w:cs="Times New Roman"/>
          <w:szCs w:val="20"/>
        </w:rPr>
      </w:pPr>
      <w:r w:rsidRPr="00A07B2A">
        <w:rPr>
          <w:rStyle w:val="FootnoteReference"/>
          <w:rFonts w:cs="Times New Roman"/>
          <w:szCs w:val="20"/>
        </w:rPr>
        <w:footnoteRef/>
      </w:r>
      <w:r w:rsidRPr="00A07B2A">
        <w:rPr>
          <w:rFonts w:cs="Times New Roman"/>
          <w:szCs w:val="20"/>
        </w:rPr>
        <w:t xml:space="preserve"> </w:t>
      </w:r>
      <w:r w:rsidRPr="00A07B2A">
        <w:rPr>
          <w:rFonts w:cs="Times New Roman"/>
          <w:noProof/>
          <w:szCs w:val="20"/>
        </w:rPr>
        <w:t>Salway 1993: 83-84</w:t>
      </w:r>
    </w:p>
  </w:footnote>
  <w:footnote w:id="72">
    <w:p w14:paraId="7DD2E39D" w14:textId="77777777" w:rsidR="00776C06" w:rsidRPr="00A07B2A" w:rsidRDefault="00776C06" w:rsidP="001F1993">
      <w:pPr>
        <w:pStyle w:val="FootnoteText"/>
        <w:rPr>
          <w:rFonts w:cs="Times New Roman"/>
          <w:szCs w:val="20"/>
        </w:rPr>
      </w:pPr>
      <w:r w:rsidRPr="00A07B2A">
        <w:rPr>
          <w:rStyle w:val="FootnoteReference"/>
          <w:rFonts w:cs="Times New Roman"/>
          <w:szCs w:val="20"/>
        </w:rPr>
        <w:footnoteRef/>
      </w:r>
      <w:r w:rsidRPr="00A07B2A">
        <w:rPr>
          <w:rFonts w:cs="Times New Roman"/>
          <w:szCs w:val="20"/>
        </w:rPr>
        <w:t xml:space="preserve"> </w:t>
      </w:r>
      <w:r w:rsidRPr="00A07B2A">
        <w:rPr>
          <w:rFonts w:cs="Times New Roman"/>
          <w:noProof/>
          <w:szCs w:val="20"/>
        </w:rPr>
        <w:t>Moorhead and Stuttard 2016: 72</w:t>
      </w:r>
    </w:p>
  </w:footnote>
  <w:footnote w:id="73">
    <w:p w14:paraId="1E730B5A" w14:textId="77777777" w:rsidR="00776C06" w:rsidRPr="00A07B2A" w:rsidRDefault="00776C06" w:rsidP="001F1993">
      <w:pPr>
        <w:pStyle w:val="FootnoteText"/>
        <w:rPr>
          <w:rFonts w:cs="Times New Roman"/>
          <w:szCs w:val="20"/>
        </w:rPr>
      </w:pPr>
      <w:r w:rsidRPr="00A07B2A">
        <w:rPr>
          <w:rStyle w:val="FootnoteReference"/>
          <w:rFonts w:cs="Times New Roman"/>
          <w:szCs w:val="20"/>
        </w:rPr>
        <w:footnoteRef/>
      </w:r>
      <w:r w:rsidRPr="00A07B2A">
        <w:rPr>
          <w:rFonts w:cs="Times New Roman"/>
          <w:szCs w:val="20"/>
        </w:rPr>
        <w:t xml:space="preserve"> Cassius Dio 62.2</w:t>
      </w:r>
    </w:p>
  </w:footnote>
  <w:footnote w:id="74">
    <w:p w14:paraId="3E87455A" w14:textId="77777777" w:rsidR="00776C06" w:rsidRPr="00824CF1" w:rsidRDefault="00776C06" w:rsidP="001F1993">
      <w:pPr>
        <w:pStyle w:val="FootnoteText"/>
        <w:rPr>
          <w:lang w:val="fr-CH"/>
        </w:rPr>
      </w:pPr>
      <w:r w:rsidRPr="00A07B2A">
        <w:rPr>
          <w:rStyle w:val="FootnoteReference"/>
          <w:rFonts w:cs="Times New Roman"/>
          <w:szCs w:val="20"/>
        </w:rPr>
        <w:footnoteRef/>
      </w:r>
      <w:r w:rsidRPr="00A07B2A">
        <w:rPr>
          <w:rFonts w:cs="Times New Roman"/>
          <w:szCs w:val="20"/>
          <w:lang w:val="fr-FR"/>
        </w:rPr>
        <w:t xml:space="preserve"> </w:t>
      </w:r>
      <w:r w:rsidRPr="00A07B2A">
        <w:rPr>
          <w:rFonts w:cs="Times New Roman"/>
          <w:noProof/>
          <w:szCs w:val="20"/>
          <w:lang w:val="fr-CH"/>
        </w:rPr>
        <w:t>Davies 2009: 135</w:t>
      </w:r>
    </w:p>
  </w:footnote>
  <w:footnote w:id="75">
    <w:p w14:paraId="667C5660" w14:textId="77777777" w:rsidR="00776C06" w:rsidRPr="00A07B2A" w:rsidRDefault="00776C06" w:rsidP="001F1993">
      <w:pPr>
        <w:pStyle w:val="FootnoteText"/>
        <w:rPr>
          <w:rFonts w:cs="Times New Roman"/>
          <w:szCs w:val="20"/>
          <w:lang w:val="fr-CH"/>
        </w:rPr>
      </w:pPr>
      <w:r w:rsidRPr="00A07B2A">
        <w:rPr>
          <w:rStyle w:val="FootnoteReference"/>
          <w:rFonts w:cs="Times New Roman"/>
          <w:szCs w:val="20"/>
        </w:rPr>
        <w:footnoteRef/>
      </w:r>
      <w:r w:rsidRPr="00A07B2A">
        <w:rPr>
          <w:rFonts w:cs="Times New Roman"/>
          <w:szCs w:val="20"/>
          <w:lang w:val="fr-FR"/>
        </w:rPr>
        <w:t xml:space="preserve"> </w:t>
      </w:r>
      <w:r w:rsidRPr="00A07B2A">
        <w:rPr>
          <w:rFonts w:cs="Times New Roman"/>
          <w:noProof/>
          <w:szCs w:val="20"/>
          <w:lang w:val="fr-CH"/>
        </w:rPr>
        <w:t>De La Bédoyère 2016:29</w:t>
      </w:r>
    </w:p>
  </w:footnote>
  <w:footnote w:id="76">
    <w:p w14:paraId="4B0A820F" w14:textId="77777777" w:rsidR="00776C06" w:rsidRPr="00A07B2A" w:rsidRDefault="00776C06" w:rsidP="001F1993">
      <w:pPr>
        <w:pStyle w:val="FootnoteText"/>
        <w:rPr>
          <w:rFonts w:cs="Times New Roman"/>
          <w:szCs w:val="20"/>
          <w:lang w:val="fr-CH"/>
        </w:rPr>
      </w:pPr>
      <w:r w:rsidRPr="00A07B2A">
        <w:rPr>
          <w:rStyle w:val="FootnoteReference"/>
          <w:rFonts w:cs="Times New Roman"/>
          <w:szCs w:val="20"/>
        </w:rPr>
        <w:footnoteRef/>
      </w:r>
      <w:r w:rsidRPr="00A07B2A">
        <w:rPr>
          <w:rFonts w:cs="Times New Roman"/>
          <w:szCs w:val="20"/>
          <w:lang w:val="fr-FR"/>
        </w:rPr>
        <w:t xml:space="preserve"> Tacitus </w:t>
      </w:r>
      <w:r w:rsidRPr="00A07B2A">
        <w:rPr>
          <w:rFonts w:cs="Times New Roman"/>
          <w:i/>
          <w:szCs w:val="20"/>
          <w:lang w:val="fr-FR"/>
        </w:rPr>
        <w:t xml:space="preserve">Annals </w:t>
      </w:r>
      <w:r w:rsidRPr="00A07B2A">
        <w:rPr>
          <w:rFonts w:cs="Times New Roman"/>
          <w:szCs w:val="20"/>
          <w:lang w:val="fr-FR"/>
        </w:rPr>
        <w:t>14.31</w:t>
      </w:r>
    </w:p>
  </w:footnote>
  <w:footnote w:id="77">
    <w:p w14:paraId="6D2C437A" w14:textId="77777777" w:rsidR="00776C06" w:rsidRPr="00A07B2A" w:rsidRDefault="00776C06" w:rsidP="001F1993">
      <w:pPr>
        <w:pStyle w:val="FootnoteText"/>
        <w:rPr>
          <w:rFonts w:cs="Times New Roman"/>
          <w:szCs w:val="20"/>
        </w:rPr>
      </w:pPr>
      <w:r w:rsidRPr="00A07B2A">
        <w:rPr>
          <w:rStyle w:val="FootnoteReference"/>
          <w:rFonts w:cs="Times New Roman"/>
          <w:szCs w:val="20"/>
        </w:rPr>
        <w:footnoteRef/>
      </w:r>
      <w:r w:rsidRPr="00A07B2A">
        <w:rPr>
          <w:rFonts w:cs="Times New Roman"/>
          <w:szCs w:val="20"/>
        </w:rPr>
        <w:t xml:space="preserve"> Tacitus </w:t>
      </w:r>
      <w:r w:rsidRPr="00A07B2A">
        <w:rPr>
          <w:rFonts w:cs="Times New Roman"/>
          <w:i/>
          <w:szCs w:val="20"/>
        </w:rPr>
        <w:t xml:space="preserve">Annals </w:t>
      </w:r>
      <w:r w:rsidRPr="00A07B2A">
        <w:rPr>
          <w:rFonts w:cs="Times New Roman"/>
          <w:szCs w:val="20"/>
        </w:rPr>
        <w:t>14.31</w:t>
      </w:r>
    </w:p>
  </w:footnote>
  <w:footnote w:id="78">
    <w:p w14:paraId="56258AD7" w14:textId="77777777" w:rsidR="00776C06" w:rsidRPr="00A07B2A" w:rsidRDefault="00776C06" w:rsidP="001F1993">
      <w:pPr>
        <w:pStyle w:val="FootnoteText"/>
        <w:rPr>
          <w:rFonts w:cs="Times New Roman"/>
          <w:szCs w:val="20"/>
        </w:rPr>
      </w:pPr>
      <w:r w:rsidRPr="00A07B2A">
        <w:rPr>
          <w:rStyle w:val="FootnoteReference"/>
          <w:rFonts w:cs="Times New Roman"/>
          <w:szCs w:val="20"/>
        </w:rPr>
        <w:footnoteRef/>
      </w:r>
      <w:r w:rsidRPr="00A07B2A">
        <w:rPr>
          <w:rFonts w:cs="Times New Roman"/>
          <w:szCs w:val="20"/>
        </w:rPr>
        <w:t xml:space="preserve"> Tacitus </w:t>
      </w:r>
      <w:r w:rsidRPr="00A07B2A">
        <w:rPr>
          <w:rFonts w:cs="Times New Roman"/>
          <w:i/>
          <w:szCs w:val="20"/>
        </w:rPr>
        <w:t xml:space="preserve">Annals </w:t>
      </w:r>
      <w:r w:rsidRPr="00A07B2A">
        <w:rPr>
          <w:rFonts w:cs="Times New Roman"/>
          <w:szCs w:val="20"/>
        </w:rPr>
        <w:t>14.32</w:t>
      </w:r>
    </w:p>
  </w:footnote>
  <w:footnote w:id="79">
    <w:p w14:paraId="794C4D1E" w14:textId="77777777" w:rsidR="00776C06" w:rsidRPr="00A07B2A" w:rsidRDefault="00776C06" w:rsidP="001F1993">
      <w:pPr>
        <w:pStyle w:val="FootnoteText"/>
        <w:rPr>
          <w:rFonts w:cs="Times New Roman"/>
          <w:szCs w:val="20"/>
        </w:rPr>
      </w:pPr>
      <w:r w:rsidRPr="00A07B2A">
        <w:rPr>
          <w:rStyle w:val="FootnoteReference"/>
          <w:rFonts w:cs="Times New Roman"/>
          <w:szCs w:val="20"/>
        </w:rPr>
        <w:footnoteRef/>
      </w:r>
      <w:r w:rsidRPr="00A07B2A">
        <w:rPr>
          <w:rFonts w:cs="Times New Roman"/>
          <w:szCs w:val="20"/>
        </w:rPr>
        <w:t xml:space="preserve"> </w:t>
      </w:r>
      <w:r w:rsidRPr="00A07B2A">
        <w:rPr>
          <w:rFonts w:cs="Times New Roman"/>
          <w:noProof/>
          <w:szCs w:val="20"/>
        </w:rPr>
        <w:t>Moorhead and Stuttard 2016: 76</w:t>
      </w:r>
    </w:p>
  </w:footnote>
  <w:footnote w:id="80">
    <w:p w14:paraId="7F377121" w14:textId="77777777" w:rsidR="00776C06" w:rsidRPr="00A07B2A" w:rsidRDefault="00776C06" w:rsidP="001F1993">
      <w:pPr>
        <w:pStyle w:val="FootnoteText"/>
        <w:rPr>
          <w:rFonts w:cs="Times New Roman"/>
          <w:szCs w:val="20"/>
        </w:rPr>
      </w:pPr>
      <w:r w:rsidRPr="00A07B2A">
        <w:rPr>
          <w:rStyle w:val="FootnoteReference"/>
          <w:rFonts w:cs="Times New Roman"/>
          <w:szCs w:val="20"/>
        </w:rPr>
        <w:footnoteRef/>
      </w:r>
      <w:r w:rsidRPr="00A07B2A">
        <w:rPr>
          <w:rFonts w:cs="Times New Roman"/>
          <w:szCs w:val="20"/>
        </w:rPr>
        <w:t xml:space="preserve"> </w:t>
      </w:r>
      <w:r w:rsidRPr="00A07B2A">
        <w:rPr>
          <w:rFonts w:cs="Times New Roman"/>
          <w:noProof/>
          <w:szCs w:val="20"/>
        </w:rPr>
        <w:t xml:space="preserve">Russell and Laycock 2011: 53 ; </w:t>
      </w:r>
      <w:r w:rsidRPr="00A07B2A">
        <w:rPr>
          <w:rFonts w:cs="Times New Roman"/>
          <w:szCs w:val="20"/>
        </w:rPr>
        <w:t xml:space="preserve">Tacitus </w:t>
      </w:r>
      <w:r w:rsidRPr="00A07B2A">
        <w:rPr>
          <w:rFonts w:cs="Times New Roman"/>
          <w:i/>
          <w:szCs w:val="20"/>
        </w:rPr>
        <w:t xml:space="preserve">Annals </w:t>
      </w:r>
      <w:r w:rsidRPr="00A07B2A">
        <w:rPr>
          <w:rFonts w:cs="Times New Roman"/>
          <w:szCs w:val="20"/>
        </w:rPr>
        <w:t>12.32</w:t>
      </w:r>
    </w:p>
  </w:footnote>
  <w:footnote w:id="81">
    <w:p w14:paraId="0CFBFB4C" w14:textId="77777777" w:rsidR="00776C06" w:rsidRPr="00A07B2A" w:rsidRDefault="00776C06" w:rsidP="001F1993">
      <w:pPr>
        <w:pStyle w:val="FootnoteText"/>
        <w:rPr>
          <w:rFonts w:cs="Times New Roman"/>
          <w:szCs w:val="20"/>
        </w:rPr>
      </w:pPr>
      <w:r w:rsidRPr="00A07B2A">
        <w:rPr>
          <w:rStyle w:val="FootnoteReference"/>
          <w:rFonts w:cs="Times New Roman"/>
          <w:szCs w:val="20"/>
        </w:rPr>
        <w:footnoteRef/>
      </w:r>
      <w:r w:rsidRPr="00A07B2A">
        <w:rPr>
          <w:rFonts w:cs="Times New Roman"/>
          <w:szCs w:val="20"/>
        </w:rPr>
        <w:t xml:space="preserve"> </w:t>
      </w:r>
      <w:r w:rsidRPr="00A07B2A">
        <w:rPr>
          <w:rFonts w:cs="Times New Roman"/>
          <w:noProof/>
          <w:szCs w:val="20"/>
        </w:rPr>
        <w:t>Russell and Laycock 2011: 53</w:t>
      </w:r>
    </w:p>
  </w:footnote>
  <w:footnote w:id="82">
    <w:p w14:paraId="39E45346" w14:textId="77777777" w:rsidR="00776C06" w:rsidRPr="00A07B2A" w:rsidRDefault="00776C06" w:rsidP="001F1993">
      <w:pPr>
        <w:pStyle w:val="FootnoteText"/>
        <w:rPr>
          <w:rFonts w:cs="Times New Roman"/>
          <w:szCs w:val="20"/>
        </w:rPr>
      </w:pPr>
      <w:r w:rsidRPr="00A07B2A">
        <w:rPr>
          <w:rStyle w:val="FootnoteReference"/>
          <w:rFonts w:cs="Times New Roman"/>
          <w:szCs w:val="20"/>
        </w:rPr>
        <w:footnoteRef/>
      </w:r>
      <w:r w:rsidRPr="00A07B2A">
        <w:rPr>
          <w:rFonts w:cs="Times New Roman"/>
          <w:szCs w:val="20"/>
        </w:rPr>
        <w:t xml:space="preserve"> </w:t>
      </w:r>
      <w:r w:rsidRPr="00A07B2A">
        <w:rPr>
          <w:rFonts w:cs="Times New Roman"/>
          <w:noProof/>
          <w:szCs w:val="20"/>
        </w:rPr>
        <w:t>Fairclough 2010: 25</w:t>
      </w:r>
    </w:p>
  </w:footnote>
  <w:footnote w:id="83">
    <w:p w14:paraId="075B74E8" w14:textId="77777777" w:rsidR="00776C06" w:rsidRPr="002C3A52" w:rsidRDefault="00776C06" w:rsidP="001F1993">
      <w:pPr>
        <w:pStyle w:val="FootnoteText"/>
        <w:rPr>
          <w:rFonts w:cs="Times New Roman"/>
          <w:szCs w:val="20"/>
        </w:rPr>
      </w:pPr>
      <w:r w:rsidRPr="00A07B2A">
        <w:rPr>
          <w:rStyle w:val="FootnoteReference"/>
          <w:rFonts w:cs="Times New Roman"/>
          <w:szCs w:val="20"/>
        </w:rPr>
        <w:footnoteRef/>
      </w:r>
      <w:r w:rsidRPr="002C3A52">
        <w:rPr>
          <w:rFonts w:cs="Times New Roman"/>
          <w:szCs w:val="20"/>
        </w:rPr>
        <w:t xml:space="preserve"> Tacitus </w:t>
      </w:r>
      <w:r w:rsidRPr="002C3A52">
        <w:rPr>
          <w:rFonts w:cs="Times New Roman"/>
          <w:i/>
          <w:szCs w:val="20"/>
        </w:rPr>
        <w:t xml:space="preserve">Annals </w:t>
      </w:r>
      <w:r w:rsidRPr="002C3A52">
        <w:rPr>
          <w:rFonts w:cs="Times New Roman"/>
          <w:szCs w:val="20"/>
        </w:rPr>
        <w:t>14.32 ; Cassius Dio 62.7</w:t>
      </w:r>
    </w:p>
  </w:footnote>
  <w:footnote w:id="84">
    <w:p w14:paraId="5AA09EE7" w14:textId="77777777" w:rsidR="00776C06" w:rsidRPr="002C3A52" w:rsidRDefault="00776C06" w:rsidP="001F1993">
      <w:pPr>
        <w:pStyle w:val="FootnoteText"/>
        <w:rPr>
          <w:rFonts w:cs="Times New Roman"/>
          <w:szCs w:val="20"/>
        </w:rPr>
      </w:pPr>
      <w:r w:rsidRPr="00A07B2A">
        <w:rPr>
          <w:rStyle w:val="FootnoteReference"/>
          <w:rFonts w:cs="Times New Roman"/>
          <w:szCs w:val="20"/>
        </w:rPr>
        <w:footnoteRef/>
      </w:r>
      <w:r w:rsidRPr="002C3A52">
        <w:rPr>
          <w:rFonts w:cs="Times New Roman"/>
          <w:szCs w:val="20"/>
        </w:rPr>
        <w:t xml:space="preserve"> Tacitus </w:t>
      </w:r>
      <w:r w:rsidRPr="002C3A52">
        <w:rPr>
          <w:rFonts w:cs="Times New Roman"/>
          <w:i/>
          <w:szCs w:val="20"/>
        </w:rPr>
        <w:t xml:space="preserve">Annals </w:t>
      </w:r>
      <w:r w:rsidRPr="002C3A52">
        <w:rPr>
          <w:rFonts w:cs="Times New Roman"/>
          <w:szCs w:val="20"/>
        </w:rPr>
        <w:t>14.32 ; Cassius Dio 62.7</w:t>
      </w:r>
    </w:p>
  </w:footnote>
  <w:footnote w:id="85">
    <w:p w14:paraId="5EFCEDB7" w14:textId="77777777" w:rsidR="00776C06" w:rsidRPr="00A07B2A" w:rsidRDefault="00776C06" w:rsidP="001F1993">
      <w:pPr>
        <w:pStyle w:val="FootnoteText"/>
        <w:rPr>
          <w:rFonts w:cs="Times New Roman"/>
          <w:szCs w:val="20"/>
        </w:rPr>
      </w:pPr>
      <w:r w:rsidRPr="00A07B2A">
        <w:rPr>
          <w:rStyle w:val="FootnoteReference"/>
          <w:rFonts w:cs="Times New Roman"/>
          <w:szCs w:val="20"/>
        </w:rPr>
        <w:footnoteRef/>
      </w:r>
      <w:r w:rsidRPr="00A07B2A">
        <w:rPr>
          <w:rFonts w:cs="Times New Roman"/>
          <w:szCs w:val="20"/>
        </w:rPr>
        <w:t xml:space="preserve"> </w:t>
      </w:r>
      <w:r w:rsidRPr="00A07B2A">
        <w:rPr>
          <w:rFonts w:cs="Times New Roman"/>
          <w:noProof/>
          <w:szCs w:val="20"/>
        </w:rPr>
        <w:t>Hoffmann 2013: 100</w:t>
      </w:r>
    </w:p>
  </w:footnote>
  <w:footnote w:id="86">
    <w:p w14:paraId="2838719B" w14:textId="77777777" w:rsidR="00776C06" w:rsidRPr="001F7111" w:rsidRDefault="00776C06" w:rsidP="001F1993">
      <w:pPr>
        <w:pStyle w:val="FootnoteText"/>
      </w:pPr>
      <w:r w:rsidRPr="00A07B2A">
        <w:rPr>
          <w:rStyle w:val="FootnoteReference"/>
          <w:rFonts w:cs="Times New Roman"/>
          <w:szCs w:val="20"/>
        </w:rPr>
        <w:footnoteRef/>
      </w:r>
      <w:r w:rsidRPr="00A07B2A">
        <w:rPr>
          <w:rFonts w:cs="Times New Roman"/>
          <w:szCs w:val="20"/>
        </w:rPr>
        <w:t xml:space="preserve"> </w:t>
      </w:r>
      <w:r w:rsidRPr="00A07B2A">
        <w:rPr>
          <w:rFonts w:cs="Times New Roman"/>
          <w:noProof/>
          <w:szCs w:val="20"/>
        </w:rPr>
        <w:t>Moorhead and Stuttard 2016: 78</w:t>
      </w:r>
    </w:p>
  </w:footnote>
  <w:footnote w:id="87">
    <w:p w14:paraId="186AFEE8" w14:textId="77777777" w:rsidR="00776C06" w:rsidRPr="00A07B2A" w:rsidRDefault="00776C06" w:rsidP="001F1993">
      <w:pPr>
        <w:pStyle w:val="FootnoteText"/>
        <w:rPr>
          <w:rFonts w:cs="Times New Roman"/>
          <w:szCs w:val="20"/>
        </w:rPr>
      </w:pPr>
      <w:r w:rsidRPr="00A07B2A">
        <w:rPr>
          <w:rStyle w:val="FootnoteReference"/>
          <w:rFonts w:cs="Times New Roman"/>
          <w:szCs w:val="20"/>
        </w:rPr>
        <w:footnoteRef/>
      </w:r>
      <w:r w:rsidRPr="00A07B2A">
        <w:rPr>
          <w:rFonts w:cs="Times New Roman"/>
          <w:szCs w:val="20"/>
        </w:rPr>
        <w:t xml:space="preserve"> </w:t>
      </w:r>
      <w:r w:rsidRPr="00A07B2A">
        <w:rPr>
          <w:rFonts w:cs="Times New Roman"/>
          <w:noProof/>
          <w:szCs w:val="20"/>
        </w:rPr>
        <w:t>Moorhead and Stuttard 2016: 78</w:t>
      </w:r>
    </w:p>
  </w:footnote>
  <w:footnote w:id="88">
    <w:p w14:paraId="5BC1DB94" w14:textId="77777777" w:rsidR="00776C06" w:rsidRPr="002C3A52" w:rsidRDefault="00776C06" w:rsidP="001F1993">
      <w:pPr>
        <w:pStyle w:val="FootnoteText"/>
        <w:rPr>
          <w:rFonts w:cs="Times New Roman"/>
          <w:szCs w:val="20"/>
        </w:rPr>
      </w:pPr>
      <w:r w:rsidRPr="00A07B2A">
        <w:rPr>
          <w:rStyle w:val="FootnoteReference"/>
          <w:rFonts w:cs="Times New Roman"/>
          <w:szCs w:val="20"/>
        </w:rPr>
        <w:footnoteRef/>
      </w:r>
      <w:r w:rsidRPr="002C3A52">
        <w:rPr>
          <w:rFonts w:cs="Times New Roman"/>
          <w:szCs w:val="20"/>
        </w:rPr>
        <w:t xml:space="preserve"> </w:t>
      </w:r>
      <w:r w:rsidRPr="002C3A52">
        <w:rPr>
          <w:rFonts w:cs="Times New Roman"/>
          <w:noProof/>
          <w:szCs w:val="20"/>
        </w:rPr>
        <w:t>Davies 2009: 9</w:t>
      </w:r>
    </w:p>
  </w:footnote>
  <w:footnote w:id="89">
    <w:p w14:paraId="371199AD" w14:textId="77777777" w:rsidR="00776C06" w:rsidRPr="002C3A52" w:rsidRDefault="00776C06" w:rsidP="001F1993">
      <w:pPr>
        <w:pStyle w:val="FootnoteText"/>
        <w:rPr>
          <w:rFonts w:cs="Times New Roman"/>
          <w:szCs w:val="20"/>
        </w:rPr>
      </w:pPr>
      <w:r w:rsidRPr="00A07B2A">
        <w:rPr>
          <w:rStyle w:val="FootnoteReference"/>
          <w:rFonts w:cs="Times New Roman"/>
          <w:szCs w:val="20"/>
        </w:rPr>
        <w:footnoteRef/>
      </w:r>
      <w:r w:rsidRPr="002C3A52">
        <w:rPr>
          <w:rFonts w:cs="Times New Roman"/>
          <w:szCs w:val="20"/>
        </w:rPr>
        <w:t xml:space="preserve"> </w:t>
      </w:r>
      <w:r w:rsidRPr="002C3A52">
        <w:rPr>
          <w:rFonts w:cs="Times New Roman"/>
          <w:noProof/>
          <w:szCs w:val="20"/>
        </w:rPr>
        <w:t>Davies 2009: 10</w:t>
      </w:r>
    </w:p>
  </w:footnote>
  <w:footnote w:id="90">
    <w:p w14:paraId="394164AE" w14:textId="77777777" w:rsidR="00776C06" w:rsidRPr="00A07B2A" w:rsidRDefault="00776C06" w:rsidP="001F1993">
      <w:pPr>
        <w:pStyle w:val="FootnoteText"/>
        <w:rPr>
          <w:rFonts w:cs="Times New Roman"/>
          <w:szCs w:val="20"/>
          <w:lang w:val="fr-CH"/>
        </w:rPr>
      </w:pPr>
      <w:r w:rsidRPr="00A07B2A">
        <w:rPr>
          <w:rStyle w:val="FootnoteReference"/>
          <w:rFonts w:cs="Times New Roman"/>
          <w:szCs w:val="20"/>
        </w:rPr>
        <w:footnoteRef/>
      </w:r>
      <w:r w:rsidRPr="00A07B2A">
        <w:rPr>
          <w:rFonts w:cs="Times New Roman"/>
          <w:szCs w:val="20"/>
          <w:lang w:val="fr-FR"/>
        </w:rPr>
        <w:t xml:space="preserve"> </w:t>
      </w:r>
      <w:r w:rsidRPr="00A07B2A">
        <w:rPr>
          <w:rFonts w:cs="Times New Roman"/>
          <w:noProof/>
          <w:szCs w:val="20"/>
          <w:lang w:val="fr-CH"/>
        </w:rPr>
        <w:t>Davies 2009: 139</w:t>
      </w:r>
    </w:p>
  </w:footnote>
  <w:footnote w:id="91">
    <w:p w14:paraId="1CC03118" w14:textId="77777777" w:rsidR="00776C06" w:rsidRPr="00A07B2A" w:rsidRDefault="00776C06" w:rsidP="001F1993">
      <w:pPr>
        <w:pStyle w:val="FootnoteText"/>
        <w:rPr>
          <w:rFonts w:cs="Times New Roman"/>
          <w:szCs w:val="20"/>
          <w:lang w:val="fr-CH"/>
        </w:rPr>
      </w:pPr>
      <w:r w:rsidRPr="00A07B2A">
        <w:rPr>
          <w:rStyle w:val="FootnoteReference"/>
          <w:rFonts w:cs="Times New Roman"/>
          <w:szCs w:val="20"/>
        </w:rPr>
        <w:footnoteRef/>
      </w:r>
      <w:r w:rsidRPr="00A07B2A">
        <w:rPr>
          <w:rFonts w:cs="Times New Roman"/>
          <w:szCs w:val="20"/>
          <w:lang w:val="fr-FR"/>
        </w:rPr>
        <w:t xml:space="preserve"> </w:t>
      </w:r>
      <w:r w:rsidRPr="00A07B2A">
        <w:rPr>
          <w:rFonts w:cs="Times New Roman"/>
          <w:szCs w:val="20"/>
          <w:lang w:val="fr-CH"/>
        </w:rPr>
        <w:t xml:space="preserve">Tacitus, </w:t>
      </w:r>
      <w:r w:rsidRPr="00A07B2A">
        <w:rPr>
          <w:rFonts w:cs="Times New Roman"/>
          <w:i/>
          <w:szCs w:val="20"/>
          <w:lang w:val="fr-CH"/>
        </w:rPr>
        <w:t>Annals</w:t>
      </w:r>
      <w:r w:rsidRPr="00A07B2A">
        <w:rPr>
          <w:rFonts w:cs="Times New Roman"/>
          <w:szCs w:val="20"/>
          <w:lang w:val="fr-CH"/>
        </w:rPr>
        <w:t xml:space="preserve"> 14.33, Cassius Dio 62.8</w:t>
      </w:r>
    </w:p>
  </w:footnote>
  <w:footnote w:id="92">
    <w:p w14:paraId="14281CF2" w14:textId="77777777" w:rsidR="00776C06" w:rsidRPr="00DD2D9B" w:rsidRDefault="00776C06" w:rsidP="001F1993">
      <w:pPr>
        <w:pStyle w:val="FootnoteText"/>
        <w:rPr>
          <w:lang w:val="fr-CH"/>
        </w:rPr>
      </w:pPr>
      <w:r w:rsidRPr="00A07B2A">
        <w:rPr>
          <w:rStyle w:val="FootnoteReference"/>
          <w:rFonts w:cs="Times New Roman"/>
          <w:szCs w:val="20"/>
        </w:rPr>
        <w:footnoteRef/>
      </w:r>
      <w:r w:rsidRPr="00A07B2A">
        <w:rPr>
          <w:rFonts w:cs="Times New Roman"/>
          <w:szCs w:val="20"/>
          <w:lang w:val="fr-FR"/>
        </w:rPr>
        <w:t xml:space="preserve"> </w:t>
      </w:r>
      <w:r w:rsidRPr="00A07B2A">
        <w:rPr>
          <w:rFonts w:cs="Times New Roman"/>
          <w:noProof/>
          <w:szCs w:val="20"/>
          <w:lang w:val="fr-CH"/>
        </w:rPr>
        <w:t>De La Bédoyère 2016: 27</w:t>
      </w:r>
    </w:p>
  </w:footnote>
  <w:footnote w:id="93">
    <w:p w14:paraId="61EB1E5E" w14:textId="77777777" w:rsidR="00776C06" w:rsidRPr="00A07B2A" w:rsidRDefault="00776C06" w:rsidP="001F1993">
      <w:pPr>
        <w:pStyle w:val="FootnoteText"/>
        <w:rPr>
          <w:rFonts w:cs="Times New Roman"/>
          <w:szCs w:val="20"/>
          <w:lang w:val="fr-CH"/>
        </w:rPr>
      </w:pPr>
      <w:r w:rsidRPr="00A07B2A">
        <w:rPr>
          <w:rStyle w:val="FootnoteReference"/>
          <w:rFonts w:cs="Times New Roman"/>
          <w:szCs w:val="20"/>
        </w:rPr>
        <w:footnoteRef/>
      </w:r>
      <w:r w:rsidRPr="00A07B2A">
        <w:rPr>
          <w:rFonts w:cs="Times New Roman"/>
          <w:szCs w:val="20"/>
          <w:lang w:val="fr-FR"/>
        </w:rPr>
        <w:t xml:space="preserve"> </w:t>
      </w:r>
      <w:r w:rsidRPr="00A07B2A">
        <w:rPr>
          <w:rFonts w:cs="Times New Roman"/>
          <w:noProof/>
          <w:szCs w:val="20"/>
          <w:lang w:val="fr-CH"/>
        </w:rPr>
        <w:t>Dyson 1971: 264</w:t>
      </w:r>
    </w:p>
  </w:footnote>
  <w:footnote w:id="94">
    <w:p w14:paraId="13F8EDAB" w14:textId="77777777" w:rsidR="00776C06" w:rsidRPr="00A07B2A" w:rsidRDefault="00776C06" w:rsidP="001F1993">
      <w:pPr>
        <w:pStyle w:val="FootnoteText"/>
        <w:rPr>
          <w:rFonts w:cs="Times New Roman"/>
          <w:szCs w:val="20"/>
          <w:lang w:val="fr-CH"/>
        </w:rPr>
      </w:pPr>
      <w:r w:rsidRPr="00A07B2A">
        <w:rPr>
          <w:rStyle w:val="FootnoteReference"/>
          <w:rFonts w:cs="Times New Roman"/>
          <w:szCs w:val="20"/>
        </w:rPr>
        <w:footnoteRef/>
      </w:r>
      <w:r w:rsidRPr="00A07B2A">
        <w:rPr>
          <w:rFonts w:cs="Times New Roman"/>
          <w:szCs w:val="20"/>
          <w:lang w:val="fr-FR"/>
        </w:rPr>
        <w:t xml:space="preserve"> </w:t>
      </w:r>
      <w:r w:rsidRPr="00A07B2A">
        <w:rPr>
          <w:rFonts w:cs="Times New Roman"/>
          <w:szCs w:val="20"/>
          <w:lang w:val="fr-CH"/>
        </w:rPr>
        <w:t xml:space="preserve">Tacitus </w:t>
      </w:r>
      <w:r w:rsidRPr="00A07B2A">
        <w:rPr>
          <w:rFonts w:cs="Times New Roman"/>
          <w:i/>
          <w:szCs w:val="20"/>
          <w:lang w:val="fr-CH"/>
        </w:rPr>
        <w:t xml:space="preserve">Histories </w:t>
      </w:r>
      <w:r w:rsidRPr="00A07B2A">
        <w:rPr>
          <w:rFonts w:cs="Times New Roman"/>
          <w:szCs w:val="20"/>
          <w:lang w:val="fr-CH"/>
        </w:rPr>
        <w:t>4.12</w:t>
      </w:r>
    </w:p>
  </w:footnote>
  <w:footnote w:id="95">
    <w:p w14:paraId="4FC273B7" w14:textId="77777777" w:rsidR="00776C06" w:rsidRPr="00A07B2A" w:rsidRDefault="00776C06" w:rsidP="001F1993">
      <w:pPr>
        <w:pStyle w:val="FootnoteText"/>
        <w:rPr>
          <w:rFonts w:cs="Times New Roman"/>
          <w:szCs w:val="20"/>
          <w:lang w:val="fr-CH"/>
        </w:rPr>
      </w:pPr>
      <w:r w:rsidRPr="00A07B2A">
        <w:rPr>
          <w:rStyle w:val="FootnoteReference"/>
          <w:rFonts w:cs="Times New Roman"/>
          <w:szCs w:val="20"/>
        </w:rPr>
        <w:footnoteRef/>
      </w:r>
      <w:r w:rsidRPr="00A07B2A">
        <w:rPr>
          <w:rFonts w:cs="Times New Roman"/>
          <w:szCs w:val="20"/>
          <w:lang w:val="fr-FR"/>
        </w:rPr>
        <w:t xml:space="preserve"> </w:t>
      </w:r>
      <w:r w:rsidRPr="00A07B2A">
        <w:rPr>
          <w:rFonts w:cs="Times New Roman"/>
          <w:noProof/>
          <w:szCs w:val="20"/>
          <w:lang w:val="fr-CH"/>
        </w:rPr>
        <w:t xml:space="preserve">Dyson 1971: 264, </w:t>
      </w:r>
      <w:r w:rsidRPr="00A07B2A">
        <w:rPr>
          <w:rFonts w:cs="Times New Roman"/>
          <w:szCs w:val="20"/>
          <w:lang w:val="fr-CH"/>
        </w:rPr>
        <w:t xml:space="preserve">Tacitus </w:t>
      </w:r>
      <w:r w:rsidRPr="00A07B2A">
        <w:rPr>
          <w:rFonts w:cs="Times New Roman"/>
          <w:i/>
          <w:szCs w:val="20"/>
          <w:lang w:val="fr-CH"/>
        </w:rPr>
        <w:t xml:space="preserve">Histories </w:t>
      </w:r>
      <w:r w:rsidRPr="00A07B2A">
        <w:rPr>
          <w:rFonts w:cs="Times New Roman"/>
          <w:szCs w:val="20"/>
          <w:lang w:val="fr-CH"/>
        </w:rPr>
        <w:t>4.14</w:t>
      </w:r>
    </w:p>
  </w:footnote>
  <w:footnote w:id="96">
    <w:p w14:paraId="71DE0EF7" w14:textId="77777777" w:rsidR="00776C06" w:rsidRPr="00A07B2A" w:rsidRDefault="00776C06" w:rsidP="001F1993">
      <w:pPr>
        <w:pStyle w:val="FootnoteText"/>
        <w:rPr>
          <w:rFonts w:cs="Times New Roman"/>
          <w:szCs w:val="20"/>
          <w:lang w:val="fr-CH"/>
        </w:rPr>
      </w:pPr>
      <w:r w:rsidRPr="00A07B2A">
        <w:rPr>
          <w:rStyle w:val="FootnoteReference"/>
          <w:rFonts w:cs="Times New Roman"/>
          <w:szCs w:val="20"/>
        </w:rPr>
        <w:footnoteRef/>
      </w:r>
      <w:r w:rsidRPr="00A07B2A">
        <w:rPr>
          <w:rFonts w:cs="Times New Roman"/>
          <w:szCs w:val="20"/>
          <w:lang w:val="fr-FR"/>
        </w:rPr>
        <w:t xml:space="preserve"> </w:t>
      </w:r>
      <w:r w:rsidRPr="00A07B2A">
        <w:rPr>
          <w:rFonts w:cs="Times New Roman"/>
          <w:szCs w:val="20"/>
          <w:lang w:val="fr-CH"/>
        </w:rPr>
        <w:t xml:space="preserve">Tacitus </w:t>
      </w:r>
      <w:r w:rsidRPr="00A07B2A">
        <w:rPr>
          <w:rFonts w:cs="Times New Roman"/>
          <w:i/>
          <w:szCs w:val="20"/>
          <w:lang w:val="fr-CH"/>
        </w:rPr>
        <w:t xml:space="preserve">Histories </w:t>
      </w:r>
      <w:r w:rsidRPr="00A07B2A">
        <w:rPr>
          <w:rFonts w:cs="Times New Roman"/>
          <w:szCs w:val="20"/>
          <w:lang w:val="fr-CH"/>
        </w:rPr>
        <w:t>4.61</w:t>
      </w:r>
    </w:p>
  </w:footnote>
  <w:footnote w:id="97">
    <w:p w14:paraId="6EF1119D" w14:textId="77777777" w:rsidR="00776C06" w:rsidRPr="00A07B2A" w:rsidRDefault="00776C06" w:rsidP="001F1993">
      <w:pPr>
        <w:pStyle w:val="FootnoteText"/>
        <w:rPr>
          <w:rFonts w:cs="Times New Roman"/>
          <w:szCs w:val="20"/>
          <w:lang w:val="fr-CH"/>
        </w:rPr>
      </w:pPr>
      <w:r w:rsidRPr="00A07B2A">
        <w:rPr>
          <w:rStyle w:val="FootnoteReference"/>
          <w:rFonts w:cs="Times New Roman"/>
          <w:szCs w:val="20"/>
        </w:rPr>
        <w:footnoteRef/>
      </w:r>
      <w:r w:rsidRPr="00A07B2A">
        <w:rPr>
          <w:rFonts w:cs="Times New Roman"/>
          <w:szCs w:val="20"/>
          <w:lang w:val="fr-FR"/>
        </w:rPr>
        <w:t xml:space="preserve"> </w:t>
      </w:r>
      <w:r w:rsidRPr="00A07B2A">
        <w:rPr>
          <w:rFonts w:cs="Times New Roman"/>
          <w:szCs w:val="20"/>
          <w:lang w:val="fr-CH"/>
        </w:rPr>
        <w:t>Cassius Dio 62.2</w:t>
      </w:r>
    </w:p>
  </w:footnote>
  <w:footnote w:id="98">
    <w:p w14:paraId="313DA5DA" w14:textId="77777777" w:rsidR="00776C06" w:rsidRPr="00A07B2A" w:rsidRDefault="00776C06" w:rsidP="001F1993">
      <w:pPr>
        <w:pStyle w:val="FootnoteText"/>
        <w:rPr>
          <w:rFonts w:cs="Times New Roman"/>
          <w:szCs w:val="20"/>
          <w:lang w:val="fr-CH"/>
        </w:rPr>
      </w:pPr>
      <w:r w:rsidRPr="00A07B2A">
        <w:rPr>
          <w:rStyle w:val="FootnoteReference"/>
          <w:rFonts w:cs="Times New Roman"/>
          <w:szCs w:val="20"/>
        </w:rPr>
        <w:footnoteRef/>
      </w:r>
      <w:r w:rsidRPr="00A07B2A">
        <w:rPr>
          <w:rFonts w:cs="Times New Roman"/>
          <w:szCs w:val="20"/>
          <w:lang w:val="fr-FR"/>
        </w:rPr>
        <w:t xml:space="preserve"> </w:t>
      </w:r>
      <w:r w:rsidRPr="00A07B2A">
        <w:rPr>
          <w:rFonts w:cs="Times New Roman"/>
          <w:noProof/>
          <w:szCs w:val="20"/>
          <w:lang w:val="fr-CH"/>
        </w:rPr>
        <w:t>Dyson 1971: 265</w:t>
      </w:r>
    </w:p>
  </w:footnote>
  <w:footnote w:id="99">
    <w:p w14:paraId="251072BD" w14:textId="77777777" w:rsidR="00776C06" w:rsidRPr="00A07B2A" w:rsidRDefault="00776C06" w:rsidP="001F1993">
      <w:pPr>
        <w:pStyle w:val="FootnoteText"/>
        <w:rPr>
          <w:rFonts w:cs="Times New Roman"/>
          <w:szCs w:val="20"/>
          <w:lang w:val="fr-CH"/>
        </w:rPr>
      </w:pPr>
      <w:r w:rsidRPr="00A07B2A">
        <w:rPr>
          <w:rStyle w:val="FootnoteReference"/>
          <w:rFonts w:cs="Times New Roman"/>
          <w:szCs w:val="20"/>
        </w:rPr>
        <w:footnoteRef/>
      </w:r>
      <w:r w:rsidRPr="00A07B2A">
        <w:rPr>
          <w:rFonts w:cs="Times New Roman"/>
          <w:szCs w:val="20"/>
          <w:lang w:val="fr-FR"/>
        </w:rPr>
        <w:t xml:space="preserve"> </w:t>
      </w:r>
      <w:r w:rsidRPr="00A07B2A">
        <w:rPr>
          <w:rFonts w:cs="Times New Roman"/>
          <w:szCs w:val="20"/>
          <w:lang w:val="fr-CH"/>
        </w:rPr>
        <w:t xml:space="preserve">Tacitus </w:t>
      </w:r>
      <w:r w:rsidRPr="00A07B2A">
        <w:rPr>
          <w:rFonts w:cs="Times New Roman"/>
          <w:i/>
          <w:szCs w:val="20"/>
          <w:lang w:val="fr-CH"/>
        </w:rPr>
        <w:t xml:space="preserve">Histories </w:t>
      </w:r>
      <w:r w:rsidRPr="00A07B2A">
        <w:rPr>
          <w:rFonts w:cs="Times New Roman"/>
          <w:szCs w:val="20"/>
          <w:lang w:val="fr-CH"/>
        </w:rPr>
        <w:t>4.61</w:t>
      </w:r>
    </w:p>
  </w:footnote>
  <w:footnote w:id="100">
    <w:p w14:paraId="030E8EA3" w14:textId="77777777" w:rsidR="00776C06" w:rsidRPr="00A07B2A" w:rsidRDefault="00776C06" w:rsidP="001F1993">
      <w:pPr>
        <w:pStyle w:val="FootnoteText"/>
        <w:rPr>
          <w:rFonts w:cs="Times New Roman"/>
          <w:szCs w:val="20"/>
          <w:lang w:val="fr-CH"/>
        </w:rPr>
      </w:pPr>
      <w:r w:rsidRPr="00A07B2A">
        <w:rPr>
          <w:rStyle w:val="FootnoteReference"/>
          <w:rFonts w:cs="Times New Roman"/>
          <w:szCs w:val="20"/>
        </w:rPr>
        <w:footnoteRef/>
      </w:r>
      <w:r w:rsidRPr="00A07B2A">
        <w:rPr>
          <w:rFonts w:cs="Times New Roman"/>
          <w:szCs w:val="20"/>
          <w:lang w:val="fr-FR"/>
        </w:rPr>
        <w:t xml:space="preserve"> Cassius Dio </w:t>
      </w:r>
      <w:r w:rsidRPr="00A07B2A">
        <w:rPr>
          <w:rFonts w:cs="Times New Roman"/>
          <w:szCs w:val="20"/>
          <w:lang w:val="fr-CH"/>
        </w:rPr>
        <w:t>62.6</w:t>
      </w:r>
    </w:p>
  </w:footnote>
  <w:footnote w:id="101">
    <w:p w14:paraId="6082ABC0" w14:textId="77777777" w:rsidR="00776C06" w:rsidRPr="00A07B2A" w:rsidRDefault="00776C06" w:rsidP="001F1993">
      <w:pPr>
        <w:pStyle w:val="FootnoteText"/>
        <w:rPr>
          <w:rFonts w:cs="Times New Roman"/>
          <w:szCs w:val="20"/>
          <w:lang w:val="fr-CH"/>
        </w:rPr>
      </w:pPr>
      <w:r w:rsidRPr="00A07B2A">
        <w:rPr>
          <w:rStyle w:val="FootnoteReference"/>
          <w:rFonts w:cs="Times New Roman"/>
          <w:szCs w:val="20"/>
        </w:rPr>
        <w:footnoteRef/>
      </w:r>
      <w:r w:rsidRPr="00A07B2A">
        <w:rPr>
          <w:rFonts w:cs="Times New Roman"/>
          <w:szCs w:val="20"/>
          <w:lang w:val="fr-FR"/>
        </w:rPr>
        <w:t xml:space="preserve"> </w:t>
      </w:r>
      <w:r w:rsidRPr="00A07B2A">
        <w:rPr>
          <w:rFonts w:cs="Times New Roman"/>
          <w:noProof/>
          <w:szCs w:val="20"/>
          <w:lang w:val="fr-CH"/>
        </w:rPr>
        <w:t>Dyson 1971: 265-266</w:t>
      </w:r>
    </w:p>
  </w:footnote>
  <w:footnote w:id="102">
    <w:p w14:paraId="1003C8DC" w14:textId="77777777" w:rsidR="00776C06" w:rsidRPr="0013720E" w:rsidRDefault="00776C06" w:rsidP="001F1993">
      <w:pPr>
        <w:pStyle w:val="FootnoteText"/>
        <w:rPr>
          <w:noProof/>
          <w:lang w:val="fr-CH"/>
        </w:rPr>
      </w:pPr>
      <w:r w:rsidRPr="00A07B2A">
        <w:rPr>
          <w:rStyle w:val="FootnoteReference"/>
          <w:rFonts w:cs="Times New Roman"/>
          <w:szCs w:val="20"/>
        </w:rPr>
        <w:footnoteRef/>
      </w:r>
      <w:r w:rsidRPr="00A07B2A">
        <w:rPr>
          <w:rFonts w:cs="Times New Roman"/>
          <w:szCs w:val="20"/>
          <w:lang w:val="fr-FR"/>
        </w:rPr>
        <w:t xml:space="preserve"> </w:t>
      </w:r>
      <w:r w:rsidRPr="00A07B2A">
        <w:rPr>
          <w:rFonts w:cs="Times New Roman"/>
          <w:noProof/>
          <w:szCs w:val="20"/>
          <w:lang w:val="fr-CH"/>
        </w:rPr>
        <w:t>Dyson 1971: 266</w:t>
      </w:r>
    </w:p>
  </w:footnote>
  <w:footnote w:id="103">
    <w:p w14:paraId="7C3D5DCF" w14:textId="77777777" w:rsidR="00776C06" w:rsidRPr="00A07B2A" w:rsidRDefault="00776C06" w:rsidP="001F1993">
      <w:pPr>
        <w:pStyle w:val="FootnoteText"/>
        <w:rPr>
          <w:rFonts w:cs="Times New Roman"/>
          <w:szCs w:val="20"/>
          <w:lang w:val="fr-CH"/>
        </w:rPr>
      </w:pPr>
      <w:r w:rsidRPr="00A07B2A">
        <w:rPr>
          <w:rStyle w:val="FootnoteReference"/>
          <w:rFonts w:cs="Times New Roman"/>
          <w:szCs w:val="20"/>
        </w:rPr>
        <w:footnoteRef/>
      </w:r>
      <w:r w:rsidRPr="00A07B2A">
        <w:rPr>
          <w:rFonts w:cs="Times New Roman"/>
          <w:szCs w:val="20"/>
          <w:lang w:val="fr-FR"/>
        </w:rPr>
        <w:t xml:space="preserve"> </w:t>
      </w:r>
      <w:r w:rsidRPr="00A07B2A">
        <w:rPr>
          <w:rFonts w:cs="Times New Roman"/>
          <w:noProof/>
          <w:szCs w:val="20"/>
          <w:lang w:val="fr-CH"/>
        </w:rPr>
        <w:t>De La Bédoyère 2016: 29</w:t>
      </w:r>
    </w:p>
  </w:footnote>
  <w:footnote w:id="104">
    <w:p w14:paraId="5944CFC0" w14:textId="77777777" w:rsidR="00776C06" w:rsidRPr="00A07B2A" w:rsidRDefault="00776C06" w:rsidP="001F1993">
      <w:pPr>
        <w:pStyle w:val="FootnoteText"/>
        <w:rPr>
          <w:rFonts w:cs="Times New Roman"/>
          <w:szCs w:val="20"/>
          <w:lang w:val="fr-CH"/>
        </w:rPr>
      </w:pPr>
      <w:r w:rsidRPr="00A07B2A">
        <w:rPr>
          <w:rStyle w:val="FootnoteReference"/>
          <w:rFonts w:cs="Times New Roman"/>
          <w:szCs w:val="20"/>
        </w:rPr>
        <w:footnoteRef/>
      </w:r>
      <w:r w:rsidRPr="00854CA6">
        <w:rPr>
          <w:rFonts w:cs="Times New Roman"/>
          <w:szCs w:val="20"/>
          <w:lang w:val="fr-FR"/>
        </w:rPr>
        <w:t xml:space="preserve"> </w:t>
      </w:r>
      <w:r w:rsidRPr="00A07B2A">
        <w:rPr>
          <w:rFonts w:cs="Times New Roman"/>
          <w:noProof/>
          <w:szCs w:val="20"/>
          <w:lang w:val="fr-CH"/>
        </w:rPr>
        <w:t xml:space="preserve">Dyson 1971: 266 ; Tacitus </w:t>
      </w:r>
      <w:r w:rsidRPr="00A07B2A">
        <w:rPr>
          <w:rFonts w:cs="Times New Roman"/>
          <w:i/>
          <w:noProof/>
          <w:szCs w:val="20"/>
          <w:lang w:val="fr-CH"/>
        </w:rPr>
        <w:t xml:space="preserve">Histories </w:t>
      </w:r>
      <w:r w:rsidRPr="00A07B2A">
        <w:rPr>
          <w:rFonts w:cs="Times New Roman"/>
          <w:noProof/>
          <w:szCs w:val="20"/>
          <w:lang w:val="fr-CH"/>
        </w:rPr>
        <w:t>4.14</w:t>
      </w:r>
    </w:p>
  </w:footnote>
  <w:footnote w:id="105">
    <w:p w14:paraId="3FE2D4D6" w14:textId="77777777" w:rsidR="00776C06" w:rsidRPr="00A07B2A" w:rsidRDefault="00776C06" w:rsidP="001F1993">
      <w:pPr>
        <w:pStyle w:val="FootnoteText"/>
        <w:rPr>
          <w:rFonts w:cs="Times New Roman"/>
          <w:szCs w:val="20"/>
          <w:lang w:val="fr-CH"/>
        </w:rPr>
      </w:pPr>
      <w:r w:rsidRPr="00A07B2A">
        <w:rPr>
          <w:rStyle w:val="FootnoteReference"/>
          <w:rFonts w:cs="Times New Roman"/>
          <w:szCs w:val="20"/>
        </w:rPr>
        <w:footnoteRef/>
      </w:r>
      <w:r w:rsidRPr="00854CA6">
        <w:rPr>
          <w:rFonts w:cs="Times New Roman"/>
          <w:szCs w:val="20"/>
          <w:lang w:val="fr-FR"/>
        </w:rPr>
        <w:t xml:space="preserve"> </w:t>
      </w:r>
      <w:r w:rsidRPr="00A07B2A">
        <w:rPr>
          <w:rFonts w:cs="Times New Roman"/>
          <w:szCs w:val="20"/>
          <w:lang w:val="fr-CH"/>
        </w:rPr>
        <w:t xml:space="preserve">Tacitus </w:t>
      </w:r>
      <w:r w:rsidRPr="00A07B2A">
        <w:rPr>
          <w:rFonts w:cs="Times New Roman"/>
          <w:i/>
          <w:szCs w:val="20"/>
          <w:lang w:val="fr-CH"/>
        </w:rPr>
        <w:t>Annals</w:t>
      </w:r>
      <w:r w:rsidRPr="00A07B2A">
        <w:rPr>
          <w:rFonts w:cs="Times New Roman"/>
          <w:szCs w:val="20"/>
          <w:lang w:val="fr-CH"/>
        </w:rPr>
        <w:t xml:space="preserve"> 14.31 ; Cassius Dio 62.2</w:t>
      </w:r>
    </w:p>
  </w:footnote>
  <w:footnote w:id="106">
    <w:p w14:paraId="7C0BF8A5" w14:textId="77777777" w:rsidR="00776C06" w:rsidRPr="009204D3" w:rsidRDefault="00776C06" w:rsidP="001F1993">
      <w:pPr>
        <w:pStyle w:val="FootnoteText"/>
        <w:rPr>
          <w:rFonts w:cs="Times New Roman"/>
          <w:szCs w:val="20"/>
          <w:lang w:val="fr-CH"/>
        </w:rPr>
      </w:pPr>
      <w:r w:rsidRPr="00A07B2A">
        <w:rPr>
          <w:rStyle w:val="FootnoteReference"/>
          <w:rFonts w:cs="Times New Roman"/>
          <w:szCs w:val="20"/>
        </w:rPr>
        <w:footnoteRef/>
      </w:r>
      <w:r w:rsidRPr="00854CA6">
        <w:rPr>
          <w:rFonts w:cs="Times New Roman"/>
          <w:szCs w:val="20"/>
          <w:lang w:val="fr-FR"/>
        </w:rPr>
        <w:t xml:space="preserve"> </w:t>
      </w:r>
      <w:r w:rsidRPr="00A07B2A">
        <w:rPr>
          <w:rFonts w:cs="Times New Roman"/>
          <w:noProof/>
          <w:szCs w:val="20"/>
          <w:lang w:val="fr-CH"/>
        </w:rPr>
        <w:t>Pagán 2017: 9</w:t>
      </w:r>
    </w:p>
  </w:footnote>
  <w:footnote w:id="107">
    <w:p w14:paraId="724EC926" w14:textId="77777777" w:rsidR="00776C06" w:rsidRPr="009204D3" w:rsidRDefault="00776C06" w:rsidP="001F1993">
      <w:pPr>
        <w:pStyle w:val="FootnoteText"/>
        <w:rPr>
          <w:lang w:val="fr-CH"/>
        </w:rPr>
      </w:pPr>
      <w:r w:rsidRPr="009204D3">
        <w:rPr>
          <w:rStyle w:val="FootnoteReference"/>
          <w:rFonts w:cs="Times New Roman"/>
          <w:szCs w:val="20"/>
        </w:rPr>
        <w:footnoteRef/>
      </w:r>
      <w:r w:rsidRPr="00854CA6">
        <w:rPr>
          <w:lang w:val="fr-FR"/>
        </w:rPr>
        <w:t xml:space="preserve"> Tacitus </w:t>
      </w:r>
      <w:r w:rsidRPr="00854CA6">
        <w:rPr>
          <w:i/>
          <w:lang w:val="fr-FR"/>
        </w:rPr>
        <w:t>Annals</w:t>
      </w:r>
      <w:r w:rsidRPr="00854CA6">
        <w:rPr>
          <w:lang w:val="fr-FR"/>
        </w:rPr>
        <w:t xml:space="preserve"> 14.38</w:t>
      </w:r>
    </w:p>
  </w:footnote>
  <w:footnote w:id="108">
    <w:p w14:paraId="5387B6B5" w14:textId="77777777" w:rsidR="00776C06" w:rsidRPr="00F63481" w:rsidRDefault="00776C06" w:rsidP="001F1993">
      <w:pPr>
        <w:pStyle w:val="FootnoteText"/>
        <w:rPr>
          <w:lang w:val="fr-CH"/>
        </w:rPr>
      </w:pPr>
      <w:r>
        <w:rPr>
          <w:rStyle w:val="FootnoteReference"/>
        </w:rPr>
        <w:footnoteRef/>
      </w:r>
      <w:r w:rsidRPr="00854CA6">
        <w:rPr>
          <w:lang w:val="fr-FR"/>
        </w:rPr>
        <w:t xml:space="preserve"> </w:t>
      </w:r>
      <w:r>
        <w:rPr>
          <w:noProof/>
          <w:lang w:val="fr-CH"/>
        </w:rPr>
        <w:t>Davies 2009 : 154</w:t>
      </w:r>
    </w:p>
  </w:footnote>
  <w:footnote w:id="109">
    <w:p w14:paraId="187919FE" w14:textId="77777777" w:rsidR="00776C06" w:rsidRPr="00854CA6" w:rsidRDefault="00776C06" w:rsidP="001F1993">
      <w:pPr>
        <w:pStyle w:val="FootnoteText"/>
      </w:pPr>
      <w:r>
        <w:rPr>
          <w:rStyle w:val="FootnoteReference"/>
        </w:rPr>
        <w:footnoteRef/>
      </w:r>
      <w:r>
        <w:t xml:space="preserve"> </w:t>
      </w:r>
      <w:r w:rsidRPr="00854CA6">
        <w:t xml:space="preserve">Tacitus </w:t>
      </w:r>
      <w:r w:rsidRPr="00854CA6">
        <w:rPr>
          <w:i/>
        </w:rPr>
        <w:t xml:space="preserve">Annals </w:t>
      </w:r>
      <w:r>
        <w:t>14.34</w:t>
      </w:r>
      <w:r w:rsidRPr="00854CA6">
        <w:t>; Cassius Dio 62.12</w:t>
      </w:r>
    </w:p>
  </w:footnote>
  <w:footnote w:id="110">
    <w:p w14:paraId="78E6EFC0" w14:textId="77777777" w:rsidR="00776C06" w:rsidRPr="00854CA6" w:rsidRDefault="00776C06" w:rsidP="001F1993">
      <w:pPr>
        <w:pStyle w:val="FootnoteText"/>
      </w:pPr>
      <w:r>
        <w:rPr>
          <w:rStyle w:val="FootnoteReference"/>
        </w:rPr>
        <w:footnoteRef/>
      </w:r>
      <w:r>
        <w:t xml:space="preserve"> </w:t>
      </w:r>
      <w:r w:rsidRPr="00854CA6">
        <w:rPr>
          <w:noProof/>
        </w:rPr>
        <w:t>Fairclough 2010: 27</w:t>
      </w:r>
    </w:p>
  </w:footnote>
  <w:footnote w:id="111">
    <w:p w14:paraId="4E8887B8" w14:textId="77777777" w:rsidR="00776C06" w:rsidRPr="003E4216" w:rsidRDefault="00776C06" w:rsidP="001F1993">
      <w:pPr>
        <w:pStyle w:val="FootnoteText"/>
      </w:pPr>
      <w:r>
        <w:rPr>
          <w:rStyle w:val="FootnoteReference"/>
        </w:rPr>
        <w:footnoteRef/>
      </w:r>
      <w:r>
        <w:t xml:space="preserve"> </w:t>
      </w:r>
      <w:r w:rsidRPr="00854CA6">
        <w:rPr>
          <w:noProof/>
        </w:rPr>
        <w:t>Davies 2009</w:t>
      </w:r>
      <w:r>
        <w:t>: 154</w:t>
      </w:r>
    </w:p>
  </w:footnote>
  <w:footnote w:id="112">
    <w:p w14:paraId="66CB7821" w14:textId="77777777" w:rsidR="00776C06" w:rsidRPr="00854CA6" w:rsidRDefault="00776C06" w:rsidP="001F1993">
      <w:pPr>
        <w:pStyle w:val="FootnoteText"/>
      </w:pPr>
      <w:r>
        <w:rPr>
          <w:rStyle w:val="FootnoteReference"/>
        </w:rPr>
        <w:footnoteRef/>
      </w:r>
      <w:r>
        <w:t xml:space="preserve"> </w:t>
      </w:r>
      <w:r w:rsidRPr="00854CA6">
        <w:rPr>
          <w:noProof/>
        </w:rPr>
        <w:t>Moorhead and Stuttard 2016: 84</w:t>
      </w:r>
    </w:p>
  </w:footnote>
  <w:footnote w:id="113">
    <w:p w14:paraId="26CC8579" w14:textId="77777777" w:rsidR="00776C06" w:rsidRPr="00AA44D5" w:rsidRDefault="00776C06" w:rsidP="001F1993">
      <w:pPr>
        <w:pStyle w:val="FootnoteText"/>
      </w:pPr>
      <w:r>
        <w:rPr>
          <w:rStyle w:val="FootnoteReference"/>
        </w:rPr>
        <w:footnoteRef/>
      </w:r>
      <w:r w:rsidRPr="00AA44D5">
        <w:t xml:space="preserve"> </w:t>
      </w:r>
      <w:r w:rsidRPr="00AA44D5">
        <w:rPr>
          <w:noProof/>
        </w:rPr>
        <w:t>Hoffmann 2013: 109</w:t>
      </w:r>
    </w:p>
  </w:footnote>
  <w:footnote w:id="114">
    <w:p w14:paraId="0F2933A0" w14:textId="77777777" w:rsidR="00776C06" w:rsidRPr="00AA44D5" w:rsidRDefault="00776C06" w:rsidP="001F1993">
      <w:pPr>
        <w:pStyle w:val="FootnoteText"/>
      </w:pPr>
      <w:r>
        <w:rPr>
          <w:rStyle w:val="FootnoteReference"/>
        </w:rPr>
        <w:footnoteRef/>
      </w:r>
      <w:r w:rsidRPr="00AA44D5">
        <w:t xml:space="preserve"> </w:t>
      </w:r>
      <w:r w:rsidRPr="00AA44D5">
        <w:rPr>
          <w:noProof/>
        </w:rPr>
        <w:t>Davies 2009: 120</w:t>
      </w:r>
    </w:p>
  </w:footnote>
  <w:footnote w:id="115">
    <w:p w14:paraId="3AAE2B3C" w14:textId="77777777" w:rsidR="00776C06" w:rsidRPr="00AA44D5" w:rsidRDefault="00776C06" w:rsidP="001F1993">
      <w:pPr>
        <w:pStyle w:val="FootnoteText"/>
      </w:pPr>
      <w:r>
        <w:rPr>
          <w:rStyle w:val="FootnoteReference"/>
        </w:rPr>
        <w:footnoteRef/>
      </w:r>
      <w:r w:rsidRPr="00AA44D5">
        <w:t xml:space="preserve"> </w:t>
      </w:r>
      <w:r w:rsidRPr="00AA44D5">
        <w:rPr>
          <w:noProof/>
        </w:rPr>
        <w:t>Davies 2009: 151</w:t>
      </w:r>
    </w:p>
  </w:footnote>
  <w:footnote w:id="116">
    <w:p w14:paraId="46BD79C8" w14:textId="77777777" w:rsidR="00776C06" w:rsidRPr="00AA44D5" w:rsidRDefault="00776C06" w:rsidP="001F1993">
      <w:pPr>
        <w:pStyle w:val="FootnoteText"/>
      </w:pPr>
      <w:r>
        <w:rPr>
          <w:rStyle w:val="FootnoteReference"/>
        </w:rPr>
        <w:footnoteRef/>
      </w:r>
      <w:r w:rsidRPr="00AA44D5">
        <w:t xml:space="preserve"> </w:t>
      </w:r>
      <w:r w:rsidRPr="00AA44D5">
        <w:rPr>
          <w:noProof/>
        </w:rPr>
        <w:t>Fairclough 2010: 31</w:t>
      </w:r>
    </w:p>
  </w:footnote>
  <w:footnote w:id="117">
    <w:p w14:paraId="6DF5D774" w14:textId="77777777" w:rsidR="00776C06" w:rsidRPr="00AA44D5" w:rsidRDefault="00776C06" w:rsidP="001F1993">
      <w:pPr>
        <w:pStyle w:val="FootnoteText"/>
      </w:pPr>
      <w:r>
        <w:rPr>
          <w:rStyle w:val="FootnoteReference"/>
        </w:rPr>
        <w:footnoteRef/>
      </w:r>
      <w:r w:rsidRPr="00AA44D5">
        <w:t xml:space="preserve"> </w:t>
      </w:r>
      <w:r w:rsidRPr="00AA44D5">
        <w:rPr>
          <w:noProof/>
        </w:rPr>
        <w:t>Davies 2009: 154</w:t>
      </w:r>
    </w:p>
  </w:footnote>
  <w:footnote w:id="118">
    <w:p w14:paraId="0B576944" w14:textId="77777777" w:rsidR="00776C06" w:rsidRPr="00AA44D5" w:rsidRDefault="00776C06" w:rsidP="001F1993">
      <w:pPr>
        <w:pStyle w:val="FootnoteText"/>
      </w:pPr>
      <w:r>
        <w:rPr>
          <w:rStyle w:val="FootnoteReference"/>
        </w:rPr>
        <w:footnoteRef/>
      </w:r>
      <w:r w:rsidRPr="00AA44D5">
        <w:t xml:space="preserve"> Tacitus </w:t>
      </w:r>
      <w:r w:rsidRPr="00AA44D5">
        <w:rPr>
          <w:i/>
        </w:rPr>
        <w:t xml:space="preserve">Annals </w:t>
      </w:r>
      <w:r w:rsidRPr="00AA44D5">
        <w:t>14.33</w:t>
      </w:r>
    </w:p>
  </w:footnote>
  <w:footnote w:id="119">
    <w:p w14:paraId="336E0D60" w14:textId="77777777" w:rsidR="00776C06" w:rsidRPr="00AA44D5" w:rsidRDefault="00776C06" w:rsidP="001F1993">
      <w:pPr>
        <w:pStyle w:val="FootnoteText"/>
      </w:pPr>
      <w:r>
        <w:rPr>
          <w:rStyle w:val="FootnoteReference"/>
        </w:rPr>
        <w:footnoteRef/>
      </w:r>
      <w:r w:rsidRPr="00AA44D5">
        <w:t xml:space="preserve"> </w:t>
      </w:r>
      <w:r w:rsidRPr="00AA44D5">
        <w:rPr>
          <w:noProof/>
        </w:rPr>
        <w:t>Hoffmann 2013: 108</w:t>
      </w:r>
    </w:p>
  </w:footnote>
  <w:footnote w:id="120">
    <w:p w14:paraId="2003F425" w14:textId="77777777" w:rsidR="00776C06" w:rsidRPr="00AA44D5" w:rsidRDefault="00776C06" w:rsidP="001F1993">
      <w:pPr>
        <w:pStyle w:val="FootnoteText"/>
      </w:pPr>
      <w:r>
        <w:rPr>
          <w:rStyle w:val="FootnoteReference"/>
        </w:rPr>
        <w:footnoteRef/>
      </w:r>
      <w:r w:rsidRPr="00AA44D5">
        <w:t xml:space="preserve"> Webb 2011: 51</w:t>
      </w:r>
    </w:p>
  </w:footnote>
  <w:footnote w:id="121">
    <w:p w14:paraId="52B9E1DE" w14:textId="77777777" w:rsidR="00776C06" w:rsidRPr="00AA44D5" w:rsidRDefault="00776C06" w:rsidP="001F1993">
      <w:pPr>
        <w:pStyle w:val="FootnoteText"/>
      </w:pPr>
      <w:r>
        <w:rPr>
          <w:rStyle w:val="FootnoteReference"/>
        </w:rPr>
        <w:footnoteRef/>
      </w:r>
      <w:r w:rsidRPr="00AA44D5">
        <w:t xml:space="preserve"> Aldrete 2008: 47</w:t>
      </w:r>
    </w:p>
  </w:footnote>
  <w:footnote w:id="122">
    <w:p w14:paraId="401AE4DB" w14:textId="77777777" w:rsidR="00776C06" w:rsidRPr="00854CA6" w:rsidRDefault="00776C06" w:rsidP="001F1993">
      <w:pPr>
        <w:pStyle w:val="FootnoteText"/>
        <w:rPr>
          <w:rFonts w:cs="Times New Roman"/>
          <w:szCs w:val="20"/>
          <w:lang w:val="fr-FR"/>
        </w:rPr>
      </w:pPr>
      <w:r>
        <w:rPr>
          <w:rStyle w:val="FootnoteReference"/>
        </w:rPr>
        <w:footnoteRef/>
      </w:r>
      <w:r w:rsidRPr="00854CA6">
        <w:rPr>
          <w:lang w:val="fr-FR"/>
        </w:rPr>
        <w:t xml:space="preserve"> </w:t>
      </w:r>
      <w:r w:rsidRPr="00854CA6">
        <w:rPr>
          <w:rFonts w:cs="Times New Roman"/>
          <w:szCs w:val="20"/>
          <w:lang w:val="fr-FR"/>
        </w:rPr>
        <w:t xml:space="preserve">Tacitus </w:t>
      </w:r>
      <w:r w:rsidRPr="00854CA6">
        <w:rPr>
          <w:rFonts w:cs="Times New Roman"/>
          <w:i/>
          <w:szCs w:val="20"/>
          <w:lang w:val="fr-FR"/>
        </w:rPr>
        <w:t xml:space="preserve">Annals </w:t>
      </w:r>
      <w:r w:rsidRPr="00854CA6">
        <w:rPr>
          <w:rFonts w:cs="Times New Roman"/>
          <w:szCs w:val="20"/>
          <w:lang w:val="fr-FR"/>
        </w:rPr>
        <w:t>14.32 ; Cassius Dio 62.7</w:t>
      </w:r>
    </w:p>
  </w:footnote>
  <w:footnote w:id="123">
    <w:p w14:paraId="62CA6BEA" w14:textId="77777777" w:rsidR="00776C06" w:rsidRPr="00DC4DDB" w:rsidRDefault="00776C06" w:rsidP="001F1993">
      <w:pPr>
        <w:pStyle w:val="FootnoteText"/>
        <w:rPr>
          <w:lang w:val="fr-CH"/>
        </w:rPr>
      </w:pPr>
      <w:r>
        <w:rPr>
          <w:rStyle w:val="FootnoteReference"/>
        </w:rPr>
        <w:footnoteRef/>
      </w:r>
      <w:r w:rsidRPr="00854CA6">
        <w:rPr>
          <w:lang w:val="fr-FR"/>
        </w:rPr>
        <w:t xml:space="preserve"> </w:t>
      </w:r>
      <w:r>
        <w:rPr>
          <w:noProof/>
          <w:lang w:val="fr-CH"/>
        </w:rPr>
        <w:t>De La Bédoyère 2013: 140-141</w:t>
      </w:r>
    </w:p>
  </w:footnote>
  <w:footnote w:id="124">
    <w:p w14:paraId="0A9ADF5B" w14:textId="77777777" w:rsidR="00776C06" w:rsidRPr="002C3A52" w:rsidRDefault="00776C06" w:rsidP="001F1993">
      <w:pPr>
        <w:pStyle w:val="FootnoteText"/>
      </w:pPr>
      <w:r>
        <w:rPr>
          <w:rStyle w:val="FootnoteReference"/>
        </w:rPr>
        <w:footnoteRef/>
      </w:r>
      <w:r>
        <w:t xml:space="preserve"> </w:t>
      </w:r>
      <w:r w:rsidRPr="00A07B2A">
        <w:rPr>
          <w:rFonts w:cs="Times New Roman"/>
          <w:noProof/>
          <w:szCs w:val="20"/>
        </w:rPr>
        <w:t>Moorhead and Stuttard 2016: 72</w:t>
      </w:r>
    </w:p>
  </w:footnote>
  <w:footnote w:id="125">
    <w:p w14:paraId="72775662" w14:textId="77777777" w:rsidR="00776C06" w:rsidRPr="002C3A52" w:rsidRDefault="00776C06" w:rsidP="001F1993">
      <w:pPr>
        <w:pStyle w:val="FootnoteText"/>
      </w:pPr>
      <w:r>
        <w:rPr>
          <w:rStyle w:val="FootnoteReference"/>
        </w:rPr>
        <w:footnoteRef/>
      </w:r>
      <w:r>
        <w:t xml:space="preserve"> </w:t>
      </w:r>
      <w:r w:rsidRPr="002C3A52">
        <w:rPr>
          <w:noProof/>
        </w:rPr>
        <w:t>Fairclough 2010: 31</w:t>
      </w:r>
    </w:p>
  </w:footnote>
  <w:footnote w:id="126">
    <w:p w14:paraId="31DF2D2D" w14:textId="77777777" w:rsidR="00776C06" w:rsidRPr="00D76063" w:rsidRDefault="00776C06" w:rsidP="00D76063">
      <w:pPr>
        <w:pStyle w:val="FootnoteText"/>
        <w:rPr>
          <w:lang w:val="fr-FR"/>
        </w:rPr>
      </w:pPr>
      <w:r>
        <w:rPr>
          <w:rStyle w:val="FootnoteReference"/>
        </w:rPr>
        <w:footnoteRef/>
      </w:r>
      <w:r w:rsidRPr="00D76063">
        <w:rPr>
          <w:lang w:val="fr-FR"/>
        </w:rPr>
        <w:t xml:space="preserve"> Caesar </w:t>
      </w:r>
      <w:r w:rsidRPr="00D76063">
        <w:rPr>
          <w:i/>
          <w:lang w:val="fr-FR"/>
        </w:rPr>
        <w:t xml:space="preserve">Gallic War </w:t>
      </w:r>
      <w:r w:rsidRPr="00D76063">
        <w:rPr>
          <w:lang w:val="fr-FR"/>
        </w:rPr>
        <w:t>4.23-4.26</w:t>
      </w:r>
    </w:p>
  </w:footnote>
  <w:footnote w:id="127">
    <w:p w14:paraId="59D4F2AF" w14:textId="77777777" w:rsidR="00776C06" w:rsidRPr="00503051" w:rsidRDefault="00776C06" w:rsidP="00D76063">
      <w:pPr>
        <w:pStyle w:val="FootnoteText"/>
        <w:rPr>
          <w:lang w:val="fr-CH"/>
        </w:rPr>
      </w:pPr>
      <w:r>
        <w:rPr>
          <w:rStyle w:val="FootnoteReference"/>
        </w:rPr>
        <w:footnoteRef/>
      </w:r>
      <w:r w:rsidRPr="002C3A52">
        <w:rPr>
          <w:lang w:val="fr-FR"/>
        </w:rPr>
        <w:t xml:space="preserve"> </w:t>
      </w:r>
      <w:r>
        <w:rPr>
          <w:noProof/>
          <w:lang w:val="fr-CH"/>
        </w:rPr>
        <w:t>De La Bédoyère 2016: 4</w:t>
      </w:r>
    </w:p>
  </w:footnote>
  <w:footnote w:id="128">
    <w:p w14:paraId="596F0D86" w14:textId="77777777" w:rsidR="00776C06" w:rsidRPr="00D76063" w:rsidRDefault="00776C06" w:rsidP="00D76063">
      <w:pPr>
        <w:pStyle w:val="FootnoteText"/>
      </w:pPr>
      <w:r>
        <w:rPr>
          <w:rStyle w:val="FootnoteReference"/>
        </w:rPr>
        <w:footnoteRef/>
      </w:r>
      <w:r w:rsidRPr="00D76063">
        <w:t> </w:t>
      </w:r>
      <w:r w:rsidRPr="00D76063">
        <w:rPr>
          <w:noProof/>
        </w:rPr>
        <w:t>Waite 2011</w:t>
      </w:r>
      <w:r w:rsidRPr="00D76063">
        <w:t>: 34</w:t>
      </w:r>
    </w:p>
  </w:footnote>
  <w:footnote w:id="129">
    <w:p w14:paraId="1466A161" w14:textId="77777777" w:rsidR="00776C06" w:rsidRPr="00D76063" w:rsidRDefault="00776C06" w:rsidP="00D76063">
      <w:pPr>
        <w:pStyle w:val="FootnoteText"/>
      </w:pPr>
      <w:r>
        <w:rPr>
          <w:rStyle w:val="FootnoteReference"/>
        </w:rPr>
        <w:footnoteRef/>
      </w:r>
      <w:r w:rsidRPr="00D76063">
        <w:t xml:space="preserve"> Caesar </w:t>
      </w:r>
      <w:r w:rsidRPr="00D76063">
        <w:rPr>
          <w:i/>
        </w:rPr>
        <w:t>Gallic War</w:t>
      </w:r>
      <w:r w:rsidRPr="00D76063">
        <w:t xml:space="preserve"> 4.24</w:t>
      </w:r>
    </w:p>
  </w:footnote>
  <w:footnote w:id="130">
    <w:p w14:paraId="4049B598" w14:textId="77777777" w:rsidR="00776C06" w:rsidRPr="002C3A52" w:rsidRDefault="00776C06" w:rsidP="00D76063">
      <w:pPr>
        <w:pStyle w:val="FootnoteText"/>
      </w:pPr>
      <w:r>
        <w:rPr>
          <w:rStyle w:val="FootnoteReference"/>
        </w:rPr>
        <w:footnoteRef/>
      </w:r>
      <w:r>
        <w:t xml:space="preserve"> </w:t>
      </w:r>
      <w:r w:rsidRPr="002C3A52">
        <w:t xml:space="preserve">Caesar </w:t>
      </w:r>
      <w:r w:rsidRPr="002C3A52">
        <w:rPr>
          <w:i/>
        </w:rPr>
        <w:t>Gallic War</w:t>
      </w:r>
      <w:r w:rsidRPr="002C3A52">
        <w:t xml:space="preserve"> 4.24</w:t>
      </w:r>
    </w:p>
  </w:footnote>
  <w:footnote w:id="131">
    <w:p w14:paraId="66C85A43" w14:textId="77777777" w:rsidR="00776C06" w:rsidRPr="002C3A52" w:rsidRDefault="00776C06" w:rsidP="00D76063">
      <w:pPr>
        <w:pStyle w:val="FootnoteText"/>
      </w:pPr>
      <w:r>
        <w:rPr>
          <w:rStyle w:val="FootnoteReference"/>
        </w:rPr>
        <w:footnoteRef/>
      </w:r>
      <w:r>
        <w:t xml:space="preserve"> </w:t>
      </w:r>
      <w:r w:rsidRPr="002C3A52">
        <w:t xml:space="preserve">Caesar </w:t>
      </w:r>
      <w:r w:rsidRPr="002C3A52">
        <w:rPr>
          <w:i/>
        </w:rPr>
        <w:t>Gallic War</w:t>
      </w:r>
      <w:r w:rsidRPr="002C3A52">
        <w:t xml:space="preserve"> 4.24</w:t>
      </w:r>
    </w:p>
  </w:footnote>
  <w:footnote w:id="132">
    <w:p w14:paraId="2F3BB893" w14:textId="77777777" w:rsidR="00776C06" w:rsidRPr="002C3A52" w:rsidRDefault="00776C06" w:rsidP="00D76063">
      <w:pPr>
        <w:pStyle w:val="FootnoteText"/>
      </w:pPr>
      <w:r>
        <w:rPr>
          <w:rStyle w:val="FootnoteReference"/>
        </w:rPr>
        <w:footnoteRef/>
      </w:r>
      <w:r>
        <w:t xml:space="preserve"> </w:t>
      </w:r>
      <w:r w:rsidRPr="002C3A52">
        <w:rPr>
          <w:noProof/>
        </w:rPr>
        <w:t xml:space="preserve">Hoffmann 2013: 15 ; </w:t>
      </w:r>
      <w:r w:rsidRPr="002C3A52">
        <w:t xml:space="preserve">Caesar </w:t>
      </w:r>
      <w:r w:rsidRPr="002C3A52">
        <w:rPr>
          <w:i/>
        </w:rPr>
        <w:t>Gallic War</w:t>
      </w:r>
      <w:r w:rsidRPr="002C3A52">
        <w:t xml:space="preserve"> 4.25 </w:t>
      </w:r>
    </w:p>
  </w:footnote>
  <w:footnote w:id="133">
    <w:p w14:paraId="21249906" w14:textId="77777777" w:rsidR="00776C06" w:rsidRPr="00607869" w:rsidRDefault="00776C06" w:rsidP="00D76063">
      <w:pPr>
        <w:pStyle w:val="FootnoteText"/>
      </w:pPr>
      <w:r>
        <w:rPr>
          <w:rStyle w:val="FootnoteReference"/>
        </w:rPr>
        <w:footnoteRef/>
      </w:r>
      <w:r>
        <w:t xml:space="preserve"> </w:t>
      </w:r>
      <w:r>
        <w:rPr>
          <w:noProof/>
        </w:rPr>
        <w:t>Hoffmann 2013: 19</w:t>
      </w:r>
    </w:p>
  </w:footnote>
  <w:footnote w:id="134">
    <w:p w14:paraId="140F48CF" w14:textId="77777777" w:rsidR="00776C06" w:rsidRPr="00607869" w:rsidRDefault="00776C06" w:rsidP="00D76063">
      <w:pPr>
        <w:pStyle w:val="FootnoteText"/>
      </w:pPr>
      <w:r>
        <w:rPr>
          <w:rStyle w:val="FootnoteReference"/>
        </w:rPr>
        <w:footnoteRef/>
      </w:r>
      <w:r>
        <w:t xml:space="preserve"> </w:t>
      </w:r>
      <w:r w:rsidRPr="00607869">
        <w:rPr>
          <w:noProof/>
        </w:rPr>
        <w:t xml:space="preserve">Caesar, </w:t>
      </w:r>
      <w:r w:rsidRPr="00607869">
        <w:rPr>
          <w:i/>
          <w:noProof/>
        </w:rPr>
        <w:t>Gallic War</w:t>
      </w:r>
      <w:r w:rsidRPr="00607869">
        <w:rPr>
          <w:noProof/>
        </w:rPr>
        <w:t xml:space="preserve"> 3.9</w:t>
      </w:r>
    </w:p>
  </w:footnote>
  <w:footnote w:id="135">
    <w:p w14:paraId="2968E792" w14:textId="77777777" w:rsidR="00776C06" w:rsidRPr="00B205B9" w:rsidRDefault="00776C06" w:rsidP="00D76063">
      <w:pPr>
        <w:pStyle w:val="FootnoteText"/>
      </w:pPr>
      <w:r>
        <w:rPr>
          <w:rStyle w:val="FootnoteReference"/>
        </w:rPr>
        <w:footnoteRef/>
      </w:r>
      <w:r>
        <w:t xml:space="preserve"> </w:t>
      </w:r>
      <w:r w:rsidRPr="00B205B9">
        <w:rPr>
          <w:noProof/>
        </w:rPr>
        <w:t xml:space="preserve">Caesar, </w:t>
      </w:r>
      <w:r w:rsidRPr="00B205B9">
        <w:rPr>
          <w:i/>
          <w:noProof/>
        </w:rPr>
        <w:t>Gallic War</w:t>
      </w:r>
      <w:r>
        <w:rPr>
          <w:noProof/>
        </w:rPr>
        <w:t xml:space="preserve"> 4.20</w:t>
      </w:r>
    </w:p>
  </w:footnote>
  <w:footnote w:id="136">
    <w:p w14:paraId="3888929F" w14:textId="77777777" w:rsidR="00776C06" w:rsidRPr="00B205B9" w:rsidRDefault="00776C06" w:rsidP="00D76063">
      <w:pPr>
        <w:pStyle w:val="FootnoteText"/>
      </w:pPr>
      <w:r>
        <w:rPr>
          <w:rStyle w:val="FootnoteReference"/>
        </w:rPr>
        <w:footnoteRef/>
      </w:r>
      <w:r>
        <w:t xml:space="preserve"> </w:t>
      </w:r>
      <w:r w:rsidRPr="00B205B9">
        <w:rPr>
          <w:noProof/>
        </w:rPr>
        <w:t>Moorhead and Stuttard 2016: 13</w:t>
      </w:r>
    </w:p>
  </w:footnote>
  <w:footnote w:id="137">
    <w:p w14:paraId="6A6DBBA5" w14:textId="77777777" w:rsidR="00776C06" w:rsidRPr="002C3A52" w:rsidRDefault="00776C06" w:rsidP="00D76063">
      <w:pPr>
        <w:pStyle w:val="FootnoteText"/>
      </w:pPr>
      <w:r>
        <w:rPr>
          <w:rStyle w:val="FootnoteReference"/>
        </w:rPr>
        <w:footnoteRef/>
      </w:r>
      <w:r>
        <w:t xml:space="preserve"> </w:t>
      </w:r>
      <w:r w:rsidRPr="002C3A52">
        <w:t xml:space="preserve">Hobbs and Jackson 2015: 20 </w:t>
      </w:r>
    </w:p>
  </w:footnote>
  <w:footnote w:id="138">
    <w:p w14:paraId="0EC499A3" w14:textId="77777777" w:rsidR="00776C06" w:rsidRPr="002C3A52" w:rsidRDefault="00776C06" w:rsidP="00D76063">
      <w:pPr>
        <w:pStyle w:val="FootnoteText"/>
      </w:pPr>
      <w:r>
        <w:rPr>
          <w:rStyle w:val="FootnoteReference"/>
        </w:rPr>
        <w:footnoteRef/>
      </w:r>
      <w:r>
        <w:t xml:space="preserve"> </w:t>
      </w:r>
      <w:r w:rsidRPr="00B205B9">
        <w:rPr>
          <w:noProof/>
        </w:rPr>
        <w:t xml:space="preserve">Caesar, </w:t>
      </w:r>
      <w:r w:rsidRPr="00B205B9">
        <w:rPr>
          <w:i/>
          <w:noProof/>
        </w:rPr>
        <w:t>Gallic War</w:t>
      </w:r>
      <w:r>
        <w:rPr>
          <w:noProof/>
        </w:rPr>
        <w:t xml:space="preserve"> 4.27</w:t>
      </w:r>
    </w:p>
  </w:footnote>
  <w:footnote w:id="139">
    <w:p w14:paraId="2746BCE3" w14:textId="77777777" w:rsidR="00776C06" w:rsidRPr="002C3A52" w:rsidRDefault="00776C06" w:rsidP="00D76063">
      <w:pPr>
        <w:pStyle w:val="FootnoteText"/>
      </w:pPr>
      <w:r>
        <w:rPr>
          <w:rStyle w:val="FootnoteReference"/>
        </w:rPr>
        <w:footnoteRef/>
      </w:r>
      <w:r>
        <w:t xml:space="preserve"> </w:t>
      </w:r>
      <w:r w:rsidRPr="00B205B9">
        <w:rPr>
          <w:noProof/>
        </w:rPr>
        <w:t xml:space="preserve">Caesar, </w:t>
      </w:r>
      <w:r w:rsidRPr="00B205B9">
        <w:rPr>
          <w:i/>
          <w:noProof/>
        </w:rPr>
        <w:t>Gallic War</w:t>
      </w:r>
      <w:r>
        <w:rPr>
          <w:noProof/>
        </w:rPr>
        <w:t xml:space="preserve"> 4.30</w:t>
      </w:r>
    </w:p>
  </w:footnote>
  <w:footnote w:id="140">
    <w:p w14:paraId="5FC90C8E" w14:textId="77777777" w:rsidR="00776C06" w:rsidRPr="002C3A52" w:rsidRDefault="00776C06" w:rsidP="00D76063">
      <w:pPr>
        <w:pStyle w:val="FootnoteText"/>
      </w:pPr>
      <w:r>
        <w:rPr>
          <w:rStyle w:val="FootnoteReference"/>
        </w:rPr>
        <w:footnoteRef/>
      </w:r>
      <w:r>
        <w:t xml:space="preserve"> </w:t>
      </w:r>
      <w:r w:rsidRPr="00B205B9">
        <w:rPr>
          <w:noProof/>
        </w:rPr>
        <w:t xml:space="preserve">Caesar, </w:t>
      </w:r>
      <w:r w:rsidRPr="00B205B9">
        <w:rPr>
          <w:i/>
          <w:noProof/>
        </w:rPr>
        <w:t>Gallic War</w:t>
      </w:r>
      <w:r>
        <w:rPr>
          <w:noProof/>
        </w:rPr>
        <w:t xml:space="preserve"> 4.36</w:t>
      </w:r>
    </w:p>
  </w:footnote>
  <w:footnote w:id="141">
    <w:p w14:paraId="3EF3975A" w14:textId="77777777" w:rsidR="00776C06" w:rsidRPr="002C3A52" w:rsidRDefault="00776C06" w:rsidP="00D76063">
      <w:pPr>
        <w:pStyle w:val="FootnoteText"/>
      </w:pPr>
      <w:r>
        <w:rPr>
          <w:rStyle w:val="FootnoteReference"/>
        </w:rPr>
        <w:footnoteRef/>
      </w:r>
      <w:r>
        <w:t xml:space="preserve"> </w:t>
      </w:r>
      <w:r w:rsidRPr="00B205B9">
        <w:rPr>
          <w:noProof/>
        </w:rPr>
        <w:t xml:space="preserve">Caesar, </w:t>
      </w:r>
      <w:r w:rsidRPr="00B205B9">
        <w:rPr>
          <w:i/>
          <w:noProof/>
        </w:rPr>
        <w:t>Gallic War</w:t>
      </w:r>
      <w:r>
        <w:rPr>
          <w:noProof/>
        </w:rPr>
        <w:t xml:space="preserve"> 5.8-5.22</w:t>
      </w:r>
    </w:p>
  </w:footnote>
  <w:footnote w:id="142">
    <w:p w14:paraId="22022386" w14:textId="77777777" w:rsidR="00776C06" w:rsidRPr="002C3A52" w:rsidRDefault="00776C06" w:rsidP="00D76063">
      <w:pPr>
        <w:pStyle w:val="FootnoteText"/>
      </w:pPr>
      <w:r>
        <w:rPr>
          <w:rStyle w:val="FootnoteReference"/>
        </w:rPr>
        <w:footnoteRef/>
      </w:r>
      <w:r>
        <w:t xml:space="preserve"> </w:t>
      </w:r>
      <w:r w:rsidRPr="00B205B9">
        <w:rPr>
          <w:noProof/>
        </w:rPr>
        <w:t xml:space="preserve">Caesar, </w:t>
      </w:r>
      <w:r w:rsidRPr="00B205B9">
        <w:rPr>
          <w:i/>
          <w:noProof/>
        </w:rPr>
        <w:t>Gallic War</w:t>
      </w:r>
      <w:r>
        <w:rPr>
          <w:noProof/>
        </w:rPr>
        <w:t xml:space="preserve"> 5.12-5.14</w:t>
      </w:r>
    </w:p>
  </w:footnote>
  <w:footnote w:id="143">
    <w:p w14:paraId="47199EA0" w14:textId="77777777" w:rsidR="00776C06" w:rsidRPr="002C3A52" w:rsidRDefault="00776C06" w:rsidP="00D76063">
      <w:pPr>
        <w:pStyle w:val="FootnoteText"/>
      </w:pPr>
      <w:r>
        <w:rPr>
          <w:rStyle w:val="FootnoteReference"/>
        </w:rPr>
        <w:footnoteRef/>
      </w:r>
      <w:r>
        <w:t xml:space="preserve"> </w:t>
      </w:r>
      <w:r w:rsidRPr="00B205B9">
        <w:rPr>
          <w:noProof/>
        </w:rPr>
        <w:t xml:space="preserve">Caesar, </w:t>
      </w:r>
      <w:r w:rsidRPr="00B205B9">
        <w:rPr>
          <w:i/>
          <w:noProof/>
        </w:rPr>
        <w:t>Gallic War</w:t>
      </w:r>
      <w:r>
        <w:rPr>
          <w:noProof/>
        </w:rPr>
        <w:t xml:space="preserve"> 5.8</w:t>
      </w:r>
    </w:p>
  </w:footnote>
  <w:footnote w:id="144">
    <w:p w14:paraId="3CE73CE3" w14:textId="77777777" w:rsidR="00776C06" w:rsidRPr="00590DFD" w:rsidRDefault="00776C06" w:rsidP="00D76063">
      <w:pPr>
        <w:pStyle w:val="FootnoteText"/>
      </w:pPr>
      <w:r>
        <w:rPr>
          <w:rStyle w:val="FootnoteReference"/>
        </w:rPr>
        <w:footnoteRef/>
      </w:r>
      <w:r>
        <w:t xml:space="preserve"> </w:t>
      </w:r>
      <w:r w:rsidRPr="00590DFD">
        <w:t xml:space="preserve">Cassius Dio 40.2; </w:t>
      </w:r>
      <w:r w:rsidRPr="00B205B9">
        <w:rPr>
          <w:noProof/>
        </w:rPr>
        <w:t xml:space="preserve">Caesar, </w:t>
      </w:r>
      <w:r w:rsidRPr="00B205B9">
        <w:rPr>
          <w:i/>
          <w:noProof/>
        </w:rPr>
        <w:t>Gallic War</w:t>
      </w:r>
      <w:r>
        <w:rPr>
          <w:noProof/>
        </w:rPr>
        <w:t xml:space="preserve"> 5.11</w:t>
      </w:r>
    </w:p>
  </w:footnote>
  <w:footnote w:id="145">
    <w:p w14:paraId="0E17A55D" w14:textId="77777777" w:rsidR="00776C06" w:rsidRPr="002C3A52" w:rsidRDefault="00776C06" w:rsidP="00D76063">
      <w:pPr>
        <w:pStyle w:val="FootnoteText"/>
      </w:pPr>
      <w:r>
        <w:rPr>
          <w:rStyle w:val="FootnoteReference"/>
        </w:rPr>
        <w:footnoteRef/>
      </w:r>
      <w:r>
        <w:t xml:space="preserve"> </w:t>
      </w:r>
      <w:r w:rsidRPr="00B205B9">
        <w:rPr>
          <w:noProof/>
        </w:rPr>
        <w:t xml:space="preserve">Caesar, </w:t>
      </w:r>
      <w:r w:rsidRPr="00B205B9">
        <w:rPr>
          <w:i/>
          <w:noProof/>
        </w:rPr>
        <w:t>Gallic War</w:t>
      </w:r>
      <w:r>
        <w:rPr>
          <w:noProof/>
        </w:rPr>
        <w:t xml:space="preserve"> 5.11</w:t>
      </w:r>
    </w:p>
  </w:footnote>
  <w:footnote w:id="146">
    <w:p w14:paraId="3C2F8C8B" w14:textId="77777777" w:rsidR="00776C06" w:rsidRPr="002C3A52" w:rsidRDefault="00776C06" w:rsidP="00D76063">
      <w:pPr>
        <w:pStyle w:val="FootnoteText"/>
      </w:pPr>
      <w:r>
        <w:rPr>
          <w:rStyle w:val="FootnoteReference"/>
        </w:rPr>
        <w:footnoteRef/>
      </w:r>
      <w:r>
        <w:t xml:space="preserve"> </w:t>
      </w:r>
      <w:r w:rsidRPr="00B205B9">
        <w:rPr>
          <w:noProof/>
        </w:rPr>
        <w:t xml:space="preserve">Caesar, </w:t>
      </w:r>
      <w:r w:rsidRPr="00B205B9">
        <w:rPr>
          <w:i/>
          <w:noProof/>
        </w:rPr>
        <w:t>Gallic War</w:t>
      </w:r>
      <w:r>
        <w:rPr>
          <w:noProof/>
        </w:rPr>
        <w:t xml:space="preserve"> 5.20</w:t>
      </w:r>
    </w:p>
  </w:footnote>
  <w:footnote w:id="147">
    <w:p w14:paraId="072F8D56" w14:textId="022C7319" w:rsidR="00776C06" w:rsidRPr="00AA44D5" w:rsidRDefault="00776C06" w:rsidP="00D76063">
      <w:pPr>
        <w:pStyle w:val="FootnoteText"/>
      </w:pPr>
      <w:r>
        <w:rPr>
          <w:rStyle w:val="FootnoteReference"/>
        </w:rPr>
        <w:footnoteRef/>
      </w:r>
      <w:r>
        <w:t xml:space="preserve"> </w:t>
      </w:r>
      <w:r w:rsidRPr="00AA44D5">
        <w:t xml:space="preserve">Braund </w:t>
      </w:r>
      <w:r w:rsidRPr="0061374D">
        <w:rPr>
          <w:noProof/>
        </w:rPr>
        <w:t>1996</w:t>
      </w:r>
      <w:r w:rsidRPr="00B07C80">
        <w:rPr>
          <w:noProof/>
        </w:rPr>
        <w:t> </w:t>
      </w:r>
      <w:r w:rsidRPr="00AA44D5">
        <w:t> : 64-65</w:t>
      </w:r>
    </w:p>
  </w:footnote>
  <w:footnote w:id="148">
    <w:p w14:paraId="464DD1BE" w14:textId="77777777" w:rsidR="00776C06" w:rsidRPr="000A434F" w:rsidRDefault="00776C06" w:rsidP="00D76063">
      <w:pPr>
        <w:pStyle w:val="FootnoteText"/>
      </w:pPr>
      <w:r>
        <w:rPr>
          <w:rStyle w:val="FootnoteReference"/>
        </w:rPr>
        <w:footnoteRef/>
      </w:r>
      <w:r>
        <w:t xml:space="preserve"> </w:t>
      </w:r>
      <w:r w:rsidRPr="000A434F">
        <w:rPr>
          <w:noProof/>
        </w:rPr>
        <w:t>Hoffmann 2013: 16</w:t>
      </w:r>
    </w:p>
  </w:footnote>
  <w:footnote w:id="149">
    <w:p w14:paraId="32743406" w14:textId="77777777" w:rsidR="00776C06" w:rsidRPr="002F44D2" w:rsidRDefault="00776C06" w:rsidP="00D76063">
      <w:pPr>
        <w:pStyle w:val="FootnoteText"/>
      </w:pPr>
      <w:r>
        <w:rPr>
          <w:rStyle w:val="FootnoteReference"/>
        </w:rPr>
        <w:footnoteRef/>
      </w:r>
      <w:r>
        <w:t xml:space="preserve"> </w:t>
      </w:r>
      <w:r w:rsidRPr="002F44D2">
        <w:t xml:space="preserve">Plutarch, </w:t>
      </w:r>
      <w:r w:rsidRPr="002F44D2">
        <w:rPr>
          <w:i/>
        </w:rPr>
        <w:t>Caesar</w:t>
      </w:r>
      <w:r>
        <w:t xml:space="preserve"> 23.3</w:t>
      </w:r>
      <w:r w:rsidRPr="002F44D2">
        <w:t xml:space="preserve">; Cassius Dio 40.2 ; Caesar </w:t>
      </w:r>
      <w:r w:rsidRPr="002F44D2">
        <w:rPr>
          <w:i/>
        </w:rPr>
        <w:t xml:space="preserve">Gallic War </w:t>
      </w:r>
      <w:r>
        <w:t>5.11</w:t>
      </w:r>
    </w:p>
  </w:footnote>
  <w:footnote w:id="150">
    <w:p w14:paraId="2EFCA764" w14:textId="77777777" w:rsidR="00776C06" w:rsidRPr="002C3A52" w:rsidRDefault="00776C06" w:rsidP="00D76063">
      <w:pPr>
        <w:pStyle w:val="FootnoteText"/>
      </w:pPr>
      <w:r>
        <w:rPr>
          <w:rStyle w:val="FootnoteReference"/>
        </w:rPr>
        <w:footnoteRef/>
      </w:r>
      <w:r>
        <w:t xml:space="preserve"> </w:t>
      </w:r>
      <w:r w:rsidRPr="002F44D2">
        <w:t xml:space="preserve">Caesar </w:t>
      </w:r>
      <w:r w:rsidRPr="002F44D2">
        <w:rPr>
          <w:i/>
        </w:rPr>
        <w:t xml:space="preserve">Gallic War </w:t>
      </w:r>
      <w:r>
        <w:t>5.18</w:t>
      </w:r>
    </w:p>
  </w:footnote>
  <w:footnote w:id="151">
    <w:p w14:paraId="2DAE7FAC" w14:textId="77777777" w:rsidR="00776C06" w:rsidRPr="002C3A52" w:rsidRDefault="00776C06" w:rsidP="00D76063">
      <w:pPr>
        <w:pStyle w:val="FootnoteText"/>
      </w:pPr>
      <w:r>
        <w:rPr>
          <w:rStyle w:val="FootnoteReference"/>
        </w:rPr>
        <w:footnoteRef/>
      </w:r>
      <w:r>
        <w:t xml:space="preserve"> </w:t>
      </w:r>
      <w:r w:rsidRPr="002F44D2">
        <w:t xml:space="preserve">Caesar </w:t>
      </w:r>
      <w:r w:rsidRPr="002F44D2">
        <w:rPr>
          <w:i/>
        </w:rPr>
        <w:t xml:space="preserve">Gallic War </w:t>
      </w:r>
      <w:r>
        <w:t>5.22</w:t>
      </w:r>
    </w:p>
  </w:footnote>
  <w:footnote w:id="152">
    <w:p w14:paraId="1A64A2E2" w14:textId="77777777" w:rsidR="00776C06" w:rsidRPr="002C3A52" w:rsidRDefault="00776C06" w:rsidP="00D76063">
      <w:pPr>
        <w:pStyle w:val="FootnoteText"/>
      </w:pPr>
      <w:r>
        <w:rPr>
          <w:rStyle w:val="FootnoteReference"/>
        </w:rPr>
        <w:footnoteRef/>
      </w:r>
      <w:r>
        <w:t xml:space="preserve"> </w:t>
      </w:r>
      <w:r w:rsidRPr="002F44D2">
        <w:t xml:space="preserve">Caesar </w:t>
      </w:r>
      <w:r w:rsidRPr="002F44D2">
        <w:rPr>
          <w:i/>
        </w:rPr>
        <w:t xml:space="preserve">Gallic War </w:t>
      </w:r>
      <w:r>
        <w:t>5.23-24</w:t>
      </w:r>
    </w:p>
  </w:footnote>
  <w:footnote w:id="153">
    <w:p w14:paraId="21C970D3" w14:textId="77777777" w:rsidR="00776C06" w:rsidRPr="002C3A52" w:rsidRDefault="00776C06" w:rsidP="00D76063">
      <w:pPr>
        <w:pStyle w:val="FootnoteText"/>
      </w:pPr>
      <w:r>
        <w:rPr>
          <w:rStyle w:val="FootnoteReference"/>
        </w:rPr>
        <w:footnoteRef/>
      </w:r>
      <w:r>
        <w:t xml:space="preserve"> </w:t>
      </w:r>
      <w:r w:rsidRPr="002C3A52">
        <w:rPr>
          <w:noProof/>
        </w:rPr>
        <w:t>Hobbs and Jackson 2015: 20</w:t>
      </w:r>
    </w:p>
  </w:footnote>
  <w:footnote w:id="154">
    <w:p w14:paraId="47FA1562" w14:textId="77777777" w:rsidR="00776C06" w:rsidRPr="002C3A52" w:rsidRDefault="00776C06" w:rsidP="00D76063">
      <w:pPr>
        <w:pStyle w:val="FootnoteText"/>
      </w:pPr>
      <w:r>
        <w:rPr>
          <w:rStyle w:val="FootnoteReference"/>
        </w:rPr>
        <w:footnoteRef/>
      </w:r>
      <w:r>
        <w:t xml:space="preserve"> </w:t>
      </w:r>
      <w:r w:rsidRPr="002F44D2">
        <w:t xml:space="preserve">Caesar </w:t>
      </w:r>
      <w:r w:rsidRPr="002F44D2">
        <w:rPr>
          <w:i/>
        </w:rPr>
        <w:t xml:space="preserve">Gallic War </w:t>
      </w:r>
      <w:r>
        <w:t>5.22</w:t>
      </w:r>
    </w:p>
  </w:footnote>
  <w:footnote w:id="155">
    <w:p w14:paraId="60133C6C" w14:textId="77777777" w:rsidR="00776C06" w:rsidRPr="002C3A52" w:rsidRDefault="00776C06" w:rsidP="00D76063">
      <w:pPr>
        <w:pStyle w:val="FootnoteText"/>
      </w:pPr>
      <w:r>
        <w:rPr>
          <w:rStyle w:val="FootnoteReference"/>
        </w:rPr>
        <w:footnoteRef/>
      </w:r>
      <w:r>
        <w:t xml:space="preserve"> </w:t>
      </w:r>
      <w:r w:rsidRPr="002C3A52">
        <w:t xml:space="preserve">Tacitus, </w:t>
      </w:r>
      <w:r w:rsidRPr="002C3A52">
        <w:rPr>
          <w:i/>
        </w:rPr>
        <w:t>Agricola</w:t>
      </w:r>
      <w:r w:rsidRPr="002C3A52">
        <w:t>, 13</w:t>
      </w:r>
    </w:p>
  </w:footnote>
  <w:footnote w:id="156">
    <w:p w14:paraId="5D01E3AF" w14:textId="77777777" w:rsidR="00776C06" w:rsidRPr="0064628C" w:rsidRDefault="00776C06" w:rsidP="00D76063">
      <w:pPr>
        <w:pStyle w:val="FootnoteText"/>
      </w:pPr>
      <w:r>
        <w:rPr>
          <w:rStyle w:val="FootnoteReference"/>
        </w:rPr>
        <w:footnoteRef/>
      </w:r>
      <w:r>
        <w:t xml:space="preserve"> </w:t>
      </w:r>
      <w:r w:rsidRPr="0064628C">
        <w:rPr>
          <w:noProof/>
        </w:rPr>
        <w:t>Hobbs and Jackson 2015: 125</w:t>
      </w:r>
    </w:p>
  </w:footnote>
  <w:footnote w:id="157">
    <w:p w14:paraId="2C88925B" w14:textId="77777777" w:rsidR="00776C06" w:rsidRPr="0064628C" w:rsidRDefault="00776C06" w:rsidP="00D76063">
      <w:pPr>
        <w:pStyle w:val="FootnoteText"/>
      </w:pPr>
      <w:r>
        <w:rPr>
          <w:rStyle w:val="FootnoteReference"/>
        </w:rPr>
        <w:footnoteRef/>
      </w:r>
      <w:r>
        <w:t xml:space="preserve"> </w:t>
      </w:r>
      <w:r>
        <w:rPr>
          <w:noProof/>
        </w:rPr>
        <w:t xml:space="preserve">Hutton 2011: 3; </w:t>
      </w:r>
      <w:r w:rsidRPr="002F44D2">
        <w:t xml:space="preserve">Caesar </w:t>
      </w:r>
      <w:r w:rsidRPr="002F44D2">
        <w:rPr>
          <w:i/>
        </w:rPr>
        <w:t xml:space="preserve">Gallic War </w:t>
      </w:r>
      <w:r>
        <w:t>6.14</w:t>
      </w:r>
    </w:p>
  </w:footnote>
  <w:footnote w:id="158">
    <w:p w14:paraId="0E638879" w14:textId="77777777" w:rsidR="00776C06" w:rsidRPr="0064628C" w:rsidRDefault="00776C06" w:rsidP="00D76063">
      <w:pPr>
        <w:pStyle w:val="FootnoteText"/>
      </w:pPr>
      <w:r>
        <w:rPr>
          <w:rStyle w:val="FootnoteReference"/>
        </w:rPr>
        <w:footnoteRef/>
      </w:r>
      <w:r>
        <w:t xml:space="preserve"> </w:t>
      </w:r>
      <w:r w:rsidRPr="0064628C">
        <w:rPr>
          <w:noProof/>
        </w:rPr>
        <w:t>Morse 2005: 35</w:t>
      </w:r>
    </w:p>
  </w:footnote>
  <w:footnote w:id="159">
    <w:p w14:paraId="1B775483" w14:textId="77777777" w:rsidR="00776C06" w:rsidRPr="0064628C" w:rsidRDefault="00776C06" w:rsidP="00D76063">
      <w:pPr>
        <w:pStyle w:val="FootnoteText"/>
      </w:pPr>
      <w:r>
        <w:rPr>
          <w:rStyle w:val="FootnoteReference"/>
        </w:rPr>
        <w:footnoteRef/>
      </w:r>
      <w:r>
        <w:t xml:space="preserve"> </w:t>
      </w:r>
      <w:r w:rsidRPr="002F44D2">
        <w:t xml:space="preserve">Caesar </w:t>
      </w:r>
      <w:r w:rsidRPr="002F44D2">
        <w:rPr>
          <w:i/>
        </w:rPr>
        <w:t xml:space="preserve">Gallic War </w:t>
      </w:r>
      <w:r>
        <w:t>6.13</w:t>
      </w:r>
    </w:p>
  </w:footnote>
  <w:footnote w:id="160">
    <w:p w14:paraId="4BF1F52A" w14:textId="77777777" w:rsidR="00776C06" w:rsidRPr="0070365C" w:rsidRDefault="00776C06" w:rsidP="00D76063">
      <w:pPr>
        <w:pStyle w:val="FootnoteText"/>
      </w:pPr>
      <w:r>
        <w:rPr>
          <w:rStyle w:val="FootnoteReference"/>
        </w:rPr>
        <w:footnoteRef/>
      </w:r>
      <w:r>
        <w:t xml:space="preserve"> </w:t>
      </w:r>
      <w:r w:rsidRPr="002F44D2">
        <w:t xml:space="preserve">Caesar </w:t>
      </w:r>
      <w:r w:rsidRPr="002F44D2">
        <w:rPr>
          <w:i/>
        </w:rPr>
        <w:t xml:space="preserve">Gallic War </w:t>
      </w:r>
      <w:r>
        <w:t>6.13</w:t>
      </w:r>
    </w:p>
  </w:footnote>
  <w:footnote w:id="161">
    <w:p w14:paraId="1C57225A" w14:textId="77777777" w:rsidR="00776C06" w:rsidRPr="00734DB6" w:rsidRDefault="00776C06" w:rsidP="00D76063">
      <w:pPr>
        <w:pStyle w:val="FootnoteText"/>
      </w:pPr>
      <w:r>
        <w:rPr>
          <w:rStyle w:val="FootnoteReference"/>
        </w:rPr>
        <w:footnoteRef/>
      </w:r>
      <w:r>
        <w:t xml:space="preserve"> </w:t>
      </w:r>
      <w:r w:rsidRPr="002F44D2">
        <w:t xml:space="preserve">Caesar </w:t>
      </w:r>
      <w:r w:rsidRPr="002F44D2">
        <w:rPr>
          <w:i/>
        </w:rPr>
        <w:t xml:space="preserve">Gallic War </w:t>
      </w:r>
      <w:r>
        <w:t>6.13-6.18</w:t>
      </w:r>
    </w:p>
  </w:footnote>
  <w:footnote w:id="162">
    <w:p w14:paraId="55CDA538" w14:textId="77777777" w:rsidR="00776C06" w:rsidRPr="0070365C" w:rsidRDefault="00776C06" w:rsidP="00D76063">
      <w:pPr>
        <w:pStyle w:val="FootnoteText"/>
      </w:pPr>
      <w:r>
        <w:rPr>
          <w:rStyle w:val="FootnoteReference"/>
        </w:rPr>
        <w:footnoteRef/>
      </w:r>
      <w:r>
        <w:t xml:space="preserve"> Hutton 2011: 4</w:t>
      </w:r>
    </w:p>
  </w:footnote>
  <w:footnote w:id="163">
    <w:p w14:paraId="4D483CF8" w14:textId="77777777" w:rsidR="00776C06" w:rsidRPr="002C3A52" w:rsidRDefault="00776C06" w:rsidP="00D76063">
      <w:pPr>
        <w:pStyle w:val="FootnoteText"/>
      </w:pPr>
      <w:r>
        <w:rPr>
          <w:rStyle w:val="FootnoteReference"/>
        </w:rPr>
        <w:footnoteRef/>
      </w:r>
      <w:r>
        <w:t xml:space="preserve"> </w:t>
      </w:r>
      <w:r w:rsidRPr="002C3A52">
        <w:t xml:space="preserve">Tacitus, </w:t>
      </w:r>
      <w:r w:rsidRPr="002C3A52">
        <w:rPr>
          <w:i/>
        </w:rPr>
        <w:t>Annals</w:t>
      </w:r>
      <w:r w:rsidRPr="002C3A52">
        <w:t xml:space="preserve"> 14.29</w:t>
      </w:r>
    </w:p>
  </w:footnote>
  <w:footnote w:id="164">
    <w:p w14:paraId="6757D7F3" w14:textId="77777777" w:rsidR="00776C06" w:rsidRPr="002C3A52" w:rsidRDefault="00776C06" w:rsidP="00D76063">
      <w:pPr>
        <w:pStyle w:val="FootnoteText"/>
      </w:pPr>
      <w:r>
        <w:rPr>
          <w:rStyle w:val="FootnoteReference"/>
        </w:rPr>
        <w:footnoteRef/>
      </w:r>
      <w:r>
        <w:t xml:space="preserve"> </w:t>
      </w:r>
      <w:r w:rsidRPr="002C3A52">
        <w:rPr>
          <w:noProof/>
        </w:rPr>
        <w:t>Hoffmann 2013: 96</w:t>
      </w:r>
    </w:p>
  </w:footnote>
  <w:footnote w:id="165">
    <w:p w14:paraId="300467A9" w14:textId="77777777" w:rsidR="00776C06" w:rsidRPr="002C3A52" w:rsidRDefault="00776C06" w:rsidP="00D76063">
      <w:pPr>
        <w:pStyle w:val="FootnoteText"/>
      </w:pPr>
      <w:r>
        <w:rPr>
          <w:rStyle w:val="FootnoteReference"/>
        </w:rPr>
        <w:footnoteRef/>
      </w:r>
      <w:r>
        <w:t xml:space="preserve"> </w:t>
      </w:r>
      <w:r w:rsidRPr="002C3A52">
        <w:rPr>
          <w:noProof/>
        </w:rPr>
        <w:t>De La Bédoyère 2016: 29</w:t>
      </w:r>
    </w:p>
  </w:footnote>
  <w:footnote w:id="166">
    <w:p w14:paraId="340984D4" w14:textId="77777777" w:rsidR="00776C06" w:rsidRPr="002C3A52" w:rsidRDefault="00776C06" w:rsidP="00D76063">
      <w:pPr>
        <w:pStyle w:val="FootnoteText"/>
      </w:pPr>
      <w:r>
        <w:rPr>
          <w:rStyle w:val="FootnoteReference"/>
        </w:rPr>
        <w:footnoteRef/>
      </w:r>
      <w:r>
        <w:t xml:space="preserve"> </w:t>
      </w:r>
      <w:r w:rsidRPr="002C3A52">
        <w:rPr>
          <w:noProof/>
        </w:rPr>
        <w:t>Moorhead and Stuttard 2016: 74</w:t>
      </w:r>
    </w:p>
  </w:footnote>
  <w:footnote w:id="167">
    <w:p w14:paraId="6C3988F6" w14:textId="77777777" w:rsidR="00776C06" w:rsidRPr="002C3A52" w:rsidRDefault="00776C06" w:rsidP="00D76063">
      <w:pPr>
        <w:pStyle w:val="FootnoteText"/>
      </w:pPr>
      <w:r>
        <w:rPr>
          <w:rStyle w:val="FootnoteReference"/>
        </w:rPr>
        <w:footnoteRef/>
      </w:r>
      <w:r>
        <w:t xml:space="preserve"> </w:t>
      </w:r>
      <w:r w:rsidRPr="002C3A52">
        <w:t xml:space="preserve">Tacitus, </w:t>
      </w:r>
      <w:r w:rsidRPr="002C3A52">
        <w:rPr>
          <w:i/>
        </w:rPr>
        <w:t>Agricola</w:t>
      </w:r>
      <w:r w:rsidRPr="002C3A52">
        <w:t xml:space="preserve"> 17</w:t>
      </w:r>
    </w:p>
  </w:footnote>
  <w:footnote w:id="168">
    <w:p w14:paraId="76483E4C" w14:textId="77777777" w:rsidR="00776C06" w:rsidRPr="002C3A52" w:rsidRDefault="00776C06" w:rsidP="00D76063">
      <w:pPr>
        <w:pStyle w:val="FootnoteText"/>
      </w:pPr>
      <w:r>
        <w:rPr>
          <w:rStyle w:val="FootnoteReference"/>
        </w:rPr>
        <w:footnoteRef/>
      </w:r>
      <w:r>
        <w:t xml:space="preserve"> </w:t>
      </w:r>
      <w:r w:rsidRPr="002C3A52">
        <w:rPr>
          <w:noProof/>
        </w:rPr>
        <w:t>Manning 2001: 9</w:t>
      </w:r>
    </w:p>
  </w:footnote>
  <w:footnote w:id="169">
    <w:p w14:paraId="4C8AF068" w14:textId="77777777" w:rsidR="00776C06" w:rsidRPr="002C3A52" w:rsidRDefault="00776C06" w:rsidP="00D76063">
      <w:pPr>
        <w:pStyle w:val="FootnoteText"/>
      </w:pPr>
      <w:r>
        <w:rPr>
          <w:rStyle w:val="FootnoteReference"/>
        </w:rPr>
        <w:footnoteRef/>
      </w:r>
      <w:r>
        <w:t xml:space="preserve"> </w:t>
      </w:r>
      <w:r w:rsidRPr="002C3A52">
        <w:t xml:space="preserve">Tacitus, </w:t>
      </w:r>
      <w:r w:rsidRPr="002C3A52">
        <w:rPr>
          <w:i/>
        </w:rPr>
        <w:t>Annals</w:t>
      </w:r>
      <w:r w:rsidRPr="002C3A52">
        <w:t xml:space="preserve"> 14.31</w:t>
      </w:r>
    </w:p>
  </w:footnote>
  <w:footnote w:id="170">
    <w:p w14:paraId="093596EF" w14:textId="77777777" w:rsidR="00776C06" w:rsidRPr="002C3A52" w:rsidRDefault="00776C06" w:rsidP="00D76063">
      <w:pPr>
        <w:pStyle w:val="FootnoteText"/>
      </w:pPr>
      <w:r>
        <w:rPr>
          <w:rStyle w:val="FootnoteReference"/>
        </w:rPr>
        <w:footnoteRef/>
      </w:r>
      <w:r>
        <w:t xml:space="preserve"> </w:t>
      </w:r>
      <w:r w:rsidRPr="002C3A52">
        <w:rPr>
          <w:noProof/>
        </w:rPr>
        <w:t xml:space="preserve">Hutton 2011 : </w:t>
      </w:r>
      <w:r w:rsidRPr="002C3A52">
        <w:t>13-14</w:t>
      </w:r>
    </w:p>
  </w:footnote>
  <w:footnote w:id="171">
    <w:p w14:paraId="67EBF76F" w14:textId="77777777" w:rsidR="00776C06" w:rsidRPr="002C3A52" w:rsidRDefault="00776C06" w:rsidP="00D76063">
      <w:pPr>
        <w:pStyle w:val="FootnoteText"/>
      </w:pPr>
      <w:r>
        <w:rPr>
          <w:rStyle w:val="FootnoteReference"/>
        </w:rPr>
        <w:footnoteRef/>
      </w:r>
      <w:r>
        <w:t xml:space="preserve"> </w:t>
      </w:r>
      <w:r w:rsidRPr="002C3A52">
        <w:rPr>
          <w:noProof/>
        </w:rPr>
        <w:t>Hutton 2011: 13</w:t>
      </w:r>
    </w:p>
  </w:footnote>
  <w:footnote w:id="172">
    <w:p w14:paraId="62804865" w14:textId="77777777" w:rsidR="00776C06" w:rsidRPr="002C3A52" w:rsidRDefault="00776C06" w:rsidP="00D76063">
      <w:pPr>
        <w:pStyle w:val="FootnoteText"/>
      </w:pPr>
      <w:r>
        <w:rPr>
          <w:rStyle w:val="FootnoteReference"/>
        </w:rPr>
        <w:footnoteRef/>
      </w:r>
      <w:r>
        <w:t xml:space="preserve"> </w:t>
      </w:r>
      <w:r w:rsidRPr="002C3A52">
        <w:t xml:space="preserve">Tacitus, </w:t>
      </w:r>
      <w:r w:rsidRPr="002C3A52">
        <w:rPr>
          <w:i/>
        </w:rPr>
        <w:t xml:space="preserve">Annals </w:t>
      </w:r>
      <w:r w:rsidRPr="002C3A52">
        <w:t>14.30</w:t>
      </w:r>
    </w:p>
  </w:footnote>
  <w:footnote w:id="173">
    <w:p w14:paraId="6E663A2F" w14:textId="77777777" w:rsidR="00776C06" w:rsidRPr="002C3A52" w:rsidRDefault="00776C06" w:rsidP="00D76063">
      <w:pPr>
        <w:pStyle w:val="FootnoteText"/>
      </w:pPr>
      <w:r>
        <w:rPr>
          <w:rStyle w:val="FootnoteReference"/>
        </w:rPr>
        <w:footnoteRef/>
      </w:r>
      <w:r>
        <w:t xml:space="preserve"> </w:t>
      </w:r>
      <w:r w:rsidRPr="002C3A52">
        <w:t xml:space="preserve">Tacitus, </w:t>
      </w:r>
      <w:r w:rsidRPr="002C3A52">
        <w:rPr>
          <w:i/>
        </w:rPr>
        <w:t>Agricola</w:t>
      </w:r>
      <w:r w:rsidRPr="002C3A52">
        <w:t xml:space="preserve"> 18</w:t>
      </w:r>
    </w:p>
  </w:footnote>
  <w:footnote w:id="174">
    <w:p w14:paraId="62D301B3" w14:textId="77777777" w:rsidR="00776C06" w:rsidRPr="002C3A52" w:rsidRDefault="00776C06" w:rsidP="00D76063">
      <w:pPr>
        <w:pStyle w:val="FootnoteText"/>
      </w:pPr>
      <w:r>
        <w:rPr>
          <w:rStyle w:val="FootnoteReference"/>
        </w:rPr>
        <w:footnoteRef/>
      </w:r>
      <w:r>
        <w:t xml:space="preserve"> </w:t>
      </w:r>
      <w:r w:rsidRPr="002C3A52">
        <w:t xml:space="preserve">Tacitus, </w:t>
      </w:r>
      <w:r w:rsidRPr="002C3A52">
        <w:rPr>
          <w:i/>
        </w:rPr>
        <w:t>Agricola</w:t>
      </w:r>
      <w:r w:rsidRPr="002C3A52">
        <w:t xml:space="preserve"> 18</w:t>
      </w:r>
    </w:p>
  </w:footnote>
  <w:footnote w:id="175">
    <w:p w14:paraId="53F52E21" w14:textId="77777777" w:rsidR="00776C06" w:rsidRPr="002C3A52" w:rsidRDefault="00776C06" w:rsidP="00D76063">
      <w:pPr>
        <w:pStyle w:val="FootnoteText"/>
      </w:pPr>
      <w:r>
        <w:rPr>
          <w:rStyle w:val="FootnoteReference"/>
        </w:rPr>
        <w:footnoteRef/>
      </w:r>
      <w:r>
        <w:t xml:space="preserve"> </w:t>
      </w:r>
      <w:r w:rsidRPr="002C3A52">
        <w:rPr>
          <w:noProof/>
        </w:rPr>
        <w:t>Hutton 2011: 13</w:t>
      </w:r>
    </w:p>
  </w:footnote>
  <w:footnote w:id="176">
    <w:p w14:paraId="7FF79CB9" w14:textId="77777777" w:rsidR="00776C06" w:rsidRPr="005E2FBC" w:rsidRDefault="00776C06" w:rsidP="00D76063">
      <w:pPr>
        <w:pStyle w:val="FootnoteText"/>
      </w:pPr>
      <w:r>
        <w:rPr>
          <w:rStyle w:val="FootnoteReference"/>
        </w:rPr>
        <w:footnoteRef/>
      </w:r>
      <w:r>
        <w:t xml:space="preserve"> </w:t>
      </w:r>
      <w:r w:rsidRPr="005E2FBC">
        <w:t xml:space="preserve">Tacitus, </w:t>
      </w:r>
      <w:r w:rsidRPr="005E2FBC">
        <w:rPr>
          <w:i/>
        </w:rPr>
        <w:t>Agricola</w:t>
      </w:r>
      <w:r w:rsidRPr="005E2FBC">
        <w:t xml:space="preserve"> 18</w:t>
      </w:r>
    </w:p>
  </w:footnote>
  <w:footnote w:id="177">
    <w:p w14:paraId="59446542" w14:textId="77777777" w:rsidR="00776C06" w:rsidRPr="002C3A52" w:rsidRDefault="00776C06" w:rsidP="00D76063">
      <w:pPr>
        <w:pStyle w:val="FootnoteText"/>
      </w:pPr>
      <w:r>
        <w:rPr>
          <w:rStyle w:val="FootnoteReference"/>
        </w:rPr>
        <w:footnoteRef/>
      </w:r>
      <w:r>
        <w:t xml:space="preserve"> </w:t>
      </w:r>
      <w:r w:rsidRPr="002C3A52">
        <w:rPr>
          <w:noProof/>
        </w:rPr>
        <w:t>Manning 2001: 23</w:t>
      </w:r>
    </w:p>
  </w:footnote>
  <w:footnote w:id="178">
    <w:p w14:paraId="2FED7F27" w14:textId="77777777" w:rsidR="00776C06" w:rsidRPr="005E2FBC" w:rsidRDefault="00776C06" w:rsidP="00D76063">
      <w:pPr>
        <w:pStyle w:val="FootnoteText"/>
      </w:pPr>
      <w:r>
        <w:rPr>
          <w:rStyle w:val="FootnoteReference"/>
        </w:rPr>
        <w:footnoteRef/>
      </w:r>
      <w:r>
        <w:t xml:space="preserve"> </w:t>
      </w:r>
      <w:r w:rsidRPr="005E2FBC">
        <w:rPr>
          <w:noProof/>
        </w:rPr>
        <w:t>Moorhead and Stuttard 2016: 96</w:t>
      </w:r>
    </w:p>
  </w:footnote>
  <w:footnote w:id="179">
    <w:p w14:paraId="4533BD68" w14:textId="77777777" w:rsidR="00776C06" w:rsidRPr="002C3A52" w:rsidRDefault="00776C06" w:rsidP="00D76063">
      <w:pPr>
        <w:pStyle w:val="FootnoteText"/>
      </w:pPr>
      <w:r>
        <w:rPr>
          <w:rStyle w:val="FootnoteReference"/>
        </w:rPr>
        <w:footnoteRef/>
      </w:r>
      <w:r>
        <w:t xml:space="preserve"> </w:t>
      </w:r>
      <w:r w:rsidRPr="002C3A52">
        <w:rPr>
          <w:noProof/>
        </w:rPr>
        <w:t>Moorhead and Stuttard 2016: 98 ; Manning 2001: 22</w:t>
      </w:r>
    </w:p>
  </w:footnote>
  <w:footnote w:id="180">
    <w:p w14:paraId="6CF60822" w14:textId="77777777" w:rsidR="00776C06" w:rsidRPr="002C3A52" w:rsidRDefault="00776C06" w:rsidP="00D76063">
      <w:pPr>
        <w:pStyle w:val="FootnoteText"/>
      </w:pPr>
      <w:r>
        <w:rPr>
          <w:rStyle w:val="FootnoteReference"/>
        </w:rPr>
        <w:footnoteRef/>
      </w:r>
      <w:r>
        <w:t xml:space="preserve"> </w:t>
      </w:r>
      <w:r w:rsidRPr="002C3A52">
        <w:rPr>
          <w:noProof/>
        </w:rPr>
        <w:t>Manning 2001: 23</w:t>
      </w:r>
    </w:p>
  </w:footnote>
  <w:footnote w:id="181">
    <w:p w14:paraId="35A2F9E3" w14:textId="77777777" w:rsidR="00776C06" w:rsidRPr="00AA44D5" w:rsidRDefault="00776C06" w:rsidP="00D76063">
      <w:pPr>
        <w:pStyle w:val="FootnoteText"/>
      </w:pPr>
      <w:r>
        <w:rPr>
          <w:rStyle w:val="FootnoteReference"/>
        </w:rPr>
        <w:footnoteRef/>
      </w:r>
      <w:r>
        <w:t xml:space="preserve"> Tacitus </w:t>
      </w:r>
      <w:r>
        <w:rPr>
          <w:i/>
        </w:rPr>
        <w:t xml:space="preserve">Annals </w:t>
      </w:r>
      <w:r w:rsidRPr="00AA44D5">
        <w:t>12.40</w:t>
      </w:r>
    </w:p>
  </w:footnote>
  <w:footnote w:id="182">
    <w:p w14:paraId="485944EB" w14:textId="77777777" w:rsidR="00776C06" w:rsidRPr="00AA44D5" w:rsidRDefault="00776C06" w:rsidP="00D76063">
      <w:pPr>
        <w:pStyle w:val="FootnoteText"/>
      </w:pPr>
      <w:r>
        <w:rPr>
          <w:rStyle w:val="FootnoteReference"/>
        </w:rPr>
        <w:footnoteRef/>
      </w:r>
      <w:r>
        <w:t xml:space="preserve"> Tacitus </w:t>
      </w:r>
      <w:r>
        <w:rPr>
          <w:i/>
        </w:rPr>
        <w:t xml:space="preserve">Annals </w:t>
      </w:r>
      <w:r w:rsidRPr="00AA44D5">
        <w:t>12.40</w:t>
      </w:r>
    </w:p>
  </w:footnote>
  <w:footnote w:id="183">
    <w:p w14:paraId="23B5C1D7" w14:textId="77777777" w:rsidR="00776C06" w:rsidRPr="00AA44D5" w:rsidRDefault="00776C06" w:rsidP="00D76063">
      <w:pPr>
        <w:pStyle w:val="FootnoteText"/>
      </w:pPr>
      <w:r>
        <w:rPr>
          <w:rStyle w:val="FootnoteReference"/>
        </w:rPr>
        <w:footnoteRef/>
      </w:r>
      <w:r>
        <w:t xml:space="preserve"> </w:t>
      </w:r>
      <w:r w:rsidRPr="00AA44D5">
        <w:t xml:space="preserve">Tacitus </w:t>
      </w:r>
      <w:r w:rsidRPr="00AA44D5">
        <w:rPr>
          <w:i/>
        </w:rPr>
        <w:t>Histories</w:t>
      </w:r>
      <w:r w:rsidRPr="00AA44D5">
        <w:t xml:space="preserve"> 3.45</w:t>
      </w:r>
    </w:p>
  </w:footnote>
  <w:footnote w:id="184">
    <w:p w14:paraId="0EDA201D" w14:textId="77777777" w:rsidR="00776C06" w:rsidRPr="00AA44D5" w:rsidRDefault="00776C06" w:rsidP="00D76063">
      <w:pPr>
        <w:pStyle w:val="FootnoteText"/>
      </w:pPr>
      <w:r>
        <w:rPr>
          <w:rStyle w:val="FootnoteReference"/>
        </w:rPr>
        <w:footnoteRef/>
      </w:r>
      <w:r>
        <w:t xml:space="preserve"> </w:t>
      </w:r>
      <w:r w:rsidRPr="00AA44D5">
        <w:rPr>
          <w:noProof/>
        </w:rPr>
        <w:t>Howarth 2008: 97</w:t>
      </w:r>
    </w:p>
  </w:footnote>
  <w:footnote w:id="185">
    <w:p w14:paraId="610EA531" w14:textId="77777777" w:rsidR="00776C06" w:rsidRPr="00AA44D5" w:rsidRDefault="00776C06" w:rsidP="00D76063">
      <w:pPr>
        <w:pStyle w:val="FootnoteText"/>
      </w:pPr>
      <w:r>
        <w:rPr>
          <w:rStyle w:val="FootnoteReference"/>
        </w:rPr>
        <w:footnoteRef/>
      </w:r>
      <w:r>
        <w:t xml:space="preserve"> </w:t>
      </w:r>
      <w:r w:rsidRPr="00AA44D5">
        <w:rPr>
          <w:noProof/>
        </w:rPr>
        <w:t>Howarth 2008: 91</w:t>
      </w:r>
    </w:p>
  </w:footnote>
  <w:footnote w:id="186">
    <w:p w14:paraId="09E42C89" w14:textId="77777777" w:rsidR="00776C06" w:rsidRPr="00AA44D5" w:rsidRDefault="00776C06" w:rsidP="00D76063">
      <w:pPr>
        <w:pStyle w:val="FootnoteText"/>
      </w:pPr>
      <w:r>
        <w:rPr>
          <w:rStyle w:val="FootnoteReference"/>
        </w:rPr>
        <w:footnoteRef/>
      </w:r>
      <w:r>
        <w:t xml:space="preserve"> </w:t>
      </w:r>
      <w:r w:rsidRPr="00AA44D5">
        <w:rPr>
          <w:noProof/>
        </w:rPr>
        <w:t>Hoffmann 2013: 114</w:t>
      </w:r>
    </w:p>
  </w:footnote>
  <w:footnote w:id="187">
    <w:p w14:paraId="118D2E2F" w14:textId="77777777" w:rsidR="00776C06" w:rsidRPr="00AA44D5" w:rsidRDefault="00776C06" w:rsidP="00D76063">
      <w:pPr>
        <w:pStyle w:val="FootnoteText"/>
      </w:pPr>
      <w:r>
        <w:rPr>
          <w:rStyle w:val="FootnoteReference"/>
        </w:rPr>
        <w:footnoteRef/>
      </w:r>
      <w:r>
        <w:t xml:space="preserve"> </w:t>
      </w:r>
      <w:r w:rsidRPr="00AA44D5">
        <w:rPr>
          <w:noProof/>
        </w:rPr>
        <w:t>Mattingly 2007: 115</w:t>
      </w:r>
    </w:p>
  </w:footnote>
  <w:footnote w:id="188">
    <w:p w14:paraId="70316D34" w14:textId="77777777" w:rsidR="00776C06" w:rsidRPr="00AA44D5" w:rsidRDefault="00776C06" w:rsidP="00D76063">
      <w:pPr>
        <w:pStyle w:val="FootnoteText"/>
      </w:pPr>
      <w:r>
        <w:rPr>
          <w:rStyle w:val="FootnoteReference"/>
        </w:rPr>
        <w:footnoteRef/>
      </w:r>
      <w:r>
        <w:t xml:space="preserve"> </w:t>
      </w:r>
      <w:r w:rsidRPr="00AA44D5">
        <w:rPr>
          <w:noProof/>
        </w:rPr>
        <w:t>Hoffmann 2013: 115</w:t>
      </w:r>
    </w:p>
  </w:footnote>
  <w:footnote w:id="189">
    <w:p w14:paraId="33376392" w14:textId="77777777" w:rsidR="00776C06" w:rsidRPr="00AA44D5" w:rsidRDefault="00776C06" w:rsidP="00D76063">
      <w:pPr>
        <w:pStyle w:val="FootnoteText"/>
      </w:pPr>
      <w:r>
        <w:rPr>
          <w:rStyle w:val="FootnoteReference"/>
        </w:rPr>
        <w:footnoteRef/>
      </w:r>
      <w:r>
        <w:t xml:space="preserve"> </w:t>
      </w:r>
      <w:r w:rsidRPr="00AA44D5">
        <w:rPr>
          <w:noProof/>
        </w:rPr>
        <w:t>De La Bédoyère 2016: 25</w:t>
      </w:r>
    </w:p>
  </w:footnote>
  <w:footnote w:id="190">
    <w:p w14:paraId="6EF39F4B" w14:textId="77777777" w:rsidR="00776C06" w:rsidRPr="009C7791" w:rsidRDefault="00776C06" w:rsidP="00D76063">
      <w:pPr>
        <w:pStyle w:val="FootnoteText"/>
      </w:pPr>
      <w:r>
        <w:rPr>
          <w:rStyle w:val="FootnoteReference"/>
        </w:rPr>
        <w:footnoteRef/>
      </w:r>
      <w:r>
        <w:t xml:space="preserve"> </w:t>
      </w:r>
      <w:r w:rsidRPr="009C7791">
        <w:rPr>
          <w:noProof/>
        </w:rPr>
        <w:t>Moorhead and Stuttard 2016: 92</w:t>
      </w:r>
    </w:p>
  </w:footnote>
  <w:footnote w:id="191">
    <w:p w14:paraId="1332F67C" w14:textId="77777777" w:rsidR="00776C06" w:rsidRPr="009C7791" w:rsidRDefault="00776C06" w:rsidP="00D76063">
      <w:pPr>
        <w:pStyle w:val="FootnoteText"/>
      </w:pPr>
      <w:r>
        <w:rPr>
          <w:rStyle w:val="FootnoteReference"/>
        </w:rPr>
        <w:footnoteRef/>
      </w:r>
      <w:r>
        <w:t xml:space="preserve"> </w:t>
      </w:r>
      <w:r w:rsidRPr="009C7791">
        <w:rPr>
          <w:noProof/>
        </w:rPr>
        <w:t>Howarth 2008: 100-101</w:t>
      </w:r>
    </w:p>
  </w:footnote>
  <w:footnote w:id="192">
    <w:p w14:paraId="2526BECD" w14:textId="77777777" w:rsidR="00776C06" w:rsidRPr="009C7791" w:rsidRDefault="00776C06" w:rsidP="00D76063">
      <w:pPr>
        <w:pStyle w:val="FootnoteText"/>
      </w:pPr>
      <w:r>
        <w:rPr>
          <w:rStyle w:val="FootnoteReference"/>
        </w:rPr>
        <w:footnoteRef/>
      </w:r>
      <w:r>
        <w:t xml:space="preserve"> </w:t>
      </w:r>
      <w:r w:rsidRPr="009C7791">
        <w:rPr>
          <w:noProof/>
        </w:rPr>
        <w:t>Moorhead and Stuttard 2016: 92</w:t>
      </w:r>
    </w:p>
  </w:footnote>
  <w:footnote w:id="193">
    <w:p w14:paraId="5A728A73" w14:textId="77777777" w:rsidR="00776C06" w:rsidRPr="00AA44D5" w:rsidRDefault="00776C06" w:rsidP="00D76063">
      <w:pPr>
        <w:pStyle w:val="FootnoteText"/>
      </w:pPr>
      <w:r>
        <w:rPr>
          <w:rStyle w:val="FootnoteReference"/>
        </w:rPr>
        <w:footnoteRef/>
      </w:r>
      <w:r>
        <w:t xml:space="preserve"> </w:t>
      </w:r>
      <w:r w:rsidRPr="00AA44D5">
        <w:t xml:space="preserve">Tacitus </w:t>
      </w:r>
      <w:r w:rsidRPr="00AA44D5">
        <w:rPr>
          <w:i/>
        </w:rPr>
        <w:t>Histories</w:t>
      </w:r>
      <w:r w:rsidRPr="00AA44D5">
        <w:t xml:space="preserve"> 3.45</w:t>
      </w:r>
    </w:p>
  </w:footnote>
  <w:footnote w:id="194">
    <w:p w14:paraId="77363EA8" w14:textId="77777777" w:rsidR="00776C06" w:rsidRPr="00832138" w:rsidRDefault="00776C06" w:rsidP="00D76063">
      <w:pPr>
        <w:pStyle w:val="FootnoteText"/>
        <w:rPr>
          <w:lang w:val="fr-CH"/>
        </w:rPr>
      </w:pPr>
      <w:r>
        <w:rPr>
          <w:rStyle w:val="FootnoteReference"/>
        </w:rPr>
        <w:footnoteRef/>
      </w:r>
      <w:r>
        <w:t xml:space="preserve"> </w:t>
      </w:r>
      <w:r>
        <w:rPr>
          <w:noProof/>
          <w:lang w:val="fr-CH"/>
        </w:rPr>
        <w:t>Hoffmann 2013: 114</w:t>
      </w:r>
    </w:p>
  </w:footnote>
  <w:footnote w:id="195">
    <w:p w14:paraId="5C117825" w14:textId="77777777" w:rsidR="00776C06" w:rsidRPr="00C04A40" w:rsidRDefault="00776C06" w:rsidP="00C04A40">
      <w:pPr>
        <w:pStyle w:val="FootnoteText"/>
      </w:pPr>
      <w:r>
        <w:rPr>
          <w:rStyle w:val="FootnoteReference"/>
        </w:rPr>
        <w:footnoteRef/>
      </w:r>
      <w:r>
        <w:t xml:space="preserve"> </w:t>
      </w:r>
      <w:r w:rsidRPr="00C04A40">
        <w:t>Braund 2013 : 64-65</w:t>
      </w:r>
    </w:p>
  </w:footnote>
  <w:footnote w:id="196">
    <w:p w14:paraId="253B06A6" w14:textId="77777777" w:rsidR="00776C06" w:rsidRPr="00C04A40" w:rsidRDefault="00776C06" w:rsidP="00C04A40">
      <w:pPr>
        <w:pStyle w:val="FootnoteText"/>
      </w:pPr>
      <w:r>
        <w:rPr>
          <w:rStyle w:val="FootnoteReference"/>
        </w:rPr>
        <w:footnoteRef/>
      </w:r>
      <w:r>
        <w:t xml:space="preserve"> </w:t>
      </w:r>
      <w:r w:rsidRPr="005E2FBC">
        <w:rPr>
          <w:noProof/>
        </w:rPr>
        <w:t>Moorhead and Stuttard 2016: 96</w:t>
      </w:r>
    </w:p>
  </w:footnote>
  <w:footnote w:id="197">
    <w:p w14:paraId="647AD4A9" w14:textId="77777777" w:rsidR="00776C06" w:rsidRPr="00C04A40" w:rsidRDefault="00776C06" w:rsidP="00C04A40">
      <w:pPr>
        <w:pStyle w:val="FootnoteText"/>
      </w:pPr>
      <w:r>
        <w:rPr>
          <w:rStyle w:val="FootnoteReference"/>
        </w:rPr>
        <w:footnoteRef/>
      </w:r>
      <w:r>
        <w:t xml:space="preserve"> </w:t>
      </w:r>
      <w:r w:rsidRPr="005E2FBC">
        <w:t xml:space="preserve">Tacitus, </w:t>
      </w:r>
      <w:r w:rsidRPr="005E2FBC">
        <w:rPr>
          <w:i/>
        </w:rPr>
        <w:t>Agricola</w:t>
      </w:r>
      <w:r w:rsidRPr="005E2FBC">
        <w:t xml:space="preserve"> 18</w:t>
      </w:r>
    </w:p>
  </w:footnote>
  <w:footnote w:id="198">
    <w:p w14:paraId="08DEF43D" w14:textId="7957FCCC" w:rsidR="00776C06" w:rsidRPr="00B56E0C" w:rsidRDefault="00776C06">
      <w:pPr>
        <w:pStyle w:val="FootnoteText"/>
      </w:pPr>
      <w:r>
        <w:rPr>
          <w:rStyle w:val="FootnoteReference"/>
        </w:rPr>
        <w:footnoteRef/>
      </w:r>
      <w:r>
        <w:t xml:space="preserve"> </w:t>
      </w:r>
      <w:r w:rsidRPr="00B56E0C">
        <w:t xml:space="preserve">Tacitus </w:t>
      </w:r>
      <w:r w:rsidRPr="00B56E0C">
        <w:rPr>
          <w:i/>
        </w:rPr>
        <w:t>Annals</w:t>
      </w:r>
      <w:r w:rsidRPr="00B56E0C">
        <w:t xml:space="preserve"> 12.36</w:t>
      </w:r>
    </w:p>
  </w:footnote>
  <w:footnote w:id="199">
    <w:p w14:paraId="7747E027" w14:textId="44B6D13F" w:rsidR="00776C06" w:rsidRPr="00B56E0C" w:rsidRDefault="00776C06">
      <w:pPr>
        <w:pStyle w:val="FootnoteText"/>
      </w:pPr>
      <w:r>
        <w:rPr>
          <w:rStyle w:val="FootnoteReference"/>
        </w:rPr>
        <w:footnoteRef/>
      </w:r>
      <w:r>
        <w:t xml:space="preserve"> </w:t>
      </w:r>
      <w:r w:rsidRPr="002C3A52">
        <w:rPr>
          <w:noProof/>
        </w:rPr>
        <w:t xml:space="preserve">Moorhead and Stuttard 2016: </w:t>
      </w:r>
      <w:r>
        <w:rPr>
          <w:noProof/>
        </w:rPr>
        <w:t xml:space="preserve">96, </w:t>
      </w:r>
      <w:r w:rsidRPr="002C3A52">
        <w:rPr>
          <w:noProof/>
        </w:rPr>
        <w:t>98 ; Manning 2001: 22</w:t>
      </w:r>
    </w:p>
  </w:footnote>
  <w:footnote w:id="200">
    <w:p w14:paraId="50FFAE80" w14:textId="11956A50" w:rsidR="00776C06" w:rsidRPr="00776C06" w:rsidRDefault="00776C06">
      <w:pPr>
        <w:pStyle w:val="FootnoteText"/>
        <w:rPr>
          <w:lang w:val="fr-CH"/>
        </w:rPr>
      </w:pPr>
      <w:r>
        <w:rPr>
          <w:rStyle w:val="FootnoteReference"/>
        </w:rPr>
        <w:footnoteRef/>
      </w:r>
      <w:r>
        <w:t xml:space="preserve"> </w:t>
      </w:r>
      <w:r>
        <w:rPr>
          <w:lang w:val="fr-CH"/>
        </w:rPr>
        <w:t xml:space="preserve">Tacitus </w:t>
      </w:r>
      <w:r>
        <w:rPr>
          <w:i/>
          <w:lang w:val="fr-CH"/>
        </w:rPr>
        <w:t>Annals</w:t>
      </w:r>
      <w:r>
        <w:rPr>
          <w:lang w:val="fr-CH"/>
        </w:rPr>
        <w:t xml:space="preserve"> 14.29</w:t>
      </w:r>
    </w:p>
  </w:footnote>
  <w:footnote w:id="201">
    <w:p w14:paraId="39A306B1" w14:textId="42FFEC0B" w:rsidR="00776C06" w:rsidRPr="00776C06" w:rsidRDefault="00776C06">
      <w:pPr>
        <w:pStyle w:val="FootnoteText"/>
        <w:rPr>
          <w:lang w:val="fr-CH"/>
        </w:rPr>
      </w:pPr>
      <w:r>
        <w:rPr>
          <w:rStyle w:val="FootnoteReference"/>
        </w:rPr>
        <w:footnoteRef/>
      </w:r>
      <w:r>
        <w:t xml:space="preserve"> </w:t>
      </w:r>
      <w:r w:rsidRPr="00A07B2A">
        <w:rPr>
          <w:rFonts w:cs="Times New Roman"/>
          <w:noProof/>
          <w:szCs w:val="20"/>
          <w:lang w:val="fr-CH"/>
        </w:rPr>
        <w:t>Dyson 1971: 266</w:t>
      </w:r>
    </w:p>
  </w:footnote>
  <w:footnote w:id="202">
    <w:p w14:paraId="653CB641" w14:textId="76FC9D93" w:rsidR="0000553A" w:rsidRPr="0000553A" w:rsidRDefault="0000553A">
      <w:pPr>
        <w:pStyle w:val="FootnoteText"/>
        <w:rPr>
          <w:lang w:val="fr-CH"/>
        </w:rPr>
      </w:pPr>
      <w:r>
        <w:rPr>
          <w:rStyle w:val="FootnoteReference"/>
        </w:rPr>
        <w:footnoteRef/>
      </w:r>
      <w:r>
        <w:t xml:space="preserve"> </w:t>
      </w:r>
      <w:r>
        <w:rPr>
          <w:noProof/>
          <w:lang w:val="fr-CH"/>
        </w:rPr>
        <w:t xml:space="preserve">Hoffmann 2013 : 100 ; </w:t>
      </w:r>
      <w:r w:rsidRPr="002C3A52">
        <w:rPr>
          <w:rFonts w:cs="Times New Roman"/>
          <w:szCs w:val="20"/>
        </w:rPr>
        <w:t xml:space="preserve">Tacitus </w:t>
      </w:r>
      <w:r w:rsidRPr="002C3A52">
        <w:rPr>
          <w:rFonts w:cs="Times New Roman"/>
          <w:i/>
          <w:szCs w:val="20"/>
        </w:rPr>
        <w:t xml:space="preserve">Annals </w:t>
      </w:r>
      <w:r w:rsidRPr="002C3A52">
        <w:rPr>
          <w:rFonts w:cs="Times New Roman"/>
          <w:szCs w:val="20"/>
        </w:rPr>
        <w:t>14.32 ; Cassius Dio 62.7</w:t>
      </w:r>
    </w:p>
  </w:footnote>
  <w:footnote w:id="203">
    <w:p w14:paraId="7F41CFCE" w14:textId="77777777" w:rsidR="0000553A" w:rsidRPr="0000553A" w:rsidRDefault="0000553A" w:rsidP="0000553A">
      <w:pPr>
        <w:pStyle w:val="FootnoteText"/>
        <w:rPr>
          <w:lang w:val="fr-CH"/>
        </w:rPr>
      </w:pPr>
      <w:r>
        <w:rPr>
          <w:rStyle w:val="FootnoteReference"/>
        </w:rPr>
        <w:footnoteRef/>
      </w:r>
      <w:r>
        <w:t xml:space="preserve"> </w:t>
      </w:r>
      <w:r>
        <w:rPr>
          <w:lang w:val="fr-CH"/>
        </w:rPr>
        <w:t>Cassius Dio 40.2</w:t>
      </w:r>
    </w:p>
  </w:footnote>
  <w:footnote w:id="204">
    <w:p w14:paraId="4334D73E" w14:textId="4014DD72" w:rsidR="0000553A" w:rsidRPr="0000553A" w:rsidRDefault="0000553A">
      <w:pPr>
        <w:pStyle w:val="FootnoteText"/>
        <w:rPr>
          <w:lang w:val="fr-CH"/>
        </w:rPr>
      </w:pPr>
      <w:r>
        <w:rPr>
          <w:rStyle w:val="FootnoteReference"/>
        </w:rPr>
        <w:footnoteRef/>
      </w:r>
      <w:r>
        <w:t xml:space="preserve"> </w:t>
      </w:r>
      <w:r>
        <w:rPr>
          <w:lang w:val="fr-CH"/>
        </w:rPr>
        <w:t xml:space="preserve">Tacitus </w:t>
      </w:r>
      <w:r>
        <w:rPr>
          <w:i/>
          <w:lang w:val="fr-CH"/>
        </w:rPr>
        <w:t xml:space="preserve">Histories </w:t>
      </w:r>
      <w:r>
        <w:rPr>
          <w:lang w:val="fr-CH"/>
        </w:rPr>
        <w:t>3.45</w:t>
      </w:r>
    </w:p>
  </w:footnote>
  <w:footnote w:id="205">
    <w:p w14:paraId="07F09682" w14:textId="77777777" w:rsidR="00B56E0C" w:rsidRPr="00B56E0C" w:rsidRDefault="00B56E0C" w:rsidP="00B56E0C">
      <w:pPr>
        <w:pStyle w:val="FootnoteText"/>
        <w:rPr>
          <w:lang w:val="fr-CH"/>
        </w:rPr>
      </w:pPr>
      <w:r>
        <w:rPr>
          <w:rStyle w:val="FootnoteReference"/>
        </w:rPr>
        <w:footnoteRef/>
      </w:r>
      <w:r>
        <w:t xml:space="preserve"> </w:t>
      </w:r>
      <w:r>
        <w:rPr>
          <w:lang w:val="fr-CH"/>
        </w:rPr>
        <w:t xml:space="preserve">Braund 1996 : 64-65 ; Caesar </w:t>
      </w:r>
      <w:r>
        <w:rPr>
          <w:i/>
          <w:lang w:val="fr-CH"/>
        </w:rPr>
        <w:t xml:space="preserve">Gallic War </w:t>
      </w:r>
      <w:r>
        <w:rPr>
          <w:lang w:val="fr-CH"/>
        </w:rPr>
        <w:t>5.22</w:t>
      </w:r>
    </w:p>
  </w:footnote>
  <w:footnote w:id="206">
    <w:p w14:paraId="587623DC" w14:textId="3FA8FB0C" w:rsidR="00B56E0C" w:rsidRPr="002932DC" w:rsidRDefault="00B56E0C">
      <w:pPr>
        <w:pStyle w:val="FootnoteText"/>
        <w:rPr>
          <w:lang w:val="fr-CH"/>
        </w:rPr>
      </w:pPr>
      <w:r>
        <w:rPr>
          <w:rStyle w:val="FootnoteReference"/>
        </w:rPr>
        <w:footnoteRef/>
      </w:r>
      <w:r>
        <w:t xml:space="preserve"> </w:t>
      </w:r>
      <w:r w:rsidR="002932DC">
        <w:rPr>
          <w:lang w:val="fr-CH"/>
        </w:rPr>
        <w:t xml:space="preserve">Tacitus </w:t>
      </w:r>
      <w:r w:rsidR="002932DC">
        <w:rPr>
          <w:i/>
          <w:lang w:val="fr-CH"/>
        </w:rPr>
        <w:t xml:space="preserve">Annals </w:t>
      </w:r>
      <w:r w:rsidR="002932DC">
        <w:rPr>
          <w:lang w:val="fr-CH"/>
        </w:rPr>
        <w:t>12-40</w:t>
      </w:r>
    </w:p>
  </w:footnote>
  <w:footnote w:id="207">
    <w:p w14:paraId="2D2519CB" w14:textId="0E508F3F" w:rsidR="009C204B" w:rsidRPr="009C204B" w:rsidRDefault="009C204B" w:rsidP="009C204B">
      <w:pPr>
        <w:pStyle w:val="FootnoteText"/>
      </w:pPr>
      <w:r>
        <w:rPr>
          <w:rStyle w:val="FootnoteReference"/>
        </w:rPr>
        <w:footnoteRef/>
      </w:r>
      <w:r>
        <w:t xml:space="preserve"> </w:t>
      </w:r>
      <w:r w:rsidRPr="00243B45">
        <w:t xml:space="preserve">Tacitus </w:t>
      </w:r>
      <w:r w:rsidRPr="00243B45">
        <w:rPr>
          <w:i/>
        </w:rPr>
        <w:t>Histories</w:t>
      </w:r>
      <w:r w:rsidRPr="00243B45">
        <w:t xml:space="preserve"> 3.45</w:t>
      </w:r>
      <w:r>
        <w:t xml:space="preserve"> ; </w:t>
      </w:r>
      <w:r w:rsidRPr="00243B45">
        <w:rPr>
          <w:noProof/>
        </w:rPr>
        <w:t>Russell and Laycock 2011 : 57</w:t>
      </w:r>
    </w:p>
  </w:footnote>
  <w:footnote w:id="208">
    <w:p w14:paraId="2265DC84" w14:textId="3DF52B0F" w:rsidR="009C204B" w:rsidRPr="009C204B" w:rsidRDefault="009C204B">
      <w:pPr>
        <w:pStyle w:val="FootnoteText"/>
      </w:pPr>
      <w:r>
        <w:rPr>
          <w:rStyle w:val="FootnoteReference"/>
        </w:rPr>
        <w:footnoteRef/>
      </w:r>
      <w:r>
        <w:t xml:space="preserve"> </w:t>
      </w:r>
      <w:r w:rsidRPr="00854CA6">
        <w:t>Cassius Dio 62.12</w:t>
      </w:r>
      <w:r>
        <w:t xml:space="preserve"> ; </w:t>
      </w:r>
      <w:r w:rsidRPr="00854CA6">
        <w:rPr>
          <w:noProof/>
        </w:rPr>
        <w:t>Fairclough 2010: 27</w:t>
      </w:r>
    </w:p>
  </w:footnote>
  <w:footnote w:id="209">
    <w:p w14:paraId="076EF073" w14:textId="1967668D" w:rsidR="009C204B" w:rsidRPr="009C204B" w:rsidRDefault="009C204B">
      <w:pPr>
        <w:pStyle w:val="FootnoteText"/>
        <w:rPr>
          <w:lang w:val="fr-CH"/>
        </w:rPr>
      </w:pPr>
      <w:r>
        <w:rPr>
          <w:rStyle w:val="FootnoteReference"/>
        </w:rPr>
        <w:footnoteRef/>
      </w:r>
      <w:r>
        <w:t xml:space="preserve"> </w:t>
      </w:r>
      <w:r w:rsidRPr="00AA44D5">
        <w:rPr>
          <w:noProof/>
        </w:rPr>
        <w:t>Fairclough 2010: 31</w:t>
      </w:r>
    </w:p>
  </w:footnote>
  <w:footnote w:id="210">
    <w:p w14:paraId="4E952AD7" w14:textId="1DD7702B" w:rsidR="0070634B" w:rsidRPr="0070634B" w:rsidRDefault="0070634B" w:rsidP="0070634B">
      <w:pPr>
        <w:pStyle w:val="FootnoteText"/>
      </w:pPr>
      <w:r>
        <w:rPr>
          <w:rStyle w:val="FootnoteReference"/>
        </w:rPr>
        <w:footnoteRef/>
      </w:r>
      <w:r>
        <w:t xml:space="preserve"> </w:t>
      </w:r>
      <w:r w:rsidRPr="00AA44D5">
        <w:t>Aldrete 2008: 47</w:t>
      </w:r>
      <w:r>
        <w:t xml:space="preserve"> ;</w:t>
      </w:r>
      <w:r w:rsidRPr="00854CA6">
        <w:rPr>
          <w:lang w:val="fr-FR"/>
        </w:rPr>
        <w:t xml:space="preserve"> </w:t>
      </w:r>
      <w:r>
        <w:rPr>
          <w:noProof/>
          <w:lang w:val="fr-CH"/>
        </w:rPr>
        <w:t>De La Bédoyère 2013: 140-141</w:t>
      </w:r>
    </w:p>
  </w:footnote>
  <w:footnote w:id="211">
    <w:p w14:paraId="37B0E627" w14:textId="2077268A" w:rsidR="00E37176" w:rsidRPr="00B8655D" w:rsidRDefault="00E37176">
      <w:pPr>
        <w:pStyle w:val="FootnoteText"/>
        <w:rPr>
          <w:lang w:val="fr-CH"/>
        </w:rPr>
      </w:pPr>
      <w:r>
        <w:rPr>
          <w:rStyle w:val="FootnoteReference"/>
        </w:rPr>
        <w:footnoteRef/>
      </w:r>
      <w:r>
        <w:t xml:space="preserve"> </w:t>
      </w:r>
      <w:r w:rsidR="00B8655D">
        <w:rPr>
          <w:lang w:val="fr-CH"/>
        </w:rPr>
        <w:t xml:space="preserve">Tacitus </w:t>
      </w:r>
      <w:r w:rsidR="00B8655D">
        <w:rPr>
          <w:i/>
          <w:lang w:val="fr-CH"/>
        </w:rPr>
        <w:t xml:space="preserve">Agricola </w:t>
      </w:r>
      <w:r w:rsidR="00B8655D">
        <w:rPr>
          <w:lang w:val="fr-CH"/>
        </w:rPr>
        <w:t>25</w:t>
      </w:r>
      <w:r w:rsidR="00B8655D">
        <w:rPr>
          <w:i/>
          <w:lang w:val="fr-CH"/>
        </w:rPr>
        <w:t>-</w:t>
      </w:r>
      <w:r w:rsidR="00B8655D">
        <w:rPr>
          <w:lang w:val="fr-CH"/>
        </w:rPr>
        <w:t>38</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activeWritingStyle w:appName="MSWord" w:lang="fr-FR" w:vendorID="64" w:dllVersion="6" w:nlCheck="1" w:checkStyle="0"/>
  <w:activeWritingStyle w:appName="MSWord" w:lang="fr-CH" w:vendorID="64" w:dllVersion="6" w:nlCheck="1" w:checkStyle="0"/>
  <w:activeWritingStyle w:appName="MSWord" w:lang="en-GB" w:vendorID="64" w:dllVersion="6" w:nlCheck="1" w:checkStyle="1"/>
  <w:activeWritingStyle w:appName="MSWord" w:lang="en-US" w:vendorID="64" w:dllVersion="6" w:nlCheck="1" w:checkStyle="1"/>
  <w:activeWritingStyle w:appName="MSWord" w:lang="en-US" w:vendorID="64" w:dllVersion="4096" w:nlCheck="1" w:checkStyle="0"/>
  <w:activeWritingStyle w:appName="MSWord" w:lang="en-GB" w:vendorID="64" w:dllVersion="4096" w:nlCheck="1" w:checkStyle="0"/>
  <w:activeWritingStyle w:appName="MSWord" w:lang="fr-CH" w:vendorID="64" w:dllVersion="4096" w:nlCheck="1" w:checkStyle="0"/>
  <w:activeWritingStyle w:appName="MSWord" w:lang="fr-FR" w:vendorID="64" w:dllVersion="4096" w:nlCheck="1" w:checkStyle="0"/>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06E78"/>
    <w:rsid w:val="00000AC3"/>
    <w:rsid w:val="0000317F"/>
    <w:rsid w:val="000036E4"/>
    <w:rsid w:val="0000553A"/>
    <w:rsid w:val="00010F6E"/>
    <w:rsid w:val="000128FB"/>
    <w:rsid w:val="0001727A"/>
    <w:rsid w:val="00021FEC"/>
    <w:rsid w:val="000257D1"/>
    <w:rsid w:val="000303D2"/>
    <w:rsid w:val="00035742"/>
    <w:rsid w:val="00042526"/>
    <w:rsid w:val="0004609C"/>
    <w:rsid w:val="00052063"/>
    <w:rsid w:val="00061B2A"/>
    <w:rsid w:val="0006532A"/>
    <w:rsid w:val="00067D62"/>
    <w:rsid w:val="0007298A"/>
    <w:rsid w:val="00072B2E"/>
    <w:rsid w:val="000732EF"/>
    <w:rsid w:val="000742FE"/>
    <w:rsid w:val="00076779"/>
    <w:rsid w:val="0007781E"/>
    <w:rsid w:val="00083421"/>
    <w:rsid w:val="00083EFF"/>
    <w:rsid w:val="0008599D"/>
    <w:rsid w:val="0009381B"/>
    <w:rsid w:val="0009576F"/>
    <w:rsid w:val="0009594B"/>
    <w:rsid w:val="000A0B67"/>
    <w:rsid w:val="000A434F"/>
    <w:rsid w:val="000A52BA"/>
    <w:rsid w:val="000A7FB1"/>
    <w:rsid w:val="000B0108"/>
    <w:rsid w:val="000B0E46"/>
    <w:rsid w:val="000B34C5"/>
    <w:rsid w:val="000B3F96"/>
    <w:rsid w:val="000B46A3"/>
    <w:rsid w:val="000B7AAC"/>
    <w:rsid w:val="000C32E6"/>
    <w:rsid w:val="000C67BD"/>
    <w:rsid w:val="000D45A2"/>
    <w:rsid w:val="000D7227"/>
    <w:rsid w:val="000E02C0"/>
    <w:rsid w:val="000E0BF5"/>
    <w:rsid w:val="000E23D2"/>
    <w:rsid w:val="000F150A"/>
    <w:rsid w:val="000F2D78"/>
    <w:rsid w:val="000F4056"/>
    <w:rsid w:val="000F6257"/>
    <w:rsid w:val="001135B0"/>
    <w:rsid w:val="0011700A"/>
    <w:rsid w:val="00121D21"/>
    <w:rsid w:val="001241A8"/>
    <w:rsid w:val="001269B4"/>
    <w:rsid w:val="00131AEE"/>
    <w:rsid w:val="001344D4"/>
    <w:rsid w:val="0013704B"/>
    <w:rsid w:val="0013720E"/>
    <w:rsid w:val="00137CAC"/>
    <w:rsid w:val="001413E7"/>
    <w:rsid w:val="001420A8"/>
    <w:rsid w:val="00142D59"/>
    <w:rsid w:val="001450CD"/>
    <w:rsid w:val="001555E8"/>
    <w:rsid w:val="00156F2F"/>
    <w:rsid w:val="00157BE4"/>
    <w:rsid w:val="00157C3C"/>
    <w:rsid w:val="00160D0D"/>
    <w:rsid w:val="001637F1"/>
    <w:rsid w:val="0016494E"/>
    <w:rsid w:val="001657EE"/>
    <w:rsid w:val="00166C59"/>
    <w:rsid w:val="0017033B"/>
    <w:rsid w:val="00171673"/>
    <w:rsid w:val="00171D60"/>
    <w:rsid w:val="00172868"/>
    <w:rsid w:val="00173963"/>
    <w:rsid w:val="00174698"/>
    <w:rsid w:val="00175E79"/>
    <w:rsid w:val="00176380"/>
    <w:rsid w:val="00181FEC"/>
    <w:rsid w:val="0018391D"/>
    <w:rsid w:val="0019740F"/>
    <w:rsid w:val="00197B69"/>
    <w:rsid w:val="001A0316"/>
    <w:rsid w:val="001A118A"/>
    <w:rsid w:val="001A1450"/>
    <w:rsid w:val="001A7CF2"/>
    <w:rsid w:val="001B0294"/>
    <w:rsid w:val="001B1733"/>
    <w:rsid w:val="001B7738"/>
    <w:rsid w:val="001C0D32"/>
    <w:rsid w:val="001C1B72"/>
    <w:rsid w:val="001C33DF"/>
    <w:rsid w:val="001C7FEC"/>
    <w:rsid w:val="001D1CAB"/>
    <w:rsid w:val="001D61B2"/>
    <w:rsid w:val="001E4949"/>
    <w:rsid w:val="001E6622"/>
    <w:rsid w:val="001E7F4D"/>
    <w:rsid w:val="001F1993"/>
    <w:rsid w:val="001F4E86"/>
    <w:rsid w:val="001F6A3B"/>
    <w:rsid w:val="001F7111"/>
    <w:rsid w:val="0020188A"/>
    <w:rsid w:val="002053BC"/>
    <w:rsid w:val="00205CAC"/>
    <w:rsid w:val="002126C8"/>
    <w:rsid w:val="002152BD"/>
    <w:rsid w:val="0021545E"/>
    <w:rsid w:val="002177EE"/>
    <w:rsid w:val="002238B3"/>
    <w:rsid w:val="0023059B"/>
    <w:rsid w:val="002427C5"/>
    <w:rsid w:val="00243B45"/>
    <w:rsid w:val="002508B6"/>
    <w:rsid w:val="00261AA2"/>
    <w:rsid w:val="00261BF4"/>
    <w:rsid w:val="002626DE"/>
    <w:rsid w:val="00262822"/>
    <w:rsid w:val="00275EA4"/>
    <w:rsid w:val="002817EA"/>
    <w:rsid w:val="002838BA"/>
    <w:rsid w:val="00286188"/>
    <w:rsid w:val="002926FC"/>
    <w:rsid w:val="002932DC"/>
    <w:rsid w:val="002A190B"/>
    <w:rsid w:val="002A34ED"/>
    <w:rsid w:val="002A5A96"/>
    <w:rsid w:val="002B075A"/>
    <w:rsid w:val="002B0E2F"/>
    <w:rsid w:val="002B2500"/>
    <w:rsid w:val="002C2342"/>
    <w:rsid w:val="002C3A52"/>
    <w:rsid w:val="002C4A8F"/>
    <w:rsid w:val="002C6757"/>
    <w:rsid w:val="002D633B"/>
    <w:rsid w:val="002E47C4"/>
    <w:rsid w:val="002E4CAE"/>
    <w:rsid w:val="002E616A"/>
    <w:rsid w:val="002E645B"/>
    <w:rsid w:val="002F0DFF"/>
    <w:rsid w:val="002F44D2"/>
    <w:rsid w:val="002F573C"/>
    <w:rsid w:val="00311D8F"/>
    <w:rsid w:val="00312591"/>
    <w:rsid w:val="003158A8"/>
    <w:rsid w:val="00317AC8"/>
    <w:rsid w:val="003332CB"/>
    <w:rsid w:val="00336DA9"/>
    <w:rsid w:val="00341F89"/>
    <w:rsid w:val="00346F6F"/>
    <w:rsid w:val="00351A29"/>
    <w:rsid w:val="0035319D"/>
    <w:rsid w:val="003544F8"/>
    <w:rsid w:val="00356EE9"/>
    <w:rsid w:val="00363C3F"/>
    <w:rsid w:val="00364034"/>
    <w:rsid w:val="00373DB4"/>
    <w:rsid w:val="00383943"/>
    <w:rsid w:val="00385FBA"/>
    <w:rsid w:val="0038740A"/>
    <w:rsid w:val="00387DF1"/>
    <w:rsid w:val="00395723"/>
    <w:rsid w:val="00395CE7"/>
    <w:rsid w:val="003A0A53"/>
    <w:rsid w:val="003A2BA2"/>
    <w:rsid w:val="003A5792"/>
    <w:rsid w:val="003B509E"/>
    <w:rsid w:val="003B7705"/>
    <w:rsid w:val="003B777E"/>
    <w:rsid w:val="003C1C2C"/>
    <w:rsid w:val="003C465B"/>
    <w:rsid w:val="003C557C"/>
    <w:rsid w:val="003C6412"/>
    <w:rsid w:val="003C68F3"/>
    <w:rsid w:val="003D1A20"/>
    <w:rsid w:val="003D1D68"/>
    <w:rsid w:val="003D2F66"/>
    <w:rsid w:val="003D37D1"/>
    <w:rsid w:val="003D42BA"/>
    <w:rsid w:val="003E4216"/>
    <w:rsid w:val="003F128B"/>
    <w:rsid w:val="003F5D62"/>
    <w:rsid w:val="003F71FB"/>
    <w:rsid w:val="004036D9"/>
    <w:rsid w:val="004067FB"/>
    <w:rsid w:val="004068F4"/>
    <w:rsid w:val="00411469"/>
    <w:rsid w:val="00413550"/>
    <w:rsid w:val="004174F9"/>
    <w:rsid w:val="0042024A"/>
    <w:rsid w:val="0042518C"/>
    <w:rsid w:val="00426BF6"/>
    <w:rsid w:val="00433694"/>
    <w:rsid w:val="00441A8B"/>
    <w:rsid w:val="00442BEE"/>
    <w:rsid w:val="004506AB"/>
    <w:rsid w:val="00453821"/>
    <w:rsid w:val="00461D79"/>
    <w:rsid w:val="00466A2F"/>
    <w:rsid w:val="0046746B"/>
    <w:rsid w:val="004738A1"/>
    <w:rsid w:val="00473FE0"/>
    <w:rsid w:val="00476FCB"/>
    <w:rsid w:val="004771A9"/>
    <w:rsid w:val="00480230"/>
    <w:rsid w:val="00493C55"/>
    <w:rsid w:val="004A2267"/>
    <w:rsid w:val="004A3E37"/>
    <w:rsid w:val="004A6283"/>
    <w:rsid w:val="004B1C04"/>
    <w:rsid w:val="004C0E3E"/>
    <w:rsid w:val="004C4DDE"/>
    <w:rsid w:val="004C68D9"/>
    <w:rsid w:val="004D3ECC"/>
    <w:rsid w:val="004D4C26"/>
    <w:rsid w:val="004E01AD"/>
    <w:rsid w:val="004E23B8"/>
    <w:rsid w:val="004E4A7D"/>
    <w:rsid w:val="004E7587"/>
    <w:rsid w:val="004F604A"/>
    <w:rsid w:val="004F62BD"/>
    <w:rsid w:val="004F6AC9"/>
    <w:rsid w:val="00502DC4"/>
    <w:rsid w:val="00503051"/>
    <w:rsid w:val="00504080"/>
    <w:rsid w:val="00505267"/>
    <w:rsid w:val="00505CE1"/>
    <w:rsid w:val="00507B02"/>
    <w:rsid w:val="005108D6"/>
    <w:rsid w:val="005159A3"/>
    <w:rsid w:val="005217BC"/>
    <w:rsid w:val="00524AFC"/>
    <w:rsid w:val="00526941"/>
    <w:rsid w:val="00531BAD"/>
    <w:rsid w:val="00532A13"/>
    <w:rsid w:val="005332CC"/>
    <w:rsid w:val="0053682C"/>
    <w:rsid w:val="00540F38"/>
    <w:rsid w:val="005476B2"/>
    <w:rsid w:val="00547AE8"/>
    <w:rsid w:val="00547EBB"/>
    <w:rsid w:val="00550D52"/>
    <w:rsid w:val="00553CB1"/>
    <w:rsid w:val="00566989"/>
    <w:rsid w:val="00567180"/>
    <w:rsid w:val="00570CC4"/>
    <w:rsid w:val="00575E08"/>
    <w:rsid w:val="0058212E"/>
    <w:rsid w:val="005824A3"/>
    <w:rsid w:val="00585F4C"/>
    <w:rsid w:val="00586536"/>
    <w:rsid w:val="00590638"/>
    <w:rsid w:val="00590DFD"/>
    <w:rsid w:val="00594C3F"/>
    <w:rsid w:val="00597397"/>
    <w:rsid w:val="005A0A45"/>
    <w:rsid w:val="005A37E4"/>
    <w:rsid w:val="005B0889"/>
    <w:rsid w:val="005B782F"/>
    <w:rsid w:val="005B7C7F"/>
    <w:rsid w:val="005B7D89"/>
    <w:rsid w:val="005C705F"/>
    <w:rsid w:val="005C7EC5"/>
    <w:rsid w:val="005D3324"/>
    <w:rsid w:val="005D50D3"/>
    <w:rsid w:val="005E23FC"/>
    <w:rsid w:val="005E2FBC"/>
    <w:rsid w:val="005E3152"/>
    <w:rsid w:val="005E45D6"/>
    <w:rsid w:val="005E4814"/>
    <w:rsid w:val="005E6DB9"/>
    <w:rsid w:val="005F2A96"/>
    <w:rsid w:val="005F3EA1"/>
    <w:rsid w:val="00604D7B"/>
    <w:rsid w:val="00605E1A"/>
    <w:rsid w:val="00607869"/>
    <w:rsid w:val="0061374D"/>
    <w:rsid w:val="00613E29"/>
    <w:rsid w:val="00616B70"/>
    <w:rsid w:val="00621FAA"/>
    <w:rsid w:val="006374CB"/>
    <w:rsid w:val="00641BF9"/>
    <w:rsid w:val="006434C3"/>
    <w:rsid w:val="00645D2F"/>
    <w:rsid w:val="0064610D"/>
    <w:rsid w:val="0064628C"/>
    <w:rsid w:val="006509A0"/>
    <w:rsid w:val="00654FC1"/>
    <w:rsid w:val="0066499F"/>
    <w:rsid w:val="0066789B"/>
    <w:rsid w:val="00667BF1"/>
    <w:rsid w:val="0068263F"/>
    <w:rsid w:val="0068535E"/>
    <w:rsid w:val="00693606"/>
    <w:rsid w:val="00694009"/>
    <w:rsid w:val="00694E5F"/>
    <w:rsid w:val="006A5E7B"/>
    <w:rsid w:val="006B0B8C"/>
    <w:rsid w:val="006B55DF"/>
    <w:rsid w:val="006C026B"/>
    <w:rsid w:val="006C04D6"/>
    <w:rsid w:val="006C3803"/>
    <w:rsid w:val="006C6AB7"/>
    <w:rsid w:val="006D3F96"/>
    <w:rsid w:val="006E15AD"/>
    <w:rsid w:val="006E37B9"/>
    <w:rsid w:val="006E3CA1"/>
    <w:rsid w:val="006E4306"/>
    <w:rsid w:val="006F3B24"/>
    <w:rsid w:val="0070365C"/>
    <w:rsid w:val="0070634B"/>
    <w:rsid w:val="007102C0"/>
    <w:rsid w:val="00710B42"/>
    <w:rsid w:val="007154A6"/>
    <w:rsid w:val="00715680"/>
    <w:rsid w:val="00716BD5"/>
    <w:rsid w:val="00731908"/>
    <w:rsid w:val="00733A2C"/>
    <w:rsid w:val="00734DB6"/>
    <w:rsid w:val="0074679B"/>
    <w:rsid w:val="007476A4"/>
    <w:rsid w:val="00750F2E"/>
    <w:rsid w:val="00756E1A"/>
    <w:rsid w:val="007575B0"/>
    <w:rsid w:val="0076012D"/>
    <w:rsid w:val="007611EB"/>
    <w:rsid w:val="007617C9"/>
    <w:rsid w:val="007649D6"/>
    <w:rsid w:val="0076579E"/>
    <w:rsid w:val="007710DC"/>
    <w:rsid w:val="007752E7"/>
    <w:rsid w:val="00775B2A"/>
    <w:rsid w:val="0077696A"/>
    <w:rsid w:val="00776C06"/>
    <w:rsid w:val="0077768B"/>
    <w:rsid w:val="0078330A"/>
    <w:rsid w:val="00783DBE"/>
    <w:rsid w:val="00793264"/>
    <w:rsid w:val="007938D1"/>
    <w:rsid w:val="00796C69"/>
    <w:rsid w:val="007A3FD7"/>
    <w:rsid w:val="007B3905"/>
    <w:rsid w:val="007B3A53"/>
    <w:rsid w:val="007B3D50"/>
    <w:rsid w:val="007D0E0D"/>
    <w:rsid w:val="007D193D"/>
    <w:rsid w:val="007D4804"/>
    <w:rsid w:val="007D4995"/>
    <w:rsid w:val="007E2481"/>
    <w:rsid w:val="007E2F7E"/>
    <w:rsid w:val="007F1D39"/>
    <w:rsid w:val="007F2C43"/>
    <w:rsid w:val="007F49E4"/>
    <w:rsid w:val="007F7FB9"/>
    <w:rsid w:val="00800A5F"/>
    <w:rsid w:val="008127C7"/>
    <w:rsid w:val="008154B9"/>
    <w:rsid w:val="00821822"/>
    <w:rsid w:val="00823F15"/>
    <w:rsid w:val="00824CF1"/>
    <w:rsid w:val="00832138"/>
    <w:rsid w:val="00832791"/>
    <w:rsid w:val="00832F39"/>
    <w:rsid w:val="0084125F"/>
    <w:rsid w:val="00847AEB"/>
    <w:rsid w:val="00854789"/>
    <w:rsid w:val="00854CA6"/>
    <w:rsid w:val="00856FE8"/>
    <w:rsid w:val="0086207A"/>
    <w:rsid w:val="00862512"/>
    <w:rsid w:val="008668C4"/>
    <w:rsid w:val="008739F3"/>
    <w:rsid w:val="008742C1"/>
    <w:rsid w:val="008779C0"/>
    <w:rsid w:val="008804D7"/>
    <w:rsid w:val="00881606"/>
    <w:rsid w:val="00890C80"/>
    <w:rsid w:val="008919E2"/>
    <w:rsid w:val="00892F79"/>
    <w:rsid w:val="00894004"/>
    <w:rsid w:val="00895AF5"/>
    <w:rsid w:val="008A06E2"/>
    <w:rsid w:val="008A3E0A"/>
    <w:rsid w:val="008B236B"/>
    <w:rsid w:val="008B4AEA"/>
    <w:rsid w:val="008B4C96"/>
    <w:rsid w:val="008B6BE0"/>
    <w:rsid w:val="008C19E7"/>
    <w:rsid w:val="008C3811"/>
    <w:rsid w:val="008C4328"/>
    <w:rsid w:val="008D590F"/>
    <w:rsid w:val="008E1BC0"/>
    <w:rsid w:val="008E2D61"/>
    <w:rsid w:val="008E2ECB"/>
    <w:rsid w:val="008E41DB"/>
    <w:rsid w:val="008F19A9"/>
    <w:rsid w:val="008F1B67"/>
    <w:rsid w:val="008F3202"/>
    <w:rsid w:val="008F633A"/>
    <w:rsid w:val="00903C5E"/>
    <w:rsid w:val="00911600"/>
    <w:rsid w:val="00912100"/>
    <w:rsid w:val="009126F1"/>
    <w:rsid w:val="00913029"/>
    <w:rsid w:val="0091543F"/>
    <w:rsid w:val="009204D3"/>
    <w:rsid w:val="00930659"/>
    <w:rsid w:val="00935E81"/>
    <w:rsid w:val="00946CBD"/>
    <w:rsid w:val="0095436D"/>
    <w:rsid w:val="009559AD"/>
    <w:rsid w:val="00955A14"/>
    <w:rsid w:val="00956E31"/>
    <w:rsid w:val="00956E3B"/>
    <w:rsid w:val="00965BB7"/>
    <w:rsid w:val="00974828"/>
    <w:rsid w:val="00982F9A"/>
    <w:rsid w:val="00987212"/>
    <w:rsid w:val="009912D7"/>
    <w:rsid w:val="00994781"/>
    <w:rsid w:val="00994D5D"/>
    <w:rsid w:val="0099568A"/>
    <w:rsid w:val="009A543C"/>
    <w:rsid w:val="009B57CF"/>
    <w:rsid w:val="009B791B"/>
    <w:rsid w:val="009C204B"/>
    <w:rsid w:val="009C573B"/>
    <w:rsid w:val="009C5824"/>
    <w:rsid w:val="009C7791"/>
    <w:rsid w:val="009D1626"/>
    <w:rsid w:val="009D25F3"/>
    <w:rsid w:val="009D31A6"/>
    <w:rsid w:val="009D3DCF"/>
    <w:rsid w:val="009D508C"/>
    <w:rsid w:val="009E0851"/>
    <w:rsid w:val="009E3402"/>
    <w:rsid w:val="009E5305"/>
    <w:rsid w:val="009E54D9"/>
    <w:rsid w:val="009E5912"/>
    <w:rsid w:val="009E7C30"/>
    <w:rsid w:val="009F5CEC"/>
    <w:rsid w:val="00A03D9E"/>
    <w:rsid w:val="00A07B2A"/>
    <w:rsid w:val="00A12CFC"/>
    <w:rsid w:val="00A13013"/>
    <w:rsid w:val="00A14E01"/>
    <w:rsid w:val="00A1764D"/>
    <w:rsid w:val="00A212B0"/>
    <w:rsid w:val="00A22577"/>
    <w:rsid w:val="00A24A43"/>
    <w:rsid w:val="00A25435"/>
    <w:rsid w:val="00A25F96"/>
    <w:rsid w:val="00A30B27"/>
    <w:rsid w:val="00A3227A"/>
    <w:rsid w:val="00A327D4"/>
    <w:rsid w:val="00A32D32"/>
    <w:rsid w:val="00A33080"/>
    <w:rsid w:val="00A3697F"/>
    <w:rsid w:val="00A36F93"/>
    <w:rsid w:val="00A402C2"/>
    <w:rsid w:val="00A40678"/>
    <w:rsid w:val="00A40CEF"/>
    <w:rsid w:val="00A40F59"/>
    <w:rsid w:val="00A420C2"/>
    <w:rsid w:val="00A477B1"/>
    <w:rsid w:val="00A55D28"/>
    <w:rsid w:val="00A56171"/>
    <w:rsid w:val="00A619DC"/>
    <w:rsid w:val="00A64C24"/>
    <w:rsid w:val="00A6607E"/>
    <w:rsid w:val="00A668FA"/>
    <w:rsid w:val="00A67362"/>
    <w:rsid w:val="00A806D6"/>
    <w:rsid w:val="00A81D64"/>
    <w:rsid w:val="00A84E89"/>
    <w:rsid w:val="00A9145D"/>
    <w:rsid w:val="00A91BAF"/>
    <w:rsid w:val="00A96123"/>
    <w:rsid w:val="00AA4D59"/>
    <w:rsid w:val="00AB2EBC"/>
    <w:rsid w:val="00AB6EB2"/>
    <w:rsid w:val="00AC54C5"/>
    <w:rsid w:val="00AC57F7"/>
    <w:rsid w:val="00AC5AC1"/>
    <w:rsid w:val="00AC6E78"/>
    <w:rsid w:val="00AD03CB"/>
    <w:rsid w:val="00AD519E"/>
    <w:rsid w:val="00AD6C10"/>
    <w:rsid w:val="00AD6E72"/>
    <w:rsid w:val="00AD7412"/>
    <w:rsid w:val="00AE08C1"/>
    <w:rsid w:val="00AE12DB"/>
    <w:rsid w:val="00AE235F"/>
    <w:rsid w:val="00AE3055"/>
    <w:rsid w:val="00AE43D7"/>
    <w:rsid w:val="00AE731E"/>
    <w:rsid w:val="00AF6465"/>
    <w:rsid w:val="00AF7109"/>
    <w:rsid w:val="00B01CA4"/>
    <w:rsid w:val="00B02D9E"/>
    <w:rsid w:val="00B02DED"/>
    <w:rsid w:val="00B02FA7"/>
    <w:rsid w:val="00B05283"/>
    <w:rsid w:val="00B06E78"/>
    <w:rsid w:val="00B07C80"/>
    <w:rsid w:val="00B10A8D"/>
    <w:rsid w:val="00B15B78"/>
    <w:rsid w:val="00B15EFD"/>
    <w:rsid w:val="00B175BE"/>
    <w:rsid w:val="00B205B9"/>
    <w:rsid w:val="00B23C45"/>
    <w:rsid w:val="00B25682"/>
    <w:rsid w:val="00B26273"/>
    <w:rsid w:val="00B32F1E"/>
    <w:rsid w:val="00B3345B"/>
    <w:rsid w:val="00B3367B"/>
    <w:rsid w:val="00B357EF"/>
    <w:rsid w:val="00B43BF5"/>
    <w:rsid w:val="00B44130"/>
    <w:rsid w:val="00B56E0C"/>
    <w:rsid w:val="00B56FCC"/>
    <w:rsid w:val="00B64673"/>
    <w:rsid w:val="00B64A3D"/>
    <w:rsid w:val="00B64C21"/>
    <w:rsid w:val="00B65FF7"/>
    <w:rsid w:val="00B666EB"/>
    <w:rsid w:val="00B6672D"/>
    <w:rsid w:val="00B72811"/>
    <w:rsid w:val="00B734B4"/>
    <w:rsid w:val="00B827AA"/>
    <w:rsid w:val="00B83A01"/>
    <w:rsid w:val="00B855A2"/>
    <w:rsid w:val="00B8582D"/>
    <w:rsid w:val="00B8655D"/>
    <w:rsid w:val="00B912AE"/>
    <w:rsid w:val="00B93FB0"/>
    <w:rsid w:val="00B96676"/>
    <w:rsid w:val="00BA665A"/>
    <w:rsid w:val="00BB5CDA"/>
    <w:rsid w:val="00BB6604"/>
    <w:rsid w:val="00BB707A"/>
    <w:rsid w:val="00BB7CB8"/>
    <w:rsid w:val="00BC14FD"/>
    <w:rsid w:val="00BC22F3"/>
    <w:rsid w:val="00BD2822"/>
    <w:rsid w:val="00BE0736"/>
    <w:rsid w:val="00BE3152"/>
    <w:rsid w:val="00BE3727"/>
    <w:rsid w:val="00BE43CF"/>
    <w:rsid w:val="00BF1D52"/>
    <w:rsid w:val="00BF30C1"/>
    <w:rsid w:val="00BF57CF"/>
    <w:rsid w:val="00C04A40"/>
    <w:rsid w:val="00C066AD"/>
    <w:rsid w:val="00C16D22"/>
    <w:rsid w:val="00C1798D"/>
    <w:rsid w:val="00C2227B"/>
    <w:rsid w:val="00C229EF"/>
    <w:rsid w:val="00C23A13"/>
    <w:rsid w:val="00C40D97"/>
    <w:rsid w:val="00C41616"/>
    <w:rsid w:val="00C419BC"/>
    <w:rsid w:val="00C470D1"/>
    <w:rsid w:val="00C4734B"/>
    <w:rsid w:val="00C4750C"/>
    <w:rsid w:val="00C47D2E"/>
    <w:rsid w:val="00C52E13"/>
    <w:rsid w:val="00C62F3F"/>
    <w:rsid w:val="00C70C98"/>
    <w:rsid w:val="00C812F5"/>
    <w:rsid w:val="00C8253D"/>
    <w:rsid w:val="00C84F63"/>
    <w:rsid w:val="00C90F2D"/>
    <w:rsid w:val="00C94CA3"/>
    <w:rsid w:val="00C977D4"/>
    <w:rsid w:val="00CA4E2C"/>
    <w:rsid w:val="00CA58F6"/>
    <w:rsid w:val="00CB0167"/>
    <w:rsid w:val="00CB6E09"/>
    <w:rsid w:val="00CD0FCD"/>
    <w:rsid w:val="00CD35C8"/>
    <w:rsid w:val="00CD5E1E"/>
    <w:rsid w:val="00CE77F9"/>
    <w:rsid w:val="00CF690A"/>
    <w:rsid w:val="00CF7374"/>
    <w:rsid w:val="00D0282D"/>
    <w:rsid w:val="00D02ECE"/>
    <w:rsid w:val="00D0569A"/>
    <w:rsid w:val="00D05FF1"/>
    <w:rsid w:val="00D07BA3"/>
    <w:rsid w:val="00D120DF"/>
    <w:rsid w:val="00D13D60"/>
    <w:rsid w:val="00D15700"/>
    <w:rsid w:val="00D15CFB"/>
    <w:rsid w:val="00D16896"/>
    <w:rsid w:val="00D20FE7"/>
    <w:rsid w:val="00D2303B"/>
    <w:rsid w:val="00D31491"/>
    <w:rsid w:val="00D351F0"/>
    <w:rsid w:val="00D37EB0"/>
    <w:rsid w:val="00D40BA0"/>
    <w:rsid w:val="00D40FBE"/>
    <w:rsid w:val="00D41F70"/>
    <w:rsid w:val="00D43F43"/>
    <w:rsid w:val="00D4462A"/>
    <w:rsid w:val="00D45232"/>
    <w:rsid w:val="00D474C9"/>
    <w:rsid w:val="00D47A99"/>
    <w:rsid w:val="00D56E7A"/>
    <w:rsid w:val="00D57622"/>
    <w:rsid w:val="00D62958"/>
    <w:rsid w:val="00D632F8"/>
    <w:rsid w:val="00D63BB7"/>
    <w:rsid w:val="00D655D6"/>
    <w:rsid w:val="00D721D6"/>
    <w:rsid w:val="00D76063"/>
    <w:rsid w:val="00D76232"/>
    <w:rsid w:val="00D85FA7"/>
    <w:rsid w:val="00D87FBC"/>
    <w:rsid w:val="00D905D0"/>
    <w:rsid w:val="00D921F3"/>
    <w:rsid w:val="00D930E9"/>
    <w:rsid w:val="00D9323D"/>
    <w:rsid w:val="00DA45A6"/>
    <w:rsid w:val="00DB535E"/>
    <w:rsid w:val="00DC0DF0"/>
    <w:rsid w:val="00DC1088"/>
    <w:rsid w:val="00DC12AD"/>
    <w:rsid w:val="00DC4DDB"/>
    <w:rsid w:val="00DC79DF"/>
    <w:rsid w:val="00DD2D9B"/>
    <w:rsid w:val="00DE2AB3"/>
    <w:rsid w:val="00DE51F4"/>
    <w:rsid w:val="00DF2D1A"/>
    <w:rsid w:val="00DF4CEF"/>
    <w:rsid w:val="00DF55D8"/>
    <w:rsid w:val="00DF6AF2"/>
    <w:rsid w:val="00E00EDC"/>
    <w:rsid w:val="00E0259F"/>
    <w:rsid w:val="00E043FD"/>
    <w:rsid w:val="00E04F2A"/>
    <w:rsid w:val="00E057F9"/>
    <w:rsid w:val="00E16D89"/>
    <w:rsid w:val="00E22476"/>
    <w:rsid w:val="00E22B89"/>
    <w:rsid w:val="00E23D34"/>
    <w:rsid w:val="00E26B27"/>
    <w:rsid w:val="00E310F3"/>
    <w:rsid w:val="00E3698A"/>
    <w:rsid w:val="00E37176"/>
    <w:rsid w:val="00E409B3"/>
    <w:rsid w:val="00E41576"/>
    <w:rsid w:val="00E45066"/>
    <w:rsid w:val="00E47CE5"/>
    <w:rsid w:val="00E51D14"/>
    <w:rsid w:val="00E539A3"/>
    <w:rsid w:val="00E54E2B"/>
    <w:rsid w:val="00E55D2D"/>
    <w:rsid w:val="00E609B0"/>
    <w:rsid w:val="00E61F6E"/>
    <w:rsid w:val="00E654B2"/>
    <w:rsid w:val="00E7039C"/>
    <w:rsid w:val="00E72CC2"/>
    <w:rsid w:val="00E76027"/>
    <w:rsid w:val="00E768E3"/>
    <w:rsid w:val="00E8170E"/>
    <w:rsid w:val="00E81EF2"/>
    <w:rsid w:val="00E82C27"/>
    <w:rsid w:val="00E9493B"/>
    <w:rsid w:val="00E95691"/>
    <w:rsid w:val="00E96DD7"/>
    <w:rsid w:val="00EA0366"/>
    <w:rsid w:val="00EA1223"/>
    <w:rsid w:val="00EA1415"/>
    <w:rsid w:val="00EA1A4B"/>
    <w:rsid w:val="00EA5292"/>
    <w:rsid w:val="00EA5346"/>
    <w:rsid w:val="00EB0221"/>
    <w:rsid w:val="00EB18A9"/>
    <w:rsid w:val="00EB5B8B"/>
    <w:rsid w:val="00EB705A"/>
    <w:rsid w:val="00EC22C5"/>
    <w:rsid w:val="00EC3767"/>
    <w:rsid w:val="00EC45FF"/>
    <w:rsid w:val="00EC600E"/>
    <w:rsid w:val="00ED0C14"/>
    <w:rsid w:val="00ED4127"/>
    <w:rsid w:val="00ED5F6D"/>
    <w:rsid w:val="00ED7F8B"/>
    <w:rsid w:val="00EE743B"/>
    <w:rsid w:val="00EF3174"/>
    <w:rsid w:val="00EF4878"/>
    <w:rsid w:val="00EF49DA"/>
    <w:rsid w:val="00F05EA7"/>
    <w:rsid w:val="00F06227"/>
    <w:rsid w:val="00F124CD"/>
    <w:rsid w:val="00F1442C"/>
    <w:rsid w:val="00F1474D"/>
    <w:rsid w:val="00F173AE"/>
    <w:rsid w:val="00F20001"/>
    <w:rsid w:val="00F22189"/>
    <w:rsid w:val="00F24401"/>
    <w:rsid w:val="00F24E88"/>
    <w:rsid w:val="00F262DE"/>
    <w:rsid w:val="00F27417"/>
    <w:rsid w:val="00F31EDA"/>
    <w:rsid w:val="00F32B92"/>
    <w:rsid w:val="00F3730E"/>
    <w:rsid w:val="00F43D31"/>
    <w:rsid w:val="00F4420F"/>
    <w:rsid w:val="00F50DEC"/>
    <w:rsid w:val="00F51F3B"/>
    <w:rsid w:val="00F53B32"/>
    <w:rsid w:val="00F60F39"/>
    <w:rsid w:val="00F63077"/>
    <w:rsid w:val="00F63481"/>
    <w:rsid w:val="00F63D15"/>
    <w:rsid w:val="00F63E79"/>
    <w:rsid w:val="00F645FE"/>
    <w:rsid w:val="00F64C55"/>
    <w:rsid w:val="00F67255"/>
    <w:rsid w:val="00F70248"/>
    <w:rsid w:val="00F704E0"/>
    <w:rsid w:val="00F724A3"/>
    <w:rsid w:val="00F72E28"/>
    <w:rsid w:val="00F75505"/>
    <w:rsid w:val="00F813D0"/>
    <w:rsid w:val="00F83CA8"/>
    <w:rsid w:val="00F873BD"/>
    <w:rsid w:val="00F87420"/>
    <w:rsid w:val="00F90189"/>
    <w:rsid w:val="00F908B5"/>
    <w:rsid w:val="00F92E8D"/>
    <w:rsid w:val="00F93038"/>
    <w:rsid w:val="00F95DB5"/>
    <w:rsid w:val="00F970CA"/>
    <w:rsid w:val="00FA1AE7"/>
    <w:rsid w:val="00FA2617"/>
    <w:rsid w:val="00FA3163"/>
    <w:rsid w:val="00FA57B1"/>
    <w:rsid w:val="00FB14C2"/>
    <w:rsid w:val="00FB4478"/>
    <w:rsid w:val="00FB7BD9"/>
    <w:rsid w:val="00FC56CE"/>
    <w:rsid w:val="00FC7967"/>
    <w:rsid w:val="00FD5AFA"/>
    <w:rsid w:val="00FD679B"/>
    <w:rsid w:val="00FD694D"/>
    <w:rsid w:val="00FE31D2"/>
    <w:rsid w:val="00FE6243"/>
    <w:rsid w:val="00FF1E66"/>
    <w:rsid w:val="00FF2F44"/>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8DE708"/>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06E78"/>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7298A"/>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7298A"/>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06E7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06E78"/>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955A14"/>
    <w:pPr>
      <w:tabs>
        <w:tab w:val="right" w:leader="dot" w:pos="8488"/>
      </w:tabs>
      <w:spacing w:before="120" w:line="480" w:lineRule="auto"/>
    </w:pPr>
    <w:rPr>
      <w:b/>
      <w:bCs/>
    </w:rPr>
  </w:style>
  <w:style w:type="paragraph" w:styleId="TOC2">
    <w:name w:val="toc 2"/>
    <w:basedOn w:val="Normal"/>
    <w:next w:val="Normal"/>
    <w:autoRedefine/>
    <w:uiPriority w:val="39"/>
    <w:unhideWhenUsed/>
    <w:rsid w:val="00B06E78"/>
    <w:pPr>
      <w:ind w:left="240"/>
    </w:pPr>
    <w:rPr>
      <w:b/>
      <w:bCs/>
      <w:sz w:val="22"/>
      <w:szCs w:val="22"/>
    </w:rPr>
  </w:style>
  <w:style w:type="paragraph" w:styleId="TOC3">
    <w:name w:val="toc 3"/>
    <w:basedOn w:val="Normal"/>
    <w:next w:val="Normal"/>
    <w:autoRedefine/>
    <w:uiPriority w:val="39"/>
    <w:semiHidden/>
    <w:unhideWhenUsed/>
    <w:rsid w:val="00B06E78"/>
    <w:pPr>
      <w:ind w:left="480"/>
    </w:pPr>
    <w:rPr>
      <w:sz w:val="22"/>
      <w:szCs w:val="22"/>
    </w:rPr>
  </w:style>
  <w:style w:type="paragraph" w:styleId="TOC4">
    <w:name w:val="toc 4"/>
    <w:basedOn w:val="Normal"/>
    <w:next w:val="Normal"/>
    <w:autoRedefine/>
    <w:uiPriority w:val="39"/>
    <w:semiHidden/>
    <w:unhideWhenUsed/>
    <w:rsid w:val="00B06E78"/>
    <w:pPr>
      <w:ind w:left="720"/>
    </w:pPr>
    <w:rPr>
      <w:sz w:val="20"/>
      <w:szCs w:val="20"/>
    </w:rPr>
  </w:style>
  <w:style w:type="paragraph" w:styleId="TOC5">
    <w:name w:val="toc 5"/>
    <w:basedOn w:val="Normal"/>
    <w:next w:val="Normal"/>
    <w:autoRedefine/>
    <w:uiPriority w:val="39"/>
    <w:semiHidden/>
    <w:unhideWhenUsed/>
    <w:rsid w:val="00B06E78"/>
    <w:pPr>
      <w:ind w:left="960"/>
    </w:pPr>
    <w:rPr>
      <w:sz w:val="20"/>
      <w:szCs w:val="20"/>
    </w:rPr>
  </w:style>
  <w:style w:type="paragraph" w:styleId="TOC6">
    <w:name w:val="toc 6"/>
    <w:basedOn w:val="Normal"/>
    <w:next w:val="Normal"/>
    <w:autoRedefine/>
    <w:uiPriority w:val="39"/>
    <w:semiHidden/>
    <w:unhideWhenUsed/>
    <w:rsid w:val="00B06E78"/>
    <w:pPr>
      <w:ind w:left="1200"/>
    </w:pPr>
    <w:rPr>
      <w:sz w:val="20"/>
      <w:szCs w:val="20"/>
    </w:rPr>
  </w:style>
  <w:style w:type="paragraph" w:styleId="TOC7">
    <w:name w:val="toc 7"/>
    <w:basedOn w:val="Normal"/>
    <w:next w:val="Normal"/>
    <w:autoRedefine/>
    <w:uiPriority w:val="39"/>
    <w:semiHidden/>
    <w:unhideWhenUsed/>
    <w:rsid w:val="00B06E78"/>
    <w:pPr>
      <w:ind w:left="1440"/>
    </w:pPr>
    <w:rPr>
      <w:sz w:val="20"/>
      <w:szCs w:val="20"/>
    </w:rPr>
  </w:style>
  <w:style w:type="paragraph" w:styleId="TOC8">
    <w:name w:val="toc 8"/>
    <w:basedOn w:val="Normal"/>
    <w:next w:val="Normal"/>
    <w:autoRedefine/>
    <w:uiPriority w:val="39"/>
    <w:semiHidden/>
    <w:unhideWhenUsed/>
    <w:rsid w:val="00B06E78"/>
    <w:pPr>
      <w:ind w:left="1680"/>
    </w:pPr>
    <w:rPr>
      <w:sz w:val="20"/>
      <w:szCs w:val="20"/>
    </w:rPr>
  </w:style>
  <w:style w:type="paragraph" w:styleId="TOC9">
    <w:name w:val="toc 9"/>
    <w:basedOn w:val="Normal"/>
    <w:next w:val="Normal"/>
    <w:autoRedefine/>
    <w:uiPriority w:val="39"/>
    <w:semiHidden/>
    <w:unhideWhenUsed/>
    <w:rsid w:val="00B06E78"/>
    <w:pPr>
      <w:ind w:left="1920"/>
    </w:pPr>
    <w:rPr>
      <w:sz w:val="20"/>
      <w:szCs w:val="20"/>
    </w:rPr>
  </w:style>
  <w:style w:type="character" w:styleId="Hyperlink">
    <w:name w:val="Hyperlink"/>
    <w:basedOn w:val="DefaultParagraphFont"/>
    <w:uiPriority w:val="99"/>
    <w:unhideWhenUsed/>
    <w:rsid w:val="00B06E78"/>
    <w:rPr>
      <w:color w:val="0563C1" w:themeColor="hyperlink"/>
      <w:u w:val="single"/>
    </w:rPr>
  </w:style>
  <w:style w:type="paragraph" w:styleId="Footer">
    <w:name w:val="footer"/>
    <w:basedOn w:val="Normal"/>
    <w:link w:val="FooterChar"/>
    <w:uiPriority w:val="99"/>
    <w:unhideWhenUsed/>
    <w:rsid w:val="00B06E78"/>
    <w:pPr>
      <w:tabs>
        <w:tab w:val="center" w:pos="4513"/>
        <w:tab w:val="right" w:pos="9026"/>
      </w:tabs>
    </w:pPr>
  </w:style>
  <w:style w:type="character" w:customStyle="1" w:styleId="FooterChar">
    <w:name w:val="Footer Char"/>
    <w:basedOn w:val="DefaultParagraphFont"/>
    <w:link w:val="Footer"/>
    <w:uiPriority w:val="99"/>
    <w:rsid w:val="00B06E78"/>
  </w:style>
  <w:style w:type="character" w:styleId="PageNumber">
    <w:name w:val="page number"/>
    <w:basedOn w:val="DefaultParagraphFont"/>
    <w:uiPriority w:val="99"/>
    <w:semiHidden/>
    <w:unhideWhenUsed/>
    <w:rsid w:val="00B06E78"/>
  </w:style>
  <w:style w:type="paragraph" w:styleId="FootnoteText">
    <w:name w:val="footnote text"/>
    <w:basedOn w:val="Normal"/>
    <w:link w:val="FootnoteTextChar"/>
    <w:autoRedefine/>
    <w:uiPriority w:val="99"/>
    <w:unhideWhenUsed/>
    <w:rsid w:val="00AD519E"/>
    <w:pPr>
      <w:spacing w:line="276" w:lineRule="auto"/>
    </w:pPr>
    <w:rPr>
      <w:rFonts w:ascii="Times New Roman" w:hAnsi="Times New Roman"/>
      <w:sz w:val="20"/>
    </w:rPr>
  </w:style>
  <w:style w:type="character" w:customStyle="1" w:styleId="FootnoteTextChar">
    <w:name w:val="Footnote Text Char"/>
    <w:basedOn w:val="DefaultParagraphFont"/>
    <w:link w:val="FootnoteText"/>
    <w:uiPriority w:val="99"/>
    <w:rsid w:val="00AD519E"/>
    <w:rPr>
      <w:rFonts w:ascii="Times New Roman" w:hAnsi="Times New Roman"/>
      <w:sz w:val="20"/>
    </w:rPr>
  </w:style>
  <w:style w:type="character" w:styleId="FootnoteReference">
    <w:name w:val="footnote reference"/>
    <w:basedOn w:val="DefaultParagraphFont"/>
    <w:uiPriority w:val="99"/>
    <w:unhideWhenUsed/>
    <w:rsid w:val="002838BA"/>
    <w:rPr>
      <w:vertAlign w:val="superscript"/>
    </w:rPr>
  </w:style>
  <w:style w:type="character" w:customStyle="1" w:styleId="place">
    <w:name w:val="place"/>
    <w:basedOn w:val="DefaultParagraphFont"/>
    <w:rsid w:val="00F813D0"/>
  </w:style>
  <w:style w:type="character" w:customStyle="1" w:styleId="Heading2Char">
    <w:name w:val="Heading 2 Char"/>
    <w:basedOn w:val="DefaultParagraphFont"/>
    <w:link w:val="Heading2"/>
    <w:uiPriority w:val="9"/>
    <w:rsid w:val="0007298A"/>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07298A"/>
    <w:rPr>
      <w:rFonts w:asciiTheme="majorHAnsi" w:eastAsiaTheme="majorEastAsia" w:hAnsiTheme="majorHAnsi" w:cstheme="majorBidi"/>
      <w:color w:val="1F3763" w:themeColor="accent1" w:themeShade="7F"/>
    </w:rPr>
  </w:style>
  <w:style w:type="character" w:styleId="CommentReference">
    <w:name w:val="annotation reference"/>
    <w:basedOn w:val="DefaultParagraphFont"/>
    <w:uiPriority w:val="99"/>
    <w:semiHidden/>
    <w:unhideWhenUsed/>
    <w:rsid w:val="00A32D32"/>
    <w:rPr>
      <w:sz w:val="16"/>
      <w:szCs w:val="16"/>
    </w:rPr>
  </w:style>
  <w:style w:type="paragraph" w:styleId="CommentText">
    <w:name w:val="annotation text"/>
    <w:basedOn w:val="Normal"/>
    <w:link w:val="CommentTextChar"/>
    <w:uiPriority w:val="99"/>
    <w:semiHidden/>
    <w:unhideWhenUsed/>
    <w:rsid w:val="00A32D32"/>
    <w:rPr>
      <w:sz w:val="20"/>
      <w:szCs w:val="20"/>
    </w:rPr>
  </w:style>
  <w:style w:type="character" w:customStyle="1" w:styleId="CommentTextChar">
    <w:name w:val="Comment Text Char"/>
    <w:basedOn w:val="DefaultParagraphFont"/>
    <w:link w:val="CommentText"/>
    <w:uiPriority w:val="99"/>
    <w:semiHidden/>
    <w:rsid w:val="00A32D32"/>
    <w:rPr>
      <w:sz w:val="20"/>
      <w:szCs w:val="20"/>
    </w:rPr>
  </w:style>
  <w:style w:type="paragraph" w:styleId="CommentSubject">
    <w:name w:val="annotation subject"/>
    <w:basedOn w:val="CommentText"/>
    <w:next w:val="CommentText"/>
    <w:link w:val="CommentSubjectChar"/>
    <w:uiPriority w:val="99"/>
    <w:semiHidden/>
    <w:unhideWhenUsed/>
    <w:rsid w:val="00A32D32"/>
    <w:rPr>
      <w:b/>
      <w:bCs/>
    </w:rPr>
  </w:style>
  <w:style w:type="character" w:customStyle="1" w:styleId="CommentSubjectChar">
    <w:name w:val="Comment Subject Char"/>
    <w:basedOn w:val="CommentTextChar"/>
    <w:link w:val="CommentSubject"/>
    <w:uiPriority w:val="99"/>
    <w:semiHidden/>
    <w:rsid w:val="00A32D32"/>
    <w:rPr>
      <w:b/>
      <w:bCs/>
      <w:sz w:val="20"/>
      <w:szCs w:val="20"/>
    </w:rPr>
  </w:style>
  <w:style w:type="paragraph" w:styleId="BalloonText">
    <w:name w:val="Balloon Text"/>
    <w:basedOn w:val="Normal"/>
    <w:link w:val="BalloonTextChar"/>
    <w:uiPriority w:val="99"/>
    <w:semiHidden/>
    <w:unhideWhenUsed/>
    <w:rsid w:val="00A32D32"/>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32D32"/>
    <w:rPr>
      <w:rFonts w:ascii="Segoe UI" w:hAnsi="Segoe UI" w:cs="Segoe UI"/>
      <w:sz w:val="18"/>
      <w:szCs w:val="18"/>
    </w:rPr>
  </w:style>
  <w:style w:type="paragraph" w:styleId="NoSpacing">
    <w:name w:val="No Spacing"/>
    <w:link w:val="NoSpacingChar"/>
    <w:uiPriority w:val="1"/>
    <w:qFormat/>
    <w:rsid w:val="00955A14"/>
    <w:rPr>
      <w:rFonts w:eastAsiaTheme="minorEastAsia"/>
      <w:sz w:val="22"/>
      <w:szCs w:val="22"/>
      <w:lang w:val="en-US" w:eastAsia="zh-CN"/>
    </w:rPr>
  </w:style>
  <w:style w:type="character" w:customStyle="1" w:styleId="NoSpacingChar">
    <w:name w:val="No Spacing Char"/>
    <w:basedOn w:val="DefaultParagraphFont"/>
    <w:link w:val="NoSpacing"/>
    <w:uiPriority w:val="1"/>
    <w:rsid w:val="00955A14"/>
    <w:rPr>
      <w:rFonts w:eastAsiaTheme="minorEastAsia"/>
      <w:sz w:val="22"/>
      <w:szCs w:val="22"/>
      <w:lang w:val="en-US" w:eastAsia="zh-CN"/>
    </w:rPr>
  </w:style>
  <w:style w:type="paragraph" w:styleId="Subtitle">
    <w:name w:val="Subtitle"/>
    <w:basedOn w:val="Normal"/>
    <w:next w:val="Normal"/>
    <w:link w:val="SubtitleChar"/>
    <w:uiPriority w:val="11"/>
    <w:qFormat/>
    <w:rsid w:val="00775B2A"/>
    <w:pPr>
      <w:numPr>
        <w:ilvl w:val="1"/>
      </w:numPr>
      <w:spacing w:after="160"/>
    </w:pPr>
    <w:rPr>
      <w:rFonts w:eastAsiaTheme="minorEastAsia"/>
      <w:color w:val="5A5A5A" w:themeColor="text1" w:themeTint="A5"/>
      <w:spacing w:val="15"/>
      <w:sz w:val="22"/>
      <w:szCs w:val="22"/>
    </w:rPr>
  </w:style>
  <w:style w:type="character" w:customStyle="1" w:styleId="SubtitleChar">
    <w:name w:val="Subtitle Char"/>
    <w:basedOn w:val="DefaultParagraphFont"/>
    <w:link w:val="Subtitle"/>
    <w:uiPriority w:val="11"/>
    <w:rsid w:val="00775B2A"/>
    <w:rPr>
      <w:rFonts w:eastAsiaTheme="minorEastAsia"/>
      <w:color w:val="5A5A5A" w:themeColor="text1" w:themeTint="A5"/>
      <w:spacing w:val="15"/>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759809">
      <w:bodyDiv w:val="1"/>
      <w:marLeft w:val="0"/>
      <w:marRight w:val="0"/>
      <w:marTop w:val="0"/>
      <w:marBottom w:val="0"/>
      <w:divBdr>
        <w:top w:val="none" w:sz="0" w:space="0" w:color="auto"/>
        <w:left w:val="none" w:sz="0" w:space="0" w:color="auto"/>
        <w:bottom w:val="none" w:sz="0" w:space="0" w:color="auto"/>
        <w:right w:val="none" w:sz="0" w:space="0" w:color="auto"/>
      </w:divBdr>
    </w:div>
    <w:div w:id="38823759">
      <w:bodyDiv w:val="1"/>
      <w:marLeft w:val="0"/>
      <w:marRight w:val="0"/>
      <w:marTop w:val="0"/>
      <w:marBottom w:val="0"/>
      <w:divBdr>
        <w:top w:val="none" w:sz="0" w:space="0" w:color="auto"/>
        <w:left w:val="none" w:sz="0" w:space="0" w:color="auto"/>
        <w:bottom w:val="none" w:sz="0" w:space="0" w:color="auto"/>
        <w:right w:val="none" w:sz="0" w:space="0" w:color="auto"/>
      </w:divBdr>
    </w:div>
    <w:div w:id="41567003">
      <w:bodyDiv w:val="1"/>
      <w:marLeft w:val="0"/>
      <w:marRight w:val="0"/>
      <w:marTop w:val="0"/>
      <w:marBottom w:val="0"/>
      <w:divBdr>
        <w:top w:val="none" w:sz="0" w:space="0" w:color="auto"/>
        <w:left w:val="none" w:sz="0" w:space="0" w:color="auto"/>
        <w:bottom w:val="none" w:sz="0" w:space="0" w:color="auto"/>
        <w:right w:val="none" w:sz="0" w:space="0" w:color="auto"/>
      </w:divBdr>
    </w:div>
    <w:div w:id="43337338">
      <w:bodyDiv w:val="1"/>
      <w:marLeft w:val="0"/>
      <w:marRight w:val="0"/>
      <w:marTop w:val="0"/>
      <w:marBottom w:val="0"/>
      <w:divBdr>
        <w:top w:val="none" w:sz="0" w:space="0" w:color="auto"/>
        <w:left w:val="none" w:sz="0" w:space="0" w:color="auto"/>
        <w:bottom w:val="none" w:sz="0" w:space="0" w:color="auto"/>
        <w:right w:val="none" w:sz="0" w:space="0" w:color="auto"/>
      </w:divBdr>
    </w:div>
    <w:div w:id="55671694">
      <w:bodyDiv w:val="1"/>
      <w:marLeft w:val="0"/>
      <w:marRight w:val="0"/>
      <w:marTop w:val="0"/>
      <w:marBottom w:val="0"/>
      <w:divBdr>
        <w:top w:val="none" w:sz="0" w:space="0" w:color="auto"/>
        <w:left w:val="none" w:sz="0" w:space="0" w:color="auto"/>
        <w:bottom w:val="none" w:sz="0" w:space="0" w:color="auto"/>
        <w:right w:val="none" w:sz="0" w:space="0" w:color="auto"/>
      </w:divBdr>
    </w:div>
    <w:div w:id="57242146">
      <w:bodyDiv w:val="1"/>
      <w:marLeft w:val="0"/>
      <w:marRight w:val="0"/>
      <w:marTop w:val="0"/>
      <w:marBottom w:val="0"/>
      <w:divBdr>
        <w:top w:val="none" w:sz="0" w:space="0" w:color="auto"/>
        <w:left w:val="none" w:sz="0" w:space="0" w:color="auto"/>
        <w:bottom w:val="none" w:sz="0" w:space="0" w:color="auto"/>
        <w:right w:val="none" w:sz="0" w:space="0" w:color="auto"/>
      </w:divBdr>
    </w:div>
    <w:div w:id="67465583">
      <w:bodyDiv w:val="1"/>
      <w:marLeft w:val="0"/>
      <w:marRight w:val="0"/>
      <w:marTop w:val="0"/>
      <w:marBottom w:val="0"/>
      <w:divBdr>
        <w:top w:val="none" w:sz="0" w:space="0" w:color="auto"/>
        <w:left w:val="none" w:sz="0" w:space="0" w:color="auto"/>
        <w:bottom w:val="none" w:sz="0" w:space="0" w:color="auto"/>
        <w:right w:val="none" w:sz="0" w:space="0" w:color="auto"/>
      </w:divBdr>
    </w:div>
    <w:div w:id="68816826">
      <w:bodyDiv w:val="1"/>
      <w:marLeft w:val="0"/>
      <w:marRight w:val="0"/>
      <w:marTop w:val="0"/>
      <w:marBottom w:val="0"/>
      <w:divBdr>
        <w:top w:val="none" w:sz="0" w:space="0" w:color="auto"/>
        <w:left w:val="none" w:sz="0" w:space="0" w:color="auto"/>
        <w:bottom w:val="none" w:sz="0" w:space="0" w:color="auto"/>
        <w:right w:val="none" w:sz="0" w:space="0" w:color="auto"/>
      </w:divBdr>
    </w:div>
    <w:div w:id="80110154">
      <w:bodyDiv w:val="1"/>
      <w:marLeft w:val="0"/>
      <w:marRight w:val="0"/>
      <w:marTop w:val="0"/>
      <w:marBottom w:val="0"/>
      <w:divBdr>
        <w:top w:val="none" w:sz="0" w:space="0" w:color="auto"/>
        <w:left w:val="none" w:sz="0" w:space="0" w:color="auto"/>
        <w:bottom w:val="none" w:sz="0" w:space="0" w:color="auto"/>
        <w:right w:val="none" w:sz="0" w:space="0" w:color="auto"/>
      </w:divBdr>
    </w:div>
    <w:div w:id="92240198">
      <w:bodyDiv w:val="1"/>
      <w:marLeft w:val="0"/>
      <w:marRight w:val="0"/>
      <w:marTop w:val="0"/>
      <w:marBottom w:val="0"/>
      <w:divBdr>
        <w:top w:val="none" w:sz="0" w:space="0" w:color="auto"/>
        <w:left w:val="none" w:sz="0" w:space="0" w:color="auto"/>
        <w:bottom w:val="none" w:sz="0" w:space="0" w:color="auto"/>
        <w:right w:val="none" w:sz="0" w:space="0" w:color="auto"/>
      </w:divBdr>
    </w:div>
    <w:div w:id="107548796">
      <w:bodyDiv w:val="1"/>
      <w:marLeft w:val="0"/>
      <w:marRight w:val="0"/>
      <w:marTop w:val="0"/>
      <w:marBottom w:val="0"/>
      <w:divBdr>
        <w:top w:val="none" w:sz="0" w:space="0" w:color="auto"/>
        <w:left w:val="none" w:sz="0" w:space="0" w:color="auto"/>
        <w:bottom w:val="none" w:sz="0" w:space="0" w:color="auto"/>
        <w:right w:val="none" w:sz="0" w:space="0" w:color="auto"/>
      </w:divBdr>
    </w:div>
    <w:div w:id="120727871">
      <w:bodyDiv w:val="1"/>
      <w:marLeft w:val="0"/>
      <w:marRight w:val="0"/>
      <w:marTop w:val="0"/>
      <w:marBottom w:val="0"/>
      <w:divBdr>
        <w:top w:val="none" w:sz="0" w:space="0" w:color="auto"/>
        <w:left w:val="none" w:sz="0" w:space="0" w:color="auto"/>
        <w:bottom w:val="none" w:sz="0" w:space="0" w:color="auto"/>
        <w:right w:val="none" w:sz="0" w:space="0" w:color="auto"/>
      </w:divBdr>
    </w:div>
    <w:div w:id="176041105">
      <w:bodyDiv w:val="1"/>
      <w:marLeft w:val="0"/>
      <w:marRight w:val="0"/>
      <w:marTop w:val="0"/>
      <w:marBottom w:val="0"/>
      <w:divBdr>
        <w:top w:val="none" w:sz="0" w:space="0" w:color="auto"/>
        <w:left w:val="none" w:sz="0" w:space="0" w:color="auto"/>
        <w:bottom w:val="none" w:sz="0" w:space="0" w:color="auto"/>
        <w:right w:val="none" w:sz="0" w:space="0" w:color="auto"/>
      </w:divBdr>
    </w:div>
    <w:div w:id="190806111">
      <w:bodyDiv w:val="1"/>
      <w:marLeft w:val="0"/>
      <w:marRight w:val="0"/>
      <w:marTop w:val="0"/>
      <w:marBottom w:val="0"/>
      <w:divBdr>
        <w:top w:val="none" w:sz="0" w:space="0" w:color="auto"/>
        <w:left w:val="none" w:sz="0" w:space="0" w:color="auto"/>
        <w:bottom w:val="none" w:sz="0" w:space="0" w:color="auto"/>
        <w:right w:val="none" w:sz="0" w:space="0" w:color="auto"/>
      </w:divBdr>
    </w:div>
    <w:div w:id="198933135">
      <w:bodyDiv w:val="1"/>
      <w:marLeft w:val="0"/>
      <w:marRight w:val="0"/>
      <w:marTop w:val="0"/>
      <w:marBottom w:val="0"/>
      <w:divBdr>
        <w:top w:val="none" w:sz="0" w:space="0" w:color="auto"/>
        <w:left w:val="none" w:sz="0" w:space="0" w:color="auto"/>
        <w:bottom w:val="none" w:sz="0" w:space="0" w:color="auto"/>
        <w:right w:val="none" w:sz="0" w:space="0" w:color="auto"/>
      </w:divBdr>
    </w:div>
    <w:div w:id="199099635">
      <w:bodyDiv w:val="1"/>
      <w:marLeft w:val="0"/>
      <w:marRight w:val="0"/>
      <w:marTop w:val="0"/>
      <w:marBottom w:val="0"/>
      <w:divBdr>
        <w:top w:val="none" w:sz="0" w:space="0" w:color="auto"/>
        <w:left w:val="none" w:sz="0" w:space="0" w:color="auto"/>
        <w:bottom w:val="none" w:sz="0" w:space="0" w:color="auto"/>
        <w:right w:val="none" w:sz="0" w:space="0" w:color="auto"/>
      </w:divBdr>
    </w:div>
    <w:div w:id="237595564">
      <w:bodyDiv w:val="1"/>
      <w:marLeft w:val="0"/>
      <w:marRight w:val="0"/>
      <w:marTop w:val="0"/>
      <w:marBottom w:val="0"/>
      <w:divBdr>
        <w:top w:val="none" w:sz="0" w:space="0" w:color="auto"/>
        <w:left w:val="none" w:sz="0" w:space="0" w:color="auto"/>
        <w:bottom w:val="none" w:sz="0" w:space="0" w:color="auto"/>
        <w:right w:val="none" w:sz="0" w:space="0" w:color="auto"/>
      </w:divBdr>
    </w:div>
    <w:div w:id="254244376">
      <w:bodyDiv w:val="1"/>
      <w:marLeft w:val="0"/>
      <w:marRight w:val="0"/>
      <w:marTop w:val="0"/>
      <w:marBottom w:val="0"/>
      <w:divBdr>
        <w:top w:val="none" w:sz="0" w:space="0" w:color="auto"/>
        <w:left w:val="none" w:sz="0" w:space="0" w:color="auto"/>
        <w:bottom w:val="none" w:sz="0" w:space="0" w:color="auto"/>
        <w:right w:val="none" w:sz="0" w:space="0" w:color="auto"/>
      </w:divBdr>
    </w:div>
    <w:div w:id="257492642">
      <w:bodyDiv w:val="1"/>
      <w:marLeft w:val="0"/>
      <w:marRight w:val="0"/>
      <w:marTop w:val="0"/>
      <w:marBottom w:val="0"/>
      <w:divBdr>
        <w:top w:val="none" w:sz="0" w:space="0" w:color="auto"/>
        <w:left w:val="none" w:sz="0" w:space="0" w:color="auto"/>
        <w:bottom w:val="none" w:sz="0" w:space="0" w:color="auto"/>
        <w:right w:val="none" w:sz="0" w:space="0" w:color="auto"/>
      </w:divBdr>
    </w:div>
    <w:div w:id="285236401">
      <w:bodyDiv w:val="1"/>
      <w:marLeft w:val="0"/>
      <w:marRight w:val="0"/>
      <w:marTop w:val="0"/>
      <w:marBottom w:val="0"/>
      <w:divBdr>
        <w:top w:val="none" w:sz="0" w:space="0" w:color="auto"/>
        <w:left w:val="none" w:sz="0" w:space="0" w:color="auto"/>
        <w:bottom w:val="none" w:sz="0" w:space="0" w:color="auto"/>
        <w:right w:val="none" w:sz="0" w:space="0" w:color="auto"/>
      </w:divBdr>
    </w:div>
    <w:div w:id="427388148">
      <w:bodyDiv w:val="1"/>
      <w:marLeft w:val="0"/>
      <w:marRight w:val="0"/>
      <w:marTop w:val="0"/>
      <w:marBottom w:val="0"/>
      <w:divBdr>
        <w:top w:val="none" w:sz="0" w:space="0" w:color="auto"/>
        <w:left w:val="none" w:sz="0" w:space="0" w:color="auto"/>
        <w:bottom w:val="none" w:sz="0" w:space="0" w:color="auto"/>
        <w:right w:val="none" w:sz="0" w:space="0" w:color="auto"/>
      </w:divBdr>
    </w:div>
    <w:div w:id="432093989">
      <w:bodyDiv w:val="1"/>
      <w:marLeft w:val="0"/>
      <w:marRight w:val="0"/>
      <w:marTop w:val="0"/>
      <w:marBottom w:val="0"/>
      <w:divBdr>
        <w:top w:val="none" w:sz="0" w:space="0" w:color="auto"/>
        <w:left w:val="none" w:sz="0" w:space="0" w:color="auto"/>
        <w:bottom w:val="none" w:sz="0" w:space="0" w:color="auto"/>
        <w:right w:val="none" w:sz="0" w:space="0" w:color="auto"/>
      </w:divBdr>
    </w:div>
    <w:div w:id="456022485">
      <w:bodyDiv w:val="1"/>
      <w:marLeft w:val="0"/>
      <w:marRight w:val="0"/>
      <w:marTop w:val="0"/>
      <w:marBottom w:val="0"/>
      <w:divBdr>
        <w:top w:val="none" w:sz="0" w:space="0" w:color="auto"/>
        <w:left w:val="none" w:sz="0" w:space="0" w:color="auto"/>
        <w:bottom w:val="none" w:sz="0" w:space="0" w:color="auto"/>
        <w:right w:val="none" w:sz="0" w:space="0" w:color="auto"/>
      </w:divBdr>
    </w:div>
    <w:div w:id="471682552">
      <w:bodyDiv w:val="1"/>
      <w:marLeft w:val="0"/>
      <w:marRight w:val="0"/>
      <w:marTop w:val="0"/>
      <w:marBottom w:val="0"/>
      <w:divBdr>
        <w:top w:val="none" w:sz="0" w:space="0" w:color="auto"/>
        <w:left w:val="none" w:sz="0" w:space="0" w:color="auto"/>
        <w:bottom w:val="none" w:sz="0" w:space="0" w:color="auto"/>
        <w:right w:val="none" w:sz="0" w:space="0" w:color="auto"/>
      </w:divBdr>
    </w:div>
    <w:div w:id="480462160">
      <w:bodyDiv w:val="1"/>
      <w:marLeft w:val="0"/>
      <w:marRight w:val="0"/>
      <w:marTop w:val="0"/>
      <w:marBottom w:val="0"/>
      <w:divBdr>
        <w:top w:val="none" w:sz="0" w:space="0" w:color="auto"/>
        <w:left w:val="none" w:sz="0" w:space="0" w:color="auto"/>
        <w:bottom w:val="none" w:sz="0" w:space="0" w:color="auto"/>
        <w:right w:val="none" w:sz="0" w:space="0" w:color="auto"/>
      </w:divBdr>
    </w:div>
    <w:div w:id="500504784">
      <w:bodyDiv w:val="1"/>
      <w:marLeft w:val="0"/>
      <w:marRight w:val="0"/>
      <w:marTop w:val="0"/>
      <w:marBottom w:val="0"/>
      <w:divBdr>
        <w:top w:val="none" w:sz="0" w:space="0" w:color="auto"/>
        <w:left w:val="none" w:sz="0" w:space="0" w:color="auto"/>
        <w:bottom w:val="none" w:sz="0" w:space="0" w:color="auto"/>
        <w:right w:val="none" w:sz="0" w:space="0" w:color="auto"/>
      </w:divBdr>
    </w:div>
    <w:div w:id="547033449">
      <w:bodyDiv w:val="1"/>
      <w:marLeft w:val="0"/>
      <w:marRight w:val="0"/>
      <w:marTop w:val="0"/>
      <w:marBottom w:val="0"/>
      <w:divBdr>
        <w:top w:val="none" w:sz="0" w:space="0" w:color="auto"/>
        <w:left w:val="none" w:sz="0" w:space="0" w:color="auto"/>
        <w:bottom w:val="none" w:sz="0" w:space="0" w:color="auto"/>
        <w:right w:val="none" w:sz="0" w:space="0" w:color="auto"/>
      </w:divBdr>
    </w:div>
    <w:div w:id="606431388">
      <w:bodyDiv w:val="1"/>
      <w:marLeft w:val="0"/>
      <w:marRight w:val="0"/>
      <w:marTop w:val="0"/>
      <w:marBottom w:val="0"/>
      <w:divBdr>
        <w:top w:val="none" w:sz="0" w:space="0" w:color="auto"/>
        <w:left w:val="none" w:sz="0" w:space="0" w:color="auto"/>
        <w:bottom w:val="none" w:sz="0" w:space="0" w:color="auto"/>
        <w:right w:val="none" w:sz="0" w:space="0" w:color="auto"/>
      </w:divBdr>
    </w:div>
    <w:div w:id="624048201">
      <w:bodyDiv w:val="1"/>
      <w:marLeft w:val="0"/>
      <w:marRight w:val="0"/>
      <w:marTop w:val="0"/>
      <w:marBottom w:val="0"/>
      <w:divBdr>
        <w:top w:val="none" w:sz="0" w:space="0" w:color="auto"/>
        <w:left w:val="none" w:sz="0" w:space="0" w:color="auto"/>
        <w:bottom w:val="none" w:sz="0" w:space="0" w:color="auto"/>
        <w:right w:val="none" w:sz="0" w:space="0" w:color="auto"/>
      </w:divBdr>
    </w:div>
    <w:div w:id="657803846">
      <w:bodyDiv w:val="1"/>
      <w:marLeft w:val="0"/>
      <w:marRight w:val="0"/>
      <w:marTop w:val="0"/>
      <w:marBottom w:val="0"/>
      <w:divBdr>
        <w:top w:val="none" w:sz="0" w:space="0" w:color="auto"/>
        <w:left w:val="none" w:sz="0" w:space="0" w:color="auto"/>
        <w:bottom w:val="none" w:sz="0" w:space="0" w:color="auto"/>
        <w:right w:val="none" w:sz="0" w:space="0" w:color="auto"/>
      </w:divBdr>
    </w:div>
    <w:div w:id="660736735">
      <w:bodyDiv w:val="1"/>
      <w:marLeft w:val="0"/>
      <w:marRight w:val="0"/>
      <w:marTop w:val="0"/>
      <w:marBottom w:val="0"/>
      <w:divBdr>
        <w:top w:val="none" w:sz="0" w:space="0" w:color="auto"/>
        <w:left w:val="none" w:sz="0" w:space="0" w:color="auto"/>
        <w:bottom w:val="none" w:sz="0" w:space="0" w:color="auto"/>
        <w:right w:val="none" w:sz="0" w:space="0" w:color="auto"/>
      </w:divBdr>
    </w:div>
    <w:div w:id="670958453">
      <w:bodyDiv w:val="1"/>
      <w:marLeft w:val="0"/>
      <w:marRight w:val="0"/>
      <w:marTop w:val="0"/>
      <w:marBottom w:val="0"/>
      <w:divBdr>
        <w:top w:val="none" w:sz="0" w:space="0" w:color="auto"/>
        <w:left w:val="none" w:sz="0" w:space="0" w:color="auto"/>
        <w:bottom w:val="none" w:sz="0" w:space="0" w:color="auto"/>
        <w:right w:val="none" w:sz="0" w:space="0" w:color="auto"/>
      </w:divBdr>
    </w:div>
    <w:div w:id="685788373">
      <w:bodyDiv w:val="1"/>
      <w:marLeft w:val="0"/>
      <w:marRight w:val="0"/>
      <w:marTop w:val="0"/>
      <w:marBottom w:val="0"/>
      <w:divBdr>
        <w:top w:val="none" w:sz="0" w:space="0" w:color="auto"/>
        <w:left w:val="none" w:sz="0" w:space="0" w:color="auto"/>
        <w:bottom w:val="none" w:sz="0" w:space="0" w:color="auto"/>
        <w:right w:val="none" w:sz="0" w:space="0" w:color="auto"/>
      </w:divBdr>
    </w:div>
    <w:div w:id="704137098">
      <w:bodyDiv w:val="1"/>
      <w:marLeft w:val="0"/>
      <w:marRight w:val="0"/>
      <w:marTop w:val="0"/>
      <w:marBottom w:val="0"/>
      <w:divBdr>
        <w:top w:val="none" w:sz="0" w:space="0" w:color="auto"/>
        <w:left w:val="none" w:sz="0" w:space="0" w:color="auto"/>
        <w:bottom w:val="none" w:sz="0" w:space="0" w:color="auto"/>
        <w:right w:val="none" w:sz="0" w:space="0" w:color="auto"/>
      </w:divBdr>
    </w:div>
    <w:div w:id="706612307">
      <w:bodyDiv w:val="1"/>
      <w:marLeft w:val="0"/>
      <w:marRight w:val="0"/>
      <w:marTop w:val="0"/>
      <w:marBottom w:val="0"/>
      <w:divBdr>
        <w:top w:val="none" w:sz="0" w:space="0" w:color="auto"/>
        <w:left w:val="none" w:sz="0" w:space="0" w:color="auto"/>
        <w:bottom w:val="none" w:sz="0" w:space="0" w:color="auto"/>
        <w:right w:val="none" w:sz="0" w:space="0" w:color="auto"/>
      </w:divBdr>
    </w:div>
    <w:div w:id="706879036">
      <w:bodyDiv w:val="1"/>
      <w:marLeft w:val="0"/>
      <w:marRight w:val="0"/>
      <w:marTop w:val="0"/>
      <w:marBottom w:val="0"/>
      <w:divBdr>
        <w:top w:val="none" w:sz="0" w:space="0" w:color="auto"/>
        <w:left w:val="none" w:sz="0" w:space="0" w:color="auto"/>
        <w:bottom w:val="none" w:sz="0" w:space="0" w:color="auto"/>
        <w:right w:val="none" w:sz="0" w:space="0" w:color="auto"/>
      </w:divBdr>
    </w:div>
    <w:div w:id="719328220">
      <w:bodyDiv w:val="1"/>
      <w:marLeft w:val="0"/>
      <w:marRight w:val="0"/>
      <w:marTop w:val="0"/>
      <w:marBottom w:val="0"/>
      <w:divBdr>
        <w:top w:val="none" w:sz="0" w:space="0" w:color="auto"/>
        <w:left w:val="none" w:sz="0" w:space="0" w:color="auto"/>
        <w:bottom w:val="none" w:sz="0" w:space="0" w:color="auto"/>
        <w:right w:val="none" w:sz="0" w:space="0" w:color="auto"/>
      </w:divBdr>
    </w:div>
    <w:div w:id="721173344">
      <w:bodyDiv w:val="1"/>
      <w:marLeft w:val="0"/>
      <w:marRight w:val="0"/>
      <w:marTop w:val="0"/>
      <w:marBottom w:val="0"/>
      <w:divBdr>
        <w:top w:val="none" w:sz="0" w:space="0" w:color="auto"/>
        <w:left w:val="none" w:sz="0" w:space="0" w:color="auto"/>
        <w:bottom w:val="none" w:sz="0" w:space="0" w:color="auto"/>
        <w:right w:val="none" w:sz="0" w:space="0" w:color="auto"/>
      </w:divBdr>
    </w:div>
    <w:div w:id="726873980">
      <w:bodyDiv w:val="1"/>
      <w:marLeft w:val="0"/>
      <w:marRight w:val="0"/>
      <w:marTop w:val="0"/>
      <w:marBottom w:val="0"/>
      <w:divBdr>
        <w:top w:val="none" w:sz="0" w:space="0" w:color="auto"/>
        <w:left w:val="none" w:sz="0" w:space="0" w:color="auto"/>
        <w:bottom w:val="none" w:sz="0" w:space="0" w:color="auto"/>
        <w:right w:val="none" w:sz="0" w:space="0" w:color="auto"/>
      </w:divBdr>
    </w:div>
    <w:div w:id="817963035">
      <w:bodyDiv w:val="1"/>
      <w:marLeft w:val="0"/>
      <w:marRight w:val="0"/>
      <w:marTop w:val="0"/>
      <w:marBottom w:val="0"/>
      <w:divBdr>
        <w:top w:val="none" w:sz="0" w:space="0" w:color="auto"/>
        <w:left w:val="none" w:sz="0" w:space="0" w:color="auto"/>
        <w:bottom w:val="none" w:sz="0" w:space="0" w:color="auto"/>
        <w:right w:val="none" w:sz="0" w:space="0" w:color="auto"/>
      </w:divBdr>
    </w:div>
    <w:div w:id="820197425">
      <w:bodyDiv w:val="1"/>
      <w:marLeft w:val="0"/>
      <w:marRight w:val="0"/>
      <w:marTop w:val="0"/>
      <w:marBottom w:val="0"/>
      <w:divBdr>
        <w:top w:val="none" w:sz="0" w:space="0" w:color="auto"/>
        <w:left w:val="none" w:sz="0" w:space="0" w:color="auto"/>
        <w:bottom w:val="none" w:sz="0" w:space="0" w:color="auto"/>
        <w:right w:val="none" w:sz="0" w:space="0" w:color="auto"/>
      </w:divBdr>
    </w:div>
    <w:div w:id="827669595">
      <w:bodyDiv w:val="1"/>
      <w:marLeft w:val="0"/>
      <w:marRight w:val="0"/>
      <w:marTop w:val="0"/>
      <w:marBottom w:val="0"/>
      <w:divBdr>
        <w:top w:val="none" w:sz="0" w:space="0" w:color="auto"/>
        <w:left w:val="none" w:sz="0" w:space="0" w:color="auto"/>
        <w:bottom w:val="none" w:sz="0" w:space="0" w:color="auto"/>
        <w:right w:val="none" w:sz="0" w:space="0" w:color="auto"/>
      </w:divBdr>
    </w:div>
    <w:div w:id="832766691">
      <w:bodyDiv w:val="1"/>
      <w:marLeft w:val="0"/>
      <w:marRight w:val="0"/>
      <w:marTop w:val="0"/>
      <w:marBottom w:val="0"/>
      <w:divBdr>
        <w:top w:val="none" w:sz="0" w:space="0" w:color="auto"/>
        <w:left w:val="none" w:sz="0" w:space="0" w:color="auto"/>
        <w:bottom w:val="none" w:sz="0" w:space="0" w:color="auto"/>
        <w:right w:val="none" w:sz="0" w:space="0" w:color="auto"/>
      </w:divBdr>
    </w:div>
    <w:div w:id="841041809">
      <w:bodyDiv w:val="1"/>
      <w:marLeft w:val="0"/>
      <w:marRight w:val="0"/>
      <w:marTop w:val="0"/>
      <w:marBottom w:val="0"/>
      <w:divBdr>
        <w:top w:val="none" w:sz="0" w:space="0" w:color="auto"/>
        <w:left w:val="none" w:sz="0" w:space="0" w:color="auto"/>
        <w:bottom w:val="none" w:sz="0" w:space="0" w:color="auto"/>
        <w:right w:val="none" w:sz="0" w:space="0" w:color="auto"/>
      </w:divBdr>
    </w:div>
    <w:div w:id="871189213">
      <w:bodyDiv w:val="1"/>
      <w:marLeft w:val="0"/>
      <w:marRight w:val="0"/>
      <w:marTop w:val="0"/>
      <w:marBottom w:val="0"/>
      <w:divBdr>
        <w:top w:val="none" w:sz="0" w:space="0" w:color="auto"/>
        <w:left w:val="none" w:sz="0" w:space="0" w:color="auto"/>
        <w:bottom w:val="none" w:sz="0" w:space="0" w:color="auto"/>
        <w:right w:val="none" w:sz="0" w:space="0" w:color="auto"/>
      </w:divBdr>
    </w:div>
    <w:div w:id="873729711">
      <w:bodyDiv w:val="1"/>
      <w:marLeft w:val="0"/>
      <w:marRight w:val="0"/>
      <w:marTop w:val="0"/>
      <w:marBottom w:val="0"/>
      <w:divBdr>
        <w:top w:val="none" w:sz="0" w:space="0" w:color="auto"/>
        <w:left w:val="none" w:sz="0" w:space="0" w:color="auto"/>
        <w:bottom w:val="none" w:sz="0" w:space="0" w:color="auto"/>
        <w:right w:val="none" w:sz="0" w:space="0" w:color="auto"/>
      </w:divBdr>
    </w:div>
    <w:div w:id="880745842">
      <w:bodyDiv w:val="1"/>
      <w:marLeft w:val="0"/>
      <w:marRight w:val="0"/>
      <w:marTop w:val="0"/>
      <w:marBottom w:val="0"/>
      <w:divBdr>
        <w:top w:val="none" w:sz="0" w:space="0" w:color="auto"/>
        <w:left w:val="none" w:sz="0" w:space="0" w:color="auto"/>
        <w:bottom w:val="none" w:sz="0" w:space="0" w:color="auto"/>
        <w:right w:val="none" w:sz="0" w:space="0" w:color="auto"/>
      </w:divBdr>
    </w:div>
    <w:div w:id="887113016">
      <w:bodyDiv w:val="1"/>
      <w:marLeft w:val="0"/>
      <w:marRight w:val="0"/>
      <w:marTop w:val="0"/>
      <w:marBottom w:val="0"/>
      <w:divBdr>
        <w:top w:val="none" w:sz="0" w:space="0" w:color="auto"/>
        <w:left w:val="none" w:sz="0" w:space="0" w:color="auto"/>
        <w:bottom w:val="none" w:sz="0" w:space="0" w:color="auto"/>
        <w:right w:val="none" w:sz="0" w:space="0" w:color="auto"/>
      </w:divBdr>
    </w:div>
    <w:div w:id="891161231">
      <w:bodyDiv w:val="1"/>
      <w:marLeft w:val="0"/>
      <w:marRight w:val="0"/>
      <w:marTop w:val="0"/>
      <w:marBottom w:val="0"/>
      <w:divBdr>
        <w:top w:val="none" w:sz="0" w:space="0" w:color="auto"/>
        <w:left w:val="none" w:sz="0" w:space="0" w:color="auto"/>
        <w:bottom w:val="none" w:sz="0" w:space="0" w:color="auto"/>
        <w:right w:val="none" w:sz="0" w:space="0" w:color="auto"/>
      </w:divBdr>
    </w:div>
    <w:div w:id="895237993">
      <w:bodyDiv w:val="1"/>
      <w:marLeft w:val="0"/>
      <w:marRight w:val="0"/>
      <w:marTop w:val="0"/>
      <w:marBottom w:val="0"/>
      <w:divBdr>
        <w:top w:val="none" w:sz="0" w:space="0" w:color="auto"/>
        <w:left w:val="none" w:sz="0" w:space="0" w:color="auto"/>
        <w:bottom w:val="none" w:sz="0" w:space="0" w:color="auto"/>
        <w:right w:val="none" w:sz="0" w:space="0" w:color="auto"/>
      </w:divBdr>
    </w:div>
    <w:div w:id="915938886">
      <w:bodyDiv w:val="1"/>
      <w:marLeft w:val="0"/>
      <w:marRight w:val="0"/>
      <w:marTop w:val="0"/>
      <w:marBottom w:val="0"/>
      <w:divBdr>
        <w:top w:val="none" w:sz="0" w:space="0" w:color="auto"/>
        <w:left w:val="none" w:sz="0" w:space="0" w:color="auto"/>
        <w:bottom w:val="none" w:sz="0" w:space="0" w:color="auto"/>
        <w:right w:val="none" w:sz="0" w:space="0" w:color="auto"/>
      </w:divBdr>
    </w:div>
    <w:div w:id="943266270">
      <w:bodyDiv w:val="1"/>
      <w:marLeft w:val="0"/>
      <w:marRight w:val="0"/>
      <w:marTop w:val="0"/>
      <w:marBottom w:val="0"/>
      <w:divBdr>
        <w:top w:val="none" w:sz="0" w:space="0" w:color="auto"/>
        <w:left w:val="none" w:sz="0" w:space="0" w:color="auto"/>
        <w:bottom w:val="none" w:sz="0" w:space="0" w:color="auto"/>
        <w:right w:val="none" w:sz="0" w:space="0" w:color="auto"/>
      </w:divBdr>
    </w:div>
    <w:div w:id="947927618">
      <w:bodyDiv w:val="1"/>
      <w:marLeft w:val="0"/>
      <w:marRight w:val="0"/>
      <w:marTop w:val="0"/>
      <w:marBottom w:val="0"/>
      <w:divBdr>
        <w:top w:val="none" w:sz="0" w:space="0" w:color="auto"/>
        <w:left w:val="none" w:sz="0" w:space="0" w:color="auto"/>
        <w:bottom w:val="none" w:sz="0" w:space="0" w:color="auto"/>
        <w:right w:val="none" w:sz="0" w:space="0" w:color="auto"/>
      </w:divBdr>
    </w:div>
    <w:div w:id="948199196">
      <w:bodyDiv w:val="1"/>
      <w:marLeft w:val="0"/>
      <w:marRight w:val="0"/>
      <w:marTop w:val="0"/>
      <w:marBottom w:val="0"/>
      <w:divBdr>
        <w:top w:val="none" w:sz="0" w:space="0" w:color="auto"/>
        <w:left w:val="none" w:sz="0" w:space="0" w:color="auto"/>
        <w:bottom w:val="none" w:sz="0" w:space="0" w:color="auto"/>
        <w:right w:val="none" w:sz="0" w:space="0" w:color="auto"/>
      </w:divBdr>
    </w:div>
    <w:div w:id="960378821">
      <w:bodyDiv w:val="1"/>
      <w:marLeft w:val="0"/>
      <w:marRight w:val="0"/>
      <w:marTop w:val="0"/>
      <w:marBottom w:val="0"/>
      <w:divBdr>
        <w:top w:val="none" w:sz="0" w:space="0" w:color="auto"/>
        <w:left w:val="none" w:sz="0" w:space="0" w:color="auto"/>
        <w:bottom w:val="none" w:sz="0" w:space="0" w:color="auto"/>
        <w:right w:val="none" w:sz="0" w:space="0" w:color="auto"/>
      </w:divBdr>
    </w:div>
    <w:div w:id="988365084">
      <w:bodyDiv w:val="1"/>
      <w:marLeft w:val="0"/>
      <w:marRight w:val="0"/>
      <w:marTop w:val="0"/>
      <w:marBottom w:val="0"/>
      <w:divBdr>
        <w:top w:val="none" w:sz="0" w:space="0" w:color="auto"/>
        <w:left w:val="none" w:sz="0" w:space="0" w:color="auto"/>
        <w:bottom w:val="none" w:sz="0" w:space="0" w:color="auto"/>
        <w:right w:val="none" w:sz="0" w:space="0" w:color="auto"/>
      </w:divBdr>
    </w:div>
    <w:div w:id="1012800454">
      <w:bodyDiv w:val="1"/>
      <w:marLeft w:val="0"/>
      <w:marRight w:val="0"/>
      <w:marTop w:val="0"/>
      <w:marBottom w:val="0"/>
      <w:divBdr>
        <w:top w:val="none" w:sz="0" w:space="0" w:color="auto"/>
        <w:left w:val="none" w:sz="0" w:space="0" w:color="auto"/>
        <w:bottom w:val="none" w:sz="0" w:space="0" w:color="auto"/>
        <w:right w:val="none" w:sz="0" w:space="0" w:color="auto"/>
      </w:divBdr>
    </w:div>
    <w:div w:id="1024865836">
      <w:bodyDiv w:val="1"/>
      <w:marLeft w:val="0"/>
      <w:marRight w:val="0"/>
      <w:marTop w:val="0"/>
      <w:marBottom w:val="0"/>
      <w:divBdr>
        <w:top w:val="none" w:sz="0" w:space="0" w:color="auto"/>
        <w:left w:val="none" w:sz="0" w:space="0" w:color="auto"/>
        <w:bottom w:val="none" w:sz="0" w:space="0" w:color="auto"/>
        <w:right w:val="none" w:sz="0" w:space="0" w:color="auto"/>
      </w:divBdr>
    </w:div>
    <w:div w:id="1034960545">
      <w:bodyDiv w:val="1"/>
      <w:marLeft w:val="0"/>
      <w:marRight w:val="0"/>
      <w:marTop w:val="0"/>
      <w:marBottom w:val="0"/>
      <w:divBdr>
        <w:top w:val="none" w:sz="0" w:space="0" w:color="auto"/>
        <w:left w:val="none" w:sz="0" w:space="0" w:color="auto"/>
        <w:bottom w:val="none" w:sz="0" w:space="0" w:color="auto"/>
        <w:right w:val="none" w:sz="0" w:space="0" w:color="auto"/>
      </w:divBdr>
    </w:div>
    <w:div w:id="1036852572">
      <w:bodyDiv w:val="1"/>
      <w:marLeft w:val="0"/>
      <w:marRight w:val="0"/>
      <w:marTop w:val="0"/>
      <w:marBottom w:val="0"/>
      <w:divBdr>
        <w:top w:val="none" w:sz="0" w:space="0" w:color="auto"/>
        <w:left w:val="none" w:sz="0" w:space="0" w:color="auto"/>
        <w:bottom w:val="none" w:sz="0" w:space="0" w:color="auto"/>
        <w:right w:val="none" w:sz="0" w:space="0" w:color="auto"/>
      </w:divBdr>
    </w:div>
    <w:div w:id="1061372210">
      <w:bodyDiv w:val="1"/>
      <w:marLeft w:val="0"/>
      <w:marRight w:val="0"/>
      <w:marTop w:val="0"/>
      <w:marBottom w:val="0"/>
      <w:divBdr>
        <w:top w:val="none" w:sz="0" w:space="0" w:color="auto"/>
        <w:left w:val="none" w:sz="0" w:space="0" w:color="auto"/>
        <w:bottom w:val="none" w:sz="0" w:space="0" w:color="auto"/>
        <w:right w:val="none" w:sz="0" w:space="0" w:color="auto"/>
      </w:divBdr>
    </w:div>
    <w:div w:id="1075468445">
      <w:bodyDiv w:val="1"/>
      <w:marLeft w:val="0"/>
      <w:marRight w:val="0"/>
      <w:marTop w:val="0"/>
      <w:marBottom w:val="0"/>
      <w:divBdr>
        <w:top w:val="none" w:sz="0" w:space="0" w:color="auto"/>
        <w:left w:val="none" w:sz="0" w:space="0" w:color="auto"/>
        <w:bottom w:val="none" w:sz="0" w:space="0" w:color="auto"/>
        <w:right w:val="none" w:sz="0" w:space="0" w:color="auto"/>
      </w:divBdr>
    </w:div>
    <w:div w:id="1081414075">
      <w:bodyDiv w:val="1"/>
      <w:marLeft w:val="0"/>
      <w:marRight w:val="0"/>
      <w:marTop w:val="0"/>
      <w:marBottom w:val="0"/>
      <w:divBdr>
        <w:top w:val="none" w:sz="0" w:space="0" w:color="auto"/>
        <w:left w:val="none" w:sz="0" w:space="0" w:color="auto"/>
        <w:bottom w:val="none" w:sz="0" w:space="0" w:color="auto"/>
        <w:right w:val="none" w:sz="0" w:space="0" w:color="auto"/>
      </w:divBdr>
    </w:div>
    <w:div w:id="1086537864">
      <w:bodyDiv w:val="1"/>
      <w:marLeft w:val="0"/>
      <w:marRight w:val="0"/>
      <w:marTop w:val="0"/>
      <w:marBottom w:val="0"/>
      <w:divBdr>
        <w:top w:val="none" w:sz="0" w:space="0" w:color="auto"/>
        <w:left w:val="none" w:sz="0" w:space="0" w:color="auto"/>
        <w:bottom w:val="none" w:sz="0" w:space="0" w:color="auto"/>
        <w:right w:val="none" w:sz="0" w:space="0" w:color="auto"/>
      </w:divBdr>
    </w:div>
    <w:div w:id="1089618967">
      <w:bodyDiv w:val="1"/>
      <w:marLeft w:val="0"/>
      <w:marRight w:val="0"/>
      <w:marTop w:val="0"/>
      <w:marBottom w:val="0"/>
      <w:divBdr>
        <w:top w:val="none" w:sz="0" w:space="0" w:color="auto"/>
        <w:left w:val="none" w:sz="0" w:space="0" w:color="auto"/>
        <w:bottom w:val="none" w:sz="0" w:space="0" w:color="auto"/>
        <w:right w:val="none" w:sz="0" w:space="0" w:color="auto"/>
      </w:divBdr>
    </w:div>
    <w:div w:id="1096824839">
      <w:bodyDiv w:val="1"/>
      <w:marLeft w:val="0"/>
      <w:marRight w:val="0"/>
      <w:marTop w:val="0"/>
      <w:marBottom w:val="0"/>
      <w:divBdr>
        <w:top w:val="none" w:sz="0" w:space="0" w:color="auto"/>
        <w:left w:val="none" w:sz="0" w:space="0" w:color="auto"/>
        <w:bottom w:val="none" w:sz="0" w:space="0" w:color="auto"/>
        <w:right w:val="none" w:sz="0" w:space="0" w:color="auto"/>
      </w:divBdr>
    </w:div>
    <w:div w:id="1097558649">
      <w:bodyDiv w:val="1"/>
      <w:marLeft w:val="0"/>
      <w:marRight w:val="0"/>
      <w:marTop w:val="0"/>
      <w:marBottom w:val="0"/>
      <w:divBdr>
        <w:top w:val="none" w:sz="0" w:space="0" w:color="auto"/>
        <w:left w:val="none" w:sz="0" w:space="0" w:color="auto"/>
        <w:bottom w:val="none" w:sz="0" w:space="0" w:color="auto"/>
        <w:right w:val="none" w:sz="0" w:space="0" w:color="auto"/>
      </w:divBdr>
    </w:div>
    <w:div w:id="1107508083">
      <w:bodyDiv w:val="1"/>
      <w:marLeft w:val="0"/>
      <w:marRight w:val="0"/>
      <w:marTop w:val="0"/>
      <w:marBottom w:val="0"/>
      <w:divBdr>
        <w:top w:val="none" w:sz="0" w:space="0" w:color="auto"/>
        <w:left w:val="none" w:sz="0" w:space="0" w:color="auto"/>
        <w:bottom w:val="none" w:sz="0" w:space="0" w:color="auto"/>
        <w:right w:val="none" w:sz="0" w:space="0" w:color="auto"/>
      </w:divBdr>
    </w:div>
    <w:div w:id="1124277057">
      <w:bodyDiv w:val="1"/>
      <w:marLeft w:val="0"/>
      <w:marRight w:val="0"/>
      <w:marTop w:val="0"/>
      <w:marBottom w:val="0"/>
      <w:divBdr>
        <w:top w:val="none" w:sz="0" w:space="0" w:color="auto"/>
        <w:left w:val="none" w:sz="0" w:space="0" w:color="auto"/>
        <w:bottom w:val="none" w:sz="0" w:space="0" w:color="auto"/>
        <w:right w:val="none" w:sz="0" w:space="0" w:color="auto"/>
      </w:divBdr>
    </w:div>
    <w:div w:id="1126046018">
      <w:bodyDiv w:val="1"/>
      <w:marLeft w:val="0"/>
      <w:marRight w:val="0"/>
      <w:marTop w:val="0"/>
      <w:marBottom w:val="0"/>
      <w:divBdr>
        <w:top w:val="none" w:sz="0" w:space="0" w:color="auto"/>
        <w:left w:val="none" w:sz="0" w:space="0" w:color="auto"/>
        <w:bottom w:val="none" w:sz="0" w:space="0" w:color="auto"/>
        <w:right w:val="none" w:sz="0" w:space="0" w:color="auto"/>
      </w:divBdr>
    </w:div>
    <w:div w:id="1143691176">
      <w:bodyDiv w:val="1"/>
      <w:marLeft w:val="0"/>
      <w:marRight w:val="0"/>
      <w:marTop w:val="0"/>
      <w:marBottom w:val="0"/>
      <w:divBdr>
        <w:top w:val="none" w:sz="0" w:space="0" w:color="auto"/>
        <w:left w:val="none" w:sz="0" w:space="0" w:color="auto"/>
        <w:bottom w:val="none" w:sz="0" w:space="0" w:color="auto"/>
        <w:right w:val="none" w:sz="0" w:space="0" w:color="auto"/>
      </w:divBdr>
    </w:div>
    <w:div w:id="1163619503">
      <w:bodyDiv w:val="1"/>
      <w:marLeft w:val="0"/>
      <w:marRight w:val="0"/>
      <w:marTop w:val="0"/>
      <w:marBottom w:val="0"/>
      <w:divBdr>
        <w:top w:val="none" w:sz="0" w:space="0" w:color="auto"/>
        <w:left w:val="none" w:sz="0" w:space="0" w:color="auto"/>
        <w:bottom w:val="none" w:sz="0" w:space="0" w:color="auto"/>
        <w:right w:val="none" w:sz="0" w:space="0" w:color="auto"/>
      </w:divBdr>
    </w:div>
    <w:div w:id="1168836390">
      <w:bodyDiv w:val="1"/>
      <w:marLeft w:val="0"/>
      <w:marRight w:val="0"/>
      <w:marTop w:val="0"/>
      <w:marBottom w:val="0"/>
      <w:divBdr>
        <w:top w:val="none" w:sz="0" w:space="0" w:color="auto"/>
        <w:left w:val="none" w:sz="0" w:space="0" w:color="auto"/>
        <w:bottom w:val="none" w:sz="0" w:space="0" w:color="auto"/>
        <w:right w:val="none" w:sz="0" w:space="0" w:color="auto"/>
      </w:divBdr>
    </w:div>
    <w:div w:id="1177960972">
      <w:bodyDiv w:val="1"/>
      <w:marLeft w:val="0"/>
      <w:marRight w:val="0"/>
      <w:marTop w:val="0"/>
      <w:marBottom w:val="0"/>
      <w:divBdr>
        <w:top w:val="none" w:sz="0" w:space="0" w:color="auto"/>
        <w:left w:val="none" w:sz="0" w:space="0" w:color="auto"/>
        <w:bottom w:val="none" w:sz="0" w:space="0" w:color="auto"/>
        <w:right w:val="none" w:sz="0" w:space="0" w:color="auto"/>
      </w:divBdr>
    </w:div>
    <w:div w:id="1263954047">
      <w:bodyDiv w:val="1"/>
      <w:marLeft w:val="0"/>
      <w:marRight w:val="0"/>
      <w:marTop w:val="0"/>
      <w:marBottom w:val="0"/>
      <w:divBdr>
        <w:top w:val="none" w:sz="0" w:space="0" w:color="auto"/>
        <w:left w:val="none" w:sz="0" w:space="0" w:color="auto"/>
        <w:bottom w:val="none" w:sz="0" w:space="0" w:color="auto"/>
        <w:right w:val="none" w:sz="0" w:space="0" w:color="auto"/>
      </w:divBdr>
    </w:div>
    <w:div w:id="1293167531">
      <w:bodyDiv w:val="1"/>
      <w:marLeft w:val="0"/>
      <w:marRight w:val="0"/>
      <w:marTop w:val="0"/>
      <w:marBottom w:val="0"/>
      <w:divBdr>
        <w:top w:val="none" w:sz="0" w:space="0" w:color="auto"/>
        <w:left w:val="none" w:sz="0" w:space="0" w:color="auto"/>
        <w:bottom w:val="none" w:sz="0" w:space="0" w:color="auto"/>
        <w:right w:val="none" w:sz="0" w:space="0" w:color="auto"/>
      </w:divBdr>
    </w:div>
    <w:div w:id="1293488125">
      <w:bodyDiv w:val="1"/>
      <w:marLeft w:val="0"/>
      <w:marRight w:val="0"/>
      <w:marTop w:val="0"/>
      <w:marBottom w:val="0"/>
      <w:divBdr>
        <w:top w:val="none" w:sz="0" w:space="0" w:color="auto"/>
        <w:left w:val="none" w:sz="0" w:space="0" w:color="auto"/>
        <w:bottom w:val="none" w:sz="0" w:space="0" w:color="auto"/>
        <w:right w:val="none" w:sz="0" w:space="0" w:color="auto"/>
      </w:divBdr>
    </w:div>
    <w:div w:id="1294214679">
      <w:bodyDiv w:val="1"/>
      <w:marLeft w:val="0"/>
      <w:marRight w:val="0"/>
      <w:marTop w:val="0"/>
      <w:marBottom w:val="0"/>
      <w:divBdr>
        <w:top w:val="none" w:sz="0" w:space="0" w:color="auto"/>
        <w:left w:val="none" w:sz="0" w:space="0" w:color="auto"/>
        <w:bottom w:val="none" w:sz="0" w:space="0" w:color="auto"/>
        <w:right w:val="none" w:sz="0" w:space="0" w:color="auto"/>
      </w:divBdr>
    </w:div>
    <w:div w:id="1306593502">
      <w:bodyDiv w:val="1"/>
      <w:marLeft w:val="0"/>
      <w:marRight w:val="0"/>
      <w:marTop w:val="0"/>
      <w:marBottom w:val="0"/>
      <w:divBdr>
        <w:top w:val="none" w:sz="0" w:space="0" w:color="auto"/>
        <w:left w:val="none" w:sz="0" w:space="0" w:color="auto"/>
        <w:bottom w:val="none" w:sz="0" w:space="0" w:color="auto"/>
        <w:right w:val="none" w:sz="0" w:space="0" w:color="auto"/>
      </w:divBdr>
    </w:div>
    <w:div w:id="1324698096">
      <w:bodyDiv w:val="1"/>
      <w:marLeft w:val="0"/>
      <w:marRight w:val="0"/>
      <w:marTop w:val="0"/>
      <w:marBottom w:val="0"/>
      <w:divBdr>
        <w:top w:val="none" w:sz="0" w:space="0" w:color="auto"/>
        <w:left w:val="none" w:sz="0" w:space="0" w:color="auto"/>
        <w:bottom w:val="none" w:sz="0" w:space="0" w:color="auto"/>
        <w:right w:val="none" w:sz="0" w:space="0" w:color="auto"/>
      </w:divBdr>
    </w:div>
    <w:div w:id="1375077342">
      <w:bodyDiv w:val="1"/>
      <w:marLeft w:val="0"/>
      <w:marRight w:val="0"/>
      <w:marTop w:val="0"/>
      <w:marBottom w:val="0"/>
      <w:divBdr>
        <w:top w:val="none" w:sz="0" w:space="0" w:color="auto"/>
        <w:left w:val="none" w:sz="0" w:space="0" w:color="auto"/>
        <w:bottom w:val="none" w:sz="0" w:space="0" w:color="auto"/>
        <w:right w:val="none" w:sz="0" w:space="0" w:color="auto"/>
      </w:divBdr>
    </w:div>
    <w:div w:id="1384400622">
      <w:bodyDiv w:val="1"/>
      <w:marLeft w:val="0"/>
      <w:marRight w:val="0"/>
      <w:marTop w:val="0"/>
      <w:marBottom w:val="0"/>
      <w:divBdr>
        <w:top w:val="none" w:sz="0" w:space="0" w:color="auto"/>
        <w:left w:val="none" w:sz="0" w:space="0" w:color="auto"/>
        <w:bottom w:val="none" w:sz="0" w:space="0" w:color="auto"/>
        <w:right w:val="none" w:sz="0" w:space="0" w:color="auto"/>
      </w:divBdr>
    </w:div>
    <w:div w:id="1415202723">
      <w:bodyDiv w:val="1"/>
      <w:marLeft w:val="0"/>
      <w:marRight w:val="0"/>
      <w:marTop w:val="0"/>
      <w:marBottom w:val="0"/>
      <w:divBdr>
        <w:top w:val="none" w:sz="0" w:space="0" w:color="auto"/>
        <w:left w:val="none" w:sz="0" w:space="0" w:color="auto"/>
        <w:bottom w:val="none" w:sz="0" w:space="0" w:color="auto"/>
        <w:right w:val="none" w:sz="0" w:space="0" w:color="auto"/>
      </w:divBdr>
    </w:div>
    <w:div w:id="1435632892">
      <w:bodyDiv w:val="1"/>
      <w:marLeft w:val="0"/>
      <w:marRight w:val="0"/>
      <w:marTop w:val="0"/>
      <w:marBottom w:val="0"/>
      <w:divBdr>
        <w:top w:val="none" w:sz="0" w:space="0" w:color="auto"/>
        <w:left w:val="none" w:sz="0" w:space="0" w:color="auto"/>
        <w:bottom w:val="none" w:sz="0" w:space="0" w:color="auto"/>
        <w:right w:val="none" w:sz="0" w:space="0" w:color="auto"/>
      </w:divBdr>
    </w:div>
    <w:div w:id="1474063542">
      <w:bodyDiv w:val="1"/>
      <w:marLeft w:val="0"/>
      <w:marRight w:val="0"/>
      <w:marTop w:val="0"/>
      <w:marBottom w:val="0"/>
      <w:divBdr>
        <w:top w:val="none" w:sz="0" w:space="0" w:color="auto"/>
        <w:left w:val="none" w:sz="0" w:space="0" w:color="auto"/>
        <w:bottom w:val="none" w:sz="0" w:space="0" w:color="auto"/>
        <w:right w:val="none" w:sz="0" w:space="0" w:color="auto"/>
      </w:divBdr>
    </w:div>
    <w:div w:id="1482577778">
      <w:bodyDiv w:val="1"/>
      <w:marLeft w:val="0"/>
      <w:marRight w:val="0"/>
      <w:marTop w:val="0"/>
      <w:marBottom w:val="0"/>
      <w:divBdr>
        <w:top w:val="none" w:sz="0" w:space="0" w:color="auto"/>
        <w:left w:val="none" w:sz="0" w:space="0" w:color="auto"/>
        <w:bottom w:val="none" w:sz="0" w:space="0" w:color="auto"/>
        <w:right w:val="none" w:sz="0" w:space="0" w:color="auto"/>
      </w:divBdr>
    </w:div>
    <w:div w:id="1488787374">
      <w:bodyDiv w:val="1"/>
      <w:marLeft w:val="0"/>
      <w:marRight w:val="0"/>
      <w:marTop w:val="0"/>
      <w:marBottom w:val="0"/>
      <w:divBdr>
        <w:top w:val="none" w:sz="0" w:space="0" w:color="auto"/>
        <w:left w:val="none" w:sz="0" w:space="0" w:color="auto"/>
        <w:bottom w:val="none" w:sz="0" w:space="0" w:color="auto"/>
        <w:right w:val="none" w:sz="0" w:space="0" w:color="auto"/>
      </w:divBdr>
    </w:div>
    <w:div w:id="1504123830">
      <w:bodyDiv w:val="1"/>
      <w:marLeft w:val="0"/>
      <w:marRight w:val="0"/>
      <w:marTop w:val="0"/>
      <w:marBottom w:val="0"/>
      <w:divBdr>
        <w:top w:val="none" w:sz="0" w:space="0" w:color="auto"/>
        <w:left w:val="none" w:sz="0" w:space="0" w:color="auto"/>
        <w:bottom w:val="none" w:sz="0" w:space="0" w:color="auto"/>
        <w:right w:val="none" w:sz="0" w:space="0" w:color="auto"/>
      </w:divBdr>
    </w:div>
    <w:div w:id="1526483826">
      <w:bodyDiv w:val="1"/>
      <w:marLeft w:val="0"/>
      <w:marRight w:val="0"/>
      <w:marTop w:val="0"/>
      <w:marBottom w:val="0"/>
      <w:divBdr>
        <w:top w:val="none" w:sz="0" w:space="0" w:color="auto"/>
        <w:left w:val="none" w:sz="0" w:space="0" w:color="auto"/>
        <w:bottom w:val="none" w:sz="0" w:space="0" w:color="auto"/>
        <w:right w:val="none" w:sz="0" w:space="0" w:color="auto"/>
      </w:divBdr>
    </w:div>
    <w:div w:id="1538277306">
      <w:bodyDiv w:val="1"/>
      <w:marLeft w:val="0"/>
      <w:marRight w:val="0"/>
      <w:marTop w:val="0"/>
      <w:marBottom w:val="0"/>
      <w:divBdr>
        <w:top w:val="none" w:sz="0" w:space="0" w:color="auto"/>
        <w:left w:val="none" w:sz="0" w:space="0" w:color="auto"/>
        <w:bottom w:val="none" w:sz="0" w:space="0" w:color="auto"/>
        <w:right w:val="none" w:sz="0" w:space="0" w:color="auto"/>
      </w:divBdr>
    </w:div>
    <w:div w:id="1539853927">
      <w:bodyDiv w:val="1"/>
      <w:marLeft w:val="0"/>
      <w:marRight w:val="0"/>
      <w:marTop w:val="0"/>
      <w:marBottom w:val="0"/>
      <w:divBdr>
        <w:top w:val="none" w:sz="0" w:space="0" w:color="auto"/>
        <w:left w:val="none" w:sz="0" w:space="0" w:color="auto"/>
        <w:bottom w:val="none" w:sz="0" w:space="0" w:color="auto"/>
        <w:right w:val="none" w:sz="0" w:space="0" w:color="auto"/>
      </w:divBdr>
    </w:div>
    <w:div w:id="1552184164">
      <w:bodyDiv w:val="1"/>
      <w:marLeft w:val="0"/>
      <w:marRight w:val="0"/>
      <w:marTop w:val="0"/>
      <w:marBottom w:val="0"/>
      <w:divBdr>
        <w:top w:val="none" w:sz="0" w:space="0" w:color="auto"/>
        <w:left w:val="none" w:sz="0" w:space="0" w:color="auto"/>
        <w:bottom w:val="none" w:sz="0" w:space="0" w:color="auto"/>
        <w:right w:val="none" w:sz="0" w:space="0" w:color="auto"/>
      </w:divBdr>
    </w:div>
    <w:div w:id="1554536604">
      <w:bodyDiv w:val="1"/>
      <w:marLeft w:val="0"/>
      <w:marRight w:val="0"/>
      <w:marTop w:val="0"/>
      <w:marBottom w:val="0"/>
      <w:divBdr>
        <w:top w:val="none" w:sz="0" w:space="0" w:color="auto"/>
        <w:left w:val="none" w:sz="0" w:space="0" w:color="auto"/>
        <w:bottom w:val="none" w:sz="0" w:space="0" w:color="auto"/>
        <w:right w:val="none" w:sz="0" w:space="0" w:color="auto"/>
      </w:divBdr>
    </w:div>
    <w:div w:id="1555698013">
      <w:bodyDiv w:val="1"/>
      <w:marLeft w:val="0"/>
      <w:marRight w:val="0"/>
      <w:marTop w:val="0"/>
      <w:marBottom w:val="0"/>
      <w:divBdr>
        <w:top w:val="none" w:sz="0" w:space="0" w:color="auto"/>
        <w:left w:val="none" w:sz="0" w:space="0" w:color="auto"/>
        <w:bottom w:val="none" w:sz="0" w:space="0" w:color="auto"/>
        <w:right w:val="none" w:sz="0" w:space="0" w:color="auto"/>
      </w:divBdr>
    </w:div>
    <w:div w:id="1558471263">
      <w:bodyDiv w:val="1"/>
      <w:marLeft w:val="0"/>
      <w:marRight w:val="0"/>
      <w:marTop w:val="0"/>
      <w:marBottom w:val="0"/>
      <w:divBdr>
        <w:top w:val="none" w:sz="0" w:space="0" w:color="auto"/>
        <w:left w:val="none" w:sz="0" w:space="0" w:color="auto"/>
        <w:bottom w:val="none" w:sz="0" w:space="0" w:color="auto"/>
        <w:right w:val="none" w:sz="0" w:space="0" w:color="auto"/>
      </w:divBdr>
    </w:div>
    <w:div w:id="1565994437">
      <w:bodyDiv w:val="1"/>
      <w:marLeft w:val="0"/>
      <w:marRight w:val="0"/>
      <w:marTop w:val="0"/>
      <w:marBottom w:val="0"/>
      <w:divBdr>
        <w:top w:val="none" w:sz="0" w:space="0" w:color="auto"/>
        <w:left w:val="none" w:sz="0" w:space="0" w:color="auto"/>
        <w:bottom w:val="none" w:sz="0" w:space="0" w:color="auto"/>
        <w:right w:val="none" w:sz="0" w:space="0" w:color="auto"/>
      </w:divBdr>
    </w:div>
    <w:div w:id="1577088941">
      <w:bodyDiv w:val="1"/>
      <w:marLeft w:val="0"/>
      <w:marRight w:val="0"/>
      <w:marTop w:val="0"/>
      <w:marBottom w:val="0"/>
      <w:divBdr>
        <w:top w:val="none" w:sz="0" w:space="0" w:color="auto"/>
        <w:left w:val="none" w:sz="0" w:space="0" w:color="auto"/>
        <w:bottom w:val="none" w:sz="0" w:space="0" w:color="auto"/>
        <w:right w:val="none" w:sz="0" w:space="0" w:color="auto"/>
      </w:divBdr>
    </w:div>
    <w:div w:id="1621187470">
      <w:bodyDiv w:val="1"/>
      <w:marLeft w:val="0"/>
      <w:marRight w:val="0"/>
      <w:marTop w:val="0"/>
      <w:marBottom w:val="0"/>
      <w:divBdr>
        <w:top w:val="none" w:sz="0" w:space="0" w:color="auto"/>
        <w:left w:val="none" w:sz="0" w:space="0" w:color="auto"/>
        <w:bottom w:val="none" w:sz="0" w:space="0" w:color="auto"/>
        <w:right w:val="none" w:sz="0" w:space="0" w:color="auto"/>
      </w:divBdr>
    </w:div>
    <w:div w:id="1641223259">
      <w:bodyDiv w:val="1"/>
      <w:marLeft w:val="0"/>
      <w:marRight w:val="0"/>
      <w:marTop w:val="0"/>
      <w:marBottom w:val="0"/>
      <w:divBdr>
        <w:top w:val="none" w:sz="0" w:space="0" w:color="auto"/>
        <w:left w:val="none" w:sz="0" w:space="0" w:color="auto"/>
        <w:bottom w:val="none" w:sz="0" w:space="0" w:color="auto"/>
        <w:right w:val="none" w:sz="0" w:space="0" w:color="auto"/>
      </w:divBdr>
    </w:div>
    <w:div w:id="1644312917">
      <w:bodyDiv w:val="1"/>
      <w:marLeft w:val="0"/>
      <w:marRight w:val="0"/>
      <w:marTop w:val="0"/>
      <w:marBottom w:val="0"/>
      <w:divBdr>
        <w:top w:val="none" w:sz="0" w:space="0" w:color="auto"/>
        <w:left w:val="none" w:sz="0" w:space="0" w:color="auto"/>
        <w:bottom w:val="none" w:sz="0" w:space="0" w:color="auto"/>
        <w:right w:val="none" w:sz="0" w:space="0" w:color="auto"/>
      </w:divBdr>
    </w:div>
    <w:div w:id="1653094452">
      <w:bodyDiv w:val="1"/>
      <w:marLeft w:val="0"/>
      <w:marRight w:val="0"/>
      <w:marTop w:val="0"/>
      <w:marBottom w:val="0"/>
      <w:divBdr>
        <w:top w:val="none" w:sz="0" w:space="0" w:color="auto"/>
        <w:left w:val="none" w:sz="0" w:space="0" w:color="auto"/>
        <w:bottom w:val="none" w:sz="0" w:space="0" w:color="auto"/>
        <w:right w:val="none" w:sz="0" w:space="0" w:color="auto"/>
      </w:divBdr>
    </w:div>
    <w:div w:id="1664964910">
      <w:bodyDiv w:val="1"/>
      <w:marLeft w:val="0"/>
      <w:marRight w:val="0"/>
      <w:marTop w:val="0"/>
      <w:marBottom w:val="0"/>
      <w:divBdr>
        <w:top w:val="none" w:sz="0" w:space="0" w:color="auto"/>
        <w:left w:val="none" w:sz="0" w:space="0" w:color="auto"/>
        <w:bottom w:val="none" w:sz="0" w:space="0" w:color="auto"/>
        <w:right w:val="none" w:sz="0" w:space="0" w:color="auto"/>
      </w:divBdr>
    </w:div>
    <w:div w:id="1673099008">
      <w:bodyDiv w:val="1"/>
      <w:marLeft w:val="0"/>
      <w:marRight w:val="0"/>
      <w:marTop w:val="0"/>
      <w:marBottom w:val="0"/>
      <w:divBdr>
        <w:top w:val="none" w:sz="0" w:space="0" w:color="auto"/>
        <w:left w:val="none" w:sz="0" w:space="0" w:color="auto"/>
        <w:bottom w:val="none" w:sz="0" w:space="0" w:color="auto"/>
        <w:right w:val="none" w:sz="0" w:space="0" w:color="auto"/>
      </w:divBdr>
    </w:div>
    <w:div w:id="1673489366">
      <w:bodyDiv w:val="1"/>
      <w:marLeft w:val="0"/>
      <w:marRight w:val="0"/>
      <w:marTop w:val="0"/>
      <w:marBottom w:val="0"/>
      <w:divBdr>
        <w:top w:val="none" w:sz="0" w:space="0" w:color="auto"/>
        <w:left w:val="none" w:sz="0" w:space="0" w:color="auto"/>
        <w:bottom w:val="none" w:sz="0" w:space="0" w:color="auto"/>
        <w:right w:val="none" w:sz="0" w:space="0" w:color="auto"/>
      </w:divBdr>
    </w:div>
    <w:div w:id="1674145017">
      <w:bodyDiv w:val="1"/>
      <w:marLeft w:val="0"/>
      <w:marRight w:val="0"/>
      <w:marTop w:val="0"/>
      <w:marBottom w:val="0"/>
      <w:divBdr>
        <w:top w:val="none" w:sz="0" w:space="0" w:color="auto"/>
        <w:left w:val="none" w:sz="0" w:space="0" w:color="auto"/>
        <w:bottom w:val="none" w:sz="0" w:space="0" w:color="auto"/>
        <w:right w:val="none" w:sz="0" w:space="0" w:color="auto"/>
      </w:divBdr>
    </w:div>
    <w:div w:id="1680036717">
      <w:bodyDiv w:val="1"/>
      <w:marLeft w:val="0"/>
      <w:marRight w:val="0"/>
      <w:marTop w:val="0"/>
      <w:marBottom w:val="0"/>
      <w:divBdr>
        <w:top w:val="none" w:sz="0" w:space="0" w:color="auto"/>
        <w:left w:val="none" w:sz="0" w:space="0" w:color="auto"/>
        <w:bottom w:val="none" w:sz="0" w:space="0" w:color="auto"/>
        <w:right w:val="none" w:sz="0" w:space="0" w:color="auto"/>
      </w:divBdr>
    </w:div>
    <w:div w:id="1685593941">
      <w:bodyDiv w:val="1"/>
      <w:marLeft w:val="0"/>
      <w:marRight w:val="0"/>
      <w:marTop w:val="0"/>
      <w:marBottom w:val="0"/>
      <w:divBdr>
        <w:top w:val="none" w:sz="0" w:space="0" w:color="auto"/>
        <w:left w:val="none" w:sz="0" w:space="0" w:color="auto"/>
        <w:bottom w:val="none" w:sz="0" w:space="0" w:color="auto"/>
        <w:right w:val="none" w:sz="0" w:space="0" w:color="auto"/>
      </w:divBdr>
    </w:div>
    <w:div w:id="1689453182">
      <w:bodyDiv w:val="1"/>
      <w:marLeft w:val="0"/>
      <w:marRight w:val="0"/>
      <w:marTop w:val="0"/>
      <w:marBottom w:val="0"/>
      <w:divBdr>
        <w:top w:val="none" w:sz="0" w:space="0" w:color="auto"/>
        <w:left w:val="none" w:sz="0" w:space="0" w:color="auto"/>
        <w:bottom w:val="none" w:sz="0" w:space="0" w:color="auto"/>
        <w:right w:val="none" w:sz="0" w:space="0" w:color="auto"/>
      </w:divBdr>
    </w:div>
    <w:div w:id="1689522627">
      <w:bodyDiv w:val="1"/>
      <w:marLeft w:val="0"/>
      <w:marRight w:val="0"/>
      <w:marTop w:val="0"/>
      <w:marBottom w:val="0"/>
      <w:divBdr>
        <w:top w:val="none" w:sz="0" w:space="0" w:color="auto"/>
        <w:left w:val="none" w:sz="0" w:space="0" w:color="auto"/>
        <w:bottom w:val="none" w:sz="0" w:space="0" w:color="auto"/>
        <w:right w:val="none" w:sz="0" w:space="0" w:color="auto"/>
      </w:divBdr>
    </w:div>
    <w:div w:id="1716151528">
      <w:bodyDiv w:val="1"/>
      <w:marLeft w:val="0"/>
      <w:marRight w:val="0"/>
      <w:marTop w:val="0"/>
      <w:marBottom w:val="0"/>
      <w:divBdr>
        <w:top w:val="none" w:sz="0" w:space="0" w:color="auto"/>
        <w:left w:val="none" w:sz="0" w:space="0" w:color="auto"/>
        <w:bottom w:val="none" w:sz="0" w:space="0" w:color="auto"/>
        <w:right w:val="none" w:sz="0" w:space="0" w:color="auto"/>
      </w:divBdr>
    </w:div>
    <w:div w:id="1747143605">
      <w:bodyDiv w:val="1"/>
      <w:marLeft w:val="0"/>
      <w:marRight w:val="0"/>
      <w:marTop w:val="0"/>
      <w:marBottom w:val="0"/>
      <w:divBdr>
        <w:top w:val="none" w:sz="0" w:space="0" w:color="auto"/>
        <w:left w:val="none" w:sz="0" w:space="0" w:color="auto"/>
        <w:bottom w:val="none" w:sz="0" w:space="0" w:color="auto"/>
        <w:right w:val="none" w:sz="0" w:space="0" w:color="auto"/>
      </w:divBdr>
    </w:div>
    <w:div w:id="1778208303">
      <w:bodyDiv w:val="1"/>
      <w:marLeft w:val="0"/>
      <w:marRight w:val="0"/>
      <w:marTop w:val="0"/>
      <w:marBottom w:val="0"/>
      <w:divBdr>
        <w:top w:val="none" w:sz="0" w:space="0" w:color="auto"/>
        <w:left w:val="none" w:sz="0" w:space="0" w:color="auto"/>
        <w:bottom w:val="none" w:sz="0" w:space="0" w:color="auto"/>
        <w:right w:val="none" w:sz="0" w:space="0" w:color="auto"/>
      </w:divBdr>
    </w:div>
    <w:div w:id="1793085538">
      <w:bodyDiv w:val="1"/>
      <w:marLeft w:val="0"/>
      <w:marRight w:val="0"/>
      <w:marTop w:val="0"/>
      <w:marBottom w:val="0"/>
      <w:divBdr>
        <w:top w:val="none" w:sz="0" w:space="0" w:color="auto"/>
        <w:left w:val="none" w:sz="0" w:space="0" w:color="auto"/>
        <w:bottom w:val="none" w:sz="0" w:space="0" w:color="auto"/>
        <w:right w:val="none" w:sz="0" w:space="0" w:color="auto"/>
      </w:divBdr>
    </w:div>
    <w:div w:id="1797946318">
      <w:bodyDiv w:val="1"/>
      <w:marLeft w:val="0"/>
      <w:marRight w:val="0"/>
      <w:marTop w:val="0"/>
      <w:marBottom w:val="0"/>
      <w:divBdr>
        <w:top w:val="none" w:sz="0" w:space="0" w:color="auto"/>
        <w:left w:val="none" w:sz="0" w:space="0" w:color="auto"/>
        <w:bottom w:val="none" w:sz="0" w:space="0" w:color="auto"/>
        <w:right w:val="none" w:sz="0" w:space="0" w:color="auto"/>
      </w:divBdr>
    </w:div>
    <w:div w:id="1806118760">
      <w:bodyDiv w:val="1"/>
      <w:marLeft w:val="0"/>
      <w:marRight w:val="0"/>
      <w:marTop w:val="0"/>
      <w:marBottom w:val="0"/>
      <w:divBdr>
        <w:top w:val="none" w:sz="0" w:space="0" w:color="auto"/>
        <w:left w:val="none" w:sz="0" w:space="0" w:color="auto"/>
        <w:bottom w:val="none" w:sz="0" w:space="0" w:color="auto"/>
        <w:right w:val="none" w:sz="0" w:space="0" w:color="auto"/>
      </w:divBdr>
    </w:div>
    <w:div w:id="1827819891">
      <w:bodyDiv w:val="1"/>
      <w:marLeft w:val="0"/>
      <w:marRight w:val="0"/>
      <w:marTop w:val="0"/>
      <w:marBottom w:val="0"/>
      <w:divBdr>
        <w:top w:val="none" w:sz="0" w:space="0" w:color="auto"/>
        <w:left w:val="none" w:sz="0" w:space="0" w:color="auto"/>
        <w:bottom w:val="none" w:sz="0" w:space="0" w:color="auto"/>
        <w:right w:val="none" w:sz="0" w:space="0" w:color="auto"/>
      </w:divBdr>
    </w:div>
    <w:div w:id="1829134584">
      <w:bodyDiv w:val="1"/>
      <w:marLeft w:val="0"/>
      <w:marRight w:val="0"/>
      <w:marTop w:val="0"/>
      <w:marBottom w:val="0"/>
      <w:divBdr>
        <w:top w:val="none" w:sz="0" w:space="0" w:color="auto"/>
        <w:left w:val="none" w:sz="0" w:space="0" w:color="auto"/>
        <w:bottom w:val="none" w:sz="0" w:space="0" w:color="auto"/>
        <w:right w:val="none" w:sz="0" w:space="0" w:color="auto"/>
      </w:divBdr>
    </w:div>
    <w:div w:id="1862360006">
      <w:bodyDiv w:val="1"/>
      <w:marLeft w:val="0"/>
      <w:marRight w:val="0"/>
      <w:marTop w:val="0"/>
      <w:marBottom w:val="0"/>
      <w:divBdr>
        <w:top w:val="none" w:sz="0" w:space="0" w:color="auto"/>
        <w:left w:val="none" w:sz="0" w:space="0" w:color="auto"/>
        <w:bottom w:val="none" w:sz="0" w:space="0" w:color="auto"/>
        <w:right w:val="none" w:sz="0" w:space="0" w:color="auto"/>
      </w:divBdr>
    </w:div>
    <w:div w:id="1869946705">
      <w:bodyDiv w:val="1"/>
      <w:marLeft w:val="0"/>
      <w:marRight w:val="0"/>
      <w:marTop w:val="0"/>
      <w:marBottom w:val="0"/>
      <w:divBdr>
        <w:top w:val="none" w:sz="0" w:space="0" w:color="auto"/>
        <w:left w:val="none" w:sz="0" w:space="0" w:color="auto"/>
        <w:bottom w:val="none" w:sz="0" w:space="0" w:color="auto"/>
        <w:right w:val="none" w:sz="0" w:space="0" w:color="auto"/>
      </w:divBdr>
    </w:div>
    <w:div w:id="1872112201">
      <w:bodyDiv w:val="1"/>
      <w:marLeft w:val="0"/>
      <w:marRight w:val="0"/>
      <w:marTop w:val="0"/>
      <w:marBottom w:val="0"/>
      <w:divBdr>
        <w:top w:val="none" w:sz="0" w:space="0" w:color="auto"/>
        <w:left w:val="none" w:sz="0" w:space="0" w:color="auto"/>
        <w:bottom w:val="none" w:sz="0" w:space="0" w:color="auto"/>
        <w:right w:val="none" w:sz="0" w:space="0" w:color="auto"/>
      </w:divBdr>
    </w:div>
    <w:div w:id="1873759617">
      <w:bodyDiv w:val="1"/>
      <w:marLeft w:val="0"/>
      <w:marRight w:val="0"/>
      <w:marTop w:val="0"/>
      <w:marBottom w:val="0"/>
      <w:divBdr>
        <w:top w:val="none" w:sz="0" w:space="0" w:color="auto"/>
        <w:left w:val="none" w:sz="0" w:space="0" w:color="auto"/>
        <w:bottom w:val="none" w:sz="0" w:space="0" w:color="auto"/>
        <w:right w:val="none" w:sz="0" w:space="0" w:color="auto"/>
      </w:divBdr>
    </w:div>
    <w:div w:id="1890337434">
      <w:bodyDiv w:val="1"/>
      <w:marLeft w:val="0"/>
      <w:marRight w:val="0"/>
      <w:marTop w:val="0"/>
      <w:marBottom w:val="0"/>
      <w:divBdr>
        <w:top w:val="none" w:sz="0" w:space="0" w:color="auto"/>
        <w:left w:val="none" w:sz="0" w:space="0" w:color="auto"/>
        <w:bottom w:val="none" w:sz="0" w:space="0" w:color="auto"/>
        <w:right w:val="none" w:sz="0" w:space="0" w:color="auto"/>
      </w:divBdr>
    </w:div>
    <w:div w:id="1898396425">
      <w:bodyDiv w:val="1"/>
      <w:marLeft w:val="0"/>
      <w:marRight w:val="0"/>
      <w:marTop w:val="0"/>
      <w:marBottom w:val="0"/>
      <w:divBdr>
        <w:top w:val="none" w:sz="0" w:space="0" w:color="auto"/>
        <w:left w:val="none" w:sz="0" w:space="0" w:color="auto"/>
        <w:bottom w:val="none" w:sz="0" w:space="0" w:color="auto"/>
        <w:right w:val="none" w:sz="0" w:space="0" w:color="auto"/>
      </w:divBdr>
    </w:div>
    <w:div w:id="1905066959">
      <w:bodyDiv w:val="1"/>
      <w:marLeft w:val="0"/>
      <w:marRight w:val="0"/>
      <w:marTop w:val="0"/>
      <w:marBottom w:val="0"/>
      <w:divBdr>
        <w:top w:val="none" w:sz="0" w:space="0" w:color="auto"/>
        <w:left w:val="none" w:sz="0" w:space="0" w:color="auto"/>
        <w:bottom w:val="none" w:sz="0" w:space="0" w:color="auto"/>
        <w:right w:val="none" w:sz="0" w:space="0" w:color="auto"/>
      </w:divBdr>
    </w:div>
    <w:div w:id="1915816922">
      <w:bodyDiv w:val="1"/>
      <w:marLeft w:val="0"/>
      <w:marRight w:val="0"/>
      <w:marTop w:val="0"/>
      <w:marBottom w:val="0"/>
      <w:divBdr>
        <w:top w:val="none" w:sz="0" w:space="0" w:color="auto"/>
        <w:left w:val="none" w:sz="0" w:space="0" w:color="auto"/>
        <w:bottom w:val="none" w:sz="0" w:space="0" w:color="auto"/>
        <w:right w:val="none" w:sz="0" w:space="0" w:color="auto"/>
      </w:divBdr>
    </w:div>
    <w:div w:id="1978141982">
      <w:bodyDiv w:val="1"/>
      <w:marLeft w:val="0"/>
      <w:marRight w:val="0"/>
      <w:marTop w:val="0"/>
      <w:marBottom w:val="0"/>
      <w:divBdr>
        <w:top w:val="none" w:sz="0" w:space="0" w:color="auto"/>
        <w:left w:val="none" w:sz="0" w:space="0" w:color="auto"/>
        <w:bottom w:val="none" w:sz="0" w:space="0" w:color="auto"/>
        <w:right w:val="none" w:sz="0" w:space="0" w:color="auto"/>
      </w:divBdr>
    </w:div>
    <w:div w:id="2005667482">
      <w:bodyDiv w:val="1"/>
      <w:marLeft w:val="0"/>
      <w:marRight w:val="0"/>
      <w:marTop w:val="0"/>
      <w:marBottom w:val="0"/>
      <w:divBdr>
        <w:top w:val="none" w:sz="0" w:space="0" w:color="auto"/>
        <w:left w:val="none" w:sz="0" w:space="0" w:color="auto"/>
        <w:bottom w:val="none" w:sz="0" w:space="0" w:color="auto"/>
        <w:right w:val="none" w:sz="0" w:space="0" w:color="auto"/>
      </w:divBdr>
    </w:div>
    <w:div w:id="2006321322">
      <w:bodyDiv w:val="1"/>
      <w:marLeft w:val="0"/>
      <w:marRight w:val="0"/>
      <w:marTop w:val="0"/>
      <w:marBottom w:val="0"/>
      <w:divBdr>
        <w:top w:val="none" w:sz="0" w:space="0" w:color="auto"/>
        <w:left w:val="none" w:sz="0" w:space="0" w:color="auto"/>
        <w:bottom w:val="none" w:sz="0" w:space="0" w:color="auto"/>
        <w:right w:val="none" w:sz="0" w:space="0" w:color="auto"/>
      </w:divBdr>
    </w:div>
    <w:div w:id="2020623730">
      <w:bodyDiv w:val="1"/>
      <w:marLeft w:val="0"/>
      <w:marRight w:val="0"/>
      <w:marTop w:val="0"/>
      <w:marBottom w:val="0"/>
      <w:divBdr>
        <w:top w:val="none" w:sz="0" w:space="0" w:color="auto"/>
        <w:left w:val="none" w:sz="0" w:space="0" w:color="auto"/>
        <w:bottom w:val="none" w:sz="0" w:space="0" w:color="auto"/>
        <w:right w:val="none" w:sz="0" w:space="0" w:color="auto"/>
      </w:divBdr>
    </w:div>
    <w:div w:id="2030594858">
      <w:bodyDiv w:val="1"/>
      <w:marLeft w:val="0"/>
      <w:marRight w:val="0"/>
      <w:marTop w:val="0"/>
      <w:marBottom w:val="0"/>
      <w:divBdr>
        <w:top w:val="none" w:sz="0" w:space="0" w:color="auto"/>
        <w:left w:val="none" w:sz="0" w:space="0" w:color="auto"/>
        <w:bottom w:val="none" w:sz="0" w:space="0" w:color="auto"/>
        <w:right w:val="none" w:sz="0" w:space="0" w:color="auto"/>
      </w:divBdr>
    </w:div>
    <w:div w:id="2068412805">
      <w:bodyDiv w:val="1"/>
      <w:marLeft w:val="0"/>
      <w:marRight w:val="0"/>
      <w:marTop w:val="0"/>
      <w:marBottom w:val="0"/>
      <w:divBdr>
        <w:top w:val="none" w:sz="0" w:space="0" w:color="auto"/>
        <w:left w:val="none" w:sz="0" w:space="0" w:color="auto"/>
        <w:bottom w:val="none" w:sz="0" w:space="0" w:color="auto"/>
        <w:right w:val="none" w:sz="0" w:space="0" w:color="auto"/>
      </w:divBdr>
    </w:div>
    <w:div w:id="2080517180">
      <w:bodyDiv w:val="1"/>
      <w:marLeft w:val="0"/>
      <w:marRight w:val="0"/>
      <w:marTop w:val="0"/>
      <w:marBottom w:val="0"/>
      <w:divBdr>
        <w:top w:val="none" w:sz="0" w:space="0" w:color="auto"/>
        <w:left w:val="none" w:sz="0" w:space="0" w:color="auto"/>
        <w:bottom w:val="none" w:sz="0" w:space="0" w:color="auto"/>
        <w:right w:val="none" w:sz="0" w:space="0" w:color="auto"/>
      </w:divBdr>
    </w:div>
    <w:div w:id="2081243286">
      <w:bodyDiv w:val="1"/>
      <w:marLeft w:val="0"/>
      <w:marRight w:val="0"/>
      <w:marTop w:val="0"/>
      <w:marBottom w:val="0"/>
      <w:divBdr>
        <w:top w:val="none" w:sz="0" w:space="0" w:color="auto"/>
        <w:left w:val="none" w:sz="0" w:space="0" w:color="auto"/>
        <w:bottom w:val="none" w:sz="0" w:space="0" w:color="auto"/>
        <w:right w:val="none" w:sz="0" w:space="0" w:color="auto"/>
      </w:divBdr>
    </w:div>
    <w:div w:id="2100829776">
      <w:bodyDiv w:val="1"/>
      <w:marLeft w:val="0"/>
      <w:marRight w:val="0"/>
      <w:marTop w:val="0"/>
      <w:marBottom w:val="0"/>
      <w:divBdr>
        <w:top w:val="none" w:sz="0" w:space="0" w:color="auto"/>
        <w:left w:val="none" w:sz="0" w:space="0" w:color="auto"/>
        <w:bottom w:val="none" w:sz="0" w:space="0" w:color="auto"/>
        <w:right w:val="none" w:sz="0" w:space="0" w:color="auto"/>
      </w:divBdr>
    </w:div>
    <w:div w:id="2101098904">
      <w:bodyDiv w:val="1"/>
      <w:marLeft w:val="0"/>
      <w:marRight w:val="0"/>
      <w:marTop w:val="0"/>
      <w:marBottom w:val="0"/>
      <w:divBdr>
        <w:top w:val="none" w:sz="0" w:space="0" w:color="auto"/>
        <w:left w:val="none" w:sz="0" w:space="0" w:color="auto"/>
        <w:bottom w:val="none" w:sz="0" w:space="0" w:color="auto"/>
        <w:right w:val="none" w:sz="0" w:space="0" w:color="auto"/>
      </w:divBdr>
    </w:div>
    <w:div w:id="2104495490">
      <w:bodyDiv w:val="1"/>
      <w:marLeft w:val="0"/>
      <w:marRight w:val="0"/>
      <w:marTop w:val="0"/>
      <w:marBottom w:val="0"/>
      <w:divBdr>
        <w:top w:val="none" w:sz="0" w:space="0" w:color="auto"/>
        <w:left w:val="none" w:sz="0" w:space="0" w:color="auto"/>
        <w:bottom w:val="none" w:sz="0" w:space="0" w:color="auto"/>
        <w:right w:val="none" w:sz="0" w:space="0" w:color="auto"/>
      </w:divBdr>
    </w:div>
    <w:div w:id="2129203153">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footer" Target="footer1.xml"/><Relationship Id="rId8" Type="http://schemas.openxmlformats.org/officeDocument/2006/relationships/footer" Target="footer2.xml"/><Relationship Id="rId9" Type="http://schemas.openxmlformats.org/officeDocument/2006/relationships/fontTable" Target="fontTable.xml"/><Relationship Id="rId10"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b:Source>
    <b:Tag>Pag17</b:Tag>
    <b:SourceType>Book</b:SourceType>
    <b:Guid>{99930F83-7769-9946-A733-8884C58A31F3}</b:Guid>
    <b:Author>
      <b:Author>
        <b:NameList>
          <b:Person>
            <b:Last>Pagán</b:Last>
          </b:Person>
        </b:NameList>
      </b:Author>
    </b:Author>
    <b:Year>2017</b:Year>
    <b:Pages>2</b:Pages>
    <b:RefOrder>1</b:RefOrder>
  </b:Source>
  <b:Source>
    <b:Tag>Pow14</b:Tag>
    <b:SourceType>Book</b:SourceType>
    <b:Guid>{F0035CC3-EF71-3544-8BC6-32C876B12BA6}</b:Guid>
    <b:Author>
      <b:Author>
        <b:NameList>
          <b:Person>
            <b:Last>Power</b:Last>
          </b:Person>
        </b:NameList>
      </b:Author>
    </b:Author>
    <b:Year>2014</b:Year>
    <b:RefOrder>2</b:RefOrder>
  </b:Source>
  <b:Source>
    <b:Tag>Adl081</b:Tag>
    <b:SourceType>Book</b:SourceType>
    <b:Guid>{6FD65701-7BE9-2C47-8C07-7D7DDFCEE502}</b:Guid>
    <b:Author>
      <b:Author>
        <b:NameList>
          <b:Person>
            <b:Last>Adler</b:Last>
          </b:Person>
        </b:NameList>
      </b:Author>
    </b:Author>
    <b:Year>2008</b:Year>
    <b:RefOrder>3</b:RefOrder>
  </b:Source>
  <b:Source>
    <b:Tag>Dav09</b:Tag>
    <b:SourceType>Book</b:SourceType>
    <b:Guid>{57A27F61-063B-5544-B8CF-1B84B9402A5B}</b:Guid>
    <b:Author>
      <b:Author>
        <b:NameList>
          <b:Person>
            <b:Last>Davies</b:Last>
          </b:Person>
        </b:NameList>
      </b:Author>
    </b:Author>
    <b:Year>2009</b:Year>
    <b:RefOrder>4</b:RefOrder>
  </b:Source>
  <b:Source>
    <b:Tag>Sta051</b:Tag>
    <b:SourceType>Book</b:SourceType>
    <b:Guid>{C8326655-8202-9348-9234-2ACA69E6DF75}</b:Guid>
    <b:Author>
      <b:Author>
        <b:NameList>
          <b:Person>
            <b:Last>Standing</b:Last>
          </b:Person>
        </b:NameList>
      </b:Author>
    </b:Author>
    <b:Year>2005</b:Year>
    <b:RefOrder>5</b:RefOrder>
  </b:Source>
  <b:Source>
    <b:Tag>Fai10</b:Tag>
    <b:SourceType>Book</b:SourceType>
    <b:Guid>{96847AA9-BF97-D44A-B9CE-C787AF897B07}</b:Guid>
    <b:Author>
      <b:Author>
        <b:NameList>
          <b:Person>
            <b:Last>Fairclough</b:Last>
          </b:Person>
        </b:NameList>
      </b:Author>
    </b:Author>
    <b:Year>2010</b:Year>
    <b:RefOrder>6</b:RefOrder>
  </b:Source>
  <b:Source>
    <b:Tag>Fre91</b:Tag>
    <b:SourceType>Book</b:SourceType>
    <b:Guid>{E01D7C3F-8BE7-C24A-AA88-A94529CC8565}</b:Guid>
    <b:Author>
      <b:Author>
        <b:NameList>
          <b:Person>
            <b:Last>Frere</b:Last>
          </b:Person>
        </b:NameList>
      </b:Author>
    </b:Author>
    <b:Year>1991</b:Year>
    <b:RefOrder>7</b:RefOrder>
  </b:Source>
  <b:Source>
    <b:Tag>Dav99</b:Tag>
    <b:SourceType>Book</b:SourceType>
    <b:Guid>{B5442A21-E200-B647-882B-D4C19088F67D}</b:Guid>
    <b:Author>
      <b:Author>
        <b:NameList>
          <b:Person>
            <b:Last>Davies</b:Last>
          </b:Person>
        </b:NameList>
      </b:Author>
    </b:Author>
    <b:Year>1999</b:Year>
    <b:RefOrder>8</b:RefOrder>
  </b:Source>
  <b:Source>
    <b:Tag>Mil05</b:Tag>
    <b:SourceType>Book</b:SourceType>
    <b:Guid>{CF5526E1-0726-9845-9F6B-9B12772BB280}</b:Guid>
    <b:Author>
      <b:Author>
        <b:NameList>
          <b:Person>
            <b:Last>Millet</b:Last>
          </b:Person>
        </b:NameList>
      </b:Author>
    </b:Author>
    <b:Year>2005</b:Year>
    <b:RefOrder>9</b:RefOrder>
  </b:Source>
  <b:Source>
    <b:Tag>Moo161</b:Tag>
    <b:SourceType>Book</b:SourceType>
    <b:Guid>{1D96BE72-89A9-4648-87DA-9D4B4B5D5DD2}</b:Guid>
    <b:Author>
      <b:Author>
        <b:NameList>
          <b:Person>
            <b:Last>MoorheadandStuttard</b:Last>
          </b:Person>
        </b:NameList>
      </b:Author>
    </b:Author>
    <b:Year>2016</b:Year>
    <b:RefOrder>10</b:RefOrder>
  </b:Source>
  <b:Source>
    <b:Tag>Rus11</b:Tag>
    <b:SourceType>Book</b:SourceType>
    <b:Guid>{41DF4BB6-8BF4-B44D-84F6-ABFAA67491FD}</b:Guid>
    <b:Author>
      <b:Author>
        <b:NameList>
          <b:Person>
            <b:Last>RussellandLaycock</b:Last>
          </b:Person>
        </b:NameList>
      </b:Author>
    </b:Author>
    <b:Year>2011</b:Year>
    <b:RefOrder>11</b:RefOrder>
  </b:Source>
  <b:Source>
    <b:Tag>DeL161</b:Tag>
    <b:SourceType>Book</b:SourceType>
    <b:Guid>{43292D74-24F0-D749-A9F9-BD14EC57D04B}</b:Guid>
    <b:Author>
      <b:Author>
        <b:NameList>
          <b:Person>
            <b:Last>DeLaBédoyère</b:Last>
          </b:Person>
        </b:NameList>
      </b:Author>
    </b:Author>
    <b:Year>2016</b:Year>
    <b:RefOrder>12</b:RefOrder>
  </b:Source>
  <b:Source>
    <b:Tag>Sal93</b:Tag>
    <b:SourceType>Book</b:SourceType>
    <b:Guid>{BF1E9994-6320-1341-A7BC-D4A5FF7AA79B}</b:Guid>
    <b:Author>
      <b:Author>
        <b:NameList>
          <b:Person>
            <b:Last>Salway</b:Last>
          </b:Person>
        </b:NameList>
      </b:Author>
    </b:Author>
    <b:Year>1993</b:Year>
    <b:RefOrder>13</b:RefOrder>
  </b:Source>
  <b:Source>
    <b:Tag>Hof13</b:Tag>
    <b:SourceType>Book</b:SourceType>
    <b:Guid>{57B22F2E-E18B-4440-AF09-884817BBD4CA}</b:Guid>
    <b:Author>
      <b:Author>
        <b:NameList>
          <b:Person>
            <b:Last>Hoffmann</b:Last>
          </b:Person>
        </b:NameList>
      </b:Author>
    </b:Author>
    <b:Year>2013</b:Year>
    <b:RefOrder>14</b:RefOrder>
  </b:Source>
  <b:Source>
    <b:Tag>Dys71</b:Tag>
    <b:SourceType>Book</b:SourceType>
    <b:Guid>{3CB8E3C2-2044-8B41-89D5-69C7FF0145D2}</b:Guid>
    <b:Author>
      <b:Author>
        <b:NameList>
          <b:Person>
            <b:Last>Dyson</b:Last>
          </b:Person>
        </b:NameList>
      </b:Author>
    </b:Author>
    <b:Year>1971</b:Year>
    <b:RefOrder>15</b:RefOrder>
  </b:Source>
  <b:Source>
    <b:Tag>Ald08</b:Tag>
    <b:SourceType>Book</b:SourceType>
    <b:Guid>{F5D72893-4692-354F-BBEC-E6C337F3368D}</b:Guid>
    <b:Author>
      <b:Author>
        <b:NameList>
          <b:Person>
            <b:Last>Aldrete</b:Last>
          </b:Person>
        </b:NameList>
      </b:Author>
    </b:Author>
    <b:Year>2008</b:Year>
    <b:RefOrder>16</b:RefOrder>
  </b:Source>
  <b:Source>
    <b:Tag>DeL13</b:Tag>
    <b:SourceType>Book</b:SourceType>
    <b:Guid>{CD5A39D4-2C5E-044D-B3B5-CD00CB35055E}</b:Guid>
    <b:Author>
      <b:Author>
        <b:NameList>
          <b:Person>
            <b:Last>DeLaBédoyère</b:Last>
          </b:Person>
        </b:NameList>
      </b:Author>
    </b:Author>
    <b:Year>2013</b:Year>
    <b:RefOrder>17</b:RefOrder>
  </b:Source>
  <b:Source>
    <b:Tag>Web11</b:Tag>
    <b:SourceType>Book</b:SourceType>
    <b:Guid>{F558F91F-E4FB-AC48-B06D-6BCC7DB9176E}</b:Guid>
    <b:Author>
      <b:Author>
        <b:NameList>
          <b:Person>
            <b:Last>Webb</b:Last>
          </b:Person>
        </b:NameList>
      </b:Author>
    </b:Author>
    <b:Year>2011</b:Year>
    <b:RefOrder>18</b:RefOrder>
  </b:Source>
  <b:Source>
    <b:Tag>Wai11</b:Tag>
    <b:SourceType>Book</b:SourceType>
    <b:Guid>{FB601493-44F1-3A4A-806C-D48C44E11C45}</b:Guid>
    <b:Author>
      <b:Author>
        <b:NameList>
          <b:Person>
            <b:Last>Waite</b:Last>
          </b:Person>
        </b:NameList>
      </b:Author>
    </b:Author>
    <b:Year>2011</b:Year>
    <b:RefOrder>19</b:RefOrder>
  </b:Source>
  <b:Source>
    <b:Tag>Hob15</b:Tag>
    <b:SourceType>Book</b:SourceType>
    <b:Guid>{9E8618D6-8390-E44F-8707-DC35137DB140}</b:Guid>
    <b:Author>
      <b:Author>
        <b:NameList>
          <b:Person>
            <b:Last>HobbsandJackson</b:Last>
          </b:Person>
        </b:NameList>
      </b:Author>
    </b:Author>
    <b:Year>2015</b:Year>
    <b:RefOrder>20</b:RefOrder>
  </b:Source>
  <b:Source>
    <b:Tag>Mor05</b:Tag>
    <b:SourceType>Book</b:SourceType>
    <b:Guid>{2B51754A-C37B-0A4B-8A1D-3C476BED1C78}</b:Guid>
    <b:Author>
      <b:Author>
        <b:NameList>
          <b:Person>
            <b:Last>Morse</b:Last>
          </b:Person>
        </b:NameList>
      </b:Author>
    </b:Author>
    <b:Year>2005</b:Year>
    <b:RefOrder>21</b:RefOrder>
  </b:Source>
  <b:Source>
    <b:Tag>Hut11</b:Tag>
    <b:SourceType>Book</b:SourceType>
    <b:Guid>{72817392-524E-2746-B2BC-5FF6AD664075}</b:Guid>
    <b:Author>
      <b:Author>
        <b:NameList>
          <b:Person>
            <b:Last>Hutton</b:Last>
          </b:Person>
        </b:NameList>
      </b:Author>
    </b:Author>
    <b:Year>2011</b:Year>
    <b:RefOrder>22</b:RefOrder>
  </b:Source>
  <b:Source>
    <b:Tag>Man01</b:Tag>
    <b:SourceType>Book</b:SourceType>
    <b:Guid>{DDA4BCB0-CB8F-0F4B-8344-BB27EC9B9F81}</b:Guid>
    <b:Author>
      <b:Author>
        <b:NameList>
          <b:Person>
            <b:Last>Manning</b:Last>
          </b:Person>
        </b:NameList>
      </b:Author>
    </b:Author>
    <b:Year>2001</b:Year>
    <b:RefOrder>23</b:RefOrder>
  </b:Source>
  <b:Source>
    <b:Tag>How08</b:Tag>
    <b:SourceType>Book</b:SourceType>
    <b:Guid>{5E758650-242A-EF48-B6D1-FDA3DD1DD9EF}</b:Guid>
    <b:Author>
      <b:Author>
        <b:NameList>
          <b:Person>
            <b:Last>Howarth</b:Last>
          </b:Person>
        </b:NameList>
      </b:Author>
    </b:Author>
    <b:Year>2008</b:Year>
    <b:RefOrder>24</b:RefOrder>
  </b:Source>
  <b:Source>
    <b:Tag>Mat07</b:Tag>
    <b:SourceType>Book</b:SourceType>
    <b:Guid>{F1086CC6-127F-DD43-9F98-5CB9E67F3488}</b:Guid>
    <b:Author>
      <b:Author>
        <b:NameList>
          <b:Person>
            <b:Last>Mattingly</b:Last>
          </b:Person>
        </b:NameList>
      </b:Author>
    </b:Author>
    <b:Year>2007</b:Year>
    <b:RefOrder>25</b:RefOrder>
  </b:Source>
  <b:Source>
    <b:Tag>Hin07</b:Tag>
    <b:SourceType>Book</b:SourceType>
    <b:Guid>{2E5EDE8A-96BE-D541-9177-F7AD9F935345}</b:Guid>
    <b:Author>
      <b:Author>
        <b:NameList>
          <b:Person>
            <b:Last>Hind</b:Last>
          </b:Person>
        </b:NameList>
      </b:Author>
    </b:Author>
    <b:Year>2007</b:Year>
    <b:RefOrder>26</b:RefOrder>
  </b:Source>
  <b:Source>
    <b:Tag>Web81</b:Tag>
    <b:SourceType>Book</b:SourceType>
    <b:Guid>{12B7DE9C-6FA5-6B47-A14E-F1BBAD304F66}</b:Guid>
    <b:Author>
      <b:Author>
        <b:NameList>
          <b:Person>
            <b:Last>Webster</b:Last>
          </b:Person>
        </b:NameList>
      </b:Author>
    </b:Author>
    <b:Year>1981</b:Year>
    <b:RefOrder>27</b:RefOrder>
  </b:Source>
  <b:Source>
    <b:Tag>Ped97</b:Tag>
    <b:SourceType>Book</b:SourceType>
    <b:Guid>{A33F3407-DA73-6F47-A2A1-42E3D0FA1F3D}</b:Guid>
    <b:Author>
      <b:Author>
        <b:NameList>
          <b:Person>
            <b:Last>Peddie</b:Last>
          </b:Person>
        </b:NameList>
      </b:Author>
    </b:Author>
    <b:Year>1997</b:Year>
    <b:RefOrder>28</b:RefOrder>
  </b:Source>
  <b:Source>
    <b:Tag>Tod99</b:Tag>
    <b:SourceType>Book</b:SourceType>
    <b:Guid>{DCE629BE-DD9A-0944-BCA0-E511242BCD2F}</b:Guid>
    <b:Author>
      <b:Author>
        <b:NameList>
          <b:Person>
            <b:Last>Todd</b:Last>
          </b:Person>
        </b:NameList>
      </b:Author>
    </b:Author>
    <b:Year>1999</b:Year>
    <b:RefOrder>29</b:RefOrder>
  </b:Source>
  <b:Source>
    <b:Tag>Bra13</b:Tag>
    <b:SourceType>Book</b:SourceType>
    <b:Guid>{3AC64604-489C-514A-8386-B21770DEDD2F}</b:Guid>
    <b:Author>
      <b:Author>
        <b:NameList>
          <b:Person>
            <b:Last>Braund</b:Last>
          </b:Person>
        </b:NameList>
      </b:Author>
    </b:Author>
    <b:Year>1996</b:Year>
    <b:RefOrder>30</b:RefOrder>
  </b:Source>
</b:Sources>
</file>

<file path=customXml/itemProps1.xml><?xml version="1.0" encoding="utf-8"?>
<ds:datastoreItem xmlns:ds="http://schemas.openxmlformats.org/officeDocument/2006/customXml" ds:itemID="{59AB0DC4-AC89-4645-9259-F6D5F7E601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302</TotalTime>
  <Pages>39</Pages>
  <Words>10240</Words>
  <Characters>48440</Characters>
  <Application>Microsoft Macintosh Word</Application>
  <DocSecurity>0</DocSecurity>
  <Lines>712</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58603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How effective</dc:title>
  <dc:subject/>
  <dc:creator>Megan Haylock (1500488)</dc:creator>
  <cp:keywords/>
  <dc:description/>
  <cp:lastModifiedBy>Megan Haylock (1500488)</cp:lastModifiedBy>
  <cp:revision>51</cp:revision>
  <cp:lastPrinted>2018-02-23T12:46:00Z</cp:lastPrinted>
  <dcterms:created xsi:type="dcterms:W3CDTF">2018-05-09T15:10:00Z</dcterms:created>
  <dcterms:modified xsi:type="dcterms:W3CDTF">2018-05-10T05:25:00Z</dcterms:modified>
</cp:coreProperties>
</file>