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90A26" w14:textId="077C0A1C" w:rsidR="00090B4A" w:rsidRDefault="00805FB3">
      <w:pPr>
        <w:pStyle w:val="TOCHeading"/>
        <w:rPr>
          <w:rFonts w:asciiTheme="minorHAnsi" w:eastAsiaTheme="minorHAnsi" w:hAnsiTheme="minorHAnsi" w:cstheme="minorBidi"/>
          <w:color w:val="auto"/>
          <w:sz w:val="22"/>
          <w:szCs w:val="22"/>
        </w:rPr>
      </w:pPr>
      <w:r>
        <w:rPr>
          <w:rFonts w:ascii="Times New Roman"/>
          <w:noProof/>
          <w:sz w:val="20"/>
        </w:rPr>
        <w:drawing>
          <wp:inline distT="0" distB="0" distL="0" distR="0" wp14:anchorId="3C9C900A" wp14:editId="5D4EAE7E">
            <wp:extent cx="1819852" cy="594074"/>
            <wp:effectExtent l="0" t="0" r="0" b="0"/>
            <wp:docPr id="3"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stretch>
                      <a:fillRect/>
                    </a:stretch>
                  </pic:blipFill>
                  <pic:spPr>
                    <a:xfrm>
                      <a:off x="0" y="0"/>
                      <a:ext cx="1819852" cy="594074"/>
                    </a:xfrm>
                    <a:prstGeom prst="rect">
                      <a:avLst/>
                    </a:prstGeom>
                  </pic:spPr>
                </pic:pic>
              </a:graphicData>
            </a:graphic>
          </wp:inline>
        </w:drawing>
      </w:r>
    </w:p>
    <w:tbl>
      <w:tblPr>
        <w:tblpPr w:leftFromText="180" w:rightFromText="180" w:vertAnchor="page" w:horzAnchor="margin" w:tblpY="3161"/>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DB1440" w14:paraId="06405EDB" w14:textId="77777777" w:rsidTr="00DB1440">
        <w:trPr>
          <w:trHeight w:val="647"/>
        </w:trPr>
        <w:tc>
          <w:tcPr>
            <w:tcW w:w="9925" w:type="dxa"/>
            <w:gridSpan w:val="4"/>
            <w:shd w:val="clear" w:color="auto" w:fill="C0C0C0"/>
          </w:tcPr>
          <w:p w14:paraId="00819511" w14:textId="77777777" w:rsidR="00DB1440" w:rsidRDefault="00DB1440" w:rsidP="00DB1440">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DB1440" w14:paraId="7128203F" w14:textId="77777777" w:rsidTr="00DB1440">
        <w:trPr>
          <w:trHeight w:val="544"/>
        </w:trPr>
        <w:tc>
          <w:tcPr>
            <w:tcW w:w="2091" w:type="dxa"/>
          </w:tcPr>
          <w:p w14:paraId="6E83BB71" w14:textId="77777777" w:rsidR="00DB1440" w:rsidRDefault="00DB1440" w:rsidP="00DB1440">
            <w:pPr>
              <w:pStyle w:val="TableParagraph"/>
              <w:spacing w:before="144"/>
              <w:ind w:left="117"/>
              <w:rPr>
                <w:b/>
              </w:rPr>
            </w:pPr>
            <w:r>
              <w:rPr>
                <w:b/>
                <w:spacing w:val="-2"/>
              </w:rPr>
              <w:t>Programme:</w:t>
            </w:r>
          </w:p>
        </w:tc>
        <w:tc>
          <w:tcPr>
            <w:tcW w:w="7834" w:type="dxa"/>
            <w:gridSpan w:val="3"/>
          </w:tcPr>
          <w:p w14:paraId="4EBAD91E" w14:textId="77777777" w:rsidR="00DB1440" w:rsidRDefault="00DB1440" w:rsidP="00DB1440">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DB1440" w14:paraId="0C2145FA" w14:textId="77777777" w:rsidTr="00DB1440">
        <w:trPr>
          <w:trHeight w:val="544"/>
        </w:trPr>
        <w:tc>
          <w:tcPr>
            <w:tcW w:w="2091" w:type="dxa"/>
          </w:tcPr>
          <w:p w14:paraId="3F0CEDAB" w14:textId="53C1C7E4" w:rsidR="00DB1440" w:rsidRDefault="00DB1440" w:rsidP="00DB1440">
            <w:pPr>
              <w:pStyle w:val="TableParagraph"/>
              <w:spacing w:before="144"/>
              <w:ind w:left="117"/>
              <w:rPr>
                <w:b/>
                <w:spacing w:val="-2"/>
              </w:rPr>
            </w:pPr>
            <w:r>
              <w:rPr>
                <w:b/>
                <w:spacing w:val="-2"/>
              </w:rPr>
              <w:t xml:space="preserve">Student ID: </w:t>
            </w:r>
          </w:p>
        </w:tc>
        <w:tc>
          <w:tcPr>
            <w:tcW w:w="7834" w:type="dxa"/>
            <w:gridSpan w:val="3"/>
          </w:tcPr>
          <w:p w14:paraId="6E068B77" w14:textId="5348F1BB" w:rsidR="00DB1440" w:rsidRDefault="00D06D81" w:rsidP="00DB1440">
            <w:pPr>
              <w:pStyle w:val="TableParagraph"/>
              <w:spacing w:before="144"/>
              <w:ind w:left="117"/>
              <w:rPr>
                <w:b/>
              </w:rPr>
            </w:pPr>
            <w:r w:rsidRPr="00D06D81">
              <w:rPr>
                <w:b/>
              </w:rPr>
              <w:t>2421930</w:t>
            </w:r>
          </w:p>
        </w:tc>
      </w:tr>
      <w:tr w:rsidR="00DB1440" w14:paraId="2CD62389" w14:textId="77777777" w:rsidTr="00DB1440">
        <w:trPr>
          <w:trHeight w:val="539"/>
        </w:trPr>
        <w:tc>
          <w:tcPr>
            <w:tcW w:w="2091" w:type="dxa"/>
          </w:tcPr>
          <w:p w14:paraId="2B6A149D" w14:textId="77777777" w:rsidR="00DB1440" w:rsidRDefault="00DB1440" w:rsidP="00DB1440">
            <w:pPr>
              <w:pStyle w:val="TableParagraph"/>
              <w:spacing w:before="139"/>
              <w:ind w:left="117"/>
              <w:rPr>
                <w:b/>
              </w:rPr>
            </w:pPr>
            <w:r>
              <w:rPr>
                <w:b/>
                <w:spacing w:val="-2"/>
              </w:rPr>
              <w:t>Module:</w:t>
            </w:r>
          </w:p>
        </w:tc>
        <w:tc>
          <w:tcPr>
            <w:tcW w:w="7834" w:type="dxa"/>
            <w:gridSpan w:val="3"/>
          </w:tcPr>
          <w:p w14:paraId="1FA58B1A" w14:textId="77777777" w:rsidR="00DB1440" w:rsidRDefault="00DB1440" w:rsidP="00DB1440">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DB1440" w14:paraId="79639536" w14:textId="77777777" w:rsidTr="00DB1440">
        <w:trPr>
          <w:trHeight w:val="539"/>
        </w:trPr>
        <w:tc>
          <w:tcPr>
            <w:tcW w:w="2091" w:type="dxa"/>
          </w:tcPr>
          <w:p w14:paraId="484BF691" w14:textId="11246815" w:rsidR="00DB1440" w:rsidRDefault="00DB1440" w:rsidP="00DB1440">
            <w:pPr>
              <w:pStyle w:val="TableParagraph"/>
              <w:spacing w:before="139"/>
              <w:ind w:left="117"/>
              <w:rPr>
                <w:b/>
                <w:spacing w:val="-2"/>
              </w:rPr>
            </w:pPr>
            <w:r>
              <w:rPr>
                <w:b/>
                <w:spacing w:val="-2"/>
              </w:rPr>
              <w:t xml:space="preserve">Word Count: </w:t>
            </w:r>
          </w:p>
        </w:tc>
        <w:tc>
          <w:tcPr>
            <w:tcW w:w="7834" w:type="dxa"/>
            <w:gridSpan w:val="3"/>
          </w:tcPr>
          <w:p w14:paraId="253EE854" w14:textId="0A5B0802" w:rsidR="00DB1440" w:rsidRDefault="00805FB3" w:rsidP="00DB1440">
            <w:pPr>
              <w:pStyle w:val="TableParagraph"/>
              <w:spacing w:before="139"/>
              <w:ind w:left="117"/>
              <w:rPr>
                <w:b/>
              </w:rPr>
            </w:pPr>
            <w:r>
              <w:rPr>
                <w:b/>
              </w:rPr>
              <w:t xml:space="preserve">1519 </w:t>
            </w:r>
          </w:p>
        </w:tc>
      </w:tr>
      <w:tr w:rsidR="00DB1440" w14:paraId="03577650" w14:textId="77777777" w:rsidTr="00DB1440">
        <w:trPr>
          <w:trHeight w:val="854"/>
        </w:trPr>
        <w:tc>
          <w:tcPr>
            <w:tcW w:w="2091" w:type="dxa"/>
          </w:tcPr>
          <w:p w14:paraId="2E1E165D" w14:textId="77777777" w:rsidR="00DB1440" w:rsidRDefault="00DB1440" w:rsidP="00DB1440">
            <w:pPr>
              <w:pStyle w:val="TableParagraph"/>
              <w:spacing w:before="15"/>
              <w:ind w:left="117"/>
              <w:rPr>
                <w:b/>
              </w:rPr>
            </w:pPr>
            <w:r>
              <w:rPr>
                <w:b/>
              </w:rPr>
              <w:t>Module</w:t>
            </w:r>
            <w:r>
              <w:rPr>
                <w:b/>
                <w:spacing w:val="-8"/>
              </w:rPr>
              <w:t xml:space="preserve"> </w:t>
            </w:r>
            <w:r>
              <w:rPr>
                <w:b/>
                <w:spacing w:val="-2"/>
              </w:rPr>
              <w:t>code:</w:t>
            </w:r>
          </w:p>
        </w:tc>
        <w:tc>
          <w:tcPr>
            <w:tcW w:w="3301" w:type="dxa"/>
          </w:tcPr>
          <w:p w14:paraId="534CAE39" w14:textId="77777777" w:rsidR="00DB1440" w:rsidRDefault="00DB1440" w:rsidP="00DB1440">
            <w:pPr>
              <w:pStyle w:val="TableParagraph"/>
              <w:spacing w:before="15"/>
              <w:ind w:left="117"/>
              <w:rPr>
                <w:b/>
              </w:rPr>
            </w:pPr>
            <w:r>
              <w:rPr>
                <w:b/>
                <w:spacing w:val="-2"/>
              </w:rPr>
              <w:t>LCHS4010</w:t>
            </w:r>
          </w:p>
        </w:tc>
        <w:tc>
          <w:tcPr>
            <w:tcW w:w="2264" w:type="dxa"/>
            <w:shd w:val="clear" w:color="auto" w:fill="D9D9D9" w:themeFill="background1" w:themeFillShade="D9"/>
          </w:tcPr>
          <w:p w14:paraId="3FC4A2A3" w14:textId="77777777" w:rsidR="00DB1440" w:rsidRDefault="00DB1440" w:rsidP="00DB1440">
            <w:pPr>
              <w:pStyle w:val="TableParagraph"/>
              <w:tabs>
                <w:tab w:val="left" w:pos="2049"/>
              </w:tabs>
              <w:spacing w:before="15"/>
              <w:ind w:left="117" w:right="-15" w:hanging="113"/>
              <w:rPr>
                <w:b/>
                <w:bCs/>
              </w:rPr>
            </w:pPr>
            <w:r w:rsidRPr="6F47122B">
              <w:rPr>
                <w:b/>
                <w:bCs/>
                <w:spacing w:val="-2"/>
              </w:rPr>
              <w:t xml:space="preserve">Contribution </w:t>
            </w:r>
            <w:r w:rsidRPr="6F47122B">
              <w:rPr>
                <w:b/>
                <w:bCs/>
                <w:spacing w:val="-5"/>
              </w:rPr>
              <w:t>to</w:t>
            </w:r>
          </w:p>
          <w:p w14:paraId="75A03090" w14:textId="77777777" w:rsidR="00DB1440" w:rsidRDefault="00DB1440" w:rsidP="00DB1440">
            <w:pPr>
              <w:pStyle w:val="TableParagraph"/>
              <w:tabs>
                <w:tab w:val="left" w:pos="1489"/>
              </w:tabs>
              <w:spacing w:before="10" w:line="270" w:lineRule="atLeast"/>
              <w:ind w:left="117" w:right="-15"/>
              <w:rPr>
                <w:b/>
                <w:bCs/>
              </w:rPr>
            </w:pPr>
            <w:r w:rsidRPr="6F47122B">
              <w:rPr>
                <w:b/>
                <w:bCs/>
                <w:spacing w:val="-2"/>
              </w:rPr>
              <w:t xml:space="preserve">Overall Module </w:t>
            </w:r>
            <w:r w:rsidRPr="6F47122B">
              <w:rPr>
                <w:b/>
                <w:bCs/>
              </w:rPr>
              <w:t>Assessment (%):</w:t>
            </w:r>
          </w:p>
        </w:tc>
        <w:tc>
          <w:tcPr>
            <w:tcW w:w="2269" w:type="dxa"/>
          </w:tcPr>
          <w:p w14:paraId="1D73ECFD" w14:textId="77777777" w:rsidR="00DB1440" w:rsidRDefault="00DB1440" w:rsidP="00DB1440">
            <w:pPr>
              <w:pStyle w:val="TableParagraph"/>
              <w:spacing w:before="15"/>
              <w:ind w:left="124"/>
              <w:rPr>
                <w:b/>
              </w:rPr>
            </w:pPr>
            <w:r>
              <w:rPr>
                <w:b/>
                <w:spacing w:val="-5"/>
              </w:rPr>
              <w:t>50%</w:t>
            </w:r>
          </w:p>
        </w:tc>
      </w:tr>
      <w:tr w:rsidR="00DB1440" w14:paraId="0B2F51DB" w14:textId="77777777" w:rsidTr="00DB1440">
        <w:trPr>
          <w:trHeight w:val="1233"/>
        </w:trPr>
        <w:tc>
          <w:tcPr>
            <w:tcW w:w="2091" w:type="dxa"/>
          </w:tcPr>
          <w:p w14:paraId="4D628AB7" w14:textId="77777777" w:rsidR="00DB1440" w:rsidRDefault="00DB1440" w:rsidP="00DB1440">
            <w:pPr>
              <w:pStyle w:val="TableParagraph"/>
              <w:spacing w:before="140"/>
              <w:rPr>
                <w:b/>
              </w:rPr>
            </w:pPr>
          </w:p>
          <w:p w14:paraId="58707C66" w14:textId="77777777" w:rsidR="00DB1440" w:rsidRDefault="00DB1440" w:rsidP="00DB1440">
            <w:pPr>
              <w:pStyle w:val="TableParagraph"/>
              <w:ind w:left="177"/>
              <w:rPr>
                <w:b/>
              </w:rPr>
            </w:pPr>
            <w:r>
              <w:rPr>
                <w:b/>
              </w:rPr>
              <w:t>Module</w:t>
            </w:r>
            <w:r>
              <w:rPr>
                <w:b/>
                <w:spacing w:val="-6"/>
              </w:rPr>
              <w:t xml:space="preserve"> </w:t>
            </w:r>
            <w:r>
              <w:rPr>
                <w:b/>
                <w:spacing w:val="-2"/>
              </w:rPr>
              <w:t>lead:</w:t>
            </w:r>
          </w:p>
        </w:tc>
        <w:tc>
          <w:tcPr>
            <w:tcW w:w="3301" w:type="dxa"/>
          </w:tcPr>
          <w:p w14:paraId="6E6140CD" w14:textId="77777777" w:rsidR="00DB1440" w:rsidRPr="00994B74" w:rsidRDefault="00DB1440" w:rsidP="00DB1440">
            <w:pPr>
              <w:pStyle w:val="TableParagraph"/>
              <w:spacing w:before="240"/>
              <w:rPr>
                <w:b/>
                <w:bCs/>
              </w:rPr>
            </w:pPr>
            <w:r>
              <w:rPr>
                <w:b/>
                <w:bCs/>
              </w:rPr>
              <w:t xml:space="preserve"> Neale Haddon (Module lead)</w:t>
            </w:r>
          </w:p>
        </w:tc>
        <w:tc>
          <w:tcPr>
            <w:tcW w:w="2264" w:type="dxa"/>
            <w:shd w:val="clear" w:color="auto" w:fill="D9D9D9" w:themeFill="background1" w:themeFillShade="D9"/>
          </w:tcPr>
          <w:p w14:paraId="23FFD9F5" w14:textId="77777777" w:rsidR="00DB1440" w:rsidRDefault="00DB1440" w:rsidP="00DB1440">
            <w:pPr>
              <w:pStyle w:val="TableParagraph"/>
              <w:spacing w:before="140"/>
              <w:rPr>
                <w:b/>
              </w:rPr>
            </w:pPr>
          </w:p>
          <w:p w14:paraId="29594B9F" w14:textId="77777777" w:rsidR="00DB1440" w:rsidRDefault="00DB1440" w:rsidP="00DB1440">
            <w:pPr>
              <w:pStyle w:val="TableParagraph"/>
              <w:ind w:left="117"/>
              <w:rPr>
                <w:b/>
              </w:rPr>
            </w:pPr>
            <w:r>
              <w:rPr>
                <w:b/>
              </w:rPr>
              <w:t>Internal</w:t>
            </w:r>
            <w:r>
              <w:rPr>
                <w:b/>
                <w:spacing w:val="-8"/>
              </w:rPr>
              <w:t xml:space="preserve"> </w:t>
            </w:r>
            <w:r>
              <w:rPr>
                <w:b/>
                <w:spacing w:val="-2"/>
              </w:rPr>
              <w:t>Verifier:</w:t>
            </w:r>
          </w:p>
        </w:tc>
        <w:tc>
          <w:tcPr>
            <w:tcW w:w="2269" w:type="dxa"/>
          </w:tcPr>
          <w:p w14:paraId="61B6CE67" w14:textId="77777777" w:rsidR="00DB1440" w:rsidRDefault="00DB1440" w:rsidP="00DB1440">
            <w:pPr>
              <w:pStyle w:val="TableParagraph"/>
              <w:rPr>
                <w:b/>
              </w:rPr>
            </w:pPr>
          </w:p>
          <w:p w14:paraId="3D1935BC" w14:textId="77777777" w:rsidR="00DB1440" w:rsidRDefault="00DB1440" w:rsidP="00DB1440">
            <w:pPr>
              <w:pStyle w:val="TableParagraph"/>
              <w:rPr>
                <w:b/>
              </w:rPr>
            </w:pPr>
            <w:r>
              <w:rPr>
                <w:b/>
              </w:rPr>
              <w:t xml:space="preserve"> Dr Besty Jose</w:t>
            </w:r>
          </w:p>
        </w:tc>
      </w:tr>
    </w:tbl>
    <w:p w14:paraId="592C5F8A" w14:textId="77777777" w:rsidR="00DB1440" w:rsidRDefault="00DB1440" w:rsidP="00DB1440"/>
    <w:p w14:paraId="17BFBFFE" w14:textId="77777777" w:rsidR="00DB1440" w:rsidRDefault="00DB1440" w:rsidP="00DB1440"/>
    <w:p w14:paraId="3F4700F4" w14:textId="77777777" w:rsidR="00DB1440" w:rsidRPr="00DB1440" w:rsidRDefault="00DB1440" w:rsidP="00DB1440"/>
    <w:p w14:paraId="19EBB35E" w14:textId="77777777" w:rsidR="00090B4A" w:rsidRDefault="00090B4A">
      <w:pPr>
        <w:pStyle w:val="TOCHeading"/>
        <w:rPr>
          <w:rFonts w:asciiTheme="minorHAnsi" w:eastAsiaTheme="minorHAnsi" w:hAnsiTheme="minorHAnsi" w:cstheme="minorBidi"/>
          <w:color w:val="auto"/>
          <w:sz w:val="22"/>
          <w:szCs w:val="22"/>
        </w:rPr>
      </w:pPr>
    </w:p>
    <w:p w14:paraId="018F33A5" w14:textId="77777777" w:rsidR="00DB1440" w:rsidRDefault="00DB1440" w:rsidP="00DB1440"/>
    <w:p w14:paraId="0507DDE7" w14:textId="77777777" w:rsidR="00DB1440" w:rsidRDefault="00DB1440" w:rsidP="00DB1440"/>
    <w:p w14:paraId="243DB6A9" w14:textId="77777777" w:rsidR="00DB1440" w:rsidRDefault="00DB1440" w:rsidP="00DB1440"/>
    <w:p w14:paraId="6DB6AE06" w14:textId="77777777" w:rsidR="00DB1440" w:rsidRDefault="00DB1440" w:rsidP="00DB1440"/>
    <w:p w14:paraId="4F9BE21D" w14:textId="77777777" w:rsidR="00DB1440" w:rsidRPr="00DB1440" w:rsidRDefault="00DB1440" w:rsidP="00DB1440"/>
    <w:p w14:paraId="56F526EB" w14:textId="77777777" w:rsidR="00090B4A" w:rsidRDefault="00090B4A">
      <w:pPr>
        <w:pStyle w:val="TOCHeading"/>
        <w:rPr>
          <w:rFonts w:asciiTheme="minorHAnsi" w:eastAsiaTheme="minorHAnsi" w:hAnsiTheme="minorHAnsi" w:cstheme="minorBidi"/>
          <w:color w:val="auto"/>
          <w:sz w:val="22"/>
          <w:szCs w:val="22"/>
        </w:rPr>
      </w:pPr>
    </w:p>
    <w:p w14:paraId="3CE7744A" w14:textId="77777777" w:rsidR="00090B4A" w:rsidRDefault="00090B4A">
      <w:pPr>
        <w:pStyle w:val="TOCHeading"/>
        <w:rPr>
          <w:rFonts w:asciiTheme="minorHAnsi" w:eastAsiaTheme="minorHAnsi" w:hAnsiTheme="minorHAnsi" w:cstheme="minorBidi"/>
          <w:color w:val="auto"/>
          <w:sz w:val="22"/>
          <w:szCs w:val="22"/>
        </w:rPr>
      </w:pPr>
    </w:p>
    <w:p w14:paraId="7374B734" w14:textId="77777777" w:rsidR="00805FB3" w:rsidRDefault="00805FB3" w:rsidP="00805FB3"/>
    <w:p w14:paraId="607F2F7C" w14:textId="77777777" w:rsidR="00805FB3" w:rsidRPr="00805FB3" w:rsidRDefault="00805FB3" w:rsidP="00805FB3"/>
    <w:p w14:paraId="40851B9C" w14:textId="77777777" w:rsidR="00090B4A" w:rsidRDefault="00090B4A">
      <w:pPr>
        <w:pStyle w:val="TOCHeading"/>
        <w:rPr>
          <w:rFonts w:asciiTheme="minorHAnsi" w:eastAsiaTheme="minorHAnsi" w:hAnsiTheme="minorHAnsi" w:cstheme="minorBidi"/>
          <w:color w:val="auto"/>
          <w:sz w:val="22"/>
          <w:szCs w:val="22"/>
        </w:rPr>
      </w:pPr>
    </w:p>
    <w:sdt>
      <w:sdtPr>
        <w:rPr>
          <w:rFonts w:asciiTheme="minorHAnsi" w:eastAsiaTheme="minorHAnsi" w:hAnsiTheme="minorHAnsi" w:cstheme="minorBidi"/>
          <w:color w:val="auto"/>
          <w:sz w:val="22"/>
          <w:szCs w:val="22"/>
        </w:rPr>
        <w:id w:val="1520660434"/>
        <w:docPartObj>
          <w:docPartGallery w:val="Table of Contents"/>
          <w:docPartUnique/>
        </w:docPartObj>
      </w:sdtPr>
      <w:sdtEndPr>
        <w:rPr>
          <w:b/>
          <w:bCs/>
          <w:noProof/>
        </w:rPr>
      </w:sdtEndPr>
      <w:sdtContent>
        <w:p w14:paraId="5EAD7DB7" w14:textId="16651FE4" w:rsidR="00F41C65" w:rsidRDefault="00F41C65">
          <w:pPr>
            <w:pStyle w:val="TOCHeading"/>
          </w:pPr>
          <w:r>
            <w:t>Table of Contents</w:t>
          </w:r>
        </w:p>
        <w:p w14:paraId="40BCBB29" w14:textId="77777777" w:rsidR="00F41C65" w:rsidRDefault="00F41C65">
          <w:pPr>
            <w:pStyle w:val="TOC1"/>
            <w:tabs>
              <w:tab w:val="right" w:leader="dot" w:pos="9350"/>
            </w:tabs>
            <w:rPr>
              <w:noProof/>
            </w:rPr>
          </w:pPr>
          <w:r>
            <w:fldChar w:fldCharType="begin"/>
          </w:r>
          <w:r>
            <w:instrText xml:space="preserve"> TOC \o "1-3" \h \z \u </w:instrText>
          </w:r>
          <w:r>
            <w:fldChar w:fldCharType="separate"/>
          </w:r>
          <w:hyperlink w:anchor="_Toc213448637" w:history="1">
            <w:r w:rsidRPr="00235C8B">
              <w:rPr>
                <w:rStyle w:val="Hyperlink"/>
                <w:noProof/>
              </w:rPr>
              <w:t>Introduction</w:t>
            </w:r>
            <w:r>
              <w:rPr>
                <w:noProof/>
                <w:webHidden/>
              </w:rPr>
              <w:tab/>
            </w:r>
            <w:r>
              <w:rPr>
                <w:noProof/>
                <w:webHidden/>
              </w:rPr>
              <w:fldChar w:fldCharType="begin"/>
            </w:r>
            <w:r>
              <w:rPr>
                <w:noProof/>
                <w:webHidden/>
              </w:rPr>
              <w:instrText xml:space="preserve"> PAGEREF _Toc213448637 \h </w:instrText>
            </w:r>
            <w:r>
              <w:rPr>
                <w:noProof/>
                <w:webHidden/>
              </w:rPr>
            </w:r>
            <w:r>
              <w:rPr>
                <w:noProof/>
                <w:webHidden/>
              </w:rPr>
              <w:fldChar w:fldCharType="separate"/>
            </w:r>
            <w:r>
              <w:rPr>
                <w:noProof/>
                <w:webHidden/>
              </w:rPr>
              <w:t>2</w:t>
            </w:r>
            <w:r>
              <w:rPr>
                <w:noProof/>
                <w:webHidden/>
              </w:rPr>
              <w:fldChar w:fldCharType="end"/>
            </w:r>
          </w:hyperlink>
        </w:p>
        <w:p w14:paraId="2364DA08" w14:textId="77777777" w:rsidR="00F41C65" w:rsidRDefault="00D06D81">
          <w:pPr>
            <w:pStyle w:val="TOC1"/>
            <w:tabs>
              <w:tab w:val="right" w:leader="dot" w:pos="9350"/>
            </w:tabs>
            <w:rPr>
              <w:noProof/>
            </w:rPr>
          </w:pPr>
          <w:hyperlink w:anchor="_Toc213448638" w:history="1">
            <w:r w:rsidR="00F41C65" w:rsidRPr="00235C8B">
              <w:rPr>
                <w:rStyle w:val="Hyperlink"/>
                <w:noProof/>
              </w:rPr>
              <w:t>Erikson's psychosocial theory</w:t>
            </w:r>
            <w:r w:rsidR="00F41C65">
              <w:rPr>
                <w:noProof/>
                <w:webHidden/>
              </w:rPr>
              <w:tab/>
            </w:r>
            <w:r w:rsidR="00F41C65">
              <w:rPr>
                <w:noProof/>
                <w:webHidden/>
              </w:rPr>
              <w:fldChar w:fldCharType="begin"/>
            </w:r>
            <w:r w:rsidR="00F41C65">
              <w:rPr>
                <w:noProof/>
                <w:webHidden/>
              </w:rPr>
              <w:instrText xml:space="preserve"> PAGEREF _Toc213448638 \h </w:instrText>
            </w:r>
            <w:r w:rsidR="00F41C65">
              <w:rPr>
                <w:noProof/>
                <w:webHidden/>
              </w:rPr>
            </w:r>
            <w:r w:rsidR="00F41C65">
              <w:rPr>
                <w:noProof/>
                <w:webHidden/>
              </w:rPr>
              <w:fldChar w:fldCharType="separate"/>
            </w:r>
            <w:r w:rsidR="00F41C65">
              <w:rPr>
                <w:noProof/>
                <w:webHidden/>
              </w:rPr>
              <w:t>2</w:t>
            </w:r>
            <w:r w:rsidR="00F41C65">
              <w:rPr>
                <w:noProof/>
                <w:webHidden/>
              </w:rPr>
              <w:fldChar w:fldCharType="end"/>
            </w:r>
          </w:hyperlink>
        </w:p>
        <w:p w14:paraId="6F0D18FB" w14:textId="77777777" w:rsidR="00F41C65" w:rsidRDefault="00D06D81">
          <w:pPr>
            <w:pStyle w:val="TOC2"/>
            <w:tabs>
              <w:tab w:val="right" w:leader="dot" w:pos="9350"/>
            </w:tabs>
            <w:rPr>
              <w:noProof/>
            </w:rPr>
          </w:pPr>
          <w:hyperlink w:anchor="_Toc213448639" w:history="1">
            <w:r w:rsidR="00F41C65" w:rsidRPr="00235C8B">
              <w:rPr>
                <w:rStyle w:val="Hyperlink"/>
                <w:noProof/>
              </w:rPr>
              <w:t>Overview of the theory</w:t>
            </w:r>
            <w:r w:rsidR="00F41C65">
              <w:rPr>
                <w:noProof/>
                <w:webHidden/>
              </w:rPr>
              <w:tab/>
            </w:r>
            <w:r w:rsidR="00F41C65">
              <w:rPr>
                <w:noProof/>
                <w:webHidden/>
              </w:rPr>
              <w:fldChar w:fldCharType="begin"/>
            </w:r>
            <w:r w:rsidR="00F41C65">
              <w:rPr>
                <w:noProof/>
                <w:webHidden/>
              </w:rPr>
              <w:instrText xml:space="preserve"> PAGEREF _Toc213448639 \h </w:instrText>
            </w:r>
            <w:r w:rsidR="00F41C65">
              <w:rPr>
                <w:noProof/>
                <w:webHidden/>
              </w:rPr>
            </w:r>
            <w:r w:rsidR="00F41C65">
              <w:rPr>
                <w:noProof/>
                <w:webHidden/>
              </w:rPr>
              <w:fldChar w:fldCharType="separate"/>
            </w:r>
            <w:r w:rsidR="00F41C65">
              <w:rPr>
                <w:noProof/>
                <w:webHidden/>
              </w:rPr>
              <w:t>2</w:t>
            </w:r>
            <w:r w:rsidR="00F41C65">
              <w:rPr>
                <w:noProof/>
                <w:webHidden/>
              </w:rPr>
              <w:fldChar w:fldCharType="end"/>
            </w:r>
          </w:hyperlink>
        </w:p>
        <w:p w14:paraId="6484383D" w14:textId="77777777" w:rsidR="00F41C65" w:rsidRDefault="00D06D81">
          <w:pPr>
            <w:pStyle w:val="TOC2"/>
            <w:tabs>
              <w:tab w:val="right" w:leader="dot" w:pos="9350"/>
            </w:tabs>
            <w:rPr>
              <w:noProof/>
            </w:rPr>
          </w:pPr>
          <w:hyperlink w:anchor="_Toc213448640" w:history="1">
            <w:r w:rsidR="00F41C65" w:rsidRPr="00235C8B">
              <w:rPr>
                <w:rStyle w:val="Hyperlink"/>
                <w:noProof/>
              </w:rPr>
              <w:t>Application of the theory</w:t>
            </w:r>
            <w:r w:rsidR="00F41C65">
              <w:rPr>
                <w:noProof/>
                <w:webHidden/>
              </w:rPr>
              <w:tab/>
            </w:r>
            <w:r w:rsidR="00F41C65">
              <w:rPr>
                <w:noProof/>
                <w:webHidden/>
              </w:rPr>
              <w:fldChar w:fldCharType="begin"/>
            </w:r>
            <w:r w:rsidR="00F41C65">
              <w:rPr>
                <w:noProof/>
                <w:webHidden/>
              </w:rPr>
              <w:instrText xml:space="preserve"> PAGEREF _Toc213448640 \h </w:instrText>
            </w:r>
            <w:r w:rsidR="00F41C65">
              <w:rPr>
                <w:noProof/>
                <w:webHidden/>
              </w:rPr>
            </w:r>
            <w:r w:rsidR="00F41C65">
              <w:rPr>
                <w:noProof/>
                <w:webHidden/>
              </w:rPr>
              <w:fldChar w:fldCharType="separate"/>
            </w:r>
            <w:r w:rsidR="00F41C65">
              <w:rPr>
                <w:noProof/>
                <w:webHidden/>
              </w:rPr>
              <w:t>3</w:t>
            </w:r>
            <w:r w:rsidR="00F41C65">
              <w:rPr>
                <w:noProof/>
                <w:webHidden/>
              </w:rPr>
              <w:fldChar w:fldCharType="end"/>
            </w:r>
          </w:hyperlink>
        </w:p>
        <w:p w14:paraId="3F6E5B18" w14:textId="77777777" w:rsidR="00F41C65" w:rsidRDefault="00D06D81">
          <w:pPr>
            <w:pStyle w:val="TOC2"/>
            <w:tabs>
              <w:tab w:val="right" w:leader="dot" w:pos="9350"/>
            </w:tabs>
            <w:rPr>
              <w:noProof/>
            </w:rPr>
          </w:pPr>
          <w:hyperlink w:anchor="_Toc213448641" w:history="1">
            <w:r w:rsidR="00F41C65" w:rsidRPr="00235C8B">
              <w:rPr>
                <w:rStyle w:val="Hyperlink"/>
                <w:noProof/>
              </w:rPr>
              <w:t>Critical Evaluation of the theory</w:t>
            </w:r>
            <w:r w:rsidR="00F41C65">
              <w:rPr>
                <w:noProof/>
                <w:webHidden/>
              </w:rPr>
              <w:tab/>
            </w:r>
            <w:r w:rsidR="00F41C65">
              <w:rPr>
                <w:noProof/>
                <w:webHidden/>
              </w:rPr>
              <w:fldChar w:fldCharType="begin"/>
            </w:r>
            <w:r w:rsidR="00F41C65">
              <w:rPr>
                <w:noProof/>
                <w:webHidden/>
              </w:rPr>
              <w:instrText xml:space="preserve"> PAGEREF _Toc213448641 \h </w:instrText>
            </w:r>
            <w:r w:rsidR="00F41C65">
              <w:rPr>
                <w:noProof/>
                <w:webHidden/>
              </w:rPr>
            </w:r>
            <w:r w:rsidR="00F41C65">
              <w:rPr>
                <w:noProof/>
                <w:webHidden/>
              </w:rPr>
              <w:fldChar w:fldCharType="separate"/>
            </w:r>
            <w:r w:rsidR="00F41C65">
              <w:rPr>
                <w:noProof/>
                <w:webHidden/>
              </w:rPr>
              <w:t>4</w:t>
            </w:r>
            <w:r w:rsidR="00F41C65">
              <w:rPr>
                <w:noProof/>
                <w:webHidden/>
              </w:rPr>
              <w:fldChar w:fldCharType="end"/>
            </w:r>
          </w:hyperlink>
        </w:p>
        <w:p w14:paraId="07A986E2" w14:textId="77777777" w:rsidR="00F41C65" w:rsidRDefault="00D06D81">
          <w:pPr>
            <w:pStyle w:val="TOC1"/>
            <w:tabs>
              <w:tab w:val="right" w:leader="dot" w:pos="9350"/>
            </w:tabs>
            <w:rPr>
              <w:noProof/>
            </w:rPr>
          </w:pPr>
          <w:hyperlink w:anchor="_Toc213448642" w:history="1">
            <w:r w:rsidR="00F41C65" w:rsidRPr="00235C8B">
              <w:rPr>
                <w:rStyle w:val="Hyperlink"/>
                <w:noProof/>
              </w:rPr>
              <w:t>Vygotsky's social cultural theory</w:t>
            </w:r>
            <w:r w:rsidR="00F41C65">
              <w:rPr>
                <w:noProof/>
                <w:webHidden/>
              </w:rPr>
              <w:tab/>
            </w:r>
            <w:r w:rsidR="00F41C65">
              <w:rPr>
                <w:noProof/>
                <w:webHidden/>
              </w:rPr>
              <w:fldChar w:fldCharType="begin"/>
            </w:r>
            <w:r w:rsidR="00F41C65">
              <w:rPr>
                <w:noProof/>
                <w:webHidden/>
              </w:rPr>
              <w:instrText xml:space="preserve"> PAGEREF _Toc213448642 \h </w:instrText>
            </w:r>
            <w:r w:rsidR="00F41C65">
              <w:rPr>
                <w:noProof/>
                <w:webHidden/>
              </w:rPr>
            </w:r>
            <w:r w:rsidR="00F41C65">
              <w:rPr>
                <w:noProof/>
                <w:webHidden/>
              </w:rPr>
              <w:fldChar w:fldCharType="separate"/>
            </w:r>
            <w:r w:rsidR="00F41C65">
              <w:rPr>
                <w:noProof/>
                <w:webHidden/>
              </w:rPr>
              <w:t>4</w:t>
            </w:r>
            <w:r w:rsidR="00F41C65">
              <w:rPr>
                <w:noProof/>
                <w:webHidden/>
              </w:rPr>
              <w:fldChar w:fldCharType="end"/>
            </w:r>
          </w:hyperlink>
        </w:p>
        <w:p w14:paraId="0DA83371" w14:textId="77777777" w:rsidR="00F41C65" w:rsidRDefault="00D06D81">
          <w:pPr>
            <w:pStyle w:val="TOC2"/>
            <w:tabs>
              <w:tab w:val="right" w:leader="dot" w:pos="9350"/>
            </w:tabs>
            <w:rPr>
              <w:noProof/>
            </w:rPr>
          </w:pPr>
          <w:hyperlink w:anchor="_Toc213448643" w:history="1">
            <w:r w:rsidR="00F41C65" w:rsidRPr="00235C8B">
              <w:rPr>
                <w:rStyle w:val="Hyperlink"/>
                <w:noProof/>
              </w:rPr>
              <w:t>Overview of the theory</w:t>
            </w:r>
            <w:r w:rsidR="00F41C65">
              <w:rPr>
                <w:noProof/>
                <w:webHidden/>
              </w:rPr>
              <w:tab/>
            </w:r>
            <w:r w:rsidR="00F41C65">
              <w:rPr>
                <w:noProof/>
                <w:webHidden/>
              </w:rPr>
              <w:fldChar w:fldCharType="begin"/>
            </w:r>
            <w:r w:rsidR="00F41C65">
              <w:rPr>
                <w:noProof/>
                <w:webHidden/>
              </w:rPr>
              <w:instrText xml:space="preserve"> PAGEREF _Toc213448643 \h </w:instrText>
            </w:r>
            <w:r w:rsidR="00F41C65">
              <w:rPr>
                <w:noProof/>
                <w:webHidden/>
              </w:rPr>
            </w:r>
            <w:r w:rsidR="00F41C65">
              <w:rPr>
                <w:noProof/>
                <w:webHidden/>
              </w:rPr>
              <w:fldChar w:fldCharType="separate"/>
            </w:r>
            <w:r w:rsidR="00F41C65">
              <w:rPr>
                <w:noProof/>
                <w:webHidden/>
              </w:rPr>
              <w:t>4</w:t>
            </w:r>
            <w:r w:rsidR="00F41C65">
              <w:rPr>
                <w:noProof/>
                <w:webHidden/>
              </w:rPr>
              <w:fldChar w:fldCharType="end"/>
            </w:r>
          </w:hyperlink>
        </w:p>
        <w:p w14:paraId="08CA3764" w14:textId="77777777" w:rsidR="00F41C65" w:rsidRDefault="00D06D81">
          <w:pPr>
            <w:pStyle w:val="TOC2"/>
            <w:tabs>
              <w:tab w:val="right" w:leader="dot" w:pos="9350"/>
            </w:tabs>
            <w:rPr>
              <w:noProof/>
            </w:rPr>
          </w:pPr>
          <w:hyperlink w:anchor="_Toc213448644" w:history="1">
            <w:r w:rsidR="00F41C65" w:rsidRPr="00235C8B">
              <w:rPr>
                <w:rStyle w:val="Hyperlink"/>
                <w:noProof/>
              </w:rPr>
              <w:t>Application of the theory</w:t>
            </w:r>
            <w:r w:rsidR="00F41C65">
              <w:rPr>
                <w:noProof/>
                <w:webHidden/>
              </w:rPr>
              <w:tab/>
            </w:r>
            <w:r w:rsidR="00F41C65">
              <w:rPr>
                <w:noProof/>
                <w:webHidden/>
              </w:rPr>
              <w:fldChar w:fldCharType="begin"/>
            </w:r>
            <w:r w:rsidR="00F41C65">
              <w:rPr>
                <w:noProof/>
                <w:webHidden/>
              </w:rPr>
              <w:instrText xml:space="preserve"> PAGEREF _Toc213448644 \h </w:instrText>
            </w:r>
            <w:r w:rsidR="00F41C65">
              <w:rPr>
                <w:noProof/>
                <w:webHidden/>
              </w:rPr>
            </w:r>
            <w:r w:rsidR="00F41C65">
              <w:rPr>
                <w:noProof/>
                <w:webHidden/>
              </w:rPr>
              <w:fldChar w:fldCharType="separate"/>
            </w:r>
            <w:r w:rsidR="00F41C65">
              <w:rPr>
                <w:noProof/>
                <w:webHidden/>
              </w:rPr>
              <w:t>5</w:t>
            </w:r>
            <w:r w:rsidR="00F41C65">
              <w:rPr>
                <w:noProof/>
                <w:webHidden/>
              </w:rPr>
              <w:fldChar w:fldCharType="end"/>
            </w:r>
          </w:hyperlink>
        </w:p>
        <w:p w14:paraId="50BBB9CA" w14:textId="77777777" w:rsidR="00F41C65" w:rsidRDefault="00D06D81">
          <w:pPr>
            <w:pStyle w:val="TOC2"/>
            <w:tabs>
              <w:tab w:val="right" w:leader="dot" w:pos="9350"/>
            </w:tabs>
            <w:rPr>
              <w:noProof/>
            </w:rPr>
          </w:pPr>
          <w:hyperlink w:anchor="_Toc213448645" w:history="1">
            <w:r w:rsidR="00F41C65" w:rsidRPr="00235C8B">
              <w:rPr>
                <w:rStyle w:val="Hyperlink"/>
                <w:noProof/>
              </w:rPr>
              <w:t>Critical Evaluation of the theory</w:t>
            </w:r>
            <w:r w:rsidR="00F41C65">
              <w:rPr>
                <w:noProof/>
                <w:webHidden/>
              </w:rPr>
              <w:tab/>
            </w:r>
            <w:r w:rsidR="00F41C65">
              <w:rPr>
                <w:noProof/>
                <w:webHidden/>
              </w:rPr>
              <w:fldChar w:fldCharType="begin"/>
            </w:r>
            <w:r w:rsidR="00F41C65">
              <w:rPr>
                <w:noProof/>
                <w:webHidden/>
              </w:rPr>
              <w:instrText xml:space="preserve"> PAGEREF _Toc213448645 \h </w:instrText>
            </w:r>
            <w:r w:rsidR="00F41C65">
              <w:rPr>
                <w:noProof/>
                <w:webHidden/>
              </w:rPr>
            </w:r>
            <w:r w:rsidR="00F41C65">
              <w:rPr>
                <w:noProof/>
                <w:webHidden/>
              </w:rPr>
              <w:fldChar w:fldCharType="separate"/>
            </w:r>
            <w:r w:rsidR="00F41C65">
              <w:rPr>
                <w:noProof/>
                <w:webHidden/>
              </w:rPr>
              <w:t>6</w:t>
            </w:r>
            <w:r w:rsidR="00F41C65">
              <w:rPr>
                <w:noProof/>
                <w:webHidden/>
              </w:rPr>
              <w:fldChar w:fldCharType="end"/>
            </w:r>
          </w:hyperlink>
        </w:p>
        <w:p w14:paraId="4CD358A4" w14:textId="77777777" w:rsidR="00F41C65" w:rsidRDefault="00D06D81">
          <w:pPr>
            <w:pStyle w:val="TOC1"/>
            <w:tabs>
              <w:tab w:val="right" w:leader="dot" w:pos="9350"/>
            </w:tabs>
            <w:rPr>
              <w:noProof/>
            </w:rPr>
          </w:pPr>
          <w:hyperlink w:anchor="_Toc213448646" w:history="1">
            <w:r w:rsidR="00F41C65" w:rsidRPr="00235C8B">
              <w:rPr>
                <w:rStyle w:val="Hyperlink"/>
                <w:noProof/>
              </w:rPr>
              <w:t>Conclusion</w:t>
            </w:r>
            <w:r w:rsidR="00F41C65">
              <w:rPr>
                <w:noProof/>
                <w:webHidden/>
              </w:rPr>
              <w:tab/>
            </w:r>
            <w:r w:rsidR="00F41C65">
              <w:rPr>
                <w:noProof/>
                <w:webHidden/>
              </w:rPr>
              <w:fldChar w:fldCharType="begin"/>
            </w:r>
            <w:r w:rsidR="00F41C65">
              <w:rPr>
                <w:noProof/>
                <w:webHidden/>
              </w:rPr>
              <w:instrText xml:space="preserve"> PAGEREF _Toc213448646 \h </w:instrText>
            </w:r>
            <w:r w:rsidR="00F41C65">
              <w:rPr>
                <w:noProof/>
                <w:webHidden/>
              </w:rPr>
            </w:r>
            <w:r w:rsidR="00F41C65">
              <w:rPr>
                <w:noProof/>
                <w:webHidden/>
              </w:rPr>
              <w:fldChar w:fldCharType="separate"/>
            </w:r>
            <w:r w:rsidR="00F41C65">
              <w:rPr>
                <w:noProof/>
                <w:webHidden/>
              </w:rPr>
              <w:t>7</w:t>
            </w:r>
            <w:r w:rsidR="00F41C65">
              <w:rPr>
                <w:noProof/>
                <w:webHidden/>
              </w:rPr>
              <w:fldChar w:fldCharType="end"/>
            </w:r>
          </w:hyperlink>
        </w:p>
        <w:p w14:paraId="62FC78BF" w14:textId="77777777" w:rsidR="00F41C65" w:rsidRDefault="00D06D81">
          <w:pPr>
            <w:pStyle w:val="TOC1"/>
            <w:tabs>
              <w:tab w:val="right" w:leader="dot" w:pos="9350"/>
            </w:tabs>
            <w:rPr>
              <w:noProof/>
            </w:rPr>
          </w:pPr>
          <w:hyperlink w:anchor="_Toc213448647" w:history="1">
            <w:r w:rsidR="00F41C65" w:rsidRPr="00235C8B">
              <w:rPr>
                <w:rStyle w:val="Hyperlink"/>
                <w:noProof/>
              </w:rPr>
              <w:t>Reference list</w:t>
            </w:r>
            <w:r w:rsidR="00F41C65">
              <w:rPr>
                <w:noProof/>
                <w:webHidden/>
              </w:rPr>
              <w:tab/>
            </w:r>
            <w:r w:rsidR="00F41C65">
              <w:rPr>
                <w:noProof/>
                <w:webHidden/>
              </w:rPr>
              <w:fldChar w:fldCharType="begin"/>
            </w:r>
            <w:r w:rsidR="00F41C65">
              <w:rPr>
                <w:noProof/>
                <w:webHidden/>
              </w:rPr>
              <w:instrText xml:space="preserve"> PAGEREF _Toc213448647 \h </w:instrText>
            </w:r>
            <w:r w:rsidR="00F41C65">
              <w:rPr>
                <w:noProof/>
                <w:webHidden/>
              </w:rPr>
            </w:r>
            <w:r w:rsidR="00F41C65">
              <w:rPr>
                <w:noProof/>
                <w:webHidden/>
              </w:rPr>
              <w:fldChar w:fldCharType="separate"/>
            </w:r>
            <w:r w:rsidR="00F41C65">
              <w:rPr>
                <w:noProof/>
                <w:webHidden/>
              </w:rPr>
              <w:t>8</w:t>
            </w:r>
            <w:r w:rsidR="00F41C65">
              <w:rPr>
                <w:noProof/>
                <w:webHidden/>
              </w:rPr>
              <w:fldChar w:fldCharType="end"/>
            </w:r>
          </w:hyperlink>
        </w:p>
        <w:p w14:paraId="0AB12A2E" w14:textId="77777777" w:rsidR="00F41C65" w:rsidRDefault="00F41C65">
          <w:r>
            <w:rPr>
              <w:b/>
              <w:bCs/>
              <w:noProof/>
            </w:rPr>
            <w:fldChar w:fldCharType="end"/>
          </w:r>
        </w:p>
      </w:sdtContent>
    </w:sdt>
    <w:p w14:paraId="49ABE4AD" w14:textId="77777777" w:rsidR="00F41C65" w:rsidRDefault="00F41C65" w:rsidP="00F41C65">
      <w:pPr>
        <w:pStyle w:val="Heading1"/>
      </w:pPr>
    </w:p>
    <w:p w14:paraId="6270A300" w14:textId="77777777" w:rsidR="00F41C65" w:rsidRDefault="00F41C65">
      <w:pPr>
        <w:rPr>
          <w:rFonts w:ascii="Arial" w:hAnsi="Arial" w:cs="Arial"/>
          <w:b/>
          <w:sz w:val="24"/>
          <w:szCs w:val="24"/>
        </w:rPr>
      </w:pPr>
      <w:r>
        <w:br w:type="page"/>
      </w:r>
    </w:p>
    <w:p w14:paraId="162A3542" w14:textId="77777777" w:rsidR="001E6639" w:rsidRPr="00F41C65" w:rsidRDefault="001E6639" w:rsidP="00F41C65">
      <w:pPr>
        <w:pStyle w:val="Heading1"/>
      </w:pPr>
      <w:bookmarkStart w:id="0" w:name="_Toc213448637"/>
      <w:r w:rsidRPr="00F41C65">
        <w:lastRenderedPageBreak/>
        <w:t>Introduction</w:t>
      </w:r>
      <w:bookmarkEnd w:id="0"/>
      <w:r w:rsidRPr="00F41C65">
        <w:t xml:space="preserve"> </w:t>
      </w:r>
    </w:p>
    <w:p w14:paraId="6C49DAEC" w14:textId="77777777" w:rsidR="001E6639" w:rsidRPr="00F41C65" w:rsidRDefault="001E6639" w:rsidP="00F41C65">
      <w:pPr>
        <w:spacing w:line="360" w:lineRule="auto"/>
        <w:jc w:val="both"/>
        <w:rPr>
          <w:rFonts w:ascii="Arial" w:hAnsi="Arial" w:cs="Arial"/>
          <w:sz w:val="24"/>
          <w:szCs w:val="24"/>
        </w:rPr>
      </w:pPr>
      <w:r w:rsidRPr="00F41C65">
        <w:rPr>
          <w:rFonts w:ascii="Arial" w:hAnsi="Arial" w:cs="Arial"/>
          <w:sz w:val="24"/>
          <w:szCs w:val="24"/>
        </w:rPr>
        <w:t xml:space="preserve">This report considers the psychological theory and evidence </w:t>
      </w:r>
      <w:r w:rsidR="00F41C65">
        <w:rPr>
          <w:rFonts w:ascii="Arial" w:hAnsi="Arial" w:cs="Arial"/>
          <w:sz w:val="24"/>
          <w:szCs w:val="24"/>
        </w:rPr>
        <w:t xml:space="preserve">that </w:t>
      </w:r>
      <w:r w:rsidRPr="00F41C65">
        <w:rPr>
          <w:rFonts w:ascii="Arial" w:hAnsi="Arial" w:cs="Arial"/>
          <w:sz w:val="24"/>
          <w:szCs w:val="24"/>
        </w:rPr>
        <w:t>can make to informing care for older people living with dementia in a residential care home. The theory of Erikson's psychosocial theory of the significance of identity and integrity in late adulthood, and Vygotsky's socio-cultural learning theory</w:t>
      </w:r>
      <w:r w:rsidR="00F41C65">
        <w:rPr>
          <w:rFonts w:ascii="Arial" w:hAnsi="Arial" w:cs="Arial"/>
          <w:sz w:val="24"/>
          <w:szCs w:val="24"/>
        </w:rPr>
        <w:t>,</w:t>
      </w:r>
      <w:r w:rsidRPr="00F41C65">
        <w:rPr>
          <w:rFonts w:ascii="Arial" w:hAnsi="Arial" w:cs="Arial"/>
          <w:sz w:val="24"/>
          <w:szCs w:val="24"/>
        </w:rPr>
        <w:t xml:space="preserve"> which emphasizes the significance of social interaction and mediated learning. It is intended to translate theory into practical strategies which can be adopted by health and social care staff in relation to psychological needs, the removal of distress</w:t>
      </w:r>
      <w:r w:rsidR="00F41C65">
        <w:rPr>
          <w:rFonts w:ascii="Arial" w:hAnsi="Arial" w:cs="Arial"/>
          <w:sz w:val="24"/>
          <w:szCs w:val="24"/>
        </w:rPr>
        <w:t>,</w:t>
      </w:r>
      <w:r w:rsidRPr="00F41C65">
        <w:rPr>
          <w:rFonts w:ascii="Arial" w:hAnsi="Arial" w:cs="Arial"/>
          <w:sz w:val="24"/>
          <w:szCs w:val="24"/>
        </w:rPr>
        <w:t xml:space="preserve"> and the recognition of dignity. The report presents summaries of theory, provides details on each theory's applicability to common psychological and behavioral issues facing people with dementia</w:t>
      </w:r>
      <w:r w:rsidR="00F41C65">
        <w:rPr>
          <w:rFonts w:ascii="Arial" w:hAnsi="Arial" w:cs="Arial"/>
          <w:sz w:val="24"/>
          <w:szCs w:val="24"/>
        </w:rPr>
        <w:t>,</w:t>
      </w:r>
      <w:r w:rsidRPr="00F41C65">
        <w:rPr>
          <w:rFonts w:ascii="Arial" w:hAnsi="Arial" w:cs="Arial"/>
          <w:sz w:val="24"/>
          <w:szCs w:val="24"/>
        </w:rPr>
        <w:t xml:space="preserve"> and also discusses each theory's limitations and practical barriers. The concluding section combines the two perspectives and makes suggestions for practice. Recommendations are based on peer-reviewed reviews, clinical guidance, and existing dementia interventions to ensure recommendations are based on up-to-date literature and best practice.</w:t>
      </w:r>
    </w:p>
    <w:p w14:paraId="6860878B" w14:textId="77777777" w:rsidR="00741B11" w:rsidRPr="00F41C65" w:rsidRDefault="00741B11" w:rsidP="00F41C65">
      <w:pPr>
        <w:pStyle w:val="Heading1"/>
      </w:pPr>
      <w:bookmarkStart w:id="1" w:name="_Toc213448638"/>
      <w:r w:rsidRPr="00F41C65">
        <w:t>Erikson's psychosocial theory</w:t>
      </w:r>
      <w:bookmarkEnd w:id="1"/>
      <w:r w:rsidRPr="00F41C65">
        <w:t xml:space="preserve"> </w:t>
      </w:r>
    </w:p>
    <w:p w14:paraId="5A3CCA6B" w14:textId="77777777" w:rsidR="001E6639" w:rsidRPr="00F41C65" w:rsidRDefault="00741B11" w:rsidP="00F41C65">
      <w:pPr>
        <w:pStyle w:val="Heading2"/>
      </w:pPr>
      <w:bookmarkStart w:id="2" w:name="_Toc213448639"/>
      <w:r w:rsidRPr="00F41C65">
        <w:t>Overview</w:t>
      </w:r>
      <w:r w:rsidR="001E6639" w:rsidRPr="00F41C65">
        <w:t xml:space="preserve"> of the theory</w:t>
      </w:r>
      <w:bookmarkEnd w:id="2"/>
    </w:p>
    <w:p w14:paraId="692E4C6D" w14:textId="77777777" w:rsidR="001E6639" w:rsidRPr="00F41C65" w:rsidRDefault="001E6639" w:rsidP="00F41C65">
      <w:pPr>
        <w:spacing w:line="360" w:lineRule="auto"/>
        <w:jc w:val="both"/>
        <w:rPr>
          <w:rFonts w:ascii="Arial" w:eastAsia="Times New Roman" w:hAnsi="Arial" w:cs="Arial"/>
          <w:sz w:val="24"/>
          <w:szCs w:val="24"/>
        </w:rPr>
      </w:pPr>
      <w:r w:rsidRPr="00F41C65">
        <w:rPr>
          <w:rFonts w:ascii="Arial" w:hAnsi="Arial" w:cs="Arial"/>
          <w:sz w:val="24"/>
          <w:szCs w:val="24"/>
        </w:rPr>
        <w:t xml:space="preserve">Erikson's psychosocial theory explains a life span series of psychosocial crises </w:t>
      </w:r>
      <w:r w:rsidR="00F41C65">
        <w:rPr>
          <w:rFonts w:ascii="Arial" w:hAnsi="Arial" w:cs="Arial"/>
          <w:sz w:val="24"/>
          <w:szCs w:val="24"/>
        </w:rPr>
        <w:t>that</w:t>
      </w:r>
      <w:r w:rsidRPr="00F41C65">
        <w:rPr>
          <w:rFonts w:ascii="Arial" w:hAnsi="Arial" w:cs="Arial"/>
          <w:sz w:val="24"/>
          <w:szCs w:val="24"/>
        </w:rPr>
        <w:t xml:space="preserve"> </w:t>
      </w:r>
      <w:r w:rsidR="00F41C65">
        <w:rPr>
          <w:rFonts w:ascii="Arial" w:hAnsi="Arial" w:cs="Arial"/>
          <w:sz w:val="24"/>
          <w:szCs w:val="24"/>
        </w:rPr>
        <w:t>determine</w:t>
      </w:r>
      <w:r w:rsidRPr="00F41C65">
        <w:rPr>
          <w:rFonts w:ascii="Arial" w:hAnsi="Arial" w:cs="Arial"/>
          <w:sz w:val="24"/>
          <w:szCs w:val="24"/>
        </w:rPr>
        <w:t xml:space="preserve"> identi</w:t>
      </w:r>
      <w:r w:rsidR="00741B11" w:rsidRPr="00F41C65">
        <w:rPr>
          <w:rFonts w:ascii="Arial" w:hAnsi="Arial" w:cs="Arial"/>
          <w:sz w:val="24"/>
          <w:szCs w:val="24"/>
        </w:rPr>
        <w:t>ty and well-being (Erikson, 1993</w:t>
      </w:r>
      <w:r w:rsidRPr="00F41C65">
        <w:rPr>
          <w:rFonts w:ascii="Arial" w:hAnsi="Arial" w:cs="Arial"/>
          <w:sz w:val="24"/>
          <w:szCs w:val="24"/>
        </w:rPr>
        <w:t>). The last core stage, which is usually found in old age, is integrity vs. despair. Public resolution results in a sense of knowing and wisdom about life</w:t>
      </w:r>
      <w:r w:rsidR="00F41C65">
        <w:rPr>
          <w:rFonts w:ascii="Arial" w:hAnsi="Arial" w:cs="Arial"/>
          <w:sz w:val="24"/>
          <w:szCs w:val="24"/>
        </w:rPr>
        <w:t>,</w:t>
      </w:r>
      <w:r w:rsidRPr="00F41C65">
        <w:rPr>
          <w:rFonts w:ascii="Arial" w:hAnsi="Arial" w:cs="Arial"/>
          <w:sz w:val="24"/>
          <w:szCs w:val="24"/>
        </w:rPr>
        <w:t xml:space="preserve"> and if there is no resolution, regret and despair can follow (Orenstein, 2022). Terms that are important for the older adult population are life review, ego integrity, generativity, and the adaptive purpose of meaning. Life review processes enable people to make sense of their experiences, come to terms with losses</w:t>
      </w:r>
      <w:r w:rsidR="00F41C65">
        <w:rPr>
          <w:rFonts w:ascii="Arial" w:hAnsi="Arial" w:cs="Arial"/>
          <w:sz w:val="24"/>
          <w:szCs w:val="24"/>
        </w:rPr>
        <w:t>,</w:t>
      </w:r>
      <w:r w:rsidRPr="00F41C65">
        <w:rPr>
          <w:rFonts w:ascii="Arial" w:hAnsi="Arial" w:cs="Arial"/>
          <w:sz w:val="24"/>
          <w:szCs w:val="24"/>
        </w:rPr>
        <w:t xml:space="preserve"> and maintain an intact sense of self in the face of cognitive decline. Erikson's model suggests that identity in old age is deeply embedded in social roles with narrative continuity, which has had a direct impact on the emotional well-being of people with dementia (Hennelly, 2018). Although originally proposed as stage-based, later formulations focus on flexibility across life contexts as well as the importance of social and cultural resources for the work of late-life psychosocial tasks. For practitioners, Erikson's framework ensures an </w:t>
      </w:r>
      <w:r w:rsidRPr="00F41C65">
        <w:rPr>
          <w:rFonts w:ascii="Arial" w:hAnsi="Arial" w:cs="Arial"/>
          <w:sz w:val="24"/>
          <w:szCs w:val="24"/>
        </w:rPr>
        <w:lastRenderedPageBreak/>
        <w:t>individualistic approach in focusing care beyond the management of symptoms to include opportunities for recollection, affirmation</w:t>
      </w:r>
      <w:r w:rsidR="00F41C65">
        <w:rPr>
          <w:rFonts w:ascii="Arial" w:hAnsi="Arial" w:cs="Arial"/>
          <w:sz w:val="24"/>
          <w:szCs w:val="24"/>
        </w:rPr>
        <w:t>,</w:t>
      </w:r>
      <w:r w:rsidRPr="00F41C65">
        <w:rPr>
          <w:rFonts w:ascii="Arial" w:hAnsi="Arial" w:cs="Arial"/>
          <w:sz w:val="24"/>
          <w:szCs w:val="24"/>
        </w:rPr>
        <w:t xml:space="preserve"> and support of activities that promote integrity </w:t>
      </w:r>
      <w:r w:rsidR="00902C8A" w:rsidRPr="00F41C65">
        <w:rPr>
          <w:rFonts w:ascii="Arial" w:eastAsia="Times New Roman" w:hAnsi="Arial" w:cs="Arial"/>
          <w:sz w:val="24"/>
          <w:szCs w:val="24"/>
        </w:rPr>
        <w:t>(Flicker, 1999</w:t>
      </w:r>
      <w:r w:rsidRPr="00F41C65">
        <w:rPr>
          <w:rFonts w:ascii="Arial" w:hAnsi="Arial" w:cs="Arial"/>
          <w:sz w:val="24"/>
          <w:szCs w:val="24"/>
        </w:rPr>
        <w:t>; Kelly, 2023).</w:t>
      </w:r>
    </w:p>
    <w:p w14:paraId="3036DE78" w14:textId="77777777" w:rsidR="00741B11" w:rsidRPr="00F41C65" w:rsidRDefault="00741B11" w:rsidP="00090B4A">
      <w:pPr>
        <w:keepNext/>
        <w:spacing w:line="360" w:lineRule="auto"/>
        <w:jc w:val="center"/>
        <w:rPr>
          <w:rFonts w:ascii="Arial" w:hAnsi="Arial" w:cs="Arial"/>
          <w:sz w:val="24"/>
          <w:szCs w:val="24"/>
        </w:rPr>
      </w:pPr>
      <w:r w:rsidRPr="00F41C65">
        <w:rPr>
          <w:rFonts w:ascii="Arial" w:hAnsi="Arial" w:cs="Arial"/>
          <w:noProof/>
          <w:sz w:val="24"/>
          <w:szCs w:val="24"/>
        </w:rPr>
        <w:drawing>
          <wp:inline distT="0" distB="0" distL="0" distR="0" wp14:anchorId="57DC6DA2" wp14:editId="3E66B93E">
            <wp:extent cx="2228850" cy="2215561"/>
            <wp:effectExtent l="0" t="0" r="0" b="0"/>
            <wp:docPr id="1" name="Picture 1" descr="11 Erik Erikson's Theory of Psychosocial Development  Trust v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1 Erik Erikson's Theory of Psychosocial Development  Trust vs....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2437" cy="2258888"/>
                    </a:xfrm>
                    <a:prstGeom prst="rect">
                      <a:avLst/>
                    </a:prstGeom>
                    <a:noFill/>
                    <a:ln>
                      <a:noFill/>
                    </a:ln>
                  </pic:spPr>
                </pic:pic>
              </a:graphicData>
            </a:graphic>
          </wp:inline>
        </w:drawing>
      </w:r>
    </w:p>
    <w:p w14:paraId="44017883" w14:textId="77777777" w:rsidR="00741B11" w:rsidRPr="00F41C65" w:rsidRDefault="00741B11" w:rsidP="00090B4A">
      <w:pPr>
        <w:pStyle w:val="Caption"/>
        <w:jc w:val="center"/>
      </w:pPr>
      <w:r w:rsidRPr="00F41C65">
        <w:t xml:space="preserve">Figure </w:t>
      </w:r>
      <w:r w:rsidR="00D06D81">
        <w:fldChar w:fldCharType="begin"/>
      </w:r>
      <w:r w:rsidR="00D06D81">
        <w:instrText xml:space="preserve"> </w:instrText>
      </w:r>
      <w:r w:rsidR="00D06D81">
        <w:instrText xml:space="preserve">SEQ Figure \* ARABIC </w:instrText>
      </w:r>
      <w:r w:rsidR="00D06D81">
        <w:fldChar w:fldCharType="separate"/>
      </w:r>
      <w:r w:rsidRPr="00F41C65">
        <w:t>1</w:t>
      </w:r>
      <w:r w:rsidR="00D06D81">
        <w:fldChar w:fldCharType="end"/>
      </w:r>
      <w:r w:rsidRPr="00F41C65">
        <w:t>: Erikson's psychosocial theory (Joy, 2018)</w:t>
      </w:r>
    </w:p>
    <w:p w14:paraId="0779080B" w14:textId="77777777" w:rsidR="001E6639" w:rsidRPr="00F41C65" w:rsidRDefault="001E6639" w:rsidP="00F41C65">
      <w:pPr>
        <w:pStyle w:val="Heading2"/>
      </w:pPr>
      <w:bookmarkStart w:id="3" w:name="_Toc213448640"/>
      <w:r w:rsidRPr="00F41C65">
        <w:t>Application of the theory</w:t>
      </w:r>
      <w:bookmarkEnd w:id="3"/>
      <w:r w:rsidRPr="00F41C65">
        <w:t xml:space="preserve"> </w:t>
      </w:r>
    </w:p>
    <w:p w14:paraId="4936484A" w14:textId="77777777" w:rsidR="001E6639" w:rsidRPr="00F41C65" w:rsidRDefault="001E6639" w:rsidP="00F41C65">
      <w:pPr>
        <w:spacing w:line="360" w:lineRule="auto"/>
        <w:jc w:val="both"/>
        <w:rPr>
          <w:rFonts w:ascii="Arial" w:hAnsi="Arial" w:cs="Arial"/>
          <w:sz w:val="24"/>
          <w:szCs w:val="24"/>
        </w:rPr>
      </w:pPr>
      <w:r w:rsidRPr="00F41C65">
        <w:rPr>
          <w:rFonts w:ascii="Arial" w:hAnsi="Arial" w:cs="Arial"/>
          <w:sz w:val="24"/>
          <w:szCs w:val="24"/>
        </w:rPr>
        <w:t xml:space="preserve">Erikson's stages of life review and integrity provide practical implications for care interventions in the setting of dementia care homes to address psychological and behavioral symptoms. Recollection and structured life-story work </w:t>
      </w:r>
      <w:r w:rsidR="00F41C65">
        <w:rPr>
          <w:rFonts w:ascii="Arial" w:hAnsi="Arial" w:cs="Arial"/>
          <w:sz w:val="24"/>
          <w:szCs w:val="24"/>
        </w:rPr>
        <w:t>enable</w:t>
      </w:r>
      <w:r w:rsidRPr="00F41C65">
        <w:rPr>
          <w:rFonts w:ascii="Arial" w:hAnsi="Arial" w:cs="Arial"/>
          <w:sz w:val="24"/>
          <w:szCs w:val="24"/>
        </w:rPr>
        <w:t xml:space="preserve"> residents to re-construct and share significant life events in their lives so that continuity in identity is gained, anxiety and depressive symptoms are alleviated (Woods et al. 2018). For example, brief prompts of an individual's past, such as a picture, a song, or a belonging, could prompt the conversation and the emotions they create, while keeping the stress and hard times of long-term memory on the back burner. These behaviors often indicate </w:t>
      </w:r>
      <w:r w:rsidR="00F41C65">
        <w:rPr>
          <w:rFonts w:ascii="Arial" w:hAnsi="Arial" w:cs="Arial"/>
          <w:sz w:val="24"/>
          <w:szCs w:val="24"/>
        </w:rPr>
        <w:t>residents'</w:t>
      </w:r>
      <w:r w:rsidRPr="00F41C65">
        <w:rPr>
          <w:rFonts w:ascii="Arial" w:hAnsi="Arial" w:cs="Arial"/>
          <w:sz w:val="24"/>
          <w:szCs w:val="24"/>
        </w:rPr>
        <w:t xml:space="preserve"> efforts to communicate their unaddressed concerns, which lessens agitation that sometimes comes up from a lack of orientation or unmet psychosocial needs.</w:t>
      </w:r>
    </w:p>
    <w:p w14:paraId="428024DC" w14:textId="77777777" w:rsidR="001E6639" w:rsidRPr="00F41C65" w:rsidRDefault="001E6639" w:rsidP="00F41C65">
      <w:pPr>
        <w:spacing w:line="360" w:lineRule="auto"/>
        <w:jc w:val="both"/>
        <w:rPr>
          <w:rFonts w:ascii="Arial" w:eastAsia="Times New Roman" w:hAnsi="Arial" w:cs="Arial"/>
          <w:sz w:val="24"/>
          <w:szCs w:val="24"/>
        </w:rPr>
      </w:pPr>
      <w:r w:rsidRPr="00F41C65">
        <w:rPr>
          <w:rFonts w:ascii="Arial" w:hAnsi="Arial" w:cs="Arial"/>
          <w:sz w:val="24"/>
          <w:szCs w:val="24"/>
        </w:rPr>
        <w:t xml:space="preserve">Life-story approaches can be incorporated into the routine of everyday living and into the planning of care. For example, learning from life review information must be documented in personal care plans and utilized in individualized activities, mealtimes, and ways of communicating, thus minimizing behavioral stimuli, maximizing engagement with tasks and care. Moreover, staff can be taught to use communication based on validation, which recognizes feelings and reframes past successes to promote feelings of worth </w:t>
      </w:r>
      <w:r w:rsidR="00902C8A" w:rsidRPr="00F41C65">
        <w:rPr>
          <w:rFonts w:ascii="Arial" w:eastAsia="Times New Roman" w:hAnsi="Arial" w:cs="Arial"/>
          <w:sz w:val="24"/>
          <w:szCs w:val="24"/>
        </w:rPr>
        <w:t xml:space="preserve">(Flicker, </w:t>
      </w:r>
      <w:r w:rsidR="00902C8A" w:rsidRPr="00F41C65">
        <w:rPr>
          <w:rFonts w:ascii="Arial" w:eastAsia="Times New Roman" w:hAnsi="Arial" w:cs="Arial"/>
          <w:sz w:val="24"/>
          <w:szCs w:val="24"/>
        </w:rPr>
        <w:lastRenderedPageBreak/>
        <w:t>1999</w:t>
      </w:r>
      <w:r w:rsidRPr="00F41C65">
        <w:rPr>
          <w:rFonts w:ascii="Arial" w:hAnsi="Arial" w:cs="Arial"/>
          <w:sz w:val="24"/>
          <w:szCs w:val="24"/>
        </w:rPr>
        <w:t>). Reinforcement activities that resemble cognitive stimulation and recollection sessions</w:t>
      </w:r>
      <w:r w:rsidR="00F41C65">
        <w:rPr>
          <w:rFonts w:ascii="Arial" w:hAnsi="Arial" w:cs="Arial"/>
          <w:sz w:val="24"/>
          <w:szCs w:val="24"/>
        </w:rPr>
        <w:t>,</w:t>
      </w:r>
      <w:r w:rsidRPr="00F41C65">
        <w:rPr>
          <w:rFonts w:ascii="Arial" w:hAnsi="Arial" w:cs="Arial"/>
          <w:sz w:val="24"/>
          <w:szCs w:val="24"/>
        </w:rPr>
        <w:t xml:space="preserve"> according to Erikson's goals</w:t>
      </w:r>
      <w:r w:rsidR="00F41C65">
        <w:rPr>
          <w:rFonts w:ascii="Arial" w:hAnsi="Arial" w:cs="Arial"/>
          <w:sz w:val="24"/>
          <w:szCs w:val="24"/>
        </w:rPr>
        <w:t>,</w:t>
      </w:r>
      <w:r w:rsidRPr="00F41C65">
        <w:rPr>
          <w:rFonts w:ascii="Arial" w:hAnsi="Arial" w:cs="Arial"/>
          <w:sz w:val="24"/>
          <w:szCs w:val="24"/>
        </w:rPr>
        <w:t xml:space="preserve"> have been shown to have positive effects on quality of life and mood and to decrease challenging behaviors over time (Woods, 2023).</w:t>
      </w:r>
    </w:p>
    <w:p w14:paraId="4912EDEE" w14:textId="77777777" w:rsidR="001E6639" w:rsidRPr="00F41C65" w:rsidRDefault="001E6639" w:rsidP="00F41C65">
      <w:pPr>
        <w:spacing w:line="360" w:lineRule="auto"/>
        <w:jc w:val="both"/>
        <w:rPr>
          <w:rFonts w:ascii="Arial" w:hAnsi="Arial" w:cs="Arial"/>
          <w:sz w:val="24"/>
          <w:szCs w:val="24"/>
        </w:rPr>
      </w:pPr>
      <w:r w:rsidRPr="00F41C65">
        <w:rPr>
          <w:rFonts w:ascii="Arial" w:hAnsi="Arial" w:cs="Arial"/>
          <w:sz w:val="24"/>
          <w:szCs w:val="24"/>
        </w:rPr>
        <w:t>In addition, providing opportunities for intergenerational contact and roles for residents (e.g., sharing skills, mentoring volunteers, etc.) can mitigate social isolation (an important risk factor for later-life depression). This requires fairly modest resources in terms of time and staff training sessions in how to conduct life-story interviews, placement of prompts in residents' rooms, and scheduled times for sharing 88recollections during groups or one-on-one. Overall, purposeful social engagement and affirmation of identity are both psychological strategies that attend to the challenge of meaning-loss and behavioural issues such as agitation and refusal of care (Hennelly, 2018).</w:t>
      </w:r>
    </w:p>
    <w:p w14:paraId="763E8D6A" w14:textId="77777777" w:rsidR="001E6639" w:rsidRPr="00F41C65" w:rsidRDefault="001E6639" w:rsidP="00F41C65">
      <w:pPr>
        <w:pStyle w:val="Heading2"/>
      </w:pPr>
      <w:bookmarkStart w:id="4" w:name="_Toc213448641"/>
      <w:r w:rsidRPr="00F41C65">
        <w:t xml:space="preserve">Critical </w:t>
      </w:r>
      <w:r w:rsidR="00741B11" w:rsidRPr="00F41C65">
        <w:t>Evaluation</w:t>
      </w:r>
      <w:r w:rsidRPr="00F41C65">
        <w:t xml:space="preserve"> of the </w:t>
      </w:r>
      <w:bookmarkEnd w:id="4"/>
      <w:r w:rsidR="00F41C65">
        <w:t>Theory</w:t>
      </w:r>
      <w:r w:rsidRPr="00F41C65">
        <w:t xml:space="preserve"> </w:t>
      </w:r>
    </w:p>
    <w:p w14:paraId="58C4000F" w14:textId="77777777" w:rsidR="008E6EC9" w:rsidRPr="00F41C65" w:rsidRDefault="001E6639" w:rsidP="00F41C65">
      <w:pPr>
        <w:spacing w:line="360" w:lineRule="auto"/>
        <w:jc w:val="both"/>
        <w:rPr>
          <w:rFonts w:ascii="Arial" w:hAnsi="Arial" w:cs="Arial"/>
          <w:sz w:val="24"/>
          <w:szCs w:val="24"/>
        </w:rPr>
      </w:pPr>
      <w:r w:rsidRPr="00F41C65">
        <w:rPr>
          <w:rFonts w:ascii="Arial" w:hAnsi="Arial" w:cs="Arial"/>
          <w:sz w:val="24"/>
          <w:szCs w:val="24"/>
        </w:rPr>
        <w:t xml:space="preserve">Erikson's theory is useful in developing person-centered psychosocial interventions, but has limitations in the clinical environments of dementia. Cognitive impairment may limit the ability for coherent life review, and for some residents, recollection may be distressing if memories are linked with loss or trauma. Moreover, training difficulty and variability, as well as lack of time in the workplace, can restrict consistent implementation. To deal with these challenges, practitioners should work with sensory-based prompts that are easily modified and with less cognitive demand, more frequent sessions that may be repeated more often, depending on their ability. Moreover, trauma-informed approaches and distress monitoring, alongside a life-story approach, can help to reduce harm. Finally, Erikson's model is generalized and needs to be combined with evidence-based behavioral approaches to complex </w:t>
      </w:r>
      <w:r w:rsidR="00902C8A" w:rsidRPr="00F41C65">
        <w:rPr>
          <w:rFonts w:ascii="Arial" w:hAnsi="Arial" w:cs="Arial"/>
          <w:sz w:val="24"/>
          <w:szCs w:val="24"/>
        </w:rPr>
        <w:t>symptoms (Kelly, 2023</w:t>
      </w:r>
      <w:r w:rsidRPr="00F41C65">
        <w:rPr>
          <w:rFonts w:ascii="Arial" w:hAnsi="Arial" w:cs="Arial"/>
          <w:sz w:val="24"/>
          <w:szCs w:val="24"/>
        </w:rPr>
        <w:t>).</w:t>
      </w:r>
    </w:p>
    <w:p w14:paraId="724336A8" w14:textId="77777777" w:rsidR="00741B11" w:rsidRPr="00F41C65" w:rsidRDefault="00741B11" w:rsidP="00F41C65">
      <w:pPr>
        <w:pStyle w:val="Heading1"/>
      </w:pPr>
      <w:bookmarkStart w:id="5" w:name="_Toc213448642"/>
      <w:r w:rsidRPr="00F41C65">
        <w:t xml:space="preserve">Vygotsky's </w:t>
      </w:r>
      <w:r w:rsidR="00F41C65">
        <w:t>social-cultural</w:t>
      </w:r>
      <w:r w:rsidRPr="00F41C65">
        <w:t xml:space="preserve"> theory</w:t>
      </w:r>
      <w:bookmarkEnd w:id="5"/>
      <w:r w:rsidRPr="00F41C65">
        <w:t xml:space="preserve"> </w:t>
      </w:r>
    </w:p>
    <w:p w14:paraId="1794CADD" w14:textId="77777777" w:rsidR="001E6639" w:rsidRPr="00F41C65" w:rsidRDefault="00741B11" w:rsidP="00F41C65">
      <w:pPr>
        <w:pStyle w:val="Heading2"/>
      </w:pPr>
      <w:bookmarkStart w:id="6" w:name="_Toc213448643"/>
      <w:r w:rsidRPr="00F41C65">
        <w:t>Overview</w:t>
      </w:r>
      <w:r w:rsidR="001E6639" w:rsidRPr="00F41C65">
        <w:t xml:space="preserve"> </w:t>
      </w:r>
      <w:r w:rsidRPr="00F41C65">
        <w:t>of</w:t>
      </w:r>
      <w:r w:rsidR="001E6639" w:rsidRPr="00F41C65">
        <w:t xml:space="preserve"> the theory</w:t>
      </w:r>
      <w:bookmarkEnd w:id="6"/>
      <w:r w:rsidR="001E6639" w:rsidRPr="00F41C65">
        <w:t xml:space="preserve"> </w:t>
      </w:r>
    </w:p>
    <w:p w14:paraId="42372F44" w14:textId="77777777" w:rsidR="001E6639" w:rsidRPr="00F41C65" w:rsidRDefault="001E6639" w:rsidP="00F41C65">
      <w:pPr>
        <w:spacing w:line="360" w:lineRule="auto"/>
        <w:jc w:val="both"/>
        <w:rPr>
          <w:rFonts w:ascii="Arial" w:hAnsi="Arial" w:cs="Arial"/>
          <w:sz w:val="24"/>
          <w:szCs w:val="24"/>
        </w:rPr>
      </w:pPr>
      <w:r w:rsidRPr="00F41C65">
        <w:rPr>
          <w:rFonts w:ascii="Arial" w:hAnsi="Arial" w:cs="Arial"/>
          <w:sz w:val="24"/>
          <w:szCs w:val="24"/>
        </w:rPr>
        <w:t xml:space="preserve">Vygotsky's social cultural theory insists that the learning and higher mental functions occur through social interaction as higher mental functions develop in interaction with others who know more than ourselves and through the use of cultural sources (Vygotsky, 1978). Key concepts are the More Knowledgeable Other (MKO), the Zone of Proximal </w:t>
      </w:r>
      <w:r w:rsidRPr="00F41C65">
        <w:rPr>
          <w:rFonts w:ascii="Arial" w:hAnsi="Arial" w:cs="Arial"/>
          <w:sz w:val="24"/>
          <w:szCs w:val="24"/>
        </w:rPr>
        <w:lastRenderedPageBreak/>
        <w:t>Development (ZPD), scaffolding, and language as the medium of learning. Although intended for child development, the social mediational theory of performance is relevant to older adults with dementia, as skills that are diminished in isolated situations can be rebuilt using guided interaction and environment mediation (Shabani, 2016). In care settings, cultural tools can include the recollection materials, aids to communication, or routines that provide a structure for the process of participation. Vygotskyan care shifts the focus from deficits by preferring to consider what supports can be provided socially, what can be learnt despite impaired knowledge in one's routine activities (Shabani, 2016; Hennelly, 2018).</w:t>
      </w:r>
    </w:p>
    <w:p w14:paraId="5A1D1945" w14:textId="77777777" w:rsidR="00741B11" w:rsidRPr="00F41C65" w:rsidRDefault="00741B11" w:rsidP="00090B4A">
      <w:pPr>
        <w:keepNext/>
        <w:spacing w:line="360" w:lineRule="auto"/>
        <w:jc w:val="center"/>
        <w:rPr>
          <w:rFonts w:ascii="Arial" w:hAnsi="Arial" w:cs="Arial"/>
          <w:sz w:val="24"/>
          <w:szCs w:val="24"/>
        </w:rPr>
      </w:pPr>
      <w:r w:rsidRPr="00F41C65">
        <w:rPr>
          <w:rFonts w:ascii="Arial" w:hAnsi="Arial" w:cs="Arial"/>
          <w:noProof/>
          <w:sz w:val="24"/>
          <w:szCs w:val="24"/>
        </w:rPr>
        <w:drawing>
          <wp:inline distT="0" distB="0" distL="0" distR="0" wp14:anchorId="05DD4DC1" wp14:editId="15FC8A81">
            <wp:extent cx="5314525" cy="3060700"/>
            <wp:effectExtent l="0" t="0" r="635" b="6350"/>
            <wp:docPr id="2" name="Picture 2" descr="Vygotsky's Sociocultural Theory of Cognitive Development The figure 5 explained people behaviour which need helps to motivate and provide the right guide in details or step by step how to guide them use a technology for investment. Humanism is a philosophy entrenched in the belief that learning is an act to the fulfilment of one's potential through self or personal development transcending intellectual development to educating the whole man including interest, goal, motivation and enthusiasm. (Maslow, A. H., 1943), which describe self-learning of people for personal development or on track with current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ygotsky's Sociocultural Theory of Cognitive Development The figure 5 explained people behaviour which need helps to motivate and provide the right guide in details or step by step how to guide them use a technology for investment. Humanism is a philosophy entrenched in the belief that learning is an act to the fulfilment of one's potential through self or personal development transcending intellectual development to educating the whole man including interest, goal, motivation and enthusiasm. (Maslow, A. H., 1943), which describe self-learning of people for personal development or on track with current technology."/>
                    <pic:cNvPicPr>
                      <a:picLocks noChangeAspect="1" noChangeArrowheads="1"/>
                    </pic:cNvPicPr>
                  </pic:nvPicPr>
                  <pic:blipFill rotWithShape="1">
                    <a:blip r:embed="rId9">
                      <a:extLst>
                        <a:ext uri="{28A0092B-C50C-407E-A947-70E740481C1C}">
                          <a14:useLocalDpi xmlns:a14="http://schemas.microsoft.com/office/drawing/2010/main" val="0"/>
                        </a:ext>
                      </a:extLst>
                    </a:blip>
                    <a:srcRect t="9967"/>
                    <a:stretch/>
                  </pic:blipFill>
                  <pic:spPr bwMode="auto">
                    <a:xfrm>
                      <a:off x="0" y="0"/>
                      <a:ext cx="5342963" cy="3077078"/>
                    </a:xfrm>
                    <a:prstGeom prst="rect">
                      <a:avLst/>
                    </a:prstGeom>
                    <a:noFill/>
                    <a:ln>
                      <a:noFill/>
                    </a:ln>
                    <a:extLst>
                      <a:ext uri="{53640926-AAD7-44D8-BBD7-CCE9431645EC}">
                        <a14:shadowObscured xmlns:a14="http://schemas.microsoft.com/office/drawing/2010/main"/>
                      </a:ext>
                    </a:extLst>
                  </pic:spPr>
                </pic:pic>
              </a:graphicData>
            </a:graphic>
          </wp:inline>
        </w:drawing>
      </w:r>
    </w:p>
    <w:p w14:paraId="295F568B" w14:textId="77777777" w:rsidR="00741B11" w:rsidRPr="00F41C65" w:rsidRDefault="00741B11" w:rsidP="00090B4A">
      <w:pPr>
        <w:pStyle w:val="Caption"/>
        <w:jc w:val="center"/>
      </w:pPr>
      <w:r w:rsidRPr="00F41C65">
        <w:t xml:space="preserve">Figure </w:t>
      </w:r>
      <w:r w:rsidR="00D06D81">
        <w:fldChar w:fldCharType="begin"/>
      </w:r>
      <w:r w:rsidR="00D06D81">
        <w:instrText xml:space="preserve"> SEQ Figure \* ARABIC </w:instrText>
      </w:r>
      <w:r w:rsidR="00D06D81">
        <w:fldChar w:fldCharType="separate"/>
      </w:r>
      <w:r w:rsidRPr="00F41C65">
        <w:t>2</w:t>
      </w:r>
      <w:r w:rsidR="00D06D81">
        <w:fldChar w:fldCharType="end"/>
      </w:r>
      <w:r w:rsidRPr="00F41C65">
        <w:t>: Vygotsky's social cultural theory (Muthukisnan, 2021)</w:t>
      </w:r>
    </w:p>
    <w:p w14:paraId="4987CA3E" w14:textId="77777777" w:rsidR="001E6639" w:rsidRPr="00F41C65" w:rsidRDefault="001E6639" w:rsidP="00F41C65">
      <w:pPr>
        <w:pStyle w:val="Heading2"/>
      </w:pPr>
      <w:bookmarkStart w:id="7" w:name="_Toc213448644"/>
      <w:r w:rsidRPr="00F41C65">
        <w:t>Application of the theory</w:t>
      </w:r>
      <w:bookmarkEnd w:id="7"/>
      <w:r w:rsidRPr="00F41C65">
        <w:t xml:space="preserve"> </w:t>
      </w:r>
    </w:p>
    <w:p w14:paraId="79668BC1" w14:textId="77777777" w:rsidR="001E6639" w:rsidRPr="00F41C65" w:rsidRDefault="001E6639" w:rsidP="00F41C65">
      <w:pPr>
        <w:spacing w:line="360" w:lineRule="auto"/>
        <w:jc w:val="both"/>
        <w:rPr>
          <w:rFonts w:ascii="Arial" w:hAnsi="Arial" w:cs="Arial"/>
          <w:sz w:val="24"/>
          <w:szCs w:val="24"/>
        </w:rPr>
      </w:pPr>
      <w:r w:rsidRPr="00F41C65">
        <w:rPr>
          <w:rFonts w:ascii="Arial" w:hAnsi="Arial" w:cs="Arial"/>
          <w:sz w:val="24"/>
          <w:szCs w:val="24"/>
        </w:rPr>
        <w:t xml:space="preserve">Implementing activities and interactions that utilize the concepts of ZPD and scaffolding in a dementia care home means planning activities that address the resident's ZPD. For instance, during dressing, a staff member can divide the activity into smaller steps, provide verbal cues, model a movement, and slowly decrease prompting while the resident is completing the activity, thereby ensuring independence and reducing frustration. Cognitive stimulation therapy (CST), a type of group activity, is an example that lends itself well to this conceptualization as a group activity, facilitated by an </w:t>
      </w:r>
      <w:r w:rsidRPr="00F41C65">
        <w:rPr>
          <w:rFonts w:ascii="Arial" w:hAnsi="Arial" w:cs="Arial"/>
          <w:sz w:val="24"/>
          <w:szCs w:val="24"/>
        </w:rPr>
        <w:lastRenderedPageBreak/>
        <w:t>instructor, that offers social scaffolding and causes lasting cognitive abilities and results in improvement in cognition and mood (Woods, 2023).</w:t>
      </w:r>
    </w:p>
    <w:p w14:paraId="6E0C6625" w14:textId="77777777" w:rsidR="001E6639" w:rsidRPr="00F41C65" w:rsidRDefault="001E6639" w:rsidP="00F41C65">
      <w:pPr>
        <w:spacing w:line="360" w:lineRule="auto"/>
        <w:jc w:val="both"/>
        <w:rPr>
          <w:rFonts w:ascii="Arial" w:hAnsi="Arial" w:cs="Arial"/>
          <w:sz w:val="24"/>
          <w:szCs w:val="24"/>
        </w:rPr>
      </w:pPr>
      <w:r w:rsidRPr="00F41C65">
        <w:rPr>
          <w:rFonts w:ascii="Arial" w:hAnsi="Arial" w:cs="Arial"/>
          <w:sz w:val="24"/>
          <w:szCs w:val="24"/>
        </w:rPr>
        <w:t xml:space="preserve">Vygotsky's focus on language and mediated tools makes concrete suggestions, such as using familiar narratives, photos, and music as the triggers of memory and discussion. Adapting communication style and </w:t>
      </w:r>
      <w:r w:rsidR="00F41C65">
        <w:rPr>
          <w:rFonts w:ascii="Arial" w:hAnsi="Arial" w:cs="Arial"/>
          <w:sz w:val="24"/>
          <w:szCs w:val="24"/>
        </w:rPr>
        <w:t xml:space="preserve">using </w:t>
      </w:r>
      <w:r w:rsidRPr="00F41C65">
        <w:rPr>
          <w:rFonts w:ascii="Arial" w:hAnsi="Arial" w:cs="Arial"/>
          <w:sz w:val="24"/>
          <w:szCs w:val="24"/>
        </w:rPr>
        <w:t>short sentences and guided prompts can help residents complete a task and participate in social interactions. Moreover, training staff to become MKOs on a daily basis creates more opportunities for learning and successful engagement that can minimize behavioral disruptions created by helplessness and lack of excitement. In addition, the development of peer competent activities in which residents help each other can utilize intact social roles with residents and provide a sense of competence.</w:t>
      </w:r>
    </w:p>
    <w:p w14:paraId="6CB77D2B" w14:textId="77777777" w:rsidR="001E6639" w:rsidRPr="00F41C65" w:rsidRDefault="001E6639" w:rsidP="00F41C65">
      <w:pPr>
        <w:spacing w:line="360" w:lineRule="auto"/>
        <w:jc w:val="both"/>
        <w:rPr>
          <w:rFonts w:ascii="Arial" w:hAnsi="Arial" w:cs="Arial"/>
          <w:sz w:val="24"/>
          <w:szCs w:val="24"/>
        </w:rPr>
      </w:pPr>
      <w:r w:rsidRPr="00F41C65">
        <w:rPr>
          <w:rFonts w:ascii="Arial" w:hAnsi="Arial" w:cs="Arial"/>
          <w:sz w:val="24"/>
          <w:szCs w:val="24"/>
        </w:rPr>
        <w:t>Applying strategies based on Vygotsky’s theories requires task analysis, staff coaching in relation to scaffolding techniques</w:t>
      </w:r>
      <w:r w:rsidR="00F41C65">
        <w:rPr>
          <w:rFonts w:ascii="Arial" w:hAnsi="Arial" w:cs="Arial"/>
          <w:sz w:val="24"/>
          <w:szCs w:val="24"/>
        </w:rPr>
        <w:t>,</w:t>
      </w:r>
      <w:r w:rsidRPr="00F41C65">
        <w:rPr>
          <w:rFonts w:ascii="Arial" w:hAnsi="Arial" w:cs="Arial"/>
          <w:sz w:val="24"/>
          <w:szCs w:val="24"/>
        </w:rPr>
        <w:t xml:space="preserve"> and routine incorporating mediated tools into care plans. Moreover, cultural sensitivity and cultural concreteness models also support the effectiveness of mediated group interventions such as CST and reminiscence therapy, with the effectiveness of the delivered interventions increasing with consistent exposure (Woods et al., 2018; Desai et al., 2024).</w:t>
      </w:r>
    </w:p>
    <w:p w14:paraId="5649D1D5" w14:textId="77777777" w:rsidR="001E6639" w:rsidRPr="00F41C65" w:rsidRDefault="001E6639" w:rsidP="00F41C65">
      <w:pPr>
        <w:pStyle w:val="Heading2"/>
      </w:pPr>
      <w:bookmarkStart w:id="8" w:name="_Toc213448645"/>
      <w:r w:rsidRPr="00F41C65">
        <w:t xml:space="preserve">Critical </w:t>
      </w:r>
      <w:r w:rsidR="00741B11" w:rsidRPr="00F41C65">
        <w:t>Evaluation</w:t>
      </w:r>
      <w:r w:rsidRPr="00F41C65">
        <w:t xml:space="preserve"> of the </w:t>
      </w:r>
      <w:bookmarkEnd w:id="8"/>
      <w:r w:rsidR="00F41C65">
        <w:t>Theory</w:t>
      </w:r>
      <w:r w:rsidRPr="00F41C65">
        <w:t xml:space="preserve"> </w:t>
      </w:r>
    </w:p>
    <w:p w14:paraId="6903B1EB" w14:textId="77777777" w:rsidR="001E6639" w:rsidRDefault="001E6639" w:rsidP="00F41C65">
      <w:pPr>
        <w:spacing w:line="360" w:lineRule="auto"/>
        <w:jc w:val="both"/>
        <w:rPr>
          <w:rFonts w:ascii="Arial" w:hAnsi="Arial" w:cs="Arial"/>
          <w:sz w:val="24"/>
          <w:szCs w:val="24"/>
        </w:rPr>
      </w:pPr>
      <w:r w:rsidRPr="00F41C65">
        <w:rPr>
          <w:rFonts w:ascii="Arial" w:hAnsi="Arial" w:cs="Arial"/>
          <w:sz w:val="24"/>
          <w:szCs w:val="24"/>
        </w:rPr>
        <w:t>Vygotsky's model is a useful framework for remaining residual abilities</w:t>
      </w:r>
      <w:r w:rsidR="00F41C65">
        <w:rPr>
          <w:rFonts w:ascii="Arial" w:hAnsi="Arial" w:cs="Arial"/>
          <w:sz w:val="24"/>
          <w:szCs w:val="24"/>
        </w:rPr>
        <w:t>,</w:t>
      </w:r>
      <w:r w:rsidRPr="00F41C65">
        <w:rPr>
          <w:rFonts w:ascii="Arial" w:hAnsi="Arial" w:cs="Arial"/>
          <w:sz w:val="24"/>
          <w:szCs w:val="24"/>
        </w:rPr>
        <w:t xml:space="preserve"> but with difficulty in the dementia care setting. It takes time to assess an individual resident to determine </w:t>
      </w:r>
      <w:r w:rsidR="00741B11" w:rsidRPr="00F41C65">
        <w:rPr>
          <w:rFonts w:ascii="Arial" w:hAnsi="Arial" w:cs="Arial"/>
          <w:sz w:val="24"/>
          <w:szCs w:val="24"/>
        </w:rPr>
        <w:t>their ZPD</w:t>
      </w:r>
      <w:r w:rsidRPr="00F41C65">
        <w:rPr>
          <w:rFonts w:ascii="Arial" w:hAnsi="Arial" w:cs="Arial"/>
          <w:sz w:val="24"/>
          <w:szCs w:val="24"/>
        </w:rPr>
        <w:t>, and not all staff members may feel comfortable with scaffolding techniques. Some residents with advanced impairment may not be responsive to prompts mediated. To overcome these problems, services should invest in short-term practical training for services</w:t>
      </w:r>
      <w:r w:rsidR="00F41C65">
        <w:rPr>
          <w:rFonts w:ascii="Arial" w:hAnsi="Arial" w:cs="Arial"/>
          <w:sz w:val="24"/>
          <w:szCs w:val="24"/>
        </w:rPr>
        <w:t>,</w:t>
      </w:r>
      <w:r w:rsidRPr="00F41C65">
        <w:rPr>
          <w:rFonts w:ascii="Arial" w:hAnsi="Arial" w:cs="Arial"/>
          <w:sz w:val="24"/>
          <w:szCs w:val="24"/>
        </w:rPr>
        <w:t xml:space="preserve"> looking at task breakdown, basic assessment tools to provide some indication of level of ability, </w:t>
      </w:r>
      <w:r w:rsidR="00F41C65">
        <w:rPr>
          <w:rFonts w:ascii="Arial" w:hAnsi="Arial" w:cs="Arial"/>
          <w:sz w:val="24"/>
          <w:szCs w:val="24"/>
        </w:rPr>
        <w:t xml:space="preserve">and </w:t>
      </w:r>
      <w:r w:rsidRPr="00F41C65">
        <w:rPr>
          <w:rFonts w:ascii="Arial" w:hAnsi="Arial" w:cs="Arial"/>
          <w:sz w:val="24"/>
          <w:szCs w:val="24"/>
        </w:rPr>
        <w:t xml:space="preserve">multi-sensory scaffolding (music, touch, visual cues) where verbal mediation is less useful. </w:t>
      </w:r>
      <w:r w:rsidR="00741B11" w:rsidRPr="00F41C65">
        <w:rPr>
          <w:rFonts w:ascii="Arial" w:hAnsi="Arial" w:cs="Arial"/>
          <w:sz w:val="24"/>
          <w:szCs w:val="24"/>
        </w:rPr>
        <w:t>Overall, c</w:t>
      </w:r>
      <w:r w:rsidRPr="00F41C65">
        <w:rPr>
          <w:rFonts w:ascii="Arial" w:hAnsi="Arial" w:cs="Arial"/>
          <w:sz w:val="24"/>
          <w:szCs w:val="24"/>
        </w:rPr>
        <w:t>reating support using socio-cultural approaches alongside person-cent</w:t>
      </w:r>
      <w:r w:rsidR="00741B11" w:rsidRPr="00F41C65">
        <w:rPr>
          <w:rFonts w:ascii="Arial" w:hAnsi="Arial" w:cs="Arial"/>
          <w:sz w:val="24"/>
          <w:szCs w:val="24"/>
        </w:rPr>
        <w:t>e</w:t>
      </w:r>
      <w:r w:rsidRPr="00F41C65">
        <w:rPr>
          <w:rFonts w:ascii="Arial" w:hAnsi="Arial" w:cs="Arial"/>
          <w:sz w:val="24"/>
          <w:szCs w:val="24"/>
        </w:rPr>
        <w:t xml:space="preserve">red care is likely to </w:t>
      </w:r>
      <w:r w:rsidR="00741B11" w:rsidRPr="00F41C65">
        <w:rPr>
          <w:rFonts w:ascii="Arial" w:hAnsi="Arial" w:cs="Arial"/>
          <w:sz w:val="24"/>
          <w:szCs w:val="24"/>
        </w:rPr>
        <w:t>maximize</w:t>
      </w:r>
      <w:r w:rsidRPr="00F41C65">
        <w:rPr>
          <w:rFonts w:ascii="Arial" w:hAnsi="Arial" w:cs="Arial"/>
          <w:sz w:val="24"/>
          <w:szCs w:val="24"/>
        </w:rPr>
        <w:t xml:space="preserve"> benefit (Shabani, 2016; RCPSYCH, 2018).</w:t>
      </w:r>
    </w:p>
    <w:p w14:paraId="4DCD6088" w14:textId="77777777" w:rsidR="00F41C65" w:rsidRPr="00F41C65" w:rsidRDefault="00F41C65" w:rsidP="00F41C65">
      <w:pPr>
        <w:spacing w:line="360" w:lineRule="auto"/>
        <w:jc w:val="both"/>
        <w:rPr>
          <w:rFonts w:ascii="Arial" w:hAnsi="Arial" w:cs="Arial"/>
          <w:sz w:val="24"/>
          <w:szCs w:val="24"/>
        </w:rPr>
      </w:pPr>
    </w:p>
    <w:p w14:paraId="5AFD2B47" w14:textId="77777777" w:rsidR="001E6639" w:rsidRPr="00F41C65" w:rsidRDefault="001E6639" w:rsidP="00F41C65">
      <w:pPr>
        <w:pStyle w:val="Heading1"/>
      </w:pPr>
      <w:bookmarkStart w:id="9" w:name="_Toc213448646"/>
      <w:r w:rsidRPr="00F41C65">
        <w:lastRenderedPageBreak/>
        <w:t>Conclusion</w:t>
      </w:r>
      <w:bookmarkEnd w:id="9"/>
      <w:r w:rsidRPr="00F41C65">
        <w:t xml:space="preserve"> </w:t>
      </w:r>
    </w:p>
    <w:p w14:paraId="3D7235E2" w14:textId="77777777" w:rsidR="001E6639" w:rsidRPr="00F41C65" w:rsidRDefault="00741B11" w:rsidP="00F41C65">
      <w:pPr>
        <w:spacing w:line="360" w:lineRule="auto"/>
        <w:jc w:val="both"/>
        <w:rPr>
          <w:rFonts w:ascii="Arial" w:hAnsi="Arial" w:cs="Arial"/>
          <w:sz w:val="24"/>
          <w:szCs w:val="24"/>
        </w:rPr>
      </w:pPr>
      <w:r w:rsidRPr="00F41C65">
        <w:rPr>
          <w:rFonts w:ascii="Arial" w:hAnsi="Arial" w:cs="Arial"/>
          <w:sz w:val="24"/>
          <w:szCs w:val="24"/>
        </w:rPr>
        <w:t>In conclusion, Erikson's</w:t>
      </w:r>
      <w:r w:rsidR="001E6639" w:rsidRPr="00F41C65">
        <w:rPr>
          <w:rFonts w:ascii="Arial" w:hAnsi="Arial" w:cs="Arial"/>
          <w:sz w:val="24"/>
          <w:szCs w:val="24"/>
        </w:rPr>
        <w:t xml:space="preserve"> psychosocial theory and </w:t>
      </w:r>
      <w:r w:rsidRPr="00F41C65">
        <w:rPr>
          <w:rFonts w:ascii="Arial" w:hAnsi="Arial" w:cs="Arial"/>
          <w:sz w:val="24"/>
          <w:szCs w:val="24"/>
        </w:rPr>
        <w:t>Vygotsky's</w:t>
      </w:r>
      <w:r w:rsidR="001E6639" w:rsidRPr="00F41C65">
        <w:rPr>
          <w:rFonts w:ascii="Arial" w:hAnsi="Arial" w:cs="Arial"/>
          <w:sz w:val="24"/>
          <w:szCs w:val="24"/>
        </w:rPr>
        <w:t xml:space="preserve"> socio-cultural theory are complementary theories </w:t>
      </w:r>
      <w:r w:rsidRPr="00F41C65">
        <w:rPr>
          <w:rFonts w:ascii="Arial" w:hAnsi="Arial" w:cs="Arial"/>
          <w:sz w:val="24"/>
          <w:szCs w:val="24"/>
        </w:rPr>
        <w:t>for</w:t>
      </w:r>
      <w:r w:rsidR="001E6639" w:rsidRPr="00F41C65">
        <w:rPr>
          <w:rFonts w:ascii="Arial" w:hAnsi="Arial" w:cs="Arial"/>
          <w:sz w:val="24"/>
          <w:szCs w:val="24"/>
        </w:rPr>
        <w:t xml:space="preserve"> supporting older people with dementia in care homes. Erikson focuses on meaning-making, life review</w:t>
      </w:r>
      <w:r w:rsidRPr="00F41C65">
        <w:rPr>
          <w:rFonts w:ascii="Arial" w:hAnsi="Arial" w:cs="Arial"/>
          <w:sz w:val="24"/>
          <w:szCs w:val="24"/>
        </w:rPr>
        <w:t>,</w:t>
      </w:r>
      <w:r w:rsidR="001E6639" w:rsidRPr="00F41C65">
        <w:rPr>
          <w:rFonts w:ascii="Arial" w:hAnsi="Arial" w:cs="Arial"/>
          <w:sz w:val="24"/>
          <w:szCs w:val="24"/>
        </w:rPr>
        <w:t xml:space="preserve"> and identity</w:t>
      </w:r>
      <w:r w:rsidRPr="00F41C65">
        <w:rPr>
          <w:rFonts w:ascii="Arial" w:hAnsi="Arial" w:cs="Arial"/>
          <w:sz w:val="24"/>
          <w:szCs w:val="24"/>
        </w:rPr>
        <w:t>,</w:t>
      </w:r>
      <w:r w:rsidR="001E6639" w:rsidRPr="00F41C65">
        <w:rPr>
          <w:rFonts w:ascii="Arial" w:hAnsi="Arial" w:cs="Arial"/>
          <w:sz w:val="24"/>
          <w:szCs w:val="24"/>
        </w:rPr>
        <w:t xml:space="preserve"> which </w:t>
      </w:r>
      <w:r w:rsidRPr="00F41C65">
        <w:rPr>
          <w:rFonts w:ascii="Arial" w:hAnsi="Arial" w:cs="Arial"/>
          <w:sz w:val="24"/>
          <w:szCs w:val="24"/>
        </w:rPr>
        <w:t>inform</w:t>
      </w:r>
      <w:r w:rsidR="001E6639" w:rsidRPr="00F41C65">
        <w:rPr>
          <w:rFonts w:ascii="Arial" w:hAnsi="Arial" w:cs="Arial"/>
          <w:sz w:val="24"/>
          <w:szCs w:val="24"/>
        </w:rPr>
        <w:t xml:space="preserve"> interventions to decrease hopelessness and foster emotional </w:t>
      </w:r>
      <w:r w:rsidRPr="00F41C65">
        <w:rPr>
          <w:rFonts w:ascii="Arial" w:hAnsi="Arial" w:cs="Arial"/>
          <w:sz w:val="24"/>
          <w:szCs w:val="24"/>
        </w:rPr>
        <w:t>well-being</w:t>
      </w:r>
      <w:r w:rsidR="001E6639" w:rsidRPr="00F41C65">
        <w:rPr>
          <w:rFonts w:ascii="Arial" w:hAnsi="Arial" w:cs="Arial"/>
          <w:sz w:val="24"/>
          <w:szCs w:val="24"/>
        </w:rPr>
        <w:t xml:space="preserve">. </w:t>
      </w:r>
      <w:r w:rsidRPr="00F41C65">
        <w:rPr>
          <w:rFonts w:ascii="Arial" w:hAnsi="Arial" w:cs="Arial"/>
          <w:sz w:val="24"/>
          <w:szCs w:val="24"/>
        </w:rPr>
        <w:t xml:space="preserve">And </w:t>
      </w:r>
      <w:r w:rsidR="001E6639" w:rsidRPr="00F41C65">
        <w:rPr>
          <w:rFonts w:ascii="Arial" w:hAnsi="Arial" w:cs="Arial"/>
          <w:sz w:val="24"/>
          <w:szCs w:val="24"/>
        </w:rPr>
        <w:t>Vygotsky most usefully provides principles of involvement via scaffolding, mediated tools</w:t>
      </w:r>
      <w:r w:rsidRPr="00F41C65">
        <w:rPr>
          <w:rFonts w:ascii="Arial" w:hAnsi="Arial" w:cs="Arial"/>
          <w:sz w:val="24"/>
          <w:szCs w:val="24"/>
        </w:rPr>
        <w:t>, and social</w:t>
      </w:r>
      <w:r w:rsidR="001E6639" w:rsidRPr="00F41C65">
        <w:rPr>
          <w:rFonts w:ascii="Arial" w:hAnsi="Arial" w:cs="Arial"/>
          <w:sz w:val="24"/>
          <w:szCs w:val="24"/>
        </w:rPr>
        <w:t xml:space="preserve"> learning principles that should reduce </w:t>
      </w:r>
      <w:r w:rsidRPr="00F41C65">
        <w:rPr>
          <w:rFonts w:ascii="Arial" w:hAnsi="Arial" w:cs="Arial"/>
          <w:sz w:val="24"/>
          <w:szCs w:val="24"/>
        </w:rPr>
        <w:t>behavioral</w:t>
      </w:r>
      <w:r w:rsidR="001E6639" w:rsidRPr="00F41C65">
        <w:rPr>
          <w:rFonts w:ascii="Arial" w:hAnsi="Arial" w:cs="Arial"/>
          <w:sz w:val="24"/>
          <w:szCs w:val="24"/>
        </w:rPr>
        <w:t xml:space="preserve"> concerns and support everyday function. </w:t>
      </w:r>
      <w:r w:rsidRPr="00F41C65">
        <w:rPr>
          <w:rFonts w:ascii="Arial" w:hAnsi="Arial" w:cs="Arial"/>
          <w:sz w:val="24"/>
          <w:szCs w:val="24"/>
        </w:rPr>
        <w:t>These</w:t>
      </w:r>
      <w:r w:rsidR="001E6639" w:rsidRPr="00F41C65">
        <w:rPr>
          <w:rFonts w:ascii="Arial" w:hAnsi="Arial" w:cs="Arial"/>
          <w:sz w:val="24"/>
          <w:szCs w:val="24"/>
        </w:rPr>
        <w:t xml:space="preserve"> theories encourage a holistic person-based practice advocating both narrative identity and situational competence. </w:t>
      </w:r>
      <w:r w:rsidRPr="00F41C65">
        <w:rPr>
          <w:rFonts w:ascii="Arial" w:hAnsi="Arial" w:cs="Arial"/>
          <w:sz w:val="24"/>
          <w:szCs w:val="24"/>
        </w:rPr>
        <w:t>Moreover, i</w:t>
      </w:r>
      <w:r w:rsidR="001E6639" w:rsidRPr="00F41C65">
        <w:rPr>
          <w:rFonts w:ascii="Arial" w:hAnsi="Arial" w:cs="Arial"/>
          <w:sz w:val="24"/>
          <w:szCs w:val="24"/>
        </w:rPr>
        <w:t>mplementation should include staff training, the integration of life story information into care plans</w:t>
      </w:r>
      <w:r w:rsidR="00F41C65">
        <w:rPr>
          <w:rFonts w:ascii="Arial" w:hAnsi="Arial" w:cs="Arial"/>
          <w:sz w:val="24"/>
          <w:szCs w:val="24"/>
        </w:rPr>
        <w:t>,</w:t>
      </w:r>
      <w:r w:rsidR="001E6639" w:rsidRPr="00F41C65">
        <w:rPr>
          <w:rFonts w:ascii="Arial" w:hAnsi="Arial" w:cs="Arial"/>
          <w:sz w:val="24"/>
          <w:szCs w:val="24"/>
        </w:rPr>
        <w:t xml:space="preserve"> and regular use of scaffolding activities and evidence-based </w:t>
      </w:r>
      <w:r w:rsidR="00F41C65">
        <w:rPr>
          <w:rFonts w:ascii="Arial" w:hAnsi="Arial" w:cs="Arial"/>
          <w:sz w:val="24"/>
          <w:szCs w:val="24"/>
        </w:rPr>
        <w:t>group</w:t>
      </w:r>
      <w:r w:rsidR="001E6639" w:rsidRPr="00F41C65">
        <w:rPr>
          <w:rFonts w:ascii="Arial" w:hAnsi="Arial" w:cs="Arial"/>
          <w:sz w:val="24"/>
          <w:szCs w:val="24"/>
        </w:rPr>
        <w:t xml:space="preserve"> interventions, such as cognitive stimulation and reminiscence therapy. </w:t>
      </w:r>
    </w:p>
    <w:p w14:paraId="6189F8F0" w14:textId="77777777" w:rsidR="00902C8A" w:rsidRPr="00F41C65" w:rsidRDefault="00902C8A" w:rsidP="00F41C65">
      <w:pPr>
        <w:spacing w:line="360" w:lineRule="auto"/>
        <w:jc w:val="both"/>
        <w:rPr>
          <w:rFonts w:ascii="Arial" w:hAnsi="Arial" w:cs="Arial"/>
          <w:sz w:val="24"/>
          <w:szCs w:val="24"/>
        </w:rPr>
      </w:pPr>
    </w:p>
    <w:p w14:paraId="0520073A" w14:textId="77777777" w:rsidR="00902C8A" w:rsidRPr="00F41C65" w:rsidRDefault="00902C8A" w:rsidP="00F41C65">
      <w:pPr>
        <w:spacing w:line="360" w:lineRule="auto"/>
        <w:jc w:val="both"/>
        <w:rPr>
          <w:rFonts w:ascii="Arial" w:hAnsi="Arial" w:cs="Arial"/>
          <w:sz w:val="24"/>
          <w:szCs w:val="24"/>
        </w:rPr>
      </w:pPr>
    </w:p>
    <w:p w14:paraId="38C1EF19" w14:textId="77777777" w:rsidR="00902C8A" w:rsidRPr="00F41C65" w:rsidRDefault="00902C8A" w:rsidP="00F41C65">
      <w:pPr>
        <w:spacing w:line="360" w:lineRule="auto"/>
        <w:jc w:val="both"/>
        <w:rPr>
          <w:rFonts w:ascii="Arial" w:hAnsi="Arial" w:cs="Arial"/>
          <w:sz w:val="24"/>
          <w:szCs w:val="24"/>
        </w:rPr>
      </w:pPr>
    </w:p>
    <w:p w14:paraId="02FE6050" w14:textId="77777777" w:rsidR="00902C8A" w:rsidRPr="00F41C65" w:rsidRDefault="00902C8A" w:rsidP="00F41C65">
      <w:pPr>
        <w:spacing w:line="360" w:lineRule="auto"/>
        <w:jc w:val="both"/>
        <w:rPr>
          <w:rFonts w:ascii="Arial" w:hAnsi="Arial" w:cs="Arial"/>
          <w:sz w:val="24"/>
          <w:szCs w:val="24"/>
        </w:rPr>
      </w:pPr>
    </w:p>
    <w:p w14:paraId="73C18273" w14:textId="77777777" w:rsidR="00902C8A" w:rsidRPr="00F41C65" w:rsidRDefault="00902C8A" w:rsidP="00F41C65">
      <w:pPr>
        <w:spacing w:line="360" w:lineRule="auto"/>
        <w:jc w:val="both"/>
        <w:rPr>
          <w:rFonts w:ascii="Arial" w:hAnsi="Arial" w:cs="Arial"/>
          <w:sz w:val="24"/>
          <w:szCs w:val="24"/>
        </w:rPr>
      </w:pPr>
    </w:p>
    <w:p w14:paraId="61B6681E" w14:textId="77777777" w:rsidR="00902C8A" w:rsidRPr="00F41C65" w:rsidRDefault="00902C8A" w:rsidP="00F41C65">
      <w:pPr>
        <w:spacing w:line="360" w:lineRule="auto"/>
        <w:jc w:val="both"/>
        <w:rPr>
          <w:rFonts w:ascii="Arial" w:hAnsi="Arial" w:cs="Arial"/>
          <w:sz w:val="24"/>
          <w:szCs w:val="24"/>
        </w:rPr>
      </w:pPr>
    </w:p>
    <w:p w14:paraId="2DC53EDC" w14:textId="77777777" w:rsidR="00902C8A" w:rsidRPr="00F41C65" w:rsidRDefault="00902C8A" w:rsidP="00F41C65">
      <w:pPr>
        <w:spacing w:line="360" w:lineRule="auto"/>
        <w:jc w:val="both"/>
        <w:rPr>
          <w:rFonts w:ascii="Arial" w:hAnsi="Arial" w:cs="Arial"/>
          <w:sz w:val="24"/>
          <w:szCs w:val="24"/>
        </w:rPr>
      </w:pPr>
    </w:p>
    <w:p w14:paraId="03095059" w14:textId="77777777" w:rsidR="00902C8A" w:rsidRPr="00F41C65" w:rsidRDefault="00902C8A" w:rsidP="00F41C65">
      <w:pPr>
        <w:spacing w:line="360" w:lineRule="auto"/>
        <w:jc w:val="both"/>
        <w:rPr>
          <w:rFonts w:ascii="Arial" w:hAnsi="Arial" w:cs="Arial"/>
          <w:sz w:val="24"/>
          <w:szCs w:val="24"/>
        </w:rPr>
      </w:pPr>
    </w:p>
    <w:p w14:paraId="175C1251" w14:textId="77777777" w:rsidR="00902C8A" w:rsidRPr="00F41C65" w:rsidRDefault="00902C8A" w:rsidP="00F41C65">
      <w:pPr>
        <w:spacing w:line="360" w:lineRule="auto"/>
        <w:jc w:val="both"/>
        <w:rPr>
          <w:rFonts w:ascii="Arial" w:hAnsi="Arial" w:cs="Arial"/>
          <w:sz w:val="24"/>
          <w:szCs w:val="24"/>
        </w:rPr>
      </w:pPr>
    </w:p>
    <w:p w14:paraId="423778CE" w14:textId="77777777" w:rsidR="00902C8A" w:rsidRPr="00F41C65" w:rsidRDefault="00902C8A" w:rsidP="00F41C65">
      <w:pPr>
        <w:spacing w:line="360" w:lineRule="auto"/>
        <w:jc w:val="both"/>
        <w:rPr>
          <w:rFonts w:ascii="Arial" w:hAnsi="Arial" w:cs="Arial"/>
          <w:sz w:val="24"/>
          <w:szCs w:val="24"/>
        </w:rPr>
      </w:pPr>
    </w:p>
    <w:p w14:paraId="65225D56" w14:textId="77777777" w:rsidR="00902C8A" w:rsidRPr="00F41C65" w:rsidRDefault="00902C8A" w:rsidP="00F41C65">
      <w:pPr>
        <w:spacing w:line="360" w:lineRule="auto"/>
        <w:jc w:val="both"/>
        <w:rPr>
          <w:rFonts w:ascii="Arial" w:hAnsi="Arial" w:cs="Arial"/>
          <w:sz w:val="24"/>
          <w:szCs w:val="24"/>
        </w:rPr>
      </w:pPr>
    </w:p>
    <w:p w14:paraId="726398A9" w14:textId="77777777" w:rsidR="00902C8A" w:rsidRPr="00F41C65" w:rsidRDefault="00902C8A" w:rsidP="00F41C65">
      <w:pPr>
        <w:spacing w:line="360" w:lineRule="auto"/>
        <w:jc w:val="both"/>
        <w:rPr>
          <w:rFonts w:ascii="Arial" w:hAnsi="Arial" w:cs="Arial"/>
          <w:sz w:val="24"/>
          <w:szCs w:val="24"/>
        </w:rPr>
      </w:pPr>
    </w:p>
    <w:p w14:paraId="71E4853A" w14:textId="77777777" w:rsidR="00902C8A" w:rsidRPr="00F41C65" w:rsidRDefault="00902C8A" w:rsidP="00F41C65">
      <w:pPr>
        <w:spacing w:line="360" w:lineRule="auto"/>
        <w:jc w:val="both"/>
        <w:rPr>
          <w:rFonts w:ascii="Arial" w:hAnsi="Arial" w:cs="Arial"/>
          <w:sz w:val="24"/>
          <w:szCs w:val="24"/>
        </w:rPr>
      </w:pPr>
    </w:p>
    <w:p w14:paraId="66D7E965" w14:textId="77777777" w:rsidR="00902C8A" w:rsidRPr="00902C8A" w:rsidRDefault="00902C8A" w:rsidP="00F41C65">
      <w:pPr>
        <w:pStyle w:val="Heading1"/>
      </w:pPr>
      <w:bookmarkStart w:id="10" w:name="_Toc213448647"/>
      <w:r w:rsidRPr="00902C8A">
        <w:lastRenderedPageBreak/>
        <w:t>Reference list</w:t>
      </w:r>
      <w:bookmarkEnd w:id="10"/>
    </w:p>
    <w:p w14:paraId="0421B41E"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t>Desai, R., Leung, W.G., Fearn, C., John, A., Stott, J.</w:t>
      </w:r>
      <w:r w:rsidR="00F41C65">
        <w:rPr>
          <w:rFonts w:ascii="Arial" w:eastAsia="Times New Roman" w:hAnsi="Arial" w:cs="Arial"/>
          <w:sz w:val="24"/>
          <w:szCs w:val="24"/>
        </w:rPr>
        <w:t>,</w:t>
      </w:r>
      <w:r w:rsidRPr="00902C8A">
        <w:rPr>
          <w:rFonts w:ascii="Arial" w:eastAsia="Times New Roman" w:hAnsi="Arial" w:cs="Arial"/>
          <w:sz w:val="24"/>
          <w:szCs w:val="24"/>
        </w:rPr>
        <w:t xml:space="preserve"> and Spector, A. (2024). Effectiveness of Cognitive Stimulation Therapy (CST) for mild to moderate dementia: A systematic literature review and meta-analysis of randomised control trials using the original CST protocol. </w:t>
      </w:r>
      <w:r w:rsidRPr="00902C8A">
        <w:rPr>
          <w:rFonts w:ascii="Arial" w:eastAsia="Times New Roman" w:hAnsi="Arial" w:cs="Arial"/>
          <w:i/>
          <w:iCs/>
          <w:sz w:val="24"/>
          <w:szCs w:val="24"/>
        </w:rPr>
        <w:t>Ageing Research Reviews</w:t>
      </w:r>
      <w:r w:rsidRPr="00902C8A">
        <w:rPr>
          <w:rFonts w:ascii="Arial" w:eastAsia="Times New Roman" w:hAnsi="Arial" w:cs="Arial"/>
          <w:sz w:val="24"/>
          <w:szCs w:val="24"/>
        </w:rPr>
        <w:t>, [online] 97(1), p.102312. doi:https://doi.org/10.1016/j.arr.2024.102312.</w:t>
      </w:r>
    </w:p>
    <w:p w14:paraId="1C079002"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t xml:space="preserve">Erikson, E.H. (1993). </w:t>
      </w:r>
      <w:r w:rsidRPr="00902C8A">
        <w:rPr>
          <w:rFonts w:ascii="Arial" w:eastAsia="Times New Roman" w:hAnsi="Arial" w:cs="Arial"/>
          <w:i/>
          <w:iCs/>
          <w:sz w:val="24"/>
          <w:szCs w:val="24"/>
        </w:rPr>
        <w:t>Childhood and society</w:t>
      </w:r>
      <w:r w:rsidRPr="00902C8A">
        <w:rPr>
          <w:rFonts w:ascii="Arial" w:eastAsia="Times New Roman" w:hAnsi="Arial" w:cs="Arial"/>
          <w:sz w:val="24"/>
          <w:szCs w:val="24"/>
        </w:rPr>
        <w:t>. [online] W. W. Norton. Available at: https://books.google.com.pk/books?id=5JrjqzBMHa8C.</w:t>
      </w:r>
    </w:p>
    <w:p w14:paraId="692C5D8A"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t xml:space="preserve">Flicker, L. (1999). Book: Dementia Reconsidered: the Person Comes First. </w:t>
      </w:r>
      <w:r w:rsidRPr="00902C8A">
        <w:rPr>
          <w:rFonts w:ascii="Arial" w:eastAsia="Times New Roman" w:hAnsi="Arial" w:cs="Arial"/>
          <w:i/>
          <w:iCs/>
          <w:sz w:val="24"/>
          <w:szCs w:val="24"/>
        </w:rPr>
        <w:t>BMJ (Clinical research ed.)</w:t>
      </w:r>
      <w:r w:rsidRPr="00902C8A">
        <w:rPr>
          <w:rFonts w:ascii="Arial" w:eastAsia="Times New Roman" w:hAnsi="Arial" w:cs="Arial"/>
          <w:sz w:val="24"/>
          <w:szCs w:val="24"/>
        </w:rPr>
        <w:t xml:space="preserve">, 318, p.880A. </w:t>
      </w:r>
      <w:r w:rsidR="00F41C65">
        <w:rPr>
          <w:rFonts w:ascii="Arial" w:eastAsia="Times New Roman" w:hAnsi="Arial" w:cs="Arial"/>
          <w:sz w:val="24"/>
          <w:szCs w:val="24"/>
        </w:rPr>
        <w:t>Doi</w:t>
      </w:r>
      <w:r w:rsidRPr="00902C8A">
        <w:rPr>
          <w:rFonts w:ascii="Arial" w:eastAsia="Times New Roman" w:hAnsi="Arial" w:cs="Arial"/>
          <w:sz w:val="24"/>
          <w:szCs w:val="24"/>
        </w:rPr>
        <w:t>:https://doi.org/10.1136/bmj.318.7187.880a.</w:t>
      </w:r>
    </w:p>
    <w:p w14:paraId="660D558A"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t xml:space="preserve">Hennelly, N., Cooney, A., Houghton, C. and O’Shea, E. (2018). The experiences and perceptions of personhood for people living with dementia: A qualitative evidence synthesis protocol. </w:t>
      </w:r>
      <w:r w:rsidRPr="00902C8A">
        <w:rPr>
          <w:rFonts w:ascii="Arial" w:eastAsia="Times New Roman" w:hAnsi="Arial" w:cs="Arial"/>
          <w:i/>
          <w:iCs/>
          <w:sz w:val="24"/>
          <w:szCs w:val="24"/>
        </w:rPr>
        <w:t>HRB Open Research</w:t>
      </w:r>
      <w:r w:rsidRPr="00902C8A">
        <w:rPr>
          <w:rFonts w:ascii="Arial" w:eastAsia="Times New Roman" w:hAnsi="Arial" w:cs="Arial"/>
          <w:sz w:val="24"/>
          <w:szCs w:val="24"/>
        </w:rPr>
        <w:t>, [online] 1(1), p.18. doi:https://doi.org/10.12688/hrbopenres.12845.1.</w:t>
      </w:r>
    </w:p>
    <w:p w14:paraId="28978A3E"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t xml:space="preserve">Joy, M. (2018). </w:t>
      </w:r>
      <w:r w:rsidRPr="00902C8A">
        <w:rPr>
          <w:rFonts w:ascii="Arial" w:eastAsia="Times New Roman" w:hAnsi="Arial" w:cs="Arial"/>
          <w:i/>
          <w:iCs/>
          <w:sz w:val="24"/>
          <w:szCs w:val="24"/>
        </w:rPr>
        <w:t xml:space="preserve">Organisational </w:t>
      </w:r>
      <w:r w:rsidR="00F41C65">
        <w:rPr>
          <w:rFonts w:ascii="Arial" w:eastAsia="Times New Roman" w:hAnsi="Arial" w:cs="Arial"/>
          <w:i/>
          <w:iCs/>
          <w:sz w:val="24"/>
          <w:szCs w:val="24"/>
        </w:rPr>
        <w:t>Behavior T1</w:t>
      </w:r>
      <w:r w:rsidRPr="00902C8A">
        <w:rPr>
          <w:rFonts w:ascii="Arial" w:eastAsia="Times New Roman" w:hAnsi="Arial" w:cs="Arial"/>
          <w:i/>
          <w:iCs/>
          <w:sz w:val="24"/>
          <w:szCs w:val="24"/>
        </w:rPr>
        <w:t xml:space="preserve"> MBAKTU Syllabus</w:t>
      </w:r>
      <w:r w:rsidRPr="00902C8A">
        <w:rPr>
          <w:rFonts w:ascii="Arial" w:eastAsia="Times New Roman" w:hAnsi="Arial" w:cs="Arial"/>
          <w:sz w:val="24"/>
          <w:szCs w:val="24"/>
        </w:rPr>
        <w:t>.</w:t>
      </w:r>
    </w:p>
    <w:p w14:paraId="589F30B5"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t>Kelly, L., Ahessy, B., Richardson, I.</w:t>
      </w:r>
      <w:r w:rsidR="00F41C65">
        <w:rPr>
          <w:rFonts w:ascii="Arial" w:eastAsia="Times New Roman" w:hAnsi="Arial" w:cs="Arial"/>
          <w:sz w:val="24"/>
          <w:szCs w:val="24"/>
        </w:rPr>
        <w:t>,</w:t>
      </w:r>
      <w:r w:rsidRPr="00902C8A">
        <w:rPr>
          <w:rFonts w:ascii="Arial" w:eastAsia="Times New Roman" w:hAnsi="Arial" w:cs="Arial"/>
          <w:sz w:val="24"/>
          <w:szCs w:val="24"/>
        </w:rPr>
        <w:t xml:space="preserve"> and Moss, H. (2023). Aligning Kitwood’s Model of Person-Centered Dementia Care with Music Therapy Practice. </w:t>
      </w:r>
      <w:r w:rsidRPr="00902C8A">
        <w:rPr>
          <w:rFonts w:ascii="Arial" w:eastAsia="Times New Roman" w:hAnsi="Arial" w:cs="Arial"/>
          <w:i/>
          <w:iCs/>
          <w:sz w:val="24"/>
          <w:szCs w:val="24"/>
        </w:rPr>
        <w:t>Music Therapy Perspectives</w:t>
      </w:r>
      <w:r w:rsidRPr="00902C8A">
        <w:rPr>
          <w:rFonts w:ascii="Arial" w:eastAsia="Times New Roman" w:hAnsi="Arial" w:cs="Arial"/>
          <w:sz w:val="24"/>
          <w:szCs w:val="24"/>
        </w:rPr>
        <w:t>, [online] 41(2), pp.198–206. doi:https://doi.org/10.1093/mtp/miad015.</w:t>
      </w:r>
    </w:p>
    <w:p w14:paraId="6E1C74D4"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t xml:space="preserve">Muthukisnan, C. (2021). </w:t>
      </w:r>
      <w:r w:rsidRPr="00902C8A">
        <w:rPr>
          <w:rFonts w:ascii="Arial" w:eastAsia="Times New Roman" w:hAnsi="Arial" w:cs="Arial"/>
          <w:i/>
          <w:iCs/>
          <w:sz w:val="24"/>
          <w:szCs w:val="24"/>
        </w:rPr>
        <w:t xml:space="preserve">Learning Theory as a Guide </w:t>
      </w:r>
      <w:r w:rsidR="00F41C65">
        <w:rPr>
          <w:rFonts w:ascii="Arial" w:eastAsia="Times New Roman" w:hAnsi="Arial" w:cs="Arial"/>
          <w:i/>
          <w:iCs/>
          <w:sz w:val="24"/>
          <w:szCs w:val="24"/>
        </w:rPr>
        <w:t>for</w:t>
      </w:r>
      <w:r w:rsidRPr="00902C8A">
        <w:rPr>
          <w:rFonts w:ascii="Arial" w:eastAsia="Times New Roman" w:hAnsi="Arial" w:cs="Arial"/>
          <w:i/>
          <w:iCs/>
          <w:sz w:val="24"/>
          <w:szCs w:val="24"/>
        </w:rPr>
        <w:t xml:space="preserve"> People to Invest in </w:t>
      </w:r>
      <w:r w:rsidR="00F41C65">
        <w:rPr>
          <w:rFonts w:ascii="Arial" w:eastAsia="Times New Roman" w:hAnsi="Arial" w:cs="Arial"/>
          <w:i/>
          <w:iCs/>
          <w:sz w:val="24"/>
          <w:szCs w:val="24"/>
        </w:rPr>
        <w:t xml:space="preserve">a </w:t>
      </w:r>
      <w:r w:rsidRPr="00902C8A">
        <w:rPr>
          <w:rFonts w:ascii="Arial" w:eastAsia="Times New Roman" w:hAnsi="Arial" w:cs="Arial"/>
          <w:i/>
          <w:iCs/>
          <w:sz w:val="24"/>
          <w:szCs w:val="24"/>
        </w:rPr>
        <w:t>Digital Gold Platform</w:t>
      </w:r>
      <w:r w:rsidRPr="00902C8A">
        <w:rPr>
          <w:rFonts w:ascii="Arial" w:eastAsia="Times New Roman" w:hAnsi="Arial" w:cs="Arial"/>
          <w:sz w:val="24"/>
          <w:szCs w:val="24"/>
        </w:rPr>
        <w:t xml:space="preserve">. </w:t>
      </w:r>
      <w:r w:rsidR="00F41C65">
        <w:rPr>
          <w:rFonts w:ascii="Arial" w:eastAsia="Times New Roman" w:hAnsi="Arial" w:cs="Arial"/>
          <w:sz w:val="24"/>
          <w:szCs w:val="24"/>
        </w:rPr>
        <w:t>Doi</w:t>
      </w:r>
      <w:r w:rsidRPr="00902C8A">
        <w:rPr>
          <w:rFonts w:ascii="Arial" w:eastAsia="Times New Roman" w:hAnsi="Arial" w:cs="Arial"/>
          <w:sz w:val="24"/>
          <w:szCs w:val="24"/>
        </w:rPr>
        <w:t>:https://doi.org/10.13140/RG.2.2.33521.20325.</w:t>
      </w:r>
    </w:p>
    <w:p w14:paraId="54BAEA7E"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t xml:space="preserve">Orenstein, G. and Lewis, L. (2022). </w:t>
      </w:r>
      <w:r w:rsidRPr="00902C8A">
        <w:rPr>
          <w:rFonts w:ascii="Arial" w:eastAsia="Times New Roman" w:hAnsi="Arial" w:cs="Arial"/>
          <w:i/>
          <w:iCs/>
          <w:sz w:val="24"/>
          <w:szCs w:val="24"/>
        </w:rPr>
        <w:t>Erikson’s stages of psychosocial development</w:t>
      </w:r>
      <w:r w:rsidRPr="00902C8A">
        <w:rPr>
          <w:rFonts w:ascii="Arial" w:eastAsia="Times New Roman" w:hAnsi="Arial" w:cs="Arial"/>
          <w:sz w:val="24"/>
          <w:szCs w:val="24"/>
        </w:rPr>
        <w:t>. [online] National Library of Medicine. Available at: https://www.ncbi.nlm.nih.gov/books/NBK556096/.</w:t>
      </w:r>
    </w:p>
    <w:p w14:paraId="21C2B8D2"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t xml:space="preserve">Shabani, K. (2016). Applications of Vygotsky’s sociocultural approach for teachers’ professional development. </w:t>
      </w:r>
      <w:r w:rsidRPr="00902C8A">
        <w:rPr>
          <w:rFonts w:ascii="Arial" w:eastAsia="Times New Roman" w:hAnsi="Arial" w:cs="Arial"/>
          <w:i/>
          <w:iCs/>
          <w:sz w:val="24"/>
          <w:szCs w:val="24"/>
        </w:rPr>
        <w:t>Cogent Education</w:t>
      </w:r>
      <w:r w:rsidRPr="00902C8A">
        <w:rPr>
          <w:rFonts w:ascii="Arial" w:eastAsia="Times New Roman" w:hAnsi="Arial" w:cs="Arial"/>
          <w:sz w:val="24"/>
          <w:szCs w:val="24"/>
        </w:rPr>
        <w:t>, 3. doi:https://doi.org/10.1080/2331186X.2016.1252177.</w:t>
      </w:r>
    </w:p>
    <w:p w14:paraId="463909FC"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lastRenderedPageBreak/>
        <w:t xml:space="preserve">Vygotsky, L.S. (1978). </w:t>
      </w:r>
      <w:r w:rsidRPr="00902C8A">
        <w:rPr>
          <w:rFonts w:ascii="Arial" w:eastAsia="Times New Roman" w:hAnsi="Arial" w:cs="Arial"/>
          <w:i/>
          <w:iCs/>
          <w:sz w:val="24"/>
          <w:szCs w:val="24"/>
        </w:rPr>
        <w:t>Mind in Society: Development of Higher Psychological Processes</w:t>
      </w:r>
      <w:r w:rsidRPr="00902C8A">
        <w:rPr>
          <w:rFonts w:ascii="Arial" w:eastAsia="Times New Roman" w:hAnsi="Arial" w:cs="Arial"/>
          <w:sz w:val="24"/>
          <w:szCs w:val="24"/>
        </w:rPr>
        <w:t xml:space="preserve">. [online] </w:t>
      </w:r>
      <w:r w:rsidRPr="00902C8A">
        <w:rPr>
          <w:rFonts w:ascii="Arial" w:eastAsia="Times New Roman" w:hAnsi="Arial" w:cs="Arial"/>
          <w:i/>
          <w:iCs/>
          <w:sz w:val="24"/>
          <w:szCs w:val="24"/>
        </w:rPr>
        <w:t>JSTOR</w:t>
      </w:r>
      <w:r w:rsidRPr="00902C8A">
        <w:rPr>
          <w:rFonts w:ascii="Arial" w:eastAsia="Times New Roman" w:hAnsi="Arial" w:cs="Arial"/>
          <w:sz w:val="24"/>
          <w:szCs w:val="24"/>
        </w:rPr>
        <w:t>. Harvard University Press. Available at: https://www.jstor.org/stable/j.ctvjf9vz4.</w:t>
      </w:r>
    </w:p>
    <w:p w14:paraId="1540DD25"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t>Woods, B., O’Philbin, L., Farrell, E.M., Spector, A.E.</w:t>
      </w:r>
      <w:r w:rsidR="00F41C65">
        <w:rPr>
          <w:rFonts w:ascii="Arial" w:eastAsia="Times New Roman" w:hAnsi="Arial" w:cs="Arial"/>
          <w:sz w:val="24"/>
          <w:szCs w:val="24"/>
        </w:rPr>
        <w:t>,</w:t>
      </w:r>
      <w:r w:rsidRPr="00902C8A">
        <w:rPr>
          <w:rFonts w:ascii="Arial" w:eastAsia="Times New Roman" w:hAnsi="Arial" w:cs="Arial"/>
          <w:sz w:val="24"/>
          <w:szCs w:val="24"/>
        </w:rPr>
        <w:t xml:space="preserve"> and Orrell, M. (2018). Reminiscence therapy for dementia. </w:t>
      </w:r>
      <w:r w:rsidRPr="00902C8A">
        <w:rPr>
          <w:rFonts w:ascii="Arial" w:eastAsia="Times New Roman" w:hAnsi="Arial" w:cs="Arial"/>
          <w:i/>
          <w:iCs/>
          <w:sz w:val="24"/>
          <w:szCs w:val="24"/>
        </w:rPr>
        <w:t>Cochrane Database of Systematic Reviews</w:t>
      </w:r>
      <w:r w:rsidRPr="00902C8A">
        <w:rPr>
          <w:rFonts w:ascii="Arial" w:eastAsia="Times New Roman" w:hAnsi="Arial" w:cs="Arial"/>
          <w:sz w:val="24"/>
          <w:szCs w:val="24"/>
        </w:rPr>
        <w:t>, [online] 3(3). doi:https://doi.org/10.1002/14651858.CD001120.pub3.</w:t>
      </w:r>
    </w:p>
    <w:p w14:paraId="74708AB0" w14:textId="77777777" w:rsidR="00902C8A" w:rsidRPr="00902C8A" w:rsidRDefault="00902C8A" w:rsidP="00F41C65">
      <w:pPr>
        <w:spacing w:after="240" w:line="360" w:lineRule="auto"/>
        <w:jc w:val="both"/>
        <w:rPr>
          <w:rFonts w:ascii="Arial" w:eastAsia="Times New Roman" w:hAnsi="Arial" w:cs="Arial"/>
          <w:sz w:val="24"/>
          <w:szCs w:val="24"/>
        </w:rPr>
      </w:pPr>
      <w:r w:rsidRPr="00902C8A">
        <w:rPr>
          <w:rFonts w:ascii="Arial" w:eastAsia="Times New Roman" w:hAnsi="Arial" w:cs="Arial"/>
          <w:sz w:val="24"/>
          <w:szCs w:val="24"/>
        </w:rPr>
        <w:t>Woods, B., Rai, H.K., Elliott, E., Aguirre, E., Orrell, M.</w:t>
      </w:r>
      <w:r w:rsidR="00F41C65">
        <w:rPr>
          <w:rFonts w:ascii="Arial" w:eastAsia="Times New Roman" w:hAnsi="Arial" w:cs="Arial"/>
          <w:sz w:val="24"/>
          <w:szCs w:val="24"/>
        </w:rPr>
        <w:t>,</w:t>
      </w:r>
      <w:r w:rsidRPr="00902C8A">
        <w:rPr>
          <w:rFonts w:ascii="Arial" w:eastAsia="Times New Roman" w:hAnsi="Arial" w:cs="Arial"/>
          <w:sz w:val="24"/>
          <w:szCs w:val="24"/>
        </w:rPr>
        <w:t xml:space="preserve"> and Spector, A. (2023). Cognitive Stimulation to Improve Cognitive Functioning in People with Dementia. </w:t>
      </w:r>
      <w:r w:rsidRPr="00902C8A">
        <w:rPr>
          <w:rFonts w:ascii="Arial" w:eastAsia="Times New Roman" w:hAnsi="Arial" w:cs="Arial"/>
          <w:i/>
          <w:iCs/>
          <w:sz w:val="24"/>
          <w:szCs w:val="24"/>
        </w:rPr>
        <w:t>Cochrane Database of Systematic Reviews</w:t>
      </w:r>
      <w:r w:rsidRPr="00902C8A">
        <w:rPr>
          <w:rFonts w:ascii="Arial" w:eastAsia="Times New Roman" w:hAnsi="Arial" w:cs="Arial"/>
          <w:sz w:val="24"/>
          <w:szCs w:val="24"/>
        </w:rPr>
        <w:t>, [online] 2023(1). doi:https://doi.org/10.1002/14651858.cd005562.pub3.</w:t>
      </w:r>
    </w:p>
    <w:p w14:paraId="1C856F43" w14:textId="77777777" w:rsidR="00902C8A" w:rsidRPr="00F41C65" w:rsidRDefault="00902C8A" w:rsidP="00F41C65">
      <w:pPr>
        <w:spacing w:line="360" w:lineRule="auto"/>
        <w:jc w:val="both"/>
        <w:rPr>
          <w:rFonts w:ascii="Arial" w:hAnsi="Arial" w:cs="Arial"/>
          <w:sz w:val="24"/>
          <w:szCs w:val="24"/>
        </w:rPr>
      </w:pPr>
    </w:p>
    <w:sectPr w:rsidR="00902C8A" w:rsidRPr="00F41C6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7157E" w14:textId="77777777" w:rsidR="00DB1440" w:rsidRDefault="00DB1440" w:rsidP="00DB1440">
      <w:pPr>
        <w:spacing w:after="0" w:line="240" w:lineRule="auto"/>
      </w:pPr>
      <w:r>
        <w:separator/>
      </w:r>
    </w:p>
  </w:endnote>
  <w:endnote w:type="continuationSeparator" w:id="0">
    <w:p w14:paraId="73E37032" w14:textId="77777777" w:rsidR="00DB1440" w:rsidRDefault="00DB1440" w:rsidP="00DB1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7F685" w14:textId="77777777" w:rsidR="00DB1440" w:rsidRDefault="00DB1440" w:rsidP="00DB1440">
      <w:pPr>
        <w:spacing w:after="0" w:line="240" w:lineRule="auto"/>
      </w:pPr>
      <w:r>
        <w:separator/>
      </w:r>
    </w:p>
  </w:footnote>
  <w:footnote w:type="continuationSeparator" w:id="0">
    <w:p w14:paraId="71EC6E23" w14:textId="77777777" w:rsidR="00DB1440" w:rsidRDefault="00DB1440" w:rsidP="00DB14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6639"/>
    <w:rsid w:val="00090B4A"/>
    <w:rsid w:val="0019419B"/>
    <w:rsid w:val="001E6639"/>
    <w:rsid w:val="002B295B"/>
    <w:rsid w:val="00506097"/>
    <w:rsid w:val="00741B11"/>
    <w:rsid w:val="00805FB3"/>
    <w:rsid w:val="008D7B63"/>
    <w:rsid w:val="008E6EC9"/>
    <w:rsid w:val="00902C8A"/>
    <w:rsid w:val="00AB331A"/>
    <w:rsid w:val="00B0278F"/>
    <w:rsid w:val="00D06D81"/>
    <w:rsid w:val="00DB1440"/>
    <w:rsid w:val="00F41C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1E9F0B"/>
  <w15:chartTrackingRefBased/>
  <w15:docId w15:val="{CAF86875-39E1-457E-B9D1-6B8801BB0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F41C65"/>
    <w:pPr>
      <w:spacing w:before="100" w:beforeAutospacing="1" w:after="100" w:afterAutospacing="1" w:line="360" w:lineRule="auto"/>
      <w:jc w:val="both"/>
      <w:outlineLvl w:val="0"/>
    </w:pPr>
    <w:rPr>
      <w:rFonts w:ascii="Arial" w:hAnsi="Arial" w:cs="Arial"/>
      <w:b/>
      <w:sz w:val="24"/>
      <w:szCs w:val="24"/>
    </w:rPr>
  </w:style>
  <w:style w:type="paragraph" w:styleId="Heading2">
    <w:name w:val="heading 2"/>
    <w:basedOn w:val="Normal"/>
    <w:next w:val="Normal"/>
    <w:link w:val="Heading2Char"/>
    <w:autoRedefine/>
    <w:uiPriority w:val="9"/>
    <w:unhideWhenUsed/>
    <w:qFormat/>
    <w:rsid w:val="0019419B"/>
    <w:pPr>
      <w:keepNext/>
      <w:keepLines/>
      <w:spacing w:before="40" w:after="0" w:line="360" w:lineRule="auto"/>
      <w:jc w:val="both"/>
      <w:outlineLvl w:val="1"/>
    </w:pPr>
    <w:rPr>
      <w:rFonts w:ascii="Arial" w:eastAsiaTheme="majorEastAsia"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C65"/>
    <w:rPr>
      <w:rFonts w:ascii="Arial" w:hAnsi="Arial" w:cs="Arial"/>
      <w:b/>
      <w:sz w:val="24"/>
      <w:szCs w:val="24"/>
    </w:rPr>
  </w:style>
  <w:style w:type="character" w:customStyle="1" w:styleId="Heading2Char">
    <w:name w:val="Heading 2 Char"/>
    <w:basedOn w:val="DefaultParagraphFont"/>
    <w:link w:val="Heading2"/>
    <w:uiPriority w:val="9"/>
    <w:rsid w:val="0019419B"/>
    <w:rPr>
      <w:rFonts w:ascii="Arial" w:eastAsiaTheme="majorEastAsia" w:hAnsi="Arial" w:cs="Arial"/>
      <w:b/>
      <w:sz w:val="24"/>
      <w:szCs w:val="24"/>
    </w:rPr>
  </w:style>
  <w:style w:type="paragraph" w:styleId="Caption">
    <w:name w:val="caption"/>
    <w:basedOn w:val="Normal"/>
    <w:next w:val="Normal"/>
    <w:uiPriority w:val="35"/>
    <w:unhideWhenUsed/>
    <w:qFormat/>
    <w:rsid w:val="00741B11"/>
    <w:pPr>
      <w:spacing w:after="200" w:line="240" w:lineRule="auto"/>
    </w:pPr>
    <w:rPr>
      <w:i/>
      <w:iCs/>
      <w:color w:val="44546A" w:themeColor="text2"/>
      <w:sz w:val="18"/>
      <w:szCs w:val="18"/>
    </w:rPr>
  </w:style>
  <w:style w:type="paragraph" w:styleId="NormalWeb">
    <w:name w:val="Normal (Web)"/>
    <w:basedOn w:val="Normal"/>
    <w:uiPriority w:val="99"/>
    <w:semiHidden/>
    <w:unhideWhenUsed/>
    <w:rsid w:val="00902C8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F41C65"/>
    <w:pPr>
      <w:keepNext/>
      <w:keepLines/>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F41C65"/>
    <w:pPr>
      <w:spacing w:after="100"/>
    </w:pPr>
  </w:style>
  <w:style w:type="paragraph" w:styleId="TOC2">
    <w:name w:val="toc 2"/>
    <w:basedOn w:val="Normal"/>
    <w:next w:val="Normal"/>
    <w:autoRedefine/>
    <w:uiPriority w:val="39"/>
    <w:unhideWhenUsed/>
    <w:rsid w:val="00F41C65"/>
    <w:pPr>
      <w:spacing w:after="100"/>
      <w:ind w:left="220"/>
    </w:pPr>
  </w:style>
  <w:style w:type="character" w:styleId="Hyperlink">
    <w:name w:val="Hyperlink"/>
    <w:basedOn w:val="DefaultParagraphFont"/>
    <w:uiPriority w:val="99"/>
    <w:unhideWhenUsed/>
    <w:rsid w:val="00F41C65"/>
    <w:rPr>
      <w:color w:val="0563C1" w:themeColor="hyperlink"/>
      <w:u w:val="single"/>
    </w:rPr>
  </w:style>
  <w:style w:type="paragraph" w:customStyle="1" w:styleId="TableParagraph">
    <w:name w:val="Table Paragraph"/>
    <w:basedOn w:val="Normal"/>
    <w:uiPriority w:val="1"/>
    <w:qFormat/>
    <w:rsid w:val="00DB1440"/>
    <w:pPr>
      <w:widowControl w:val="0"/>
      <w:autoSpaceDE w:val="0"/>
      <w:autoSpaceDN w:val="0"/>
      <w:spacing w:after="0" w:line="240" w:lineRule="auto"/>
    </w:pPr>
    <w:rPr>
      <w:rFonts w:ascii="Arial" w:eastAsia="Arial" w:hAnsi="Arial" w:cs="Arial"/>
    </w:rPr>
  </w:style>
  <w:style w:type="paragraph" w:styleId="Header">
    <w:name w:val="header"/>
    <w:basedOn w:val="Normal"/>
    <w:link w:val="HeaderChar"/>
    <w:uiPriority w:val="99"/>
    <w:unhideWhenUsed/>
    <w:rsid w:val="00DB14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440"/>
  </w:style>
  <w:style w:type="paragraph" w:styleId="Footer">
    <w:name w:val="footer"/>
    <w:basedOn w:val="Normal"/>
    <w:link w:val="FooterChar"/>
    <w:uiPriority w:val="99"/>
    <w:unhideWhenUsed/>
    <w:rsid w:val="00DB14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4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240251">
      <w:bodyDiv w:val="1"/>
      <w:marLeft w:val="0"/>
      <w:marRight w:val="0"/>
      <w:marTop w:val="0"/>
      <w:marBottom w:val="0"/>
      <w:divBdr>
        <w:top w:val="none" w:sz="0" w:space="0" w:color="auto"/>
        <w:left w:val="none" w:sz="0" w:space="0" w:color="auto"/>
        <w:bottom w:val="none" w:sz="0" w:space="0" w:color="auto"/>
        <w:right w:val="none" w:sz="0" w:space="0" w:color="auto"/>
      </w:divBdr>
    </w:div>
    <w:div w:id="912397496">
      <w:bodyDiv w:val="1"/>
      <w:marLeft w:val="0"/>
      <w:marRight w:val="0"/>
      <w:marTop w:val="0"/>
      <w:marBottom w:val="0"/>
      <w:divBdr>
        <w:top w:val="none" w:sz="0" w:space="0" w:color="auto"/>
        <w:left w:val="none" w:sz="0" w:space="0" w:color="auto"/>
        <w:bottom w:val="none" w:sz="0" w:space="0" w:color="auto"/>
        <w:right w:val="none" w:sz="0" w:space="0" w:color="auto"/>
      </w:divBdr>
    </w:div>
    <w:div w:id="1885367620">
      <w:bodyDiv w:val="1"/>
      <w:marLeft w:val="0"/>
      <w:marRight w:val="0"/>
      <w:marTop w:val="0"/>
      <w:marBottom w:val="0"/>
      <w:divBdr>
        <w:top w:val="none" w:sz="0" w:space="0" w:color="auto"/>
        <w:left w:val="none" w:sz="0" w:space="0" w:color="auto"/>
        <w:bottom w:val="none" w:sz="0" w:space="0" w:color="auto"/>
        <w:right w:val="none" w:sz="0" w:space="0" w:color="auto"/>
      </w:divBdr>
      <w:divsChild>
        <w:div w:id="1215432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8E273-493C-4E89-9B41-B86406791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10</Pages>
  <Words>1896</Words>
  <Characters>12823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2025-11-07T16:55:00Z</dcterms:created>
  <dcterms:modified xsi:type="dcterms:W3CDTF">2025-11-08T09:12:00Z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410eb733-15bf-44fe-bd9f-8de0e4fc2fc8</vt:lpwstr>
  </property>
</Properties>
</file>