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3B8C2" w14:textId="6804ED5F" w:rsidR="00810AE2" w:rsidRDefault="00810AE2" w:rsidP="00810AE2">
      <w:pPr>
        <w:pStyle w:val="NormalWeb"/>
        <w:spacing w:before="0" w:beforeAutospacing="0" w:after="0" w:afterAutospacing="0"/>
        <w:ind w:left="-180" w:right="-334"/>
      </w:pPr>
      <w:r>
        <w:rPr>
          <w:noProof/>
        </w:rPr>
        <w:drawing>
          <wp:inline distT="0" distB="0" distL="0" distR="0" wp14:anchorId="00667CF0" wp14:editId="15FB62AB">
            <wp:extent cx="1905000" cy="638175"/>
            <wp:effectExtent l="19050" t="19050" r="19050" b="2857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63E5D0" w14:textId="77777777" w:rsidR="00810AE2" w:rsidRDefault="00810AE2" w:rsidP="00810AE2">
      <w:pPr>
        <w:pStyle w:val="NormalWeb"/>
        <w:spacing w:before="0" w:beforeAutospacing="0" w:after="0" w:afterAutospacing="0"/>
        <w:ind w:left="-180" w:right="-334"/>
      </w:pPr>
    </w:p>
    <w:p w14:paraId="1A741DAE" w14:textId="77777777" w:rsidR="00810AE2" w:rsidRDefault="00810AE2" w:rsidP="00810AE2">
      <w:pPr>
        <w:pStyle w:val="NormalWeb"/>
        <w:spacing w:before="0" w:beforeAutospacing="0" w:after="0" w:afterAutospacing="0"/>
        <w:ind w:left="-180" w:right="-334"/>
      </w:pPr>
    </w:p>
    <w:p w14:paraId="73A349C4" w14:textId="77777777" w:rsidR="00810AE2" w:rsidRDefault="00810AE2" w:rsidP="00810AE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A51CED3" w14:textId="77777777" w:rsidR="00810AE2" w:rsidRPr="00230F35" w:rsidRDefault="00810AE2" w:rsidP="00810AE2">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F7860C7" w14:textId="77777777" w:rsidR="00810AE2" w:rsidRPr="00230F35" w:rsidRDefault="00810AE2" w:rsidP="00810AE2">
      <w:pPr>
        <w:rPr>
          <w:sz w:val="28"/>
          <w:szCs w:val="28"/>
          <w:lang w:val="cy-GB"/>
        </w:rPr>
      </w:pPr>
    </w:p>
    <w:p w14:paraId="182569E4" w14:textId="77777777" w:rsidR="00810AE2" w:rsidRDefault="00810AE2" w:rsidP="00810AE2">
      <w:pPr>
        <w:pStyle w:val="Heading3"/>
        <w:jc w:val="center"/>
        <w:rPr>
          <w:lang w:val="cy-GB"/>
        </w:rPr>
      </w:pPr>
      <w:r>
        <w:rPr>
          <w:lang w:val="cy-GB"/>
        </w:rPr>
        <w:t>THIS SHEET MUST BE THE FIRST PAGE OF THE ASSIGNMENT YOU ARE SUBMITTING  (DO NOT SEND AS A SEPARATE FILE)</w:t>
      </w:r>
    </w:p>
    <w:p w14:paraId="6E5C211F" w14:textId="77777777" w:rsidR="00810AE2" w:rsidRDefault="00810AE2" w:rsidP="00810AE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10AE2" w:rsidRPr="00230F35" w14:paraId="592E5B99" w14:textId="77777777" w:rsidTr="00507581">
        <w:trPr>
          <w:trHeight w:val="614"/>
        </w:trPr>
        <w:tc>
          <w:tcPr>
            <w:tcW w:w="8856" w:type="dxa"/>
            <w:gridSpan w:val="5"/>
          </w:tcPr>
          <w:p w14:paraId="5F6FA589"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10AE2" w:rsidRPr="00230F35" w14:paraId="6F477856" w14:textId="77777777" w:rsidTr="00507581">
        <w:trPr>
          <w:trHeight w:val="718"/>
        </w:trPr>
        <w:tc>
          <w:tcPr>
            <w:tcW w:w="8856" w:type="dxa"/>
            <w:gridSpan w:val="5"/>
          </w:tcPr>
          <w:p w14:paraId="627CECD3"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YING CHING LEE </w:t>
            </w:r>
          </w:p>
          <w:p w14:paraId="6D96383C" w14:textId="77777777" w:rsidR="00810AE2" w:rsidRPr="00230F35" w:rsidRDefault="00810AE2" w:rsidP="00507581">
            <w:pPr>
              <w:pStyle w:val="NormalWeb"/>
              <w:spacing w:before="0" w:beforeAutospacing="0" w:after="0" w:afterAutospacing="0"/>
              <w:ind w:right="34"/>
              <w:rPr>
                <w:rFonts w:ascii="Arial" w:hAnsi="Arial" w:cs="Arial"/>
                <w:sz w:val="22"/>
                <w:szCs w:val="22"/>
              </w:rPr>
            </w:pPr>
          </w:p>
          <w:p w14:paraId="36F850FB"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2126627@ student.uwtsd.ac.uk</w:t>
            </w:r>
          </w:p>
        </w:tc>
      </w:tr>
      <w:tr w:rsidR="00810AE2" w:rsidRPr="00230F35" w14:paraId="4E4E9F46" w14:textId="77777777" w:rsidTr="00507581">
        <w:trPr>
          <w:trHeight w:val="849"/>
        </w:trPr>
        <w:tc>
          <w:tcPr>
            <w:tcW w:w="4788" w:type="dxa"/>
          </w:tcPr>
          <w:p w14:paraId="23E05C34"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HPCA7017</w:t>
            </w:r>
          </w:p>
          <w:p w14:paraId="713DEC29" w14:textId="77777777" w:rsidR="00810AE2" w:rsidRPr="00230F35" w:rsidRDefault="00810AE2" w:rsidP="00507581">
            <w:pPr>
              <w:pStyle w:val="NormalWeb"/>
              <w:spacing w:before="0" w:beforeAutospacing="0" w:after="0" w:afterAutospacing="0"/>
              <w:ind w:right="34"/>
              <w:rPr>
                <w:rFonts w:ascii="Arial" w:hAnsi="Arial" w:cs="Arial"/>
                <w:sz w:val="22"/>
                <w:szCs w:val="22"/>
              </w:rPr>
            </w:pPr>
          </w:p>
          <w:p w14:paraId="6F99E6B7"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7E34E433" w14:textId="77777777" w:rsidR="00810AE2" w:rsidRDefault="00810AE2" w:rsidP="00507581">
            <w:pPr>
              <w:pStyle w:val="NormalWeb"/>
              <w:spacing w:before="0" w:beforeAutospacing="0" w:after="0" w:afterAutospacing="0"/>
              <w:ind w:right="34"/>
              <w:rPr>
                <w:rFonts w:ascii="Arial" w:hAnsi="Arial" w:cs="Arial"/>
                <w:sz w:val="22"/>
                <w:szCs w:val="22"/>
              </w:rPr>
            </w:pPr>
          </w:p>
          <w:p w14:paraId="4E23841E" w14:textId="77777777" w:rsidR="00810AE2" w:rsidRPr="00230F35" w:rsidRDefault="00810AE2" w:rsidP="00507581">
            <w:pPr>
              <w:pStyle w:val="NormalWeb"/>
              <w:spacing w:before="0" w:beforeAutospacing="0" w:after="0" w:afterAutospacing="0"/>
              <w:ind w:right="34"/>
              <w:rPr>
                <w:rFonts w:ascii="Arial" w:hAnsi="Arial" w:cs="Arial"/>
                <w:sz w:val="22"/>
                <w:szCs w:val="22"/>
              </w:rPr>
            </w:pPr>
          </w:p>
        </w:tc>
        <w:tc>
          <w:tcPr>
            <w:tcW w:w="2266" w:type="dxa"/>
            <w:gridSpan w:val="3"/>
          </w:tcPr>
          <w:p w14:paraId="43905C06"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2725F4" w14:textId="77777777" w:rsidR="00810AE2" w:rsidRPr="00230F35" w:rsidRDefault="00810AE2" w:rsidP="00507581">
            <w:pPr>
              <w:pStyle w:val="NormalWeb"/>
              <w:spacing w:before="0" w:beforeAutospacing="0" w:after="0" w:afterAutospacing="0"/>
              <w:ind w:right="34"/>
              <w:rPr>
                <w:rFonts w:ascii="Arial" w:hAnsi="Arial" w:cs="Arial"/>
                <w:sz w:val="22"/>
                <w:szCs w:val="22"/>
              </w:rPr>
            </w:pPr>
            <w:r>
              <w:rPr>
                <w:rFonts w:ascii="Arial" w:hAnsi="Arial" w:cs="Arial"/>
                <w:sz w:val="22"/>
                <w:szCs w:val="22"/>
              </w:rPr>
              <w:t>2126627</w:t>
            </w:r>
          </w:p>
        </w:tc>
        <w:tc>
          <w:tcPr>
            <w:tcW w:w="1802" w:type="dxa"/>
          </w:tcPr>
          <w:p w14:paraId="3CE7B7F7"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0894CA8"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810AE2" w:rsidRPr="0020454F" w14:paraId="5B29F5F2" w14:textId="77777777" w:rsidTr="00507581">
        <w:trPr>
          <w:trHeight w:val="1139"/>
        </w:trPr>
        <w:tc>
          <w:tcPr>
            <w:tcW w:w="8856" w:type="dxa"/>
            <w:gridSpan w:val="5"/>
          </w:tcPr>
          <w:p w14:paraId="4AE326E0" w14:textId="260C7EB2" w:rsidR="0020454F" w:rsidRPr="00230F35" w:rsidRDefault="00810AE2" w:rsidP="002045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20454F" w:rsidRPr="0020454F">
              <w:rPr>
                <w:rFonts w:ascii="Arial" w:hAnsi="Arial" w:cs="Arial"/>
                <w:sz w:val="22"/>
                <w:szCs w:val="22"/>
              </w:rPr>
              <w:t>Consider the impact of non-western astrology (Chinese) on</w:t>
            </w:r>
            <w:r w:rsidR="0020454F">
              <w:rPr>
                <w:rFonts w:ascii="Arial" w:hAnsi="Arial" w:cs="Arial"/>
                <w:sz w:val="22"/>
                <w:szCs w:val="22"/>
              </w:rPr>
              <w:t xml:space="preserve"> </w:t>
            </w:r>
            <w:r w:rsidR="0020454F" w:rsidRPr="0020454F">
              <w:rPr>
                <w:rFonts w:ascii="Arial" w:hAnsi="Arial" w:cs="Arial"/>
                <w:sz w:val="22"/>
                <w:szCs w:val="22"/>
              </w:rPr>
              <w:t>western astrology in the post-classical world (after 500 CE).</w:t>
            </w:r>
          </w:p>
          <w:p w14:paraId="11FE3637" w14:textId="77777777" w:rsidR="00810AE2" w:rsidRPr="00230F35" w:rsidRDefault="00810AE2" w:rsidP="00507581">
            <w:pPr>
              <w:pStyle w:val="NormalWeb"/>
              <w:spacing w:before="0" w:beforeAutospacing="0" w:after="0" w:afterAutospacing="0"/>
              <w:ind w:right="34"/>
              <w:rPr>
                <w:rFonts w:ascii="Arial" w:hAnsi="Arial" w:cs="Arial"/>
                <w:sz w:val="22"/>
                <w:szCs w:val="22"/>
              </w:rPr>
            </w:pPr>
          </w:p>
          <w:p w14:paraId="60729839" w14:textId="77777777" w:rsidR="00810AE2" w:rsidRDefault="00810AE2" w:rsidP="00507581">
            <w:pPr>
              <w:pStyle w:val="NormalWeb"/>
              <w:spacing w:before="0" w:beforeAutospacing="0" w:after="0" w:afterAutospacing="0"/>
              <w:ind w:right="34"/>
              <w:rPr>
                <w:rFonts w:ascii="Arial" w:hAnsi="Arial" w:cs="Arial"/>
                <w:sz w:val="22"/>
                <w:szCs w:val="22"/>
              </w:rPr>
            </w:pPr>
          </w:p>
          <w:p w14:paraId="27469E0C" w14:textId="429A0AC3"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w:t>
            </w:r>
            <w:r w:rsidR="0020454F">
              <w:rPr>
                <w:rFonts w:ascii="Arial" w:hAnsi="Arial" w:cs="Arial"/>
                <w:sz w:val="22"/>
                <w:szCs w:val="22"/>
              </w:rPr>
              <w:t>8</w:t>
            </w:r>
            <w:r w:rsidR="0020454F" w:rsidRPr="0020454F">
              <w:rPr>
                <w:rFonts w:ascii="Arial" w:hAnsi="Arial" w:cs="Arial"/>
                <w:sz w:val="22"/>
                <w:szCs w:val="22"/>
                <w:vertAlign w:val="superscript"/>
              </w:rPr>
              <w:t>th</w:t>
            </w:r>
            <w:r w:rsidR="0020454F">
              <w:rPr>
                <w:rFonts w:ascii="Arial" w:hAnsi="Arial" w:cs="Arial"/>
                <w:sz w:val="22"/>
                <w:szCs w:val="22"/>
              </w:rPr>
              <w:t xml:space="preserve"> </w:t>
            </w:r>
            <w:r>
              <w:rPr>
                <w:rFonts w:ascii="Arial" w:hAnsi="Arial" w:cs="Arial"/>
                <w:sz w:val="22"/>
                <w:szCs w:val="22"/>
              </w:rPr>
              <w:t>April, 2022</w:t>
            </w:r>
          </w:p>
        </w:tc>
      </w:tr>
      <w:tr w:rsidR="00810AE2" w:rsidRPr="00230F35" w14:paraId="1E35EE64" w14:textId="77777777" w:rsidTr="00507581">
        <w:trPr>
          <w:trHeight w:val="978"/>
        </w:trPr>
        <w:tc>
          <w:tcPr>
            <w:tcW w:w="8856" w:type="dxa"/>
            <w:gridSpan w:val="5"/>
            <w:tcBorders>
              <w:bottom w:val="single" w:sz="4" w:space="0" w:color="000000"/>
            </w:tcBorders>
          </w:tcPr>
          <w:p w14:paraId="73CD189B" w14:textId="77777777" w:rsidR="00810AE2" w:rsidRPr="00230F35" w:rsidRDefault="00810AE2" w:rsidP="00507581">
            <w:r w:rsidRPr="00230F35">
              <w:t>This assignment is for the       1</w:t>
            </w:r>
            <w:r w:rsidRPr="00230F35">
              <w:rPr>
                <w:vertAlign w:val="superscript"/>
              </w:rPr>
              <w:t xml:space="preserve">st </w:t>
            </w:r>
            <w:r>
              <w:fldChar w:fldCharType="begin">
                <w:ffData>
                  <w:name w:val="Check13"/>
                  <w:enabled/>
                  <w:calcOnExit w:val="0"/>
                  <w:checkBox>
                    <w:sizeAuto/>
                    <w:default w:val="1"/>
                  </w:checkBox>
                </w:ffData>
              </w:fldChar>
            </w:r>
            <w:bookmarkStart w:id="0" w:name="Check13"/>
            <w:r>
              <w:instrText xml:space="preserve"> FORMCHECKBOX </w:instrText>
            </w:r>
            <w:r w:rsidR="00E53E83">
              <w:fldChar w:fldCharType="separate"/>
            </w:r>
            <w:r>
              <w:fldChar w:fldCharType="end"/>
            </w:r>
            <w:bookmarkEnd w:id="0"/>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1" w:name="Check14"/>
            <w:r w:rsidRPr="00230F35">
              <w:instrText xml:space="preserve"> FORMCHECKBOX </w:instrText>
            </w:r>
            <w:r w:rsidR="00E53E83">
              <w:fldChar w:fldCharType="separate"/>
            </w:r>
            <w:r w:rsidRPr="00230F35">
              <w:fldChar w:fldCharType="end"/>
            </w:r>
            <w:bookmarkEnd w:id="1"/>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2" w:name="Check15"/>
            <w:r w:rsidRPr="00230F35">
              <w:instrText xml:space="preserve"> FORMCHECKBOX </w:instrText>
            </w:r>
            <w:r w:rsidR="00E53E83">
              <w:fldChar w:fldCharType="separate"/>
            </w:r>
            <w:r w:rsidRPr="00230F35">
              <w:fldChar w:fldCharType="end"/>
            </w:r>
            <w:bookmarkEnd w:id="2"/>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3" w:name="Check16"/>
            <w:r w:rsidRPr="00230F35">
              <w:instrText xml:space="preserve"> FORMCHECKBOX </w:instrText>
            </w:r>
            <w:r w:rsidR="00E53E83">
              <w:fldChar w:fldCharType="separate"/>
            </w:r>
            <w:r w:rsidRPr="00230F35">
              <w:fldChar w:fldCharType="end"/>
            </w:r>
            <w:bookmarkEnd w:id="3"/>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4" w:name="Check17"/>
            <w:r w:rsidRPr="00230F35">
              <w:instrText xml:space="preserve"> FORMCHECKBOX </w:instrText>
            </w:r>
            <w:r w:rsidR="00E53E83">
              <w:fldChar w:fldCharType="separate"/>
            </w:r>
            <w:r w:rsidRPr="00230F35">
              <w:fldChar w:fldCharType="end"/>
            </w:r>
            <w:bookmarkEnd w:id="4"/>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5" w:name="Check18"/>
            <w:r w:rsidRPr="00230F35">
              <w:instrText xml:space="preserve"> FORMCHECKBOX </w:instrText>
            </w:r>
            <w:r w:rsidR="00E53E83">
              <w:fldChar w:fldCharType="separate"/>
            </w:r>
            <w:r w:rsidRPr="00230F35">
              <w:fldChar w:fldCharType="end"/>
            </w:r>
            <w:bookmarkEnd w:id="5"/>
            <w:r w:rsidRPr="00230F35">
              <w:rPr>
                <w:b/>
              </w:rPr>
              <w:t xml:space="preserve">   </w:t>
            </w:r>
            <w:r w:rsidRPr="00230F35">
              <w:t>module of the degre</w:t>
            </w:r>
            <w:r>
              <w:t>e</w:t>
            </w:r>
          </w:p>
        </w:tc>
      </w:tr>
      <w:tr w:rsidR="00810AE2" w:rsidRPr="00230F35" w14:paraId="7D774C6D" w14:textId="77777777" w:rsidTr="00507581">
        <w:trPr>
          <w:trHeight w:val="978"/>
        </w:trPr>
        <w:tc>
          <w:tcPr>
            <w:tcW w:w="8856" w:type="dxa"/>
            <w:gridSpan w:val="5"/>
            <w:shd w:val="clear" w:color="auto" w:fill="D9D9D9"/>
          </w:tcPr>
          <w:p w14:paraId="16074461" w14:textId="77777777" w:rsidR="00810AE2" w:rsidRPr="00230F35"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FD6ECBE" w14:textId="77777777" w:rsidR="00810AE2" w:rsidRDefault="00810AE2" w:rsidP="0050758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Ying Ching Lee</w:t>
            </w:r>
            <w:r w:rsidRPr="00230F35">
              <w:rPr>
                <w:rFonts w:ascii="Arial" w:hAnsi="Arial" w:cs="Arial"/>
                <w:sz w:val="22"/>
                <w:szCs w:val="22"/>
              </w:rPr>
              <w:t>…………………………………………</w:t>
            </w:r>
          </w:p>
          <w:p w14:paraId="63451501" w14:textId="77777777" w:rsidR="00810AE2" w:rsidRDefault="00810AE2" w:rsidP="0050758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6C43BB5A" w14:textId="77777777" w:rsidR="00810AE2" w:rsidRPr="00230F35" w:rsidRDefault="00810AE2" w:rsidP="00507581">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810AE2" w:rsidRPr="00230F35" w14:paraId="2F541FB9" w14:textId="77777777" w:rsidTr="00507581">
        <w:trPr>
          <w:trHeight w:val="3972"/>
        </w:trPr>
        <w:tc>
          <w:tcPr>
            <w:tcW w:w="8856" w:type="dxa"/>
            <w:gridSpan w:val="5"/>
          </w:tcPr>
          <w:p w14:paraId="64BBDE9E" w14:textId="77777777" w:rsidR="00810AE2" w:rsidRDefault="00810AE2" w:rsidP="00507581">
            <w:pPr>
              <w:rPr>
                <w:b/>
              </w:rPr>
            </w:pPr>
          </w:p>
          <w:p w14:paraId="16583854" w14:textId="77777777" w:rsidR="00810AE2" w:rsidRPr="00116CE6" w:rsidRDefault="00810AE2" w:rsidP="00507581">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10AE2" w:rsidRPr="00116CE6" w14:paraId="2BA14B1D" w14:textId="77777777" w:rsidTr="00507581">
              <w:tc>
                <w:tcPr>
                  <w:tcW w:w="6970" w:type="dxa"/>
                </w:tcPr>
                <w:p w14:paraId="5175BBB1" w14:textId="77777777" w:rsidR="00810AE2" w:rsidRPr="00116CE6" w:rsidRDefault="00810AE2" w:rsidP="00507581">
                  <w:pPr>
                    <w:rPr>
                      <w:sz w:val="20"/>
                      <w:szCs w:val="20"/>
                    </w:rPr>
                  </w:pPr>
                </w:p>
                <w:p w14:paraId="2CAE5297" w14:textId="77777777" w:rsidR="00810AE2" w:rsidRPr="00116CE6" w:rsidRDefault="00810AE2" w:rsidP="00507581">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36A323CD" w14:textId="77777777" w:rsidR="00810AE2" w:rsidRPr="00116CE6" w:rsidRDefault="00810AE2" w:rsidP="00507581">
                  <w:pPr>
                    <w:rPr>
                      <w:sz w:val="20"/>
                      <w:szCs w:val="20"/>
                    </w:rPr>
                  </w:pPr>
                </w:p>
              </w:tc>
            </w:tr>
            <w:tr w:rsidR="00810AE2" w:rsidRPr="00116CE6" w14:paraId="149489DF" w14:textId="77777777" w:rsidTr="00507581">
              <w:tc>
                <w:tcPr>
                  <w:tcW w:w="6970" w:type="dxa"/>
                </w:tcPr>
                <w:p w14:paraId="65CB50A1" w14:textId="77777777" w:rsidR="00810AE2" w:rsidRPr="00116CE6" w:rsidRDefault="00810AE2" w:rsidP="00507581">
                  <w:pPr>
                    <w:rPr>
                      <w:sz w:val="20"/>
                      <w:szCs w:val="20"/>
                    </w:rPr>
                  </w:pPr>
                </w:p>
                <w:p w14:paraId="43E11A10" w14:textId="77777777" w:rsidR="00810AE2" w:rsidRPr="00116CE6" w:rsidRDefault="00810AE2" w:rsidP="00507581">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2DB1AF08" w14:textId="77777777" w:rsidR="00810AE2" w:rsidRPr="00116CE6" w:rsidRDefault="00810AE2" w:rsidP="00507581">
                  <w:pPr>
                    <w:rPr>
                      <w:sz w:val="20"/>
                      <w:szCs w:val="20"/>
                    </w:rPr>
                  </w:pPr>
                </w:p>
              </w:tc>
            </w:tr>
            <w:tr w:rsidR="00810AE2" w:rsidRPr="00116CE6" w14:paraId="69DAEAE2" w14:textId="77777777" w:rsidTr="00507581">
              <w:tc>
                <w:tcPr>
                  <w:tcW w:w="6970" w:type="dxa"/>
                </w:tcPr>
                <w:p w14:paraId="2179D9D3" w14:textId="77777777" w:rsidR="00810AE2" w:rsidRPr="00116CE6" w:rsidRDefault="00810AE2" w:rsidP="00507581">
                  <w:pPr>
                    <w:rPr>
                      <w:sz w:val="20"/>
                      <w:szCs w:val="20"/>
                    </w:rPr>
                  </w:pPr>
                </w:p>
                <w:p w14:paraId="5AA634C4" w14:textId="77777777" w:rsidR="00810AE2" w:rsidRPr="00116CE6" w:rsidRDefault="00810AE2" w:rsidP="00507581">
                  <w:pPr>
                    <w:rPr>
                      <w:sz w:val="20"/>
                      <w:szCs w:val="20"/>
                    </w:rPr>
                  </w:pPr>
                  <w:r w:rsidRPr="00116CE6">
                    <w:rPr>
                      <w:sz w:val="20"/>
                      <w:szCs w:val="20"/>
                    </w:rPr>
                    <w:t>External Examiner’s mark</w:t>
                  </w:r>
                  <w:r>
                    <w:rPr>
                      <w:sz w:val="20"/>
                      <w:szCs w:val="20"/>
                    </w:rPr>
                    <w:t xml:space="preserve"> (if relevant)</w:t>
                  </w:r>
                </w:p>
              </w:tc>
              <w:tc>
                <w:tcPr>
                  <w:tcW w:w="1660" w:type="dxa"/>
                </w:tcPr>
                <w:p w14:paraId="35431720" w14:textId="77777777" w:rsidR="00810AE2" w:rsidRPr="00116CE6" w:rsidRDefault="00810AE2" w:rsidP="00507581">
                  <w:pPr>
                    <w:rPr>
                      <w:sz w:val="20"/>
                      <w:szCs w:val="20"/>
                    </w:rPr>
                  </w:pPr>
                </w:p>
              </w:tc>
            </w:tr>
            <w:tr w:rsidR="00810AE2" w:rsidRPr="00116CE6" w14:paraId="4649821E" w14:textId="77777777" w:rsidTr="00507581">
              <w:tc>
                <w:tcPr>
                  <w:tcW w:w="6970" w:type="dxa"/>
                </w:tcPr>
                <w:p w14:paraId="0E71CC27" w14:textId="77777777" w:rsidR="00810AE2" w:rsidRDefault="00810AE2" w:rsidP="00507581">
                  <w:pPr>
                    <w:rPr>
                      <w:sz w:val="20"/>
                      <w:szCs w:val="20"/>
                    </w:rPr>
                  </w:pPr>
                </w:p>
                <w:p w14:paraId="3EB1A4CC" w14:textId="77777777" w:rsidR="00810AE2" w:rsidRPr="00022345" w:rsidRDefault="00810AE2" w:rsidP="00507581">
                  <w:pPr>
                    <w:rPr>
                      <w:b/>
                      <w:sz w:val="20"/>
                      <w:szCs w:val="20"/>
                    </w:rPr>
                  </w:pPr>
                  <w:r w:rsidRPr="00022345">
                    <w:rPr>
                      <w:b/>
                      <w:sz w:val="20"/>
                      <w:szCs w:val="20"/>
                    </w:rPr>
                    <w:t>Final Mark</w:t>
                  </w:r>
                </w:p>
                <w:p w14:paraId="400BFB87" w14:textId="77777777" w:rsidR="00810AE2" w:rsidRPr="00116CE6" w:rsidRDefault="00810AE2" w:rsidP="00507581">
                  <w:pPr>
                    <w:rPr>
                      <w:sz w:val="20"/>
                      <w:szCs w:val="20"/>
                    </w:rPr>
                  </w:pPr>
                </w:p>
              </w:tc>
              <w:tc>
                <w:tcPr>
                  <w:tcW w:w="1660" w:type="dxa"/>
                </w:tcPr>
                <w:p w14:paraId="26BD4695" w14:textId="77777777" w:rsidR="00810AE2" w:rsidRPr="00116CE6" w:rsidRDefault="00810AE2" w:rsidP="00507581">
                  <w:pPr>
                    <w:rPr>
                      <w:sz w:val="20"/>
                      <w:szCs w:val="20"/>
                    </w:rPr>
                  </w:pPr>
                </w:p>
              </w:tc>
            </w:tr>
          </w:tbl>
          <w:p w14:paraId="0D119763" w14:textId="77777777" w:rsidR="00810AE2" w:rsidRDefault="00810AE2" w:rsidP="00507581">
            <w:pPr>
              <w:pStyle w:val="NormalWeb"/>
              <w:spacing w:before="0" w:beforeAutospacing="0" w:after="0" w:afterAutospacing="0"/>
              <w:ind w:left="142" w:right="34"/>
              <w:rPr>
                <w:rFonts w:ascii="Arial" w:hAnsi="Arial" w:cs="Arial"/>
                <w:b/>
                <w:sz w:val="22"/>
                <w:szCs w:val="22"/>
              </w:rPr>
            </w:pPr>
          </w:p>
          <w:p w14:paraId="76E96650" w14:textId="77777777" w:rsidR="00810AE2" w:rsidRPr="00230F35" w:rsidRDefault="00810AE2" w:rsidP="0050758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306F17D" w14:textId="77777777" w:rsidR="00810AE2" w:rsidRDefault="00810AE2" w:rsidP="00507581">
            <w:pPr>
              <w:pStyle w:val="NormalWeb"/>
              <w:spacing w:before="0" w:beforeAutospacing="0" w:after="0" w:afterAutospacing="0"/>
              <w:rPr>
                <w:rFonts w:ascii="Arial" w:hAnsi="Arial" w:cs="Arial"/>
                <w:b/>
                <w:sz w:val="22"/>
                <w:szCs w:val="22"/>
              </w:rPr>
            </w:pPr>
          </w:p>
          <w:p w14:paraId="6C6B2DF0" w14:textId="77777777" w:rsidR="00810AE2" w:rsidRDefault="00810AE2" w:rsidP="00507581">
            <w:pPr>
              <w:pStyle w:val="NormalWeb"/>
              <w:spacing w:before="0" w:beforeAutospacing="0" w:after="0" w:afterAutospacing="0"/>
              <w:rPr>
                <w:rFonts w:ascii="Arial" w:hAnsi="Arial" w:cs="Arial"/>
                <w:b/>
                <w:sz w:val="22"/>
                <w:szCs w:val="22"/>
              </w:rPr>
            </w:pPr>
          </w:p>
          <w:p w14:paraId="66CE2ED2" w14:textId="77777777" w:rsidR="00810AE2" w:rsidRDefault="00810AE2" w:rsidP="00507581">
            <w:pPr>
              <w:pStyle w:val="NormalWeb"/>
              <w:spacing w:before="0" w:beforeAutospacing="0" w:after="0" w:afterAutospacing="0"/>
              <w:rPr>
                <w:rFonts w:ascii="Arial" w:hAnsi="Arial" w:cs="Arial"/>
                <w:b/>
                <w:sz w:val="22"/>
                <w:szCs w:val="22"/>
              </w:rPr>
            </w:pPr>
          </w:p>
          <w:p w14:paraId="0EE71804" w14:textId="77777777" w:rsidR="00810AE2" w:rsidRDefault="00810AE2" w:rsidP="00507581">
            <w:pPr>
              <w:pStyle w:val="NormalWeb"/>
              <w:spacing w:before="0" w:beforeAutospacing="0" w:after="0" w:afterAutospacing="0"/>
              <w:rPr>
                <w:rFonts w:ascii="Arial" w:hAnsi="Arial" w:cs="Arial"/>
                <w:b/>
                <w:sz w:val="22"/>
                <w:szCs w:val="22"/>
              </w:rPr>
            </w:pPr>
          </w:p>
          <w:p w14:paraId="5291103E" w14:textId="77777777" w:rsidR="00810AE2" w:rsidRDefault="00810AE2" w:rsidP="00507581">
            <w:pPr>
              <w:pStyle w:val="NormalWeb"/>
              <w:spacing w:before="0" w:beforeAutospacing="0" w:after="0" w:afterAutospacing="0"/>
              <w:rPr>
                <w:rFonts w:ascii="Arial" w:hAnsi="Arial" w:cs="Arial"/>
                <w:b/>
                <w:sz w:val="22"/>
                <w:szCs w:val="22"/>
              </w:rPr>
            </w:pPr>
          </w:p>
          <w:p w14:paraId="2228FC9B" w14:textId="77777777" w:rsidR="00810AE2" w:rsidRPr="00230F35" w:rsidRDefault="00810AE2" w:rsidP="0050758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96F973C" w14:textId="77777777" w:rsidR="00810AE2" w:rsidRDefault="00810AE2" w:rsidP="0050758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90992DD" w14:textId="77777777" w:rsidR="00810AE2" w:rsidRPr="00001C3B" w:rsidRDefault="00810AE2" w:rsidP="00507581">
            <w:pPr>
              <w:pStyle w:val="NormalWeb"/>
              <w:rPr>
                <w:rFonts w:ascii="Arial" w:hAnsi="Arial" w:cs="Arial"/>
                <w:sz w:val="22"/>
                <w:szCs w:val="22"/>
              </w:rPr>
            </w:pPr>
          </w:p>
        </w:tc>
      </w:tr>
      <w:tr w:rsidR="00810AE2" w:rsidRPr="00230F35" w14:paraId="3B9A0652" w14:textId="77777777" w:rsidTr="00507581">
        <w:trPr>
          <w:trHeight w:val="492"/>
        </w:trPr>
        <w:tc>
          <w:tcPr>
            <w:tcW w:w="6768" w:type="dxa"/>
            <w:gridSpan w:val="3"/>
          </w:tcPr>
          <w:p w14:paraId="4951C436" w14:textId="77777777" w:rsidR="00810AE2" w:rsidRPr="00230F35" w:rsidRDefault="00810AE2" w:rsidP="0050758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0E13ACF" w14:textId="77777777" w:rsidR="00810AE2" w:rsidRPr="00230F35" w:rsidRDefault="00810AE2" w:rsidP="00507581">
            <w:pPr>
              <w:pStyle w:val="NormalWeb"/>
              <w:spacing w:after="0"/>
              <w:ind w:left="142" w:right="34"/>
              <w:rPr>
                <w:rFonts w:ascii="Arial" w:hAnsi="Arial" w:cs="Arial"/>
                <w:sz w:val="22"/>
                <w:szCs w:val="22"/>
              </w:rPr>
            </w:pPr>
            <w:r w:rsidRPr="00230F35">
              <w:rPr>
                <w:rFonts w:ascii="Arial" w:hAnsi="Arial" w:cs="Arial"/>
                <w:sz w:val="22"/>
                <w:szCs w:val="22"/>
              </w:rPr>
              <w:t>Date:</w:t>
            </w:r>
          </w:p>
        </w:tc>
      </w:tr>
      <w:tr w:rsidR="00810AE2" w:rsidRPr="002F467C" w14:paraId="7F89D2CD" w14:textId="77777777" w:rsidTr="00507581">
        <w:tc>
          <w:tcPr>
            <w:tcW w:w="8856" w:type="dxa"/>
            <w:gridSpan w:val="5"/>
          </w:tcPr>
          <w:p w14:paraId="1EF13994" w14:textId="77777777" w:rsidR="00810AE2" w:rsidRPr="00230F35" w:rsidRDefault="00810AE2" w:rsidP="00507581">
            <w:pPr>
              <w:pStyle w:val="NormalWeb"/>
              <w:spacing w:before="0" w:beforeAutospacing="0" w:after="0" w:afterAutospacing="0"/>
              <w:ind w:right="-334"/>
              <w:rPr>
                <w:rFonts w:ascii="Arial" w:hAnsi="Arial" w:cs="Arial"/>
                <w:bCs/>
                <w:i/>
                <w:sz w:val="22"/>
                <w:szCs w:val="22"/>
              </w:rPr>
            </w:pPr>
          </w:p>
          <w:p w14:paraId="273AA8AD" w14:textId="77777777" w:rsidR="00810AE2" w:rsidRPr="00230F35" w:rsidRDefault="00810AE2" w:rsidP="0050758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065BA62" w14:textId="77777777" w:rsidR="00810AE2" w:rsidRPr="00230F35" w:rsidRDefault="00810AE2" w:rsidP="00507581">
            <w:pPr>
              <w:pStyle w:val="NormalWeb"/>
              <w:spacing w:before="0" w:beforeAutospacing="0" w:after="0" w:afterAutospacing="0"/>
              <w:ind w:right="-334"/>
              <w:rPr>
                <w:rFonts w:ascii="Arial" w:hAnsi="Arial" w:cs="Arial"/>
                <w:b/>
                <w:bCs/>
                <w:sz w:val="22"/>
                <w:szCs w:val="22"/>
              </w:rPr>
            </w:pPr>
          </w:p>
          <w:p w14:paraId="29AC0AA9"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4821ACB1"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054EFDE7"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26F4BC7"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2BAE85C" w14:textId="77777777" w:rsidR="00810AE2" w:rsidRDefault="00810AE2" w:rsidP="00507581">
            <w:pPr>
              <w:pStyle w:val="NormalWeb"/>
              <w:spacing w:before="0" w:beforeAutospacing="0" w:after="0" w:afterAutospacing="0"/>
              <w:ind w:right="-334"/>
              <w:rPr>
                <w:rFonts w:ascii="Arial" w:hAnsi="Arial" w:cs="Arial"/>
                <w:bCs/>
                <w:sz w:val="22"/>
                <w:szCs w:val="22"/>
              </w:rPr>
            </w:pPr>
          </w:p>
          <w:p w14:paraId="1770EDD0"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625FF69D"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1684CBC4"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tc>
      </w:tr>
      <w:tr w:rsidR="00810AE2" w:rsidRPr="002F467C" w14:paraId="2B93D6EA" w14:textId="77777777" w:rsidTr="00507581">
        <w:trPr>
          <w:trHeight w:val="720"/>
        </w:trPr>
        <w:tc>
          <w:tcPr>
            <w:tcW w:w="5211" w:type="dxa"/>
            <w:gridSpan w:val="2"/>
          </w:tcPr>
          <w:p w14:paraId="6568EFF1"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5C9D8EE"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10AE2" w:rsidRPr="002F467C" w14:paraId="512B696B" w14:textId="77777777" w:rsidTr="00507581">
        <w:trPr>
          <w:trHeight w:val="720"/>
        </w:trPr>
        <w:tc>
          <w:tcPr>
            <w:tcW w:w="8856" w:type="dxa"/>
            <w:gridSpan w:val="5"/>
          </w:tcPr>
          <w:p w14:paraId="61A8882D" w14:textId="77777777" w:rsidR="00810AE2" w:rsidRPr="00B34964" w:rsidRDefault="00810AE2" w:rsidP="00507581">
            <w:pPr>
              <w:rPr>
                <w:b/>
              </w:rPr>
            </w:pPr>
            <w:r w:rsidRPr="00B34964">
              <w:rPr>
                <w:b/>
              </w:rPr>
              <w:t>External Examiner’s comments (if relevant)</w:t>
            </w:r>
          </w:p>
          <w:p w14:paraId="197D16E5"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3E19218"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3FAE7BBC"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23CDAD0C"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24745F5B" w14:textId="77777777" w:rsidR="00810AE2" w:rsidRDefault="00810AE2" w:rsidP="00507581">
            <w:pPr>
              <w:pStyle w:val="NormalWeb"/>
              <w:spacing w:before="0" w:beforeAutospacing="0" w:after="0" w:afterAutospacing="0"/>
              <w:ind w:right="-334"/>
              <w:rPr>
                <w:rFonts w:ascii="Arial" w:hAnsi="Arial" w:cs="Arial"/>
                <w:bCs/>
                <w:sz w:val="22"/>
                <w:szCs w:val="22"/>
              </w:rPr>
            </w:pPr>
          </w:p>
          <w:p w14:paraId="1F7AF02A"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p w14:paraId="4A5C4762" w14:textId="77777777" w:rsidR="00810AE2" w:rsidRPr="00230F35" w:rsidRDefault="00810AE2" w:rsidP="00507581">
            <w:pPr>
              <w:pStyle w:val="NormalWeb"/>
              <w:spacing w:before="0" w:beforeAutospacing="0" w:after="0" w:afterAutospacing="0"/>
              <w:ind w:right="-334"/>
              <w:rPr>
                <w:rFonts w:ascii="Arial" w:hAnsi="Arial" w:cs="Arial"/>
                <w:bCs/>
                <w:sz w:val="22"/>
                <w:szCs w:val="22"/>
              </w:rPr>
            </w:pPr>
          </w:p>
        </w:tc>
      </w:tr>
      <w:tr w:rsidR="00810AE2" w:rsidRPr="002F467C" w14:paraId="4698E295" w14:textId="77777777" w:rsidTr="00507581">
        <w:trPr>
          <w:trHeight w:val="720"/>
        </w:trPr>
        <w:tc>
          <w:tcPr>
            <w:tcW w:w="5211" w:type="dxa"/>
            <w:gridSpan w:val="2"/>
          </w:tcPr>
          <w:p w14:paraId="09782084" w14:textId="77777777" w:rsidR="00810AE2" w:rsidRPr="00230F35" w:rsidRDefault="00810AE2" w:rsidP="00507581">
            <w:r w:rsidRPr="00230F35">
              <w:t>External Examiner’s Signature:</w:t>
            </w:r>
          </w:p>
        </w:tc>
        <w:tc>
          <w:tcPr>
            <w:tcW w:w="3645" w:type="dxa"/>
            <w:gridSpan w:val="3"/>
          </w:tcPr>
          <w:p w14:paraId="608417FB" w14:textId="77777777" w:rsidR="00810AE2" w:rsidRPr="00230F35" w:rsidRDefault="00810AE2" w:rsidP="00507581">
            <w:r w:rsidRPr="00230F35">
              <w:t>Date:</w:t>
            </w:r>
          </w:p>
        </w:tc>
      </w:tr>
    </w:tbl>
    <w:p w14:paraId="135C9392" w14:textId="1E2132B8" w:rsidR="00810AE2" w:rsidRDefault="00CA35E1">
      <w:pPr>
        <w:spacing w:before="240" w:after="240"/>
        <w:rPr>
          <w:b/>
        </w:rPr>
      </w:pPr>
      <w:r>
        <w:rPr>
          <w:b/>
        </w:rPr>
        <w:lastRenderedPageBreak/>
        <w:t>INTRODUCTION</w:t>
      </w:r>
    </w:p>
    <w:p w14:paraId="00000003" w14:textId="475C6CA2" w:rsidR="00C54303" w:rsidRPr="00B37516" w:rsidRDefault="00B37516" w:rsidP="0065530C">
      <w:pPr>
        <w:pStyle w:val="Bibliography"/>
        <w:spacing w:line="276" w:lineRule="auto"/>
        <w:ind w:left="0" w:firstLine="0"/>
      </w:pPr>
      <w:r w:rsidRPr="00B37516">
        <w:t xml:space="preserve">Since the </w:t>
      </w:r>
      <w:r w:rsidR="00BD2CE9">
        <w:t xml:space="preserve">earliest known </w:t>
      </w:r>
      <w:r w:rsidR="000C04A1">
        <w:t xml:space="preserve">establishment of the </w:t>
      </w:r>
      <w:r w:rsidRPr="00B37516">
        <w:t>Silk Road around 200 BCE China</w:t>
      </w:r>
      <w:r>
        <w:t>,</w:t>
      </w:r>
      <w:r w:rsidR="005E2D17">
        <w:rPr>
          <w:rStyle w:val="FootnoteReference"/>
        </w:rPr>
        <w:footnoteReference w:id="1"/>
      </w:r>
      <w:r>
        <w:t xml:space="preserve"> </w:t>
      </w:r>
      <w:r w:rsidR="00CA35E1">
        <w:t xml:space="preserve">travelers navigated by </w:t>
      </w:r>
      <w:r w:rsidR="001C58DA">
        <w:t xml:space="preserve">the </w:t>
      </w:r>
      <w:r w:rsidR="00CA35E1">
        <w:t>stars</w:t>
      </w:r>
      <w:r w:rsidR="001C58DA">
        <w:t xml:space="preserve"> and planets</w:t>
      </w:r>
      <w:r w:rsidR="00CA35E1">
        <w:t xml:space="preserve"> to each other through deserts, </w:t>
      </w:r>
      <w:r w:rsidR="00CA3723">
        <w:t>caravanserais,</w:t>
      </w:r>
      <w:r w:rsidR="00CA35E1">
        <w:t xml:space="preserve"> and cities. Under the same sky across Eurasia, cultures developed different interpretations and meanings </w:t>
      </w:r>
      <w:r w:rsidR="00CA3723">
        <w:t>of the</w:t>
      </w:r>
      <w:r w:rsidR="00CA35E1">
        <w:t xml:space="preserve"> celestial patterns in the sky, seeking harmony between Heaven (Celestials), Earth (Terrestrials) and Humanity. Astrology was developed alongside astronomy to provide a system of reason and rationale to help people make sense of </w:t>
      </w:r>
      <w:r w:rsidR="00351AC3">
        <w:t>life’s</w:t>
      </w:r>
      <w:r w:rsidR="00CA35E1">
        <w:t xml:space="preserve"> uncertainties. In both China and in the West, culturally unique celestial interpretation systems formed with different cosmological, cultural, and historical worldviews</w:t>
      </w:r>
      <w:r w:rsidR="00F073D1">
        <w:t>.</w:t>
      </w:r>
      <w:r w:rsidR="007962EA">
        <w:t xml:space="preserve"> </w:t>
      </w:r>
      <w:r w:rsidR="00F073D1">
        <w:t>A</w:t>
      </w:r>
      <w:r w:rsidR="00AB6058">
        <w:t>t some point</w:t>
      </w:r>
      <w:r w:rsidR="00F073D1">
        <w:t xml:space="preserve"> in history, they seem to come together</w:t>
      </w:r>
      <w:r w:rsidR="00AB6058">
        <w:t xml:space="preserve"> with </w:t>
      </w:r>
      <w:r w:rsidR="00F073D1">
        <w:t>a</w:t>
      </w:r>
      <w:r w:rsidR="00AB6058">
        <w:t xml:space="preserve"> common theme </w:t>
      </w:r>
      <w:r w:rsidR="00C137F9">
        <w:t>with</w:t>
      </w:r>
      <w:r w:rsidR="00AB6058">
        <w:t xml:space="preserve"> </w:t>
      </w:r>
      <w:r w:rsidR="00F073D1">
        <w:t>the concept</w:t>
      </w:r>
      <w:r w:rsidR="00C137F9">
        <w:t>s</w:t>
      </w:r>
      <w:r w:rsidR="00F073D1">
        <w:t xml:space="preserve"> </w:t>
      </w:r>
      <w:r w:rsidR="00C137F9">
        <w:t xml:space="preserve">of </w:t>
      </w:r>
      <w:r w:rsidR="00AB6058">
        <w:t>Harmony</w:t>
      </w:r>
      <w:r w:rsidR="00CA35E1">
        <w:t>. The aim of th</w:t>
      </w:r>
      <w:r w:rsidR="00EE2F7D">
        <w:t>is</w:t>
      </w:r>
      <w:r w:rsidR="00CA35E1">
        <w:t xml:space="preserve"> paper is to explore the</w:t>
      </w:r>
      <w:r w:rsidR="00095131">
        <w:t>se</w:t>
      </w:r>
      <w:r w:rsidR="00CA35E1">
        <w:t xml:space="preserve"> concept</w:t>
      </w:r>
      <w:r w:rsidR="00095131">
        <w:t>s</w:t>
      </w:r>
      <w:r w:rsidR="00CA35E1">
        <w:t xml:space="preserve"> in both cultures through the philosophical development behind the astrology systems</w:t>
      </w:r>
      <w:r w:rsidR="00095131">
        <w:t>,</w:t>
      </w:r>
      <w:r w:rsidR="00CA35E1">
        <w:t xml:space="preserve"> related to readings, diagnoses, or even “magical” recipes</w:t>
      </w:r>
      <w:r w:rsidR="00AB6058">
        <w:t xml:space="preserve">. To investigate whether or not there were </w:t>
      </w:r>
      <w:r w:rsidR="00511D7C">
        <w:t xml:space="preserve">possible </w:t>
      </w:r>
      <w:r w:rsidR="00AB6058">
        <w:t xml:space="preserve">direct influence </w:t>
      </w:r>
      <w:r w:rsidR="001A0A48">
        <w:t>of</w:t>
      </w:r>
      <w:r w:rsidR="00AB6058">
        <w:t xml:space="preserve"> Chinese astrology in the 16</w:t>
      </w:r>
      <w:r w:rsidR="00AB6058" w:rsidRPr="00AB6058">
        <w:rPr>
          <w:vertAlign w:val="superscript"/>
        </w:rPr>
        <w:t>th</w:t>
      </w:r>
      <w:r w:rsidR="00AB6058">
        <w:t xml:space="preserve"> century </w:t>
      </w:r>
      <w:r w:rsidR="001A0A48">
        <w:t>Europe</w:t>
      </w:r>
      <w:r w:rsidR="00AB6058">
        <w:t>.</w:t>
      </w:r>
      <w:r w:rsidR="00CA35E1">
        <w:t xml:space="preserve">  </w:t>
      </w:r>
    </w:p>
    <w:p w14:paraId="00000004" w14:textId="65BCDB7D" w:rsidR="00C54303" w:rsidRDefault="00AB6058" w:rsidP="0065530C">
      <w:pPr>
        <w:spacing w:before="240" w:after="240"/>
      </w:pPr>
      <w:r>
        <w:t>For the purpose of the paper, i</w:t>
      </w:r>
      <w:r w:rsidR="00CA35E1">
        <w:t>t is important to understand the</w:t>
      </w:r>
      <w:r w:rsidR="003D1636">
        <w:t xml:space="preserve"> respective</w:t>
      </w:r>
      <w:r w:rsidR="00CA35E1">
        <w:t xml:space="preserve"> philosophical background</w:t>
      </w:r>
      <w:r w:rsidR="003D1636">
        <w:t>s</w:t>
      </w:r>
      <w:r w:rsidR="00CA35E1">
        <w:t xml:space="preserve"> in the context of Harmony in astrology. Up until the 16th century, early Taoism was the focus of Chinese astrology, while Greek philosophy and Neoplatonism was the focus of Western astrology. Through history, there were ethical debates among the major Chinese schools of thought on the concept of Harmony, which is “a basic failure on the part of many scholars in their assumptions that Taoism, like Confucianism, expounds a man-centered or ruler-centered universe.”</w:t>
      </w:r>
      <w:r w:rsidR="00CA35E1">
        <w:rPr>
          <w:vertAlign w:val="superscript"/>
        </w:rPr>
        <w:footnoteReference w:id="2"/>
      </w:r>
      <w:r w:rsidR="00CA35E1">
        <w:t xml:space="preserve"> Although all schools developed based on the same concept of cosmic order, each had different approach to shape the moral order of Humanity</w:t>
      </w:r>
      <w:r w:rsidR="00CA35E1">
        <w:rPr>
          <w:vertAlign w:val="superscript"/>
        </w:rPr>
        <w:footnoteReference w:id="3"/>
      </w:r>
      <w:r w:rsidR="00CA35E1">
        <w:t xml:space="preserve">. With the nature-centered universe model, </w:t>
      </w:r>
      <w:r w:rsidR="00CA3723">
        <w:t>Taoism</w:t>
      </w:r>
      <w:r w:rsidR="00CA35E1">
        <w:t xml:space="preserve"> set the foundation for Chinese astrology.  For Western </w:t>
      </w:r>
      <w:r w:rsidR="00CA3723">
        <w:t>astrology, it</w:t>
      </w:r>
      <w:r w:rsidR="00CA35E1">
        <w:t xml:space="preserve"> was first encountered by the Greeks around the 6th century BCE</w:t>
      </w:r>
      <w:r w:rsidR="00CA35E1">
        <w:rPr>
          <w:vertAlign w:val="superscript"/>
        </w:rPr>
        <w:footnoteReference w:id="4"/>
      </w:r>
      <w:r w:rsidR="00CA35E1">
        <w:t>, pulled together by Plato (428-348 BCE) in the 4th century BCE, and continued through the evolution of reasoning with mathematics and calculations of planetary positions.  Platonism suggested a cosmos that moved away from dependence on many gods to one single divine source</w:t>
      </w:r>
      <w:r w:rsidR="00CA35E1">
        <w:rPr>
          <w:vertAlign w:val="superscript"/>
        </w:rPr>
        <w:footnoteReference w:id="5"/>
      </w:r>
      <w:r w:rsidR="00CA35E1">
        <w:t xml:space="preserve">. While </w:t>
      </w:r>
      <w:proofErr w:type="spellStart"/>
      <w:r w:rsidR="00CA35E1">
        <w:t>Marsilio</w:t>
      </w:r>
      <w:proofErr w:type="spellEnd"/>
      <w:r w:rsidR="00CA35E1">
        <w:t xml:space="preserve"> Ficino’s (1433–1499 CE) approach in Neoplatonism provided a framework to understand the development through the revival of Greek philosophy in the early Renaissance.</w:t>
      </w:r>
      <w:r w:rsidR="00CA35E1">
        <w:rPr>
          <w:vertAlign w:val="superscript"/>
        </w:rPr>
        <w:footnoteReference w:id="6"/>
      </w:r>
      <w:r w:rsidR="00CA35E1">
        <w:t xml:space="preserve"> </w:t>
      </w:r>
    </w:p>
    <w:p w14:paraId="00000005" w14:textId="39F1CA5D" w:rsidR="00C54303" w:rsidRDefault="00CA35E1" w:rsidP="0065530C">
      <w:pPr>
        <w:spacing w:before="240" w:after="240"/>
      </w:pPr>
      <w:r>
        <w:t>T</w:t>
      </w:r>
      <w:r w:rsidR="003D1636">
        <w:t>o establish the background of the use and approach of the astrology systems, t</w:t>
      </w:r>
      <w:r>
        <w:t xml:space="preserve">he </w:t>
      </w:r>
      <w:r w:rsidR="003D1636">
        <w:t>paper</w:t>
      </w:r>
      <w:r>
        <w:t xml:space="preserve"> will focus on the following primary sources; </w:t>
      </w:r>
      <w:r>
        <w:rPr>
          <w:i/>
        </w:rPr>
        <w:t>Qi Lue</w:t>
      </w:r>
      <w:r>
        <w:rPr>
          <w:rFonts w:ascii="Arial Unicode MS" w:eastAsia="Arial Unicode MS" w:hAnsi="Arial Unicode MS" w:cs="Arial Unicode MS"/>
        </w:rPr>
        <w:t>《七略》</w:t>
      </w:r>
      <w:r w:rsidR="00BF466C">
        <w:rPr>
          <w:rFonts w:ascii="Arial Unicode MS" w:hAnsi="Arial Unicode MS" w:cs="Arial Unicode MS" w:hint="eastAsia"/>
        </w:rPr>
        <w:t>(</w:t>
      </w:r>
      <w:r w:rsidR="00BF466C">
        <w:rPr>
          <w:rFonts w:ascii="Arial Unicode MS" w:hAnsi="Arial Unicode MS" w:cs="Arial Unicode MS"/>
        </w:rPr>
        <w:t>26-6 BCE</w:t>
      </w:r>
      <w:r w:rsidR="00A62BAC">
        <w:rPr>
          <w:rFonts w:ascii="Arial Unicode MS" w:hAnsi="Arial Unicode MS" w:cs="Arial Unicode MS"/>
        </w:rPr>
        <w:t>)</w:t>
      </w:r>
      <w:r w:rsidR="00A62BAC">
        <w:rPr>
          <w:rStyle w:val="FootnoteReference"/>
          <w:rFonts w:ascii="Arial Unicode MS" w:hAnsi="Arial Unicode MS" w:cs="Arial Unicode MS" w:hint="eastAsia"/>
        </w:rPr>
        <w:footnoteReference w:id="7"/>
      </w:r>
      <w:r w:rsidR="00A62FC3">
        <w:rPr>
          <w:rFonts w:ascii="Arial Unicode MS" w:hAnsi="Arial Unicode MS" w:cs="Arial Unicode MS" w:hint="eastAsia"/>
        </w:rPr>
        <w:t xml:space="preserve"> </w:t>
      </w:r>
      <w:r w:rsidR="00A62FC3">
        <w:rPr>
          <w:rFonts w:ascii="Arial Unicode MS" w:hAnsi="Arial Unicode MS" w:cs="Arial Unicode MS"/>
        </w:rPr>
        <w:t xml:space="preserve">recollected </w:t>
      </w:r>
      <w:r>
        <w:rPr>
          <w:rFonts w:ascii="Arial Unicode MS" w:eastAsia="Arial Unicode MS" w:hAnsi="Arial Unicode MS" w:cs="Arial Unicode MS"/>
        </w:rPr>
        <w:t xml:space="preserve">in the series of </w:t>
      </w:r>
      <w:proofErr w:type="spellStart"/>
      <w:r>
        <w:rPr>
          <w:i/>
        </w:rPr>
        <w:t>Hanshu</w:t>
      </w:r>
      <w:proofErr w:type="spellEnd"/>
      <w:r>
        <w:rPr>
          <w:i/>
        </w:rPr>
        <w:t xml:space="preserve"> </w:t>
      </w:r>
      <w:proofErr w:type="spellStart"/>
      <w:r>
        <w:rPr>
          <w:i/>
        </w:rPr>
        <w:t>Yiwenzhi</w:t>
      </w:r>
      <w:proofErr w:type="spellEnd"/>
      <w:r>
        <w:rPr>
          <w:rFonts w:ascii="Arial Unicode MS" w:eastAsia="Arial Unicode MS" w:hAnsi="Arial Unicode MS" w:cs="Arial Unicode MS"/>
        </w:rPr>
        <w:t>《漢書.藝文志》</w:t>
      </w:r>
      <w:r>
        <w:t xml:space="preserve"> with a focus on</w:t>
      </w:r>
      <w:r>
        <w:rPr>
          <w:i/>
        </w:rPr>
        <w:t xml:space="preserve"> </w:t>
      </w:r>
      <w:proofErr w:type="spellStart"/>
      <w:r>
        <w:rPr>
          <w:i/>
        </w:rPr>
        <w:t>Shushu</w:t>
      </w:r>
      <w:proofErr w:type="spellEnd"/>
      <w:r>
        <w:rPr>
          <w:i/>
        </w:rPr>
        <w:t xml:space="preserve"> Lue</w:t>
      </w:r>
      <w:r>
        <w:rPr>
          <w:rFonts w:ascii="Arial Unicode MS" w:eastAsia="Arial Unicode MS" w:hAnsi="Arial Unicode MS" w:cs="Arial Unicode MS"/>
        </w:rPr>
        <w:t>《數術略》</w:t>
      </w:r>
      <w:r>
        <w:t xml:space="preserve"> and early Taoism in </w:t>
      </w:r>
      <w:proofErr w:type="spellStart"/>
      <w:r>
        <w:rPr>
          <w:i/>
        </w:rPr>
        <w:lastRenderedPageBreak/>
        <w:t>Zhuzi</w:t>
      </w:r>
      <w:proofErr w:type="spellEnd"/>
      <w:r>
        <w:rPr>
          <w:i/>
        </w:rPr>
        <w:t xml:space="preserve"> Lue</w:t>
      </w:r>
      <w:r>
        <w:rPr>
          <w:rFonts w:ascii="Arial Unicode MS" w:eastAsia="Arial Unicode MS" w:hAnsi="Arial Unicode MS" w:cs="Arial Unicode MS"/>
        </w:rPr>
        <w:t>《諸子略》by Liu Xiang 劉向 (79/78-8 BCE) and Liu Xin 劉歆 (46 BCE – 23 CE).</w:t>
      </w:r>
      <w:r>
        <w:rPr>
          <w:vertAlign w:val="superscript"/>
        </w:rPr>
        <w:footnoteReference w:id="8"/>
      </w:r>
      <w:r>
        <w:t xml:space="preserve"> For Medieval Europe </w:t>
      </w:r>
      <w:proofErr w:type="spellStart"/>
      <w:r>
        <w:t>Marsilio</w:t>
      </w:r>
      <w:proofErr w:type="spellEnd"/>
      <w:r>
        <w:t xml:space="preserve"> Ficino’s on </w:t>
      </w:r>
      <w:r>
        <w:rPr>
          <w:i/>
        </w:rPr>
        <w:t>De Vita Libri Tres (Three books on life, or De Vita)</w:t>
      </w:r>
      <w:r>
        <w:rPr>
          <w:i/>
          <w:vertAlign w:val="superscript"/>
        </w:rPr>
        <w:footnoteReference w:id="9"/>
      </w:r>
      <w:r>
        <w:rPr>
          <w:i/>
        </w:rPr>
        <w:t xml:space="preserve"> </w:t>
      </w:r>
      <w:r>
        <w:t>will be explored.</w:t>
      </w:r>
    </w:p>
    <w:p w14:paraId="00000006" w14:textId="77777777" w:rsidR="00C54303" w:rsidRDefault="00CA35E1">
      <w:pPr>
        <w:spacing w:before="240" w:after="240"/>
      </w:pPr>
      <w:r>
        <w:t xml:space="preserve"> </w:t>
      </w:r>
    </w:p>
    <w:p w14:paraId="00000007" w14:textId="77777777" w:rsidR="00C54303" w:rsidRDefault="00CA35E1">
      <w:pPr>
        <w:spacing w:before="240" w:after="240"/>
        <w:rPr>
          <w:b/>
        </w:rPr>
      </w:pPr>
      <w:r>
        <w:rPr>
          <w:b/>
        </w:rPr>
        <w:t>THE CONCEPTS OF HARMONY, PHILOSOPHY AND HISTORY</w:t>
      </w:r>
    </w:p>
    <w:p w14:paraId="00000008" w14:textId="607B0F57" w:rsidR="00C54303" w:rsidRDefault="00CA35E1">
      <w:pPr>
        <w:spacing w:before="240" w:after="240"/>
      </w:pPr>
      <w:r>
        <w:t xml:space="preserve">Harmony was rooted in music and extended its </w:t>
      </w:r>
      <w:r w:rsidR="00CA3723">
        <w:t xml:space="preserve">meaning </w:t>
      </w:r>
      <w:r w:rsidR="00CA3723">
        <w:rPr>
          <w:rFonts w:ascii="Arial Unicode MS" w:eastAsia="Arial Unicode MS" w:hAnsi="Arial Unicode MS" w:cs="Arial Unicode MS"/>
        </w:rPr>
        <w:t>into</w:t>
      </w:r>
      <w:r>
        <w:rPr>
          <w:rFonts w:ascii="Arial Unicode MS" w:eastAsia="Arial Unicode MS" w:hAnsi="Arial Unicode MS" w:cs="Arial Unicode MS"/>
        </w:rPr>
        <w:t xml:space="preserve"> the Harmony of all things in the cosmos in China and in the West. The Chinese character for Harmony “He 和” is a </w:t>
      </w:r>
      <w:r w:rsidR="00CA3723">
        <w:rPr>
          <w:rFonts w:ascii="Arial Unicode MS" w:eastAsia="Arial Unicode MS" w:hAnsi="Arial Unicode MS" w:cs="Arial Unicode MS"/>
        </w:rPr>
        <w:t>combination of</w:t>
      </w:r>
      <w:r>
        <w:rPr>
          <w:rFonts w:ascii="Arial Unicode MS" w:eastAsia="Arial Unicode MS" w:hAnsi="Arial Unicode MS" w:cs="Arial Unicode MS"/>
        </w:rPr>
        <w:t xml:space="preserve"> two individual characters, the character “mouth 口” sits alongside the character of “fine cereal crops or hay 禾”</w:t>
      </w:r>
      <w:r>
        <w:t xml:space="preserve">. As explained in ancient Chinese lexicon </w:t>
      </w:r>
      <w:proofErr w:type="spellStart"/>
      <w:r>
        <w:rPr>
          <w:i/>
        </w:rPr>
        <w:t>Shuowen</w:t>
      </w:r>
      <w:proofErr w:type="spellEnd"/>
      <w:r>
        <w:rPr>
          <w:i/>
        </w:rPr>
        <w:t xml:space="preserve"> </w:t>
      </w:r>
      <w:proofErr w:type="spellStart"/>
      <w:r>
        <w:rPr>
          <w:i/>
        </w:rPr>
        <w:t>Jiezi</w:t>
      </w:r>
      <w:proofErr w:type="spellEnd"/>
      <w:r>
        <w:rPr>
          <w:i/>
        </w:rPr>
        <w:t xml:space="preserve"> </w:t>
      </w:r>
      <w:r>
        <w:rPr>
          <w:rFonts w:ascii="Arial Unicode MS" w:eastAsia="Arial Unicode MS" w:hAnsi="Arial Unicode MS" w:cs="Arial Unicode MS"/>
        </w:rPr>
        <w:t>説文解字 (100-121 BCE),</w:t>
      </w:r>
      <w:r>
        <w:rPr>
          <w:vertAlign w:val="superscript"/>
        </w:rPr>
        <w:footnoteReference w:id="10"/>
      </w:r>
      <w:r>
        <w:t xml:space="preserve"> the word means a subjective action of vocalization to achieve a perfect mixture of sounds of resonance Ying </w:t>
      </w:r>
      <w:r>
        <w:rPr>
          <w:rFonts w:ascii="Arial Unicode MS" w:eastAsia="Arial Unicode MS" w:hAnsi="Arial Unicode MS" w:cs="Arial Unicode MS"/>
          <w:color w:val="333333"/>
          <w:highlight w:val="white"/>
        </w:rPr>
        <w:t>譍</w:t>
      </w:r>
      <w:r w:rsidR="003D1636">
        <w:rPr>
          <w:vertAlign w:val="superscript"/>
        </w:rPr>
        <w:footnoteReference w:id="11"/>
      </w:r>
      <w:r>
        <w:rPr>
          <w:rFonts w:ascii="Arial Unicode MS" w:eastAsia="Arial Unicode MS" w:hAnsi="Arial Unicode MS" w:cs="Arial Unicode MS"/>
          <w:color w:val="333333"/>
          <w:highlight w:val="white"/>
        </w:rPr>
        <w:t>,</w:t>
      </w:r>
      <w:r>
        <w:t xml:space="preserve"> and the word is associated with a connotation of correspondence in harmony</w:t>
      </w:r>
      <w:r w:rsidR="00080FE4">
        <w:t xml:space="preserve">. </w:t>
      </w:r>
      <w:r>
        <w:t>According to Plato (428-348 BCE) and Ficino, sounds or incantations were also used in astrology in the West for harmonization between Heaven and Earth</w:t>
      </w:r>
      <w:r>
        <w:rPr>
          <w:vertAlign w:val="superscript"/>
        </w:rPr>
        <w:footnoteReference w:id="12"/>
      </w:r>
      <w:r>
        <w:t>.</w:t>
      </w:r>
    </w:p>
    <w:p w14:paraId="00000009" w14:textId="6D52B8E9" w:rsidR="00C54303" w:rsidRDefault="00CA35E1">
      <w:pPr>
        <w:spacing w:before="240" w:after="240"/>
        <w:rPr>
          <w:color w:val="00FF00"/>
        </w:rPr>
      </w:pPr>
      <w:r>
        <w:rPr>
          <w:rFonts w:ascii="Arial Unicode MS" w:eastAsia="Arial Unicode MS" w:hAnsi="Arial Unicode MS" w:cs="Arial Unicode MS"/>
        </w:rPr>
        <w:t>Harmonic Sounds’ ritual was practiced earliest in China by Fu Xi 伏羲 (2953</w:t>
      </w:r>
      <w:r w:rsidR="00080FE4">
        <w:rPr>
          <w:rFonts w:ascii="Arial Unicode MS" w:eastAsia="Arial Unicode MS" w:hAnsi="Arial Unicode MS" w:cs="Arial Unicode MS"/>
        </w:rPr>
        <w:t>-</w:t>
      </w:r>
      <w:r>
        <w:rPr>
          <w:rFonts w:ascii="Arial Unicode MS" w:eastAsia="Arial Unicode MS" w:hAnsi="Arial Unicode MS" w:cs="Arial Unicode MS"/>
        </w:rPr>
        <w:t xml:space="preserve"> BCE) in the mythical times</w:t>
      </w:r>
      <w:r>
        <w:rPr>
          <w:vertAlign w:val="superscript"/>
        </w:rPr>
        <w:footnoteReference w:id="13"/>
      </w:r>
      <w:r>
        <w:t>, beginning in Shang Dynasty (1600-1046 BCE), the rituals developed into an astrological ritual conducted with chimes, symbolizing “harmonization of sounds for music to harmonization of the people of a good society”</w:t>
      </w:r>
      <w:r>
        <w:rPr>
          <w:vertAlign w:val="superscript"/>
        </w:rPr>
        <w:footnoteReference w:id="14"/>
      </w:r>
      <w:r>
        <w:rPr>
          <w:rFonts w:ascii="Arial Unicode MS" w:eastAsia="Arial Unicode MS" w:hAnsi="Arial Unicode MS" w:cs="Arial Unicode MS"/>
        </w:rPr>
        <w:t xml:space="preserve"> and expressed as the “He of the Five Sounds 五聲之和”</w:t>
      </w:r>
      <w:r>
        <w:rPr>
          <w:vertAlign w:val="superscript"/>
        </w:rPr>
        <w:footnoteReference w:id="15"/>
      </w:r>
      <w:r>
        <w:t>. The mixture of the five sounds or the five tones</w:t>
      </w:r>
      <w:r>
        <w:rPr>
          <w:vertAlign w:val="superscript"/>
        </w:rPr>
        <w:footnoteReference w:id="16"/>
      </w:r>
      <w:r>
        <w:t xml:space="preserve"> signified the celestial Five Phases (Five Planets) balancing or counter-balancing to each other to harmonize between Heavenly bodies and the Earthly realm</w:t>
      </w:r>
      <w:r>
        <w:rPr>
          <w:vertAlign w:val="superscript"/>
        </w:rPr>
        <w:footnoteReference w:id="17"/>
      </w:r>
      <w:r>
        <w:t>. Similarly, in ancient Greece, Plato described the intricate relationship between music and astronomy connected with senses that was elaborated further in Neoplatonism, the concept of Harmony can be expressed mathematically through the tones in music.</w:t>
      </w:r>
      <w:r>
        <w:rPr>
          <w:vertAlign w:val="superscript"/>
        </w:rPr>
        <w:footnoteReference w:id="18"/>
      </w:r>
      <w:r>
        <w:rPr>
          <w:color w:val="00FF00"/>
        </w:rPr>
        <w:t xml:space="preserve"> </w:t>
      </w:r>
    </w:p>
    <w:p w14:paraId="0000000A" w14:textId="7C2012B9" w:rsidR="00C54303" w:rsidRDefault="00CA35E1">
      <w:pPr>
        <w:spacing w:before="240" w:after="240"/>
        <w:rPr>
          <w:b/>
        </w:rPr>
      </w:pPr>
      <w:r>
        <w:lastRenderedPageBreak/>
        <w:t>When the Heaven and Earth interact with humans, the way humanity’s response to these interactions represents a particular culture’s worldview and ways they approach life. The concepts of Harmony manifest differently in the two astrology systems while showing the same nature of relations</w:t>
      </w:r>
      <w:r>
        <w:rPr>
          <w:vertAlign w:val="superscript"/>
        </w:rPr>
        <w:footnoteReference w:id="19"/>
      </w:r>
      <w:r>
        <w:t xml:space="preserve"> , which is to balance or counter-balance different elemental forces in both cultures. As the psyche of human beings began to evolve from the dominance of instinctive desire to wonder about their own place in the world</w:t>
      </w:r>
      <w:r w:rsidR="00E825E0">
        <w:t xml:space="preserve">, </w:t>
      </w:r>
      <w:r>
        <w:t xml:space="preserve">philosophical development became paramount in </w:t>
      </w:r>
      <w:r w:rsidR="004C55BF">
        <w:t>identifying the use of the concept</w:t>
      </w:r>
      <w:r w:rsidR="008B10F8">
        <w:t>s</w:t>
      </w:r>
      <w:r w:rsidR="004C55BF">
        <w:t xml:space="preserve"> of Harmony</w:t>
      </w:r>
      <w:r>
        <w:t>.</w:t>
      </w:r>
      <w:r>
        <w:rPr>
          <w:b/>
        </w:rPr>
        <w:t xml:space="preserve"> </w:t>
      </w:r>
    </w:p>
    <w:p w14:paraId="0000000B" w14:textId="77777777" w:rsidR="00C54303" w:rsidRDefault="00CA35E1">
      <w:pPr>
        <w:spacing w:before="240" w:after="240"/>
        <w:rPr>
          <w:b/>
        </w:rPr>
      </w:pPr>
      <w:r>
        <w:rPr>
          <w:b/>
        </w:rPr>
        <w:t>The Far East</w:t>
      </w:r>
    </w:p>
    <w:p w14:paraId="0000000C" w14:textId="0623EEEB" w:rsidR="00C54303" w:rsidRDefault="00CA35E1" w:rsidP="000619CF">
      <w:pPr>
        <w:spacing w:before="240" w:after="240" w:line="240" w:lineRule="auto"/>
        <w:rPr>
          <w:sz w:val="20"/>
          <w:szCs w:val="20"/>
        </w:rPr>
      </w:pPr>
      <w:r>
        <w:rPr>
          <w:sz w:val="20"/>
          <w:szCs w:val="20"/>
        </w:rPr>
        <w:t xml:space="preserve">“Tao produces One (Unity), One is unbounded and </w:t>
      </w:r>
      <w:r w:rsidR="00CA3723">
        <w:rPr>
          <w:sz w:val="20"/>
          <w:szCs w:val="20"/>
        </w:rPr>
        <w:t>limitless.</w:t>
      </w:r>
    </w:p>
    <w:p w14:paraId="0000000D" w14:textId="77777777" w:rsidR="00C54303" w:rsidRDefault="00CA35E1" w:rsidP="000619CF">
      <w:pPr>
        <w:spacing w:before="240" w:after="240" w:line="240" w:lineRule="auto"/>
        <w:rPr>
          <w:sz w:val="20"/>
          <w:szCs w:val="20"/>
        </w:rPr>
      </w:pPr>
      <w:r>
        <w:rPr>
          <w:sz w:val="20"/>
          <w:szCs w:val="20"/>
        </w:rPr>
        <w:t>One produces Two (Duality), Two is Yin (Earth, Moon as a star, the dark side) Yang (Heaven, Sun as a star, the bright side</w:t>
      </w:r>
      <w:proofErr w:type="gramStart"/>
      <w:r>
        <w:rPr>
          <w:sz w:val="20"/>
          <w:szCs w:val="20"/>
        </w:rPr>
        <w:t>);</w:t>
      </w:r>
      <w:proofErr w:type="gramEnd"/>
    </w:p>
    <w:p w14:paraId="0000000E" w14:textId="77777777" w:rsidR="00C54303" w:rsidRDefault="00CA35E1" w:rsidP="000619CF">
      <w:pPr>
        <w:spacing w:before="240" w:after="240" w:line="240" w:lineRule="auto"/>
        <w:rPr>
          <w:sz w:val="20"/>
          <w:szCs w:val="20"/>
        </w:rPr>
      </w:pPr>
      <w:r>
        <w:rPr>
          <w:sz w:val="20"/>
          <w:szCs w:val="20"/>
        </w:rPr>
        <w:t>Two produces Three (Trinity extended to All), Three is a marriage of Yin Yang (Duality</w:t>
      </w:r>
      <w:proofErr w:type="gramStart"/>
      <w:r>
        <w:rPr>
          <w:sz w:val="20"/>
          <w:szCs w:val="20"/>
        </w:rPr>
        <w:t>);</w:t>
      </w:r>
      <w:proofErr w:type="gramEnd"/>
    </w:p>
    <w:p w14:paraId="0000000F" w14:textId="77777777" w:rsidR="00C54303" w:rsidRDefault="00CA35E1" w:rsidP="000619CF">
      <w:pPr>
        <w:spacing w:before="240" w:after="240" w:line="240" w:lineRule="auto"/>
        <w:rPr>
          <w:sz w:val="20"/>
          <w:szCs w:val="20"/>
        </w:rPr>
      </w:pPr>
      <w:r>
        <w:rPr>
          <w:sz w:val="20"/>
          <w:szCs w:val="20"/>
        </w:rPr>
        <w:t>Three produces million (All) things, all things with a back of Yin embracing Yang,</w:t>
      </w:r>
    </w:p>
    <w:p w14:paraId="00000010" w14:textId="77777777" w:rsidR="00C54303" w:rsidRDefault="00CA35E1" w:rsidP="000619CF">
      <w:pPr>
        <w:spacing w:before="240" w:after="240" w:line="240" w:lineRule="auto"/>
      </w:pPr>
      <w:r>
        <w:rPr>
          <w:sz w:val="20"/>
          <w:szCs w:val="20"/>
        </w:rPr>
        <w:t xml:space="preserve">Regulates by Qi back to the state of He (Harmony)…” - </w:t>
      </w:r>
      <w:r>
        <w:rPr>
          <w:i/>
          <w:sz w:val="20"/>
          <w:szCs w:val="20"/>
        </w:rPr>
        <w:t xml:space="preserve">Tao </w:t>
      </w:r>
      <w:proofErr w:type="spellStart"/>
      <w:r>
        <w:rPr>
          <w:i/>
          <w:sz w:val="20"/>
          <w:szCs w:val="20"/>
        </w:rPr>
        <w:t>Te</w:t>
      </w:r>
      <w:proofErr w:type="spellEnd"/>
      <w:r>
        <w:rPr>
          <w:i/>
          <w:sz w:val="20"/>
          <w:szCs w:val="20"/>
        </w:rPr>
        <w:t xml:space="preserve"> Ching chapter 42</w:t>
      </w:r>
    </w:p>
    <w:p w14:paraId="00000011" w14:textId="567F7C16" w:rsidR="00C54303" w:rsidRDefault="00CA35E1">
      <w:pPr>
        <w:spacing w:before="240" w:after="240"/>
      </w:pPr>
      <w:r>
        <w:rPr>
          <w:rFonts w:ascii="Arial Unicode MS" w:eastAsia="Arial Unicode MS" w:hAnsi="Arial Unicode MS" w:cs="Arial Unicode MS"/>
        </w:rPr>
        <w:t xml:space="preserve">The state of perfect “He” in Nature was expressed in the cosmos of Tao 道 in </w:t>
      </w:r>
      <w:r>
        <w:rPr>
          <w:i/>
        </w:rPr>
        <w:t xml:space="preserve">Tao </w:t>
      </w:r>
      <w:proofErr w:type="spellStart"/>
      <w:r>
        <w:rPr>
          <w:i/>
        </w:rPr>
        <w:t>Te</w:t>
      </w:r>
      <w:proofErr w:type="spellEnd"/>
      <w:r>
        <w:rPr>
          <w:i/>
        </w:rPr>
        <w:t xml:space="preserve"> Ching</w:t>
      </w:r>
      <w:hyperlink r:id="rId7" w:anchor="_ftn9">
        <w:r>
          <w:t xml:space="preserve"> </w:t>
        </w:r>
      </w:hyperlink>
      <w:bookmarkStart w:id="7" w:name="_Hlk101968601"/>
      <w:r w:rsidR="00CA3723">
        <w:rPr>
          <w:rFonts w:ascii="Arial Unicode MS" w:eastAsia="Arial Unicode MS" w:hAnsi="Arial Unicode MS" w:cs="Arial Unicode MS"/>
        </w:rPr>
        <w:t>《</w:t>
      </w:r>
      <w:bookmarkEnd w:id="7"/>
      <w:r>
        <w:rPr>
          <w:rFonts w:ascii="Arial Unicode MS" w:eastAsia="Arial Unicode MS" w:hAnsi="Arial Unicode MS" w:cs="Arial Unicode MS"/>
        </w:rPr>
        <w:t>道德經</w:t>
      </w:r>
      <w:r w:rsidR="00CA3723">
        <w:rPr>
          <w:rFonts w:ascii="Arial Unicode MS" w:eastAsia="Arial Unicode MS" w:hAnsi="Arial Unicode MS" w:cs="Arial Unicode MS"/>
        </w:rPr>
        <w:t>》</w:t>
      </w:r>
      <w:r>
        <w:rPr>
          <w:vertAlign w:val="superscript"/>
        </w:rPr>
        <w:footnoteReference w:id="20"/>
      </w:r>
      <w:r>
        <w:rPr>
          <w:rFonts w:ascii="Arial Unicode MS" w:eastAsia="Arial Unicode MS" w:hAnsi="Arial Unicode MS" w:cs="Arial Unicode MS"/>
        </w:rPr>
        <w:t>. The book was written in the Spring and Autumn Period</w:t>
      </w:r>
      <w:r w:rsidR="00CA3723">
        <w:rPr>
          <w:rFonts w:ascii="Arial Unicode MS" w:eastAsia="Arial Unicode MS" w:hAnsi="Arial Unicode MS" w:cs="Arial Unicode MS"/>
        </w:rPr>
        <w:t xml:space="preserve"> </w:t>
      </w:r>
      <w:r>
        <w:rPr>
          <w:rFonts w:ascii="Arial Unicode MS" w:eastAsia="Arial Unicode MS" w:hAnsi="Arial Unicode MS" w:cs="Arial Unicode MS"/>
        </w:rPr>
        <w:t xml:space="preserve">春秋 (770-476 BCE) Laozi 老子. </w:t>
      </w:r>
      <w:r>
        <w:rPr>
          <w:i/>
        </w:rPr>
        <w:t xml:space="preserve">Tao </w:t>
      </w:r>
      <w:proofErr w:type="spellStart"/>
      <w:r>
        <w:rPr>
          <w:i/>
        </w:rPr>
        <w:t>Te</w:t>
      </w:r>
      <w:proofErr w:type="spellEnd"/>
      <w:r>
        <w:rPr>
          <w:i/>
        </w:rPr>
        <w:t xml:space="preserve"> Ching</w:t>
      </w:r>
      <w:r>
        <w:t xml:space="preserve"> shaped the concept of Harmony into a natural philosophy of change demonstrated by </w:t>
      </w:r>
      <w:proofErr w:type="gramStart"/>
      <w:r>
        <w:rPr>
          <w:i/>
        </w:rPr>
        <w:t>I</w:t>
      </w:r>
      <w:proofErr w:type="gramEnd"/>
      <w:r>
        <w:rPr>
          <w:i/>
        </w:rPr>
        <w:t xml:space="preserve"> Ching Divination Manual </w:t>
      </w:r>
      <w:r w:rsidR="00CA3723">
        <w:rPr>
          <w:rFonts w:ascii="Arial Unicode MS" w:eastAsia="Arial Unicode MS" w:hAnsi="Arial Unicode MS" w:cs="Arial Unicode MS"/>
        </w:rPr>
        <w:t>《</w:t>
      </w:r>
      <w:r>
        <w:rPr>
          <w:rFonts w:ascii="Arial Unicode MS" w:eastAsia="Arial Unicode MS" w:hAnsi="Arial Unicode MS" w:cs="Arial Unicode MS"/>
        </w:rPr>
        <w:t>易經</w:t>
      </w:r>
      <w:r w:rsidR="00CA3723">
        <w:rPr>
          <w:rFonts w:ascii="Arial Unicode MS" w:eastAsia="Arial Unicode MS" w:hAnsi="Arial Unicode MS" w:cs="Arial Unicode MS"/>
        </w:rPr>
        <w:t>》</w:t>
      </w:r>
      <w:r>
        <w:rPr>
          <w:vertAlign w:val="superscript"/>
        </w:rPr>
        <w:footnoteReference w:id="21"/>
      </w:r>
      <w:r>
        <w:rPr>
          <w:rFonts w:ascii="Arial Unicode MS" w:eastAsia="Arial Unicode MS" w:hAnsi="Arial Unicode MS" w:cs="Arial Unicode MS"/>
        </w:rPr>
        <w:t xml:space="preserve"> in Zhou Dynasty (1046-256 BCE). The Universe was described as One cyclical force of Qi 氣, maintaining eternal balance between Yin (陰 equivalent to 坤 </w:t>
      </w:r>
      <w:r w:rsidR="00CA3723">
        <w:rPr>
          <w:rFonts w:ascii="Arial Unicode MS" w:eastAsia="Arial Unicode MS" w:hAnsi="Arial Unicode MS" w:cs="Arial Unicode MS"/>
        </w:rPr>
        <w:t>“</w:t>
      </w:r>
      <w:proofErr w:type="spellStart"/>
      <w:r>
        <w:rPr>
          <w:rFonts w:ascii="Arial Unicode MS" w:eastAsia="Arial Unicode MS" w:hAnsi="Arial Unicode MS" w:cs="Arial Unicode MS"/>
        </w:rPr>
        <w:t>Kun</w:t>
      </w:r>
      <w:proofErr w:type="spellEnd"/>
      <w:r>
        <w:rPr>
          <w:rFonts w:ascii="Arial Unicode MS" w:eastAsia="Arial Unicode MS" w:hAnsi="Arial Unicode MS" w:cs="Arial Unicode MS"/>
        </w:rPr>
        <w:t xml:space="preserve">” Earth) and Yang (陽 equivalent to 乾 </w:t>
      </w:r>
      <w:r w:rsidR="00CA3723">
        <w:rPr>
          <w:rFonts w:ascii="Arial Unicode MS" w:eastAsia="Arial Unicode MS" w:hAnsi="Arial Unicode MS" w:cs="Arial Unicode MS"/>
        </w:rPr>
        <w:t>“</w:t>
      </w:r>
      <w:r>
        <w:rPr>
          <w:rFonts w:ascii="Arial Unicode MS" w:eastAsia="Arial Unicode MS" w:hAnsi="Arial Unicode MS" w:cs="Arial Unicode MS"/>
        </w:rPr>
        <w:t>Qian” Heaven) through the processes of the Five Phases 五行, to give rise to all matters in the Universe. The universe is self-generating through the active dialogue between Heaven, Earth, and Humanity as an organic whole.</w:t>
      </w:r>
      <w:r>
        <w:rPr>
          <w:vertAlign w:val="superscript"/>
        </w:rPr>
        <w:footnoteReference w:id="22"/>
      </w:r>
      <w:r>
        <w:t xml:space="preserve"> While Heaven corresponds and resonates with Earth from geomancy to all human affairs.  </w:t>
      </w:r>
    </w:p>
    <w:p w14:paraId="00000012" w14:textId="14CD32C7" w:rsidR="00C54303" w:rsidRDefault="00CA35E1">
      <w:pPr>
        <w:spacing w:before="240" w:after="240"/>
      </w:pPr>
      <w:r>
        <w:t xml:space="preserve">The earliest practical astrological uses were structurally categorized and included in the book series of </w:t>
      </w:r>
      <w:r>
        <w:rPr>
          <w:i/>
        </w:rPr>
        <w:t>Qi Lue</w:t>
      </w:r>
      <w:bookmarkStart w:id="8" w:name="_Hlk101968574"/>
      <w:r>
        <w:rPr>
          <w:rFonts w:ascii="Arial Unicode MS" w:eastAsia="Arial Unicode MS" w:hAnsi="Arial Unicode MS" w:cs="Arial Unicode MS"/>
        </w:rPr>
        <w:t>《</w:t>
      </w:r>
      <w:bookmarkEnd w:id="8"/>
      <w:r>
        <w:rPr>
          <w:rFonts w:ascii="Arial Unicode MS" w:eastAsia="Arial Unicode MS" w:hAnsi="Arial Unicode MS" w:cs="Arial Unicode MS"/>
        </w:rPr>
        <w:t>七略</w:t>
      </w:r>
      <w:bookmarkStart w:id="9" w:name="_Hlk101968587"/>
      <w:r>
        <w:rPr>
          <w:rFonts w:ascii="Arial Unicode MS" w:eastAsia="Arial Unicode MS" w:hAnsi="Arial Unicode MS" w:cs="Arial Unicode MS"/>
        </w:rPr>
        <w:t>》</w:t>
      </w:r>
      <w:bookmarkEnd w:id="9"/>
      <w:r>
        <w:rPr>
          <w:rFonts w:ascii="Arial Unicode MS" w:eastAsia="Arial Unicode MS" w:hAnsi="Arial Unicode MS" w:cs="Arial Unicode MS"/>
        </w:rPr>
        <w:t xml:space="preserve">, the </w:t>
      </w:r>
      <w:r>
        <w:rPr>
          <w:i/>
        </w:rPr>
        <w:t>Seven Abstracts</w:t>
      </w:r>
      <w:r>
        <w:t>, in Han Dynasty (206 BCE - 220 CE) China</w:t>
      </w:r>
      <w:r>
        <w:rPr>
          <w:vertAlign w:val="superscript"/>
        </w:rPr>
        <w:footnoteReference w:id="23"/>
      </w:r>
      <w:r>
        <w:t xml:space="preserve">. The series consists of seven bibliographic classifications and abstracts of a large number of </w:t>
      </w:r>
      <w:r>
        <w:lastRenderedPageBreak/>
        <w:t>Chinese classics.</w:t>
      </w:r>
      <w:r w:rsidR="00EC78ED">
        <w:rPr>
          <w:rStyle w:val="FootnoteReference"/>
        </w:rPr>
        <w:footnoteReference w:id="24"/>
      </w:r>
      <w:r>
        <w:t xml:space="preserve"> </w:t>
      </w:r>
      <w:r w:rsidR="00506D44">
        <w:t>These</w:t>
      </w:r>
      <w:r>
        <w:t xml:space="preserve"> classics and historical knowledge </w:t>
      </w:r>
      <w:r w:rsidR="00CA3723">
        <w:t>were</w:t>
      </w:r>
      <w:r>
        <w:t xml:space="preserve"> revived in the beginning of Han </w:t>
      </w:r>
      <w:r w:rsidR="00C77FD2">
        <w:t xml:space="preserve">Dynasty </w:t>
      </w:r>
      <w:r>
        <w:t xml:space="preserve">followed by the fall of the Qin Dynasty (221-207 BCE). </w:t>
      </w:r>
      <w:r w:rsidR="00782DFF">
        <w:t>Qin</w:t>
      </w:r>
      <w:r w:rsidR="00D948D0">
        <w:t xml:space="preserve"> rose </w:t>
      </w:r>
      <w:r w:rsidR="00782DFF">
        <w:t xml:space="preserve">with </w:t>
      </w:r>
      <w:r w:rsidR="00D948D0">
        <w:t xml:space="preserve">dynastic succession with </w:t>
      </w:r>
      <w:r w:rsidR="00782DFF">
        <w:t xml:space="preserve">the </w:t>
      </w:r>
      <w:r>
        <w:t>“Mandate of Heaven”</w:t>
      </w:r>
      <w:r w:rsidR="00782DFF">
        <w:t xml:space="preserve">, </w:t>
      </w:r>
      <w:r w:rsidR="00603488">
        <w:t>which</w:t>
      </w:r>
      <w:r>
        <w:t xml:space="preserve"> was an </w:t>
      </w:r>
      <w:r w:rsidR="00F71329">
        <w:t>im</w:t>
      </w:r>
      <w:r w:rsidR="00C52EDA">
        <w:t xml:space="preserve">portant </w:t>
      </w:r>
      <w:r>
        <w:t>astrological means used since 1000 BCE to affirm the legitimacy of the throne.</w:t>
      </w:r>
      <w:r>
        <w:rPr>
          <w:vertAlign w:val="superscript"/>
        </w:rPr>
        <w:footnoteReference w:id="25"/>
      </w:r>
      <w:r>
        <w:t xml:space="preserve"> </w:t>
      </w:r>
      <w:r w:rsidR="00B664BB">
        <w:t>I</w:t>
      </w:r>
      <w:r>
        <w:t xml:space="preserve">n the pursuit of </w:t>
      </w:r>
      <w:r w:rsidR="007264DF">
        <w:t>the Qin emperor’s</w:t>
      </w:r>
      <w:r>
        <w:t xml:space="preserve"> desire for an eternal reign, he engaged in unrooting all knowledge and philosophies that threatened his throne with violence and bloodshed. Qin emperor conducted a large-scale “burning of the books”</w:t>
      </w:r>
      <w:r>
        <w:rPr>
          <w:vertAlign w:val="superscript"/>
        </w:rPr>
        <w:footnoteReference w:id="26"/>
      </w:r>
      <w:r>
        <w:rPr>
          <w:rFonts w:ascii="Arial Unicode MS" w:eastAsia="Arial Unicode MS" w:hAnsi="Arial Unicode MS" w:cs="Arial Unicode MS"/>
        </w:rPr>
        <w:t xml:space="preserve"> and execution of scholars 焚書坑儒</w:t>
      </w:r>
      <w:r>
        <w:t xml:space="preserve"> </w:t>
      </w:r>
      <w:r>
        <w:rPr>
          <w:color w:val="333333"/>
        </w:rPr>
        <w:t>in attempt to erase history and theories out of its existence</w:t>
      </w:r>
      <w:r>
        <w:rPr>
          <w:color w:val="333333"/>
          <w:vertAlign w:val="superscript"/>
        </w:rPr>
        <w:footnoteReference w:id="27"/>
      </w:r>
      <w:r>
        <w:t xml:space="preserve">. At last, defeated by the very theories he set out to destroy, overthrown by Han using the Mandate of Heaven </w:t>
      </w:r>
      <w:r w:rsidR="00C36241">
        <w:t xml:space="preserve">once again </w:t>
      </w:r>
      <w:r>
        <w:t>for the dynastic revolution.</w:t>
      </w:r>
      <w:r>
        <w:rPr>
          <w:vertAlign w:val="superscript"/>
        </w:rPr>
        <w:footnoteReference w:id="28"/>
      </w:r>
      <w:r>
        <w:t xml:space="preserve"> Han Court revived the ancient Chinese classic wisdoms by building a centralized library, salvaging </w:t>
      </w:r>
      <w:proofErr w:type="gramStart"/>
      <w:r>
        <w:t>books</w:t>
      </w:r>
      <w:proofErr w:type="gramEnd"/>
      <w:r>
        <w:t xml:space="preserve"> and fragmented texts from every corner of the kingdom. Vast materials were examined, analyzed, and filed into </w:t>
      </w:r>
      <w:r w:rsidR="007B0138">
        <w:t xml:space="preserve">the </w:t>
      </w:r>
      <w:r>
        <w:t xml:space="preserve">seven categories. The series was completed in 20 years by </w:t>
      </w:r>
      <w:r w:rsidR="00A433EA">
        <w:t xml:space="preserve">the </w:t>
      </w:r>
      <w:r>
        <w:t>father and son</w:t>
      </w:r>
      <w:r w:rsidR="00A46C05">
        <w:t xml:space="preserve"> court historians and diviners</w:t>
      </w:r>
      <w:r>
        <w:t xml:space="preserve">, Liu </w:t>
      </w:r>
      <w:proofErr w:type="gramStart"/>
      <w:r>
        <w:t>Xiang</w:t>
      </w:r>
      <w:proofErr w:type="gramEnd"/>
      <w:r>
        <w:t xml:space="preserve"> and Liu Xin.</w:t>
      </w:r>
      <w:r>
        <w:rPr>
          <w:vertAlign w:val="superscript"/>
        </w:rPr>
        <w:footnoteReference w:id="29"/>
      </w:r>
      <w:r>
        <w:t xml:space="preserve"> Son Liu Xin however, died by suicide after a political scandal related to</w:t>
      </w:r>
      <w:r w:rsidR="00B56EC8">
        <w:t xml:space="preserve"> his </w:t>
      </w:r>
      <w:r w:rsidR="00034AC0">
        <w:t xml:space="preserve">personal decisions </w:t>
      </w:r>
      <w:r w:rsidR="008C2E5B">
        <w:t xml:space="preserve">made </w:t>
      </w:r>
      <w:r w:rsidR="00034AC0">
        <w:t xml:space="preserve">based on the </w:t>
      </w:r>
      <w:r w:rsidR="00B56EC8">
        <w:t>knowledge of</w:t>
      </w:r>
      <w:r>
        <w:t xml:space="preserve"> the Mandate</w:t>
      </w:r>
      <w:r w:rsidR="00F525F5">
        <w:t xml:space="preserve"> of Heaven</w:t>
      </w:r>
      <w:r>
        <w:t>.</w:t>
      </w:r>
      <w:r>
        <w:rPr>
          <w:vertAlign w:val="superscript"/>
        </w:rPr>
        <w:footnoteReference w:id="30"/>
      </w:r>
      <w:r>
        <w:t xml:space="preserve"> Both authors came from a highly cultured and aristocratic family with generations of scholars, the book set an important structure and foundation for </w:t>
      </w:r>
      <w:r w:rsidR="00016A30">
        <w:t xml:space="preserve">the </w:t>
      </w:r>
      <w:r>
        <w:t xml:space="preserve">development of astrology and culture for later dynasties. The seven categories included the Six Arts </w:t>
      </w:r>
      <w:proofErr w:type="spellStart"/>
      <w:r>
        <w:rPr>
          <w:i/>
        </w:rPr>
        <w:t>Liuyi</w:t>
      </w:r>
      <w:proofErr w:type="spellEnd"/>
      <w:r>
        <w:rPr>
          <w:i/>
        </w:rPr>
        <w:t xml:space="preserve"> Lue</w:t>
      </w:r>
      <w:r>
        <w:rPr>
          <w:rFonts w:ascii="Arial Unicode MS" w:eastAsia="Arial Unicode MS" w:hAnsi="Arial Unicode MS" w:cs="Arial Unicode MS"/>
        </w:rPr>
        <w:t xml:space="preserve">《六藝略》, the School of Hundred Philosophers </w:t>
      </w:r>
      <w:proofErr w:type="spellStart"/>
      <w:r>
        <w:rPr>
          <w:i/>
        </w:rPr>
        <w:t>Zhuzi</w:t>
      </w:r>
      <w:proofErr w:type="spellEnd"/>
      <w:r>
        <w:rPr>
          <w:i/>
        </w:rPr>
        <w:t xml:space="preserve"> Lue</w:t>
      </w:r>
      <w:r>
        <w:rPr>
          <w:rFonts w:ascii="Arial Unicode MS" w:eastAsia="Arial Unicode MS" w:hAnsi="Arial Unicode MS" w:cs="Arial Unicode MS"/>
        </w:rPr>
        <w:t xml:space="preserve">《諸子略》, Poems and Proses </w:t>
      </w:r>
      <w:proofErr w:type="spellStart"/>
      <w:r>
        <w:rPr>
          <w:i/>
        </w:rPr>
        <w:t>Shifu</w:t>
      </w:r>
      <w:proofErr w:type="spellEnd"/>
      <w:r>
        <w:rPr>
          <w:i/>
        </w:rPr>
        <w:t xml:space="preserve"> Lue</w:t>
      </w:r>
      <w:r>
        <w:rPr>
          <w:rFonts w:ascii="Arial Unicode MS" w:eastAsia="Arial Unicode MS" w:hAnsi="Arial Unicode MS" w:cs="Arial Unicode MS"/>
        </w:rPr>
        <w:t xml:space="preserve">《詩賦略》, Warfare Strategies </w:t>
      </w:r>
      <w:proofErr w:type="spellStart"/>
      <w:r>
        <w:rPr>
          <w:i/>
        </w:rPr>
        <w:t>Bingshu</w:t>
      </w:r>
      <w:proofErr w:type="spellEnd"/>
      <w:r>
        <w:t xml:space="preserve"> </w:t>
      </w:r>
      <w:r>
        <w:rPr>
          <w:i/>
        </w:rPr>
        <w:t>Lue</w:t>
      </w:r>
      <w:r>
        <w:rPr>
          <w:rFonts w:ascii="Arial Unicode MS" w:eastAsia="Arial Unicode MS" w:hAnsi="Arial Unicode MS" w:cs="Arial Unicode MS"/>
        </w:rPr>
        <w:t xml:space="preserve">《兵書略》, Calculations and Methods (astrological) </w:t>
      </w:r>
      <w:proofErr w:type="spellStart"/>
      <w:r>
        <w:rPr>
          <w:i/>
        </w:rPr>
        <w:t>Shushun</w:t>
      </w:r>
      <w:proofErr w:type="spellEnd"/>
      <w:r>
        <w:rPr>
          <w:i/>
        </w:rPr>
        <w:t xml:space="preserve"> Lue</w:t>
      </w:r>
      <w:r>
        <w:rPr>
          <w:rFonts w:ascii="Arial Unicode MS" w:eastAsia="Arial Unicode MS" w:hAnsi="Arial Unicode MS" w:cs="Arial Unicode MS"/>
        </w:rPr>
        <w:t xml:space="preserve">《數術略》and Medicinal Theories and Techniques </w:t>
      </w:r>
      <w:proofErr w:type="spellStart"/>
      <w:r>
        <w:rPr>
          <w:i/>
        </w:rPr>
        <w:t>Fangji</w:t>
      </w:r>
      <w:proofErr w:type="spellEnd"/>
      <w:r>
        <w:rPr>
          <w:i/>
        </w:rPr>
        <w:t xml:space="preserve"> Lue</w:t>
      </w:r>
      <w:r>
        <w:rPr>
          <w:rFonts w:ascii="Arial Unicode MS" w:eastAsia="Arial Unicode MS" w:hAnsi="Arial Unicode MS" w:cs="Arial Unicode MS"/>
        </w:rPr>
        <w:t>《方技略》.</w:t>
      </w:r>
      <w:r>
        <w:rPr>
          <w:vertAlign w:val="superscript"/>
        </w:rPr>
        <w:footnoteReference w:id="31"/>
      </w:r>
      <w:r>
        <w:t xml:space="preserve"> The seven categories facilitated the shaping and development of each tradition in later dynasties. While </w:t>
      </w:r>
      <w:proofErr w:type="spellStart"/>
      <w:r>
        <w:rPr>
          <w:i/>
        </w:rPr>
        <w:t>Shushu</w:t>
      </w:r>
      <w:proofErr w:type="spellEnd"/>
      <w:r>
        <w:rPr>
          <w:i/>
        </w:rPr>
        <w:t xml:space="preserve"> Lue</w:t>
      </w:r>
      <w:r>
        <w:t xml:space="preserve"> and early Taoism in </w:t>
      </w:r>
      <w:proofErr w:type="spellStart"/>
      <w:r>
        <w:rPr>
          <w:i/>
        </w:rPr>
        <w:t>Zhuzi</w:t>
      </w:r>
      <w:proofErr w:type="spellEnd"/>
      <w:r>
        <w:rPr>
          <w:i/>
        </w:rPr>
        <w:t xml:space="preserve"> Lue</w:t>
      </w:r>
      <w:r>
        <w:t xml:space="preserve"> are the focus in Chinese astrology. </w:t>
      </w:r>
    </w:p>
    <w:p w14:paraId="00000013" w14:textId="4B20FAC5" w:rsidR="00C54303" w:rsidRDefault="00CA35E1">
      <w:pPr>
        <w:spacing w:before="240" w:after="240"/>
      </w:pPr>
      <w:r>
        <w:t xml:space="preserve">Although the Mandate of Heaven was among one of the important uses of astrology, it was not included as one of the astrological means in </w:t>
      </w:r>
      <w:proofErr w:type="spellStart"/>
      <w:r>
        <w:rPr>
          <w:i/>
        </w:rPr>
        <w:t>Shushu</w:t>
      </w:r>
      <w:proofErr w:type="spellEnd"/>
      <w:r>
        <w:rPr>
          <w:i/>
        </w:rPr>
        <w:t xml:space="preserve"> Lue</w:t>
      </w:r>
      <w:r>
        <w:t>, the philosophical development of the theories could be found under different philosophers’ works in</w:t>
      </w:r>
      <w:r>
        <w:rPr>
          <w:i/>
        </w:rPr>
        <w:t xml:space="preserve"> </w:t>
      </w:r>
      <w:proofErr w:type="spellStart"/>
      <w:r>
        <w:rPr>
          <w:i/>
        </w:rPr>
        <w:t>Zhuzi</w:t>
      </w:r>
      <w:proofErr w:type="spellEnd"/>
      <w:r>
        <w:rPr>
          <w:i/>
        </w:rPr>
        <w:t xml:space="preserve"> Lue</w:t>
      </w:r>
      <w:r>
        <w:t xml:space="preserve">. In </w:t>
      </w:r>
      <w:proofErr w:type="spellStart"/>
      <w:r>
        <w:rPr>
          <w:i/>
        </w:rPr>
        <w:t>Zhuzi</w:t>
      </w:r>
      <w:proofErr w:type="spellEnd"/>
      <w:r>
        <w:rPr>
          <w:i/>
        </w:rPr>
        <w:t xml:space="preserve"> Lue</w:t>
      </w:r>
      <w:r>
        <w:rPr>
          <w:rFonts w:ascii="Arial Unicode MS" w:eastAsia="Arial Unicode MS" w:hAnsi="Arial Unicode MS" w:cs="Arial Unicode MS"/>
        </w:rPr>
        <w:t xml:space="preserve">, key intellectuals such as Laozi 老子, Confucius 孔子, Mohism 墨子, Legalism 法家 engaged in dialogues ranged from metaphysics to astrology, from nature to alchemy, from the state to the universe. Among which </w:t>
      </w:r>
      <w:proofErr w:type="spellStart"/>
      <w:r>
        <w:rPr>
          <w:rFonts w:ascii="Arial Unicode MS" w:eastAsia="Arial Unicode MS" w:hAnsi="Arial Unicode MS" w:cs="Arial Unicode MS"/>
        </w:rPr>
        <w:t>Zouyan</w:t>
      </w:r>
      <w:proofErr w:type="spellEnd"/>
      <w:r>
        <w:rPr>
          <w:rFonts w:ascii="Arial Unicode MS" w:eastAsia="Arial Unicode MS" w:hAnsi="Arial Unicode MS" w:cs="Arial Unicode MS"/>
        </w:rPr>
        <w:t xml:space="preserve"> 鄒衍 (350-240 BCE) was one of the intellectuals who theorize the legitimacy of the throne with the Five Phases.</w:t>
      </w:r>
      <w:r>
        <w:rPr>
          <w:vertAlign w:val="superscript"/>
        </w:rPr>
        <w:footnoteReference w:id="32"/>
      </w:r>
      <w:r>
        <w:t xml:space="preserve"> He explained the significant ways to maximize one’s potential to rule through aligning with the planetary forces. In Chinese astrology, </w:t>
      </w:r>
      <w:r>
        <w:lastRenderedPageBreak/>
        <w:t xml:space="preserve">Taoism was formulated into multiple theories by intellectuals through variations of Yin Yang Theory and the Five Phases in </w:t>
      </w:r>
      <w:proofErr w:type="spellStart"/>
      <w:r>
        <w:t>Shushu</w:t>
      </w:r>
      <w:proofErr w:type="spellEnd"/>
      <w:r>
        <w:t xml:space="preserve">. While </w:t>
      </w:r>
      <w:proofErr w:type="spellStart"/>
      <w:r>
        <w:t>Shushu</w:t>
      </w:r>
      <w:proofErr w:type="spellEnd"/>
      <w:r>
        <w:t xml:space="preserve"> was an important part of Chinese culture from the ruler to the people, it was at its core in Tao, a natural way for individuals to align their lives in Harmony with the flow of Nature and not by dominance. The notion of individuality was not as prominent in China, personal fate </w:t>
      </w:r>
      <w:r w:rsidR="008E670E">
        <w:t>was</w:t>
      </w:r>
      <w:r>
        <w:t xml:space="preserve"> </w:t>
      </w:r>
      <w:r w:rsidR="00C8219E">
        <w:t>included as a</w:t>
      </w:r>
      <w:r w:rsidR="00146583">
        <w:t xml:space="preserve"> part of the </w:t>
      </w:r>
      <w:r w:rsidR="008E670E">
        <w:t>collective</w:t>
      </w:r>
      <w:r>
        <w:t xml:space="preserve"> </w:t>
      </w:r>
      <w:r w:rsidR="008E670E">
        <w:t xml:space="preserve">in </w:t>
      </w:r>
      <w:r>
        <w:t>the natural magic practices in astrology since Han Dynasty, natal astrology started to develop into an individual tradition in Tang Dynasty (618-907 CE) with Indian and Western influences.</w:t>
      </w:r>
      <w:r>
        <w:rPr>
          <w:vertAlign w:val="superscript"/>
        </w:rPr>
        <w:footnoteReference w:id="33"/>
      </w:r>
      <w:r>
        <w:rPr>
          <w:rFonts w:ascii="Arial Unicode MS" w:eastAsia="Arial Unicode MS" w:hAnsi="Arial Unicode MS" w:cs="Arial Unicode MS"/>
        </w:rPr>
        <w:t xml:space="preserve"> Chinese natal astrology </w:t>
      </w:r>
      <w:proofErr w:type="spellStart"/>
      <w:r>
        <w:rPr>
          <w:rFonts w:ascii="Arial Unicode MS" w:eastAsia="Arial Unicode MS" w:hAnsi="Arial Unicode MS" w:cs="Arial Unicode MS"/>
        </w:rPr>
        <w:t>Bazi</w:t>
      </w:r>
      <w:proofErr w:type="spellEnd"/>
      <w:r>
        <w:rPr>
          <w:rFonts w:ascii="Arial Unicode MS" w:eastAsia="Arial Unicode MS" w:hAnsi="Arial Unicode MS" w:cs="Arial Unicode MS"/>
        </w:rPr>
        <w:t xml:space="preserve"> was theorized by Lee </w:t>
      </w:r>
      <w:proofErr w:type="spellStart"/>
      <w:r>
        <w:rPr>
          <w:rFonts w:ascii="Arial Unicode MS" w:eastAsia="Arial Unicode MS" w:hAnsi="Arial Unicode MS" w:cs="Arial Unicode MS"/>
        </w:rPr>
        <w:t>Xuzhong</w:t>
      </w:r>
      <w:proofErr w:type="spellEnd"/>
      <w:r>
        <w:rPr>
          <w:rFonts w:ascii="Arial Unicode MS" w:eastAsia="Arial Unicode MS" w:hAnsi="Arial Unicode MS" w:cs="Arial Unicode MS"/>
        </w:rPr>
        <w:t xml:space="preserve"> 李虛中 (761-813 CE) and elaborated by Xu </w:t>
      </w:r>
      <w:proofErr w:type="spellStart"/>
      <w:r>
        <w:rPr>
          <w:rFonts w:ascii="Arial Unicode MS" w:eastAsia="Arial Unicode MS" w:hAnsi="Arial Unicode MS" w:cs="Arial Unicode MS"/>
        </w:rPr>
        <w:t>Ziping</w:t>
      </w:r>
      <w:proofErr w:type="spellEnd"/>
      <w:r>
        <w:rPr>
          <w:rFonts w:ascii="Arial Unicode MS" w:eastAsia="Arial Unicode MS" w:hAnsi="Arial Unicode MS" w:cs="Arial Unicode MS"/>
        </w:rPr>
        <w:t xml:space="preserve"> 徐子平</w:t>
      </w:r>
      <w:r w:rsidR="00CA3723">
        <w:rPr>
          <w:rFonts w:ascii="Arial Unicode MS" w:hAnsi="Arial Unicode MS" w:cs="Arial Unicode MS" w:hint="eastAsia"/>
        </w:rPr>
        <w:t xml:space="preserve"> </w:t>
      </w:r>
      <w:r>
        <w:rPr>
          <w:rFonts w:ascii="Arial Unicode MS" w:eastAsia="Arial Unicode MS" w:hAnsi="Arial Unicode MS" w:cs="Arial Unicode MS"/>
        </w:rPr>
        <w:t xml:space="preserve">(907-960 CE) in Song Dynasty (960-1279 CE). Natal theories continued to flower into different schools in </w:t>
      </w:r>
      <w:proofErr w:type="spellStart"/>
      <w:r>
        <w:rPr>
          <w:rFonts w:ascii="Arial Unicode MS" w:eastAsia="Arial Unicode MS" w:hAnsi="Arial Unicode MS" w:cs="Arial Unicode MS"/>
        </w:rPr>
        <w:t>Shushu</w:t>
      </w:r>
      <w:proofErr w:type="spellEnd"/>
      <w:r>
        <w:rPr>
          <w:rFonts w:ascii="Arial Unicode MS" w:eastAsia="Arial Unicode MS" w:hAnsi="Arial Unicode MS" w:cs="Arial Unicode MS"/>
        </w:rPr>
        <w:t>, until astronomical observations were improved with the introduction of telescopes from the West during the Ming Dynasty (1368-1644 CE).</w:t>
      </w:r>
    </w:p>
    <w:p w14:paraId="00000014" w14:textId="77777777" w:rsidR="00C54303" w:rsidRDefault="00CA35E1">
      <w:pPr>
        <w:spacing w:before="240" w:after="240"/>
        <w:rPr>
          <w:b/>
        </w:rPr>
      </w:pPr>
      <w:r>
        <w:rPr>
          <w:b/>
        </w:rPr>
        <w:t>The Far West</w:t>
      </w:r>
    </w:p>
    <w:p w14:paraId="00000015" w14:textId="4469E60A" w:rsidR="00C54303" w:rsidRDefault="00CA35E1">
      <w:pPr>
        <w:spacing w:before="240" w:after="240"/>
      </w:pPr>
      <w:r>
        <w:t xml:space="preserve">The approach and the use of astrology reflects the culture’s vision in life through philosophy, </w:t>
      </w:r>
      <w:r w:rsidR="00CA3723">
        <w:t>cosmology,</w:t>
      </w:r>
      <w:r>
        <w:t xml:space="preserve"> and religion, they tend to be different not only across cultures, but across time even within the same culture. In the Hellenistic world, multiple natural cosmological models and philosophies were</w:t>
      </w:r>
      <w:hyperlink r:id="rId8" w:anchor="_ftn14">
        <w:r>
          <w:t xml:space="preserve"> </w:t>
        </w:r>
      </w:hyperlink>
      <w:r>
        <w:t>developed to make an account on the Babylonian and Egyptian astrological observations</w:t>
      </w:r>
      <w:r>
        <w:rPr>
          <w:vertAlign w:val="superscript"/>
        </w:rPr>
        <w:footnoteReference w:id="34"/>
      </w:r>
      <w:r>
        <w:t>. The concept of Harmony in the West was inspired by the influence of Persian religion</w:t>
      </w:r>
      <w:r>
        <w:rPr>
          <w:vertAlign w:val="superscript"/>
        </w:rPr>
        <w:footnoteReference w:id="35"/>
      </w:r>
      <w:r>
        <w:t>, which evolved into philosophies of reasoning and mathematics stranded together with the conclusion of a harmonized cosmic unity by Plato.</w:t>
      </w:r>
      <w:r>
        <w:rPr>
          <w:vertAlign w:val="superscript"/>
        </w:rPr>
        <w:footnoteReference w:id="36"/>
      </w:r>
      <w:r>
        <w:t xml:space="preserve"> While Platonism </w:t>
      </w:r>
      <w:r w:rsidR="00CA3723">
        <w:t>shaped European</w:t>
      </w:r>
      <w:r>
        <w:t xml:space="preserve"> cosmology till the Copernican revolution </w:t>
      </w:r>
      <w:r>
        <w:rPr>
          <w:vertAlign w:val="superscript"/>
        </w:rPr>
        <w:footnoteReference w:id="37"/>
      </w:r>
      <w:r>
        <w:t xml:space="preserve">Plato set the foundation for the attitudes towards the Heavens in Western astrology.  </w:t>
      </w:r>
    </w:p>
    <w:p w14:paraId="00000016" w14:textId="1A3052AD" w:rsidR="00C54303" w:rsidRDefault="00CA35E1">
      <w:pPr>
        <w:spacing w:before="240" w:after="240"/>
      </w:pPr>
      <w:r>
        <w:t>Platonism in the Hellenistic world progressed from presocratic times after 600 BCE</w:t>
      </w:r>
      <w:r>
        <w:rPr>
          <w:vertAlign w:val="superscript"/>
        </w:rPr>
        <w:footnoteReference w:id="38"/>
      </w:r>
      <w:r>
        <w:t>. From philosopher Thales’s (640 BCE) exploration of the nature of the Universe as a physical construct</w:t>
      </w:r>
      <w:r>
        <w:rPr>
          <w:vertAlign w:val="superscript"/>
        </w:rPr>
        <w:footnoteReference w:id="39"/>
      </w:r>
      <w:r>
        <w:t xml:space="preserve">, to Heraclitus of </w:t>
      </w:r>
      <w:r w:rsidR="00CA3723">
        <w:t>Ephesus’s</w:t>
      </w:r>
      <w:r w:rsidR="00FB18F9">
        <w:t xml:space="preserve"> (540-480 BCE)</w:t>
      </w:r>
      <w:r>
        <w:t xml:space="preserve"> concept of </w:t>
      </w:r>
      <w:r>
        <w:rPr>
          <w:i/>
        </w:rPr>
        <w:t>logos</w:t>
      </w:r>
      <w:r>
        <w:rPr>
          <w:vertAlign w:val="superscript"/>
        </w:rPr>
        <w:footnoteReference w:id="40"/>
      </w:r>
      <w:r>
        <w:t xml:space="preserve">. Plato explained the concept with mathematical and spiritual cosmological models to describe the relationship between the soul and the stars in </w:t>
      </w:r>
      <w:r>
        <w:rPr>
          <w:i/>
        </w:rPr>
        <w:t>Republic</w:t>
      </w:r>
      <w:r>
        <w:t>,</w:t>
      </w:r>
      <w:r>
        <w:rPr>
          <w:vertAlign w:val="superscript"/>
        </w:rPr>
        <w:footnoteReference w:id="41"/>
      </w:r>
      <w:r>
        <w:t xml:space="preserve"> explaining how they both emanated from the divine. Then forming a three-fold foundation musical cosmos in </w:t>
      </w:r>
      <w:r>
        <w:rPr>
          <w:i/>
        </w:rPr>
        <w:t>Timaeus</w:t>
      </w:r>
      <w:r>
        <w:t xml:space="preserve"> to explain his astrological view, in which the physical world was created from the divine intelligence that divides into three aspects including the planetary movements, passion of the individual soul. Additionally, musical tones </w:t>
      </w:r>
      <w:r w:rsidR="00CA3723">
        <w:t>were an</w:t>
      </w:r>
      <w:r>
        <w:t xml:space="preserve"> integral part of that expression. In the theory, all processes and cycles in life are manifested by the divine through numbers, and numbers are represented by Time and harmonic sound ratio that govern the nature of harmonic energies. Since humans have the creative intelligence implanted in the body just as the stars and planets, therefore </w:t>
      </w:r>
      <w:r>
        <w:lastRenderedPageBreak/>
        <w:t xml:space="preserve">human beings could actively leverage the cosmic order through mathematical vibrations to strive to their own highest potentials. It is seen as an individual’s responsibility and choice to be in tune with the universe rather than blaming it on a deity for individual sufferings.  </w:t>
      </w:r>
    </w:p>
    <w:p w14:paraId="00000017" w14:textId="2F06D064" w:rsidR="00C54303" w:rsidRDefault="00CA35E1">
      <w:pPr>
        <w:spacing w:before="240" w:after="240"/>
      </w:pPr>
      <w:r>
        <w:t>Plato’s attitude towards Heaven with the rationale of harmonization can also be seen in his concepts of duality and elemental astrological views. Plato explained the dualistic concept of limited and unlimited suggested by Anaximander (601 -546 BCE)</w:t>
      </w:r>
      <w:r>
        <w:rPr>
          <w:vertAlign w:val="superscript"/>
        </w:rPr>
        <w:footnoteReference w:id="42"/>
      </w:r>
      <w:r>
        <w:t xml:space="preserve"> with the relationship between the two poles of existence in the cosmos. The manifestation of the divine, “Being”, and the material world, “Becoming”, “two powers…one of them is the supreme over everything in the intelligible (divine, unchangeable) world, the other over the visible world (material, changeable).”</w:t>
      </w:r>
      <w:r>
        <w:rPr>
          <w:vertAlign w:val="superscript"/>
        </w:rPr>
        <w:footnoteReference w:id="43"/>
      </w:r>
      <w:r>
        <w:t xml:space="preserve"> This attitude towards Heaven continued to be developed by Aristotle (384-322 BCE) with the Empedoclean (495-435 </w:t>
      </w:r>
      <w:r w:rsidR="00CA3723">
        <w:t>BCE) four</w:t>
      </w:r>
      <w:r>
        <w:t xml:space="preserve"> </w:t>
      </w:r>
      <w:proofErr w:type="spellStart"/>
      <w:r w:rsidR="00CA3723">
        <w:t>humours</w:t>
      </w:r>
      <w:proofErr w:type="spellEnd"/>
      <w:r w:rsidR="00CA3723">
        <w:t xml:space="preserve"> (</w:t>
      </w:r>
      <w:r>
        <w:t xml:space="preserve">fire, earth, air, water). The four </w:t>
      </w:r>
      <w:proofErr w:type="spellStart"/>
      <w:r>
        <w:t>humours</w:t>
      </w:r>
      <w:proofErr w:type="spellEnd"/>
      <w:r>
        <w:t xml:space="preserve"> or elements formed a continuous and endless cycle of balance</w:t>
      </w:r>
      <w:r>
        <w:rPr>
          <w:vertAlign w:val="superscript"/>
        </w:rPr>
        <w:footnoteReference w:id="44"/>
      </w:r>
      <w:r>
        <w:t>, forming one of the important astrological causes</w:t>
      </w:r>
      <w:r>
        <w:rPr>
          <w:vertAlign w:val="superscript"/>
        </w:rPr>
        <w:footnoteReference w:id="45"/>
      </w:r>
      <w:r>
        <w:t xml:space="preserve"> in Western astrology. Both concepts later developed </w:t>
      </w:r>
      <w:r w:rsidR="00CA3723">
        <w:t>into medical</w:t>
      </w:r>
      <w:r>
        <w:t xml:space="preserve"> astrology by Pythagoras</w:t>
      </w:r>
      <w:r w:rsidR="00EC0480">
        <w:t xml:space="preserve"> of the Islamic world</w:t>
      </w:r>
      <w:r>
        <w:t xml:space="preserve"> and Hippocrates that was </w:t>
      </w:r>
      <w:r w:rsidR="00CA3723">
        <w:t>used by</w:t>
      </w:r>
      <w:r>
        <w:t xml:space="preserve"> Ficino in the formulation of theories for medicine, music, and magic in</w:t>
      </w:r>
      <w:r w:rsidR="00704A6A">
        <w:t xml:space="preserve"> the</w:t>
      </w:r>
      <w:r>
        <w:t xml:space="preserve"> 16th century Europe</w:t>
      </w:r>
      <w:r>
        <w:rPr>
          <w:vertAlign w:val="superscript"/>
        </w:rPr>
        <w:footnoteReference w:id="46"/>
      </w:r>
      <w:r>
        <w:t>.</w:t>
      </w:r>
    </w:p>
    <w:p w14:paraId="00000018" w14:textId="20DAC3EC" w:rsidR="00C54303" w:rsidRDefault="00CA35E1">
      <w:pPr>
        <w:spacing w:before="240" w:after="240"/>
      </w:pPr>
      <w:proofErr w:type="spellStart"/>
      <w:r>
        <w:t>Marisilio</w:t>
      </w:r>
      <w:proofErr w:type="spellEnd"/>
      <w:r>
        <w:t xml:space="preserve"> Ficino (1433–1499 CE), a key Italian Neoplatonist, philosopher, priest, and magician was the first to translate and comment on the Platonic Corpus to Latin, in addition to other philosophical works including Plotinus, Iamblichus, Proclus, and Hermetic alchemy texts. His work </w:t>
      </w:r>
      <w:r w:rsidRPr="00094E3E">
        <w:rPr>
          <w:i/>
          <w:iCs/>
        </w:rPr>
        <w:t>De Vita Libri Tres</w:t>
      </w:r>
      <w:r>
        <w:t xml:space="preserve"> (</w:t>
      </w:r>
      <w:r w:rsidRPr="00094E3E">
        <w:rPr>
          <w:i/>
          <w:iCs/>
        </w:rPr>
        <w:t>Three Books on Life or De Vita</w:t>
      </w:r>
      <w:r>
        <w:t>) was published in 1489</w:t>
      </w:r>
      <w:r>
        <w:rPr>
          <w:vertAlign w:val="superscript"/>
        </w:rPr>
        <w:footnoteReference w:id="47"/>
      </w:r>
      <w:r>
        <w:t xml:space="preserve">. It was a series of theories in astrology, medicine, </w:t>
      </w:r>
      <w:r w:rsidR="00CA3723">
        <w:t>music,</w:t>
      </w:r>
      <w:r>
        <w:t xml:space="preserve"> and magic with a Neoplatonic framework, he concluded his own system of natural magic, explaining the workings of the cosmos with the concept of the Neoplatonic One and that the divine properties instilled in human bodies from the heaven is possibl</w:t>
      </w:r>
      <w:r w:rsidR="009D409A">
        <w:t>y</w:t>
      </w:r>
      <w:r>
        <w:t xml:space="preserve"> not detectable by our conscious mind</w:t>
      </w:r>
      <w:r>
        <w:rPr>
          <w:vertAlign w:val="superscript"/>
        </w:rPr>
        <w:footnoteReference w:id="48"/>
      </w:r>
      <w:r>
        <w:t xml:space="preserve">. In the late 1400s, the Church accused his work to be in conflict with Christian theology, to counter this change, he claimed the writing as notabilia for the ancient text to deflect the accusations. In reality, Ficino not only translated but also interpreted and rediscovered ancient texts to develop his </w:t>
      </w:r>
      <w:r w:rsidR="00096D5E">
        <w:t xml:space="preserve">own </w:t>
      </w:r>
      <w:r>
        <w:t>philosophical thoughts according to the cultural background of his times.</w:t>
      </w:r>
      <w:r>
        <w:rPr>
          <w:vertAlign w:val="superscript"/>
        </w:rPr>
        <w:footnoteReference w:id="49"/>
      </w:r>
    </w:p>
    <w:p w14:paraId="00000019" w14:textId="341B694B" w:rsidR="00C54303" w:rsidRDefault="00CA35E1">
      <w:pPr>
        <w:spacing w:before="240" w:after="240"/>
      </w:pPr>
      <w:r>
        <w:t>In</w:t>
      </w:r>
      <w:r>
        <w:rPr>
          <w:i/>
        </w:rPr>
        <w:t xml:space="preserve"> De Vita</w:t>
      </w:r>
      <w:r>
        <w:t xml:space="preserve">, astrology, </w:t>
      </w:r>
      <w:r w:rsidR="00CA3723">
        <w:t>magic,</w:t>
      </w:r>
      <w:r>
        <w:t xml:space="preserve"> and music were depicted as cosmic therapy</w:t>
      </w:r>
      <w:r>
        <w:rPr>
          <w:vertAlign w:val="superscript"/>
        </w:rPr>
        <w:footnoteReference w:id="50"/>
      </w:r>
      <w:r>
        <w:t xml:space="preserve"> developed by </w:t>
      </w:r>
      <w:proofErr w:type="spellStart"/>
      <w:r>
        <w:t>Marsilio</w:t>
      </w:r>
      <w:proofErr w:type="spellEnd"/>
      <w:r>
        <w:t xml:space="preserve"> Ficino. The concept set a foundation for astrology and esoteric science while Ficino attempted to account for the approach and use by grounding them through philosophy and religious piety in Europe.</w:t>
      </w:r>
      <w:r>
        <w:rPr>
          <w:vertAlign w:val="superscript"/>
        </w:rPr>
        <w:footnoteReference w:id="51"/>
      </w:r>
      <w:r>
        <w:t xml:space="preserve"> Ficino developed</w:t>
      </w:r>
      <w:r w:rsidR="008410A8">
        <w:t xml:space="preserve"> his work</w:t>
      </w:r>
      <w:r w:rsidR="006E4065">
        <w:t xml:space="preserve"> based</w:t>
      </w:r>
      <w:r>
        <w:t xml:space="preserve"> on the grounds of the musical </w:t>
      </w:r>
      <w:r>
        <w:lastRenderedPageBreak/>
        <w:t xml:space="preserve">cosmos established by Plato in </w:t>
      </w:r>
      <w:r>
        <w:rPr>
          <w:i/>
        </w:rPr>
        <w:t>Timaeus</w:t>
      </w:r>
      <w:r>
        <w:rPr>
          <w:color w:val="333333"/>
          <w:vertAlign w:val="superscript"/>
        </w:rPr>
        <w:footnoteReference w:id="52"/>
      </w:r>
      <w:r>
        <w:t xml:space="preserve">, </w:t>
      </w:r>
      <w:r w:rsidR="006E4065">
        <w:t xml:space="preserve">he </w:t>
      </w:r>
      <w:r>
        <w:t xml:space="preserve">developed </w:t>
      </w:r>
      <w:r w:rsidR="00BF6344">
        <w:t>a theory to</w:t>
      </w:r>
      <w:r>
        <w:t xml:space="preserve"> reflect the correspondence between the mythical qualities in the eight planets and the eight octaves in the </w:t>
      </w:r>
      <w:r w:rsidR="00BF6344">
        <w:t xml:space="preserve">musical </w:t>
      </w:r>
      <w:r>
        <w:t>context.</w:t>
      </w:r>
      <w:r>
        <w:rPr>
          <w:vertAlign w:val="superscript"/>
        </w:rPr>
        <w:footnoteReference w:id="53"/>
      </w:r>
      <w:r>
        <w:t xml:space="preserve"> With the use of musical tones and the ideology of the Renaissance art of creation tying with the planetary spheres and the spiritual cosmology, Ficino inspired intellectuals to ponder on the relationship between the individual soul and harmonic creation. In </w:t>
      </w:r>
      <w:r>
        <w:rPr>
          <w:i/>
        </w:rPr>
        <w:t>De Vita</w:t>
      </w:r>
      <w:r>
        <w:t>, desire and the imagination of human beings were the two main emphases, where he described a transcending moment in time that could be acknowledged as a shift in the sense of being. Just like musical or artistic creation, energy is harnessed by the sense of correspondence between the celestial and human beings giving birth to inspirations and new creations.</w:t>
      </w:r>
      <w:r>
        <w:rPr>
          <w:vertAlign w:val="superscript"/>
        </w:rPr>
        <w:footnoteReference w:id="54"/>
      </w:r>
      <w:r>
        <w:t xml:space="preserve"> The Neoplatonist concept of Harmony evolved from Greek Philosophy with the earliest inspiration dated back to the Persian notion of “One is God”</w:t>
      </w:r>
      <w:r>
        <w:rPr>
          <w:vertAlign w:val="superscript"/>
        </w:rPr>
        <w:footnoteReference w:id="55"/>
      </w:r>
      <w:r>
        <w:t>. Platonism sealed the theories together into a Natural philosophy, breaking free from the superstitious mindset. While Neoplatonist Ficino set the fundamental astrological approach in the 16</w:t>
      </w:r>
      <w:r>
        <w:rPr>
          <w:vertAlign w:val="superscript"/>
        </w:rPr>
        <w:t>th</w:t>
      </w:r>
      <w:r>
        <w:t xml:space="preserve"> century aiming to reconcile astrology from the aggressive attacks from Religion. His philosophy provided the rationale with the understanding of the celestial’s physical nature and the foundation to quantify them mathematically to a harmonious Neoplatonic One.  </w:t>
      </w:r>
    </w:p>
    <w:p w14:paraId="0000001A" w14:textId="77777777" w:rsidR="00C54303" w:rsidRDefault="00C54303">
      <w:pPr>
        <w:spacing w:before="240" w:after="240"/>
      </w:pPr>
    </w:p>
    <w:p w14:paraId="027026AB" w14:textId="77777777" w:rsidR="00396C0E" w:rsidRDefault="00CA35E1">
      <w:pPr>
        <w:spacing w:before="240" w:after="240"/>
      </w:pPr>
      <w:r>
        <w:rPr>
          <w:b/>
        </w:rPr>
        <w:t>SUMMARY</w:t>
      </w:r>
      <w:r>
        <w:t xml:space="preserve"> </w:t>
      </w:r>
    </w:p>
    <w:p w14:paraId="0000001C" w14:textId="30212408" w:rsidR="00C54303" w:rsidRDefault="00CA35E1">
      <w:pPr>
        <w:spacing w:before="240" w:after="240"/>
      </w:pPr>
      <w:proofErr w:type="spellStart"/>
      <w:r>
        <w:rPr>
          <w:rFonts w:ascii="Arial Unicode MS" w:eastAsia="Arial Unicode MS" w:hAnsi="Arial Unicode MS" w:cs="Arial Unicode MS"/>
        </w:rPr>
        <w:t>Shushu</w:t>
      </w:r>
      <w:proofErr w:type="spellEnd"/>
      <w:r>
        <w:rPr>
          <w:rFonts w:ascii="Arial Unicode MS" w:eastAsia="Arial Unicode MS" w:hAnsi="Arial Unicode MS" w:cs="Arial Unicode MS"/>
        </w:rPr>
        <w:t xml:space="preserve"> 數術 was coined in </w:t>
      </w:r>
      <w:r>
        <w:rPr>
          <w:i/>
        </w:rPr>
        <w:t xml:space="preserve">Qi Lue </w:t>
      </w:r>
      <w:proofErr w:type="spellStart"/>
      <w:r>
        <w:rPr>
          <w:i/>
        </w:rPr>
        <w:t>Shushu</w:t>
      </w:r>
      <w:proofErr w:type="spellEnd"/>
      <w:r>
        <w:rPr>
          <w:i/>
        </w:rPr>
        <w:t xml:space="preserve"> Lue </w:t>
      </w:r>
      <w:r>
        <w:rPr>
          <w:rFonts w:ascii="Arial Unicode MS" w:eastAsia="Arial Unicode MS" w:hAnsi="Arial Unicode MS" w:cs="Arial Unicode MS"/>
        </w:rPr>
        <w:t xml:space="preserve">to subcategorize astrology into its main two applications, namely the first “Shu數” for “Calculation”, and the second “Shu術” for “Methods”. Calculation “Shu” meaning the series of astrological and cardinal space-time units of </w:t>
      </w:r>
      <w:proofErr w:type="spellStart"/>
      <w:r>
        <w:rPr>
          <w:rFonts w:ascii="Arial Unicode MS" w:eastAsia="Arial Unicode MS" w:hAnsi="Arial Unicode MS" w:cs="Arial Unicode MS"/>
        </w:rPr>
        <w:t>Ganzhi</w:t>
      </w:r>
      <w:proofErr w:type="spellEnd"/>
      <w:r>
        <w:rPr>
          <w:rFonts w:ascii="Arial Unicode MS" w:eastAsia="Arial Unicode MS" w:hAnsi="Arial Unicode MS" w:cs="Arial Unicode MS"/>
        </w:rPr>
        <w:t xml:space="preserve"> 干支 along with their sympathetic meanings</w:t>
      </w:r>
      <w:r>
        <w:rPr>
          <w:vertAlign w:val="superscript"/>
        </w:rPr>
        <w:footnoteReference w:id="56"/>
      </w:r>
      <w:r>
        <w:t xml:space="preserve"> are used together with the principle of Five Phases Theory and Yin Yang Theory. Just like musical structure, Chinese cosmology describes the natural order of harmony in an ordered phase powered by the natural force of Qi, corresponding with the principals and qualities of the Five Planets (Five Phases/ Elements/ Qualities/ Directions/ Seasons), and the Sun and the Moon (Yin Yang). While Qi moves in a circuitry progression (active or counter) through the Five Phases demonstrated by planetary characteristics, qualities, and elements (wood, fire, earth, metal, and water). Method “Shu” means the tabulations and formulas as reasoning and approaches for the rationale of the divination </w:t>
      </w:r>
      <w:r w:rsidR="00CA3723">
        <w:t>calculations.</w:t>
      </w:r>
    </w:p>
    <w:p w14:paraId="0000001D" w14:textId="2394AA1F" w:rsidR="00C54303" w:rsidRDefault="00CA35E1">
      <w:pPr>
        <w:spacing w:before="240" w:after="240"/>
      </w:pPr>
      <w:proofErr w:type="spellStart"/>
      <w:r>
        <w:rPr>
          <w:i/>
        </w:rPr>
        <w:t>Shushu</w:t>
      </w:r>
      <w:proofErr w:type="spellEnd"/>
      <w:r>
        <w:rPr>
          <w:rFonts w:ascii="Arial Unicode MS" w:eastAsia="Arial Unicode MS" w:hAnsi="Arial Unicode MS" w:cs="Arial Unicode MS"/>
        </w:rPr>
        <w:t xml:space="preserve"> is an application of astrology for practical use in divinatory purposes, it is a way to read and balance the natural order for all human affairs. Six forms of divinations were generalized, while all forms are deeply intertwined and used in combination with each other.</w:t>
      </w:r>
      <w:r w:rsidR="006E4065">
        <w:rPr>
          <w:rFonts w:ascii="Arial Unicode MS" w:eastAsia="Arial Unicode MS" w:hAnsi="Arial Unicode MS" w:cs="Arial Unicode MS"/>
        </w:rPr>
        <w:t xml:space="preserve"> </w:t>
      </w:r>
      <w:r>
        <w:rPr>
          <w:rFonts w:ascii="Arial Unicode MS" w:eastAsia="Arial Unicode MS" w:hAnsi="Arial Unicode MS" w:cs="Arial Unicode MS"/>
        </w:rPr>
        <w:t>The</w:t>
      </w:r>
      <w:r w:rsidR="00870EAF">
        <w:rPr>
          <w:rFonts w:ascii="Arial Unicode MS" w:eastAsia="Arial Unicode MS" w:hAnsi="Arial Unicode MS" w:cs="Arial Unicode MS"/>
        </w:rPr>
        <w:t>y</w:t>
      </w:r>
      <w:r>
        <w:rPr>
          <w:rFonts w:ascii="Arial Unicode MS" w:eastAsia="Arial Unicode MS" w:hAnsi="Arial Unicode MS" w:cs="Arial Unicode MS"/>
        </w:rPr>
        <w:t xml:space="preserve"> </w:t>
      </w:r>
      <w:proofErr w:type="gramStart"/>
      <w:r>
        <w:rPr>
          <w:rFonts w:ascii="Arial Unicode MS" w:eastAsia="Arial Unicode MS" w:hAnsi="Arial Unicode MS" w:cs="Arial Unicode MS"/>
        </w:rPr>
        <w:t>include;</w:t>
      </w:r>
      <w:proofErr w:type="gramEnd"/>
      <w:r>
        <w:rPr>
          <w:rFonts w:ascii="Arial Unicode MS" w:eastAsia="Arial Unicode MS" w:hAnsi="Arial Unicode MS" w:cs="Arial Unicode MS"/>
        </w:rPr>
        <w:t xml:space="preserve"> Astronomical天文, </w:t>
      </w:r>
      <w:proofErr w:type="spellStart"/>
      <w:r>
        <w:rPr>
          <w:rFonts w:ascii="Arial Unicode MS" w:eastAsia="Arial Unicode MS" w:hAnsi="Arial Unicode MS" w:cs="Arial Unicode MS"/>
        </w:rPr>
        <w:t>Calendarical</w:t>
      </w:r>
      <w:proofErr w:type="spellEnd"/>
      <w:r>
        <w:rPr>
          <w:rFonts w:ascii="Arial Unicode MS" w:eastAsia="Arial Unicode MS" w:hAnsi="Arial Unicode MS" w:cs="Arial Unicode MS"/>
        </w:rPr>
        <w:t xml:space="preserve"> 曆譜, Five Phases 五行, Oracle Bones 著龜, Miscellaneous 雑占 and Shapes (All physical nature including Chinese Geomancy) 形法. Accumulated </w:t>
      </w:r>
      <w:r>
        <w:rPr>
          <w:rFonts w:ascii="Arial Unicode MS" w:eastAsia="Arial Unicode MS" w:hAnsi="Arial Unicode MS" w:cs="Arial Unicode MS"/>
        </w:rPr>
        <w:lastRenderedPageBreak/>
        <w:t xml:space="preserve">tabulations and theories were collected from 190 schools with a total of 2582 scrolls. </w:t>
      </w:r>
      <w:proofErr w:type="spellStart"/>
      <w:r>
        <w:rPr>
          <w:rFonts w:ascii="Arial Unicode MS" w:eastAsia="Arial Unicode MS" w:hAnsi="Arial Unicode MS" w:cs="Arial Unicode MS"/>
        </w:rPr>
        <w:t>Shushu</w:t>
      </w:r>
      <w:proofErr w:type="spellEnd"/>
      <w:r>
        <w:rPr>
          <w:rFonts w:ascii="Arial Unicode MS" w:eastAsia="Arial Unicode MS" w:hAnsi="Arial Unicode MS" w:cs="Arial Unicode MS"/>
        </w:rPr>
        <w:t xml:space="preserve"> methods were used since the mythical Yellow Emperor Period 黃帝. They include observational, calculation and more abstract ways with shapes, </w:t>
      </w:r>
      <w:proofErr w:type="gramStart"/>
      <w:r>
        <w:rPr>
          <w:rFonts w:ascii="Arial Unicode MS" w:eastAsia="Arial Unicode MS" w:hAnsi="Arial Unicode MS" w:cs="Arial Unicode MS"/>
        </w:rPr>
        <w:t>music</w:t>
      </w:r>
      <w:proofErr w:type="gramEnd"/>
      <w:r>
        <w:rPr>
          <w:rFonts w:ascii="Arial Unicode MS" w:eastAsia="Arial Unicode MS" w:hAnsi="Arial Unicode MS" w:cs="Arial Unicode MS"/>
        </w:rPr>
        <w:t xml:space="preserve"> and dance rituals, using physical material to resonate </w:t>
      </w:r>
      <w:r w:rsidR="000E72EB">
        <w:rPr>
          <w:rFonts w:ascii="Arial Unicode MS" w:eastAsia="Arial Unicode MS" w:hAnsi="Arial Unicode MS" w:cs="Arial Unicode MS"/>
        </w:rPr>
        <w:t>and</w:t>
      </w:r>
      <w:r>
        <w:rPr>
          <w:rFonts w:ascii="Arial Unicode MS" w:eastAsia="Arial Unicode MS" w:hAnsi="Arial Unicode MS" w:cs="Arial Unicode MS"/>
        </w:rPr>
        <w:t xml:space="preserve"> echoed through the Heavens.</w:t>
      </w:r>
      <w:r>
        <w:rPr>
          <w:vertAlign w:val="superscript"/>
        </w:rPr>
        <w:footnoteReference w:id="57"/>
      </w:r>
      <w:r>
        <w:t xml:space="preserve"> With different ways of harmonization, </w:t>
      </w:r>
      <w:proofErr w:type="spellStart"/>
      <w:r>
        <w:t>Shushu</w:t>
      </w:r>
      <w:proofErr w:type="spellEnd"/>
      <w:r>
        <w:t xml:space="preserve"> helped people to live in Harmony in nature, while also setting the tone for the Mandate of Heaven. While the information on the worthiness of the emperor threatened Qin Emperor and indirectly related to the death by suicide of one of the authors of </w:t>
      </w:r>
      <w:r>
        <w:rPr>
          <w:i/>
        </w:rPr>
        <w:t>Qi Lue</w:t>
      </w:r>
      <w:r>
        <w:t xml:space="preserve">. It is important to note the core of Tao’s personal virtue is attained by the alignment as One in harmony with nature, </w:t>
      </w:r>
      <w:r w:rsidR="003F322B">
        <w:t>realizing</w:t>
      </w:r>
      <w:r>
        <w:t xml:space="preserve"> Non-doing (</w:t>
      </w:r>
      <w:proofErr w:type="spellStart"/>
      <w:r>
        <w:t>Wuwei</w:t>
      </w:r>
      <w:proofErr w:type="spellEnd"/>
      <w:r>
        <w:t xml:space="preserve"> </w:t>
      </w:r>
      <w:r>
        <w:rPr>
          <w:rFonts w:ascii="Arial Unicode MS" w:eastAsia="Arial Unicode MS" w:hAnsi="Arial Unicode MS" w:cs="Arial Unicode MS"/>
        </w:rPr>
        <w:t>無爲</w:t>
      </w:r>
      <w:r>
        <w:t>)</w:t>
      </w:r>
      <w:r>
        <w:rPr>
          <w:vertAlign w:val="superscript"/>
        </w:rPr>
        <w:footnoteReference w:id="58"/>
      </w:r>
      <w:r>
        <w:rPr>
          <w:rFonts w:ascii="Arial Unicode MS" w:eastAsia="Arial Unicode MS" w:hAnsi="Arial Unicode MS" w:cs="Arial Unicode MS"/>
        </w:rPr>
        <w:t xml:space="preserve"> and not dominance and control in reaching their highest potential. Harmonic evolution or revolution worked as an inquiry to the meaning of life and our place in the universe, while the intention constitutes the way it unfolds. The curiosity of the </w:t>
      </w:r>
      <w:r w:rsidR="00A367D5">
        <w:rPr>
          <w:rFonts w:ascii="Arial Unicode MS" w:eastAsia="Arial Unicode MS" w:hAnsi="Arial Unicode MS" w:cs="Arial Unicode MS"/>
        </w:rPr>
        <w:t>efficacy</w:t>
      </w:r>
      <w:r>
        <w:rPr>
          <w:rFonts w:ascii="Arial Unicode MS" w:eastAsia="Arial Unicode MS" w:hAnsi="Arial Unicode MS" w:cs="Arial Unicode MS"/>
        </w:rPr>
        <w:t xml:space="preserve"> of the Tao has brought the emergence of philosophies after 770 BCE, gave rise to the paramount period for Chinese astrological, cultural, and intellectual history called the “Hundred Schools of Thoughts” 諸子百家.    </w:t>
      </w:r>
    </w:p>
    <w:p w14:paraId="0000001E" w14:textId="77777777" w:rsidR="00C54303" w:rsidRDefault="00CA35E1">
      <w:pPr>
        <w:spacing w:before="240" w:after="240"/>
      </w:pPr>
      <w:proofErr w:type="spellStart"/>
      <w:r>
        <w:rPr>
          <w:i/>
        </w:rPr>
        <w:t>Zhuzi</w:t>
      </w:r>
      <w:proofErr w:type="spellEnd"/>
      <w:r>
        <w:rPr>
          <w:i/>
        </w:rPr>
        <w:t xml:space="preserve"> Lue</w:t>
      </w:r>
      <w:r>
        <w:t xml:space="preserve"> in </w:t>
      </w:r>
      <w:r>
        <w:rPr>
          <w:i/>
        </w:rPr>
        <w:t>Qi Lue</w:t>
      </w:r>
      <w:r>
        <w:rPr>
          <w:rFonts w:ascii="Arial Unicode MS" w:eastAsia="Arial Unicode MS" w:hAnsi="Arial Unicode MS" w:cs="Arial Unicode MS"/>
        </w:rPr>
        <w:t xml:space="preserve"> included 189 schools of work and 4342 pieces of reference material in the period of the Hundred Schools of Thoughts. Similar to the flourish of Hellenistic world, a blooming of philosophies flowered through Spring and Autumn Period and Warring State Period 春秋戰國 (770-221 BCE). As the name suggested, it was a long period of constant warfare between States, philosophers across centuries engaged in debates, eager to search for the meaning of it all. Tao </w:t>
      </w:r>
      <w:proofErr w:type="spellStart"/>
      <w:r>
        <w:rPr>
          <w:rFonts w:ascii="Arial Unicode MS" w:eastAsia="Arial Unicode MS" w:hAnsi="Arial Unicode MS" w:cs="Arial Unicode MS"/>
        </w:rPr>
        <w:t>Te</w:t>
      </w:r>
      <w:proofErr w:type="spellEnd"/>
      <w:r>
        <w:rPr>
          <w:rFonts w:ascii="Arial Unicode MS" w:eastAsia="Arial Unicode MS" w:hAnsi="Arial Unicode MS" w:cs="Arial Unicode MS"/>
        </w:rPr>
        <w:t xml:space="preserve"> Ching In 5000 characters of 81 chapters written by Laozi brought the theory back to the beginning of the universe.</w:t>
      </w:r>
      <w:r>
        <w:rPr>
          <w:vertAlign w:val="superscript"/>
        </w:rPr>
        <w:footnoteReference w:id="59"/>
      </w:r>
      <w:r>
        <w:t xml:space="preserve"> The text is precise, short, poetic, and metaphorical in nature, the writing style itself provided imaginative space that was parallel to the concept of endless cycle of creations and decay as described. The exact completion year of the book and the author’s exact active years remain unknown and a mystery. This information is lost to history or perhaps this omission was intentional since this gap aligned with his philosophy of non-doing (</w:t>
      </w:r>
      <w:proofErr w:type="spellStart"/>
      <w:r>
        <w:t>Wuwei</w:t>
      </w:r>
      <w:proofErr w:type="spellEnd"/>
      <w:r>
        <w:t xml:space="preserve">) as described in chapter 19, “Let go of the controlling conscious mind…embrace simplicity and hold on to the original Nature” that had made Laozi legendary. The nature centered-universe has set the fundamental foundation for the approach and use of Chinese astrology. </w:t>
      </w:r>
    </w:p>
    <w:p w14:paraId="0000001F" w14:textId="5A3E9761" w:rsidR="00C54303" w:rsidRDefault="00CA35E1">
      <w:pPr>
        <w:spacing w:before="240" w:after="240"/>
      </w:pPr>
      <w:r>
        <w:t>In</w:t>
      </w:r>
      <w:r w:rsidR="002932BE">
        <w:t xml:space="preserve"> 16</w:t>
      </w:r>
      <w:r w:rsidR="002932BE" w:rsidRPr="002932BE">
        <w:rPr>
          <w:vertAlign w:val="superscript"/>
        </w:rPr>
        <w:t>th</w:t>
      </w:r>
      <w:r w:rsidR="002932BE">
        <w:t xml:space="preserve"> century West,</w:t>
      </w:r>
      <w:r>
        <w:t xml:space="preserve"> </w:t>
      </w:r>
      <w:r w:rsidR="001C34EA">
        <w:t xml:space="preserve">Ficino’s </w:t>
      </w:r>
      <w:r>
        <w:rPr>
          <w:i/>
        </w:rPr>
        <w:t>De Vita Book 3</w:t>
      </w:r>
      <w:r>
        <w:t xml:space="preserve"> stated the inquisition </w:t>
      </w:r>
      <w:r w:rsidR="006A2193">
        <w:t>of</w:t>
      </w:r>
      <w:r>
        <w:t xml:space="preserve"> “How to arrange your life in accordance with the heavens”, written as a progression of avocation concerning astrology, magic, and music as therapies for mental and physical health, preparing one to connect with the divine purified mind.</w:t>
      </w:r>
      <w:r>
        <w:rPr>
          <w:color w:val="333333"/>
          <w:vertAlign w:val="superscript"/>
        </w:rPr>
        <w:footnoteReference w:id="60"/>
      </w:r>
      <w:r>
        <w:rPr>
          <w:color w:val="00FF00"/>
        </w:rPr>
        <w:t xml:space="preserve"> </w:t>
      </w:r>
      <w:r>
        <w:t xml:space="preserve">Ficino focused on putting his theory in practice with detailed instructions, illustrated astrological approach of music as therapy with technical vocalization as “prayers”, formulating musical composition according to horoscope. The study considered the concept of </w:t>
      </w:r>
      <w:r>
        <w:lastRenderedPageBreak/>
        <w:t>Harmony in three levels,</w:t>
      </w:r>
      <w:r>
        <w:rPr>
          <w:vertAlign w:val="superscript"/>
        </w:rPr>
        <w:footnoteReference w:id="61"/>
      </w:r>
      <w:r>
        <w:t xml:space="preserve"> through the harmonic ratio in musical tones, the relationship of human senses with the </w:t>
      </w:r>
      <w:r w:rsidR="00B973AE">
        <w:t>Empedocles’s</w:t>
      </w:r>
      <w:r>
        <w:t xml:space="preserve"> Four </w:t>
      </w:r>
      <w:proofErr w:type="spellStart"/>
      <w:r>
        <w:t>Humours</w:t>
      </w:r>
      <w:proofErr w:type="spellEnd"/>
      <w:r>
        <w:t xml:space="preserve"> and the “astronomical causes of harmony” using natural influences to correspond to Heaven. He believed the process is an interaction between the Heaven and Humanity, actively bringing the physical manifestations to align with the harmony of the “music of the body”</w:t>
      </w:r>
      <w:r>
        <w:rPr>
          <w:vertAlign w:val="superscript"/>
        </w:rPr>
        <w:footnoteReference w:id="62"/>
      </w:r>
      <w:r>
        <w:t>, where the purification of the human spirit will transcend earthly materials, liberating them from instinctive responds to gain a clear mind with freewill</w:t>
      </w:r>
      <w:r>
        <w:rPr>
          <w:vertAlign w:val="superscript"/>
        </w:rPr>
        <w:footnoteReference w:id="63"/>
      </w:r>
      <w:r>
        <w:t xml:space="preserve"> . To achieve this, Ficino hinted the efficacy of natural magic depends on knowing the particular quality of a particular Time, the particular properties of the particular celestial bodies as well as the right kind of intention.</w:t>
      </w:r>
      <w:r>
        <w:rPr>
          <w:vertAlign w:val="superscript"/>
        </w:rPr>
        <w:footnoteReference w:id="64"/>
      </w:r>
      <w:r>
        <w:t xml:space="preserve">  Planetary qualities and aspects, especially the phases and aspects of the moon provide</w:t>
      </w:r>
      <w:r w:rsidR="00172336">
        <w:t>d</w:t>
      </w:r>
      <w:r>
        <w:t xml:space="preserve"> a sense of awareness of Time, </w:t>
      </w:r>
      <w:r w:rsidR="003862EB">
        <w:t>by</w:t>
      </w:r>
      <w:r>
        <w:t xml:space="preserve"> coordinating planetary movements with Earthly events</w:t>
      </w:r>
      <w:r w:rsidR="00084E40">
        <w:t>, it was considered to be a</w:t>
      </w:r>
      <w:r>
        <w:t xml:space="preserve"> form of freewill Humanity can exercise in maximizing their potentials. Affirmed by his fellow intellectual Pico </w:t>
      </w:r>
      <w:proofErr w:type="spellStart"/>
      <w:r>
        <w:t>della</w:t>
      </w:r>
      <w:proofErr w:type="spellEnd"/>
      <w:r>
        <w:t xml:space="preserve"> </w:t>
      </w:r>
      <w:proofErr w:type="spellStart"/>
      <w:r>
        <w:t>Mirandola</w:t>
      </w:r>
      <w:proofErr w:type="spellEnd"/>
      <w:r>
        <w:t xml:space="preserve"> (1463-1494 CE), “In natural magic, nothing is more efficacious than the Hymns of Orpheus, especially the correct music, intention of the mind, and all the other circumstances known to the wise are applied”</w:t>
      </w:r>
      <w:r>
        <w:rPr>
          <w:vertAlign w:val="superscript"/>
        </w:rPr>
        <w:footnoteReference w:id="65"/>
      </w:r>
      <w:r>
        <w:t xml:space="preserve"> Harmonic energy or the music-spirit was seen as a living organism with emotions and meanings, synchronizing Heavens and the individual soul with music.</w:t>
      </w:r>
    </w:p>
    <w:p w14:paraId="00000020" w14:textId="77777777" w:rsidR="00C54303" w:rsidRDefault="00CA35E1">
      <w:pPr>
        <w:spacing w:before="240" w:after="240"/>
      </w:pPr>
      <w:r>
        <w:t xml:space="preserve">  </w:t>
      </w:r>
    </w:p>
    <w:p w14:paraId="00000021" w14:textId="77777777" w:rsidR="00C54303" w:rsidRDefault="00CA35E1">
      <w:pPr>
        <w:spacing w:before="240" w:after="240"/>
        <w:rPr>
          <w:b/>
        </w:rPr>
      </w:pPr>
      <w:r>
        <w:rPr>
          <w:b/>
        </w:rPr>
        <w:t>ANALYZATION</w:t>
      </w:r>
    </w:p>
    <w:p w14:paraId="00000022" w14:textId="38352DEA" w:rsidR="00C54303" w:rsidRPr="00431336" w:rsidRDefault="00DB3C2D">
      <w:pPr>
        <w:spacing w:before="240" w:after="240"/>
      </w:pPr>
      <w:r>
        <w:rPr>
          <w:rFonts w:ascii="Arial Unicode MS" w:eastAsia="Arial Unicode MS" w:hAnsi="Arial Unicode MS" w:cs="Arial Unicode MS"/>
        </w:rPr>
        <w:t xml:space="preserve">The concepts of Harmony were evident in both cultures, while unique approaches in resonance between Heaven, Earth and Humanity have emerged in culturally specific ways. </w:t>
      </w:r>
      <w:r w:rsidR="00F52D29">
        <w:t>Western astrology had been through multiple large-scale interruptions and integrations through history, while</w:t>
      </w:r>
      <w:r w:rsidR="00F52D29" w:rsidRPr="00F52D29">
        <w:t xml:space="preserve"> </w:t>
      </w:r>
      <w:r w:rsidR="00F52D29">
        <w:t>Chinese astrology and natural magic dev</w:t>
      </w:r>
      <w:r w:rsidR="00920D4E">
        <w:t>eloped</w:t>
      </w:r>
      <w:r w:rsidR="001744C4">
        <w:t xml:space="preserve"> relatively more consist</w:t>
      </w:r>
      <w:r w:rsidR="00A70598">
        <w:t>ent</w:t>
      </w:r>
      <w:r w:rsidR="00920D4E">
        <w:t xml:space="preserve"> </w:t>
      </w:r>
      <w:r w:rsidR="00A70598">
        <w:t>despite the mass destruction of Qin Dynasty</w:t>
      </w:r>
      <w:r w:rsidR="00F52D29">
        <w:t xml:space="preserve">. </w:t>
      </w:r>
      <w:r w:rsidR="008C4ED1">
        <w:t xml:space="preserve">In Chinese astrology, </w:t>
      </w:r>
      <w:r w:rsidR="00F52D29">
        <w:t xml:space="preserve">the </w:t>
      </w:r>
      <w:r w:rsidR="0022627B">
        <w:t xml:space="preserve">concept of Harmony has been used in </w:t>
      </w:r>
      <w:r w:rsidR="008C4ED1">
        <w:t>b</w:t>
      </w:r>
      <w:r w:rsidR="00CA35E1">
        <w:t xml:space="preserve">oth astrology and natural magic described in </w:t>
      </w:r>
      <w:r w:rsidR="008674CE">
        <w:rPr>
          <w:i/>
        </w:rPr>
        <w:t>I Ching</w:t>
      </w:r>
      <w:r w:rsidR="00CA35E1">
        <w:t xml:space="preserve"> since the mythical times. </w:t>
      </w:r>
      <w:r w:rsidR="00F52D29">
        <w:t>It</w:t>
      </w:r>
      <w:r w:rsidR="0022627B">
        <w:t xml:space="preserve"> was essential and ingrained in Chinese culture, with astrology being </w:t>
      </w:r>
      <w:r w:rsidR="0065280D">
        <w:t xml:space="preserve">standardized </w:t>
      </w:r>
      <w:r w:rsidR="0022627B">
        <w:t xml:space="preserve">and normalized </w:t>
      </w:r>
      <w:r w:rsidR="0065280D">
        <w:t xml:space="preserve">in the official classic of </w:t>
      </w:r>
      <w:r w:rsidR="0065280D">
        <w:rPr>
          <w:i/>
        </w:rPr>
        <w:t>Qi Lue</w:t>
      </w:r>
      <w:r w:rsidR="0065280D">
        <w:t>, a</w:t>
      </w:r>
      <w:r w:rsidR="0022627B">
        <w:t>nd</w:t>
      </w:r>
      <w:r w:rsidR="0065280D">
        <w:t xml:space="preserve"> </w:t>
      </w:r>
      <w:r w:rsidR="0022627B">
        <w:t>prominently</w:t>
      </w:r>
      <w:r w:rsidR="0065280D">
        <w:t xml:space="preserve"> used or misused </w:t>
      </w:r>
      <w:r w:rsidR="00D65B7F">
        <w:t>for</w:t>
      </w:r>
      <w:r w:rsidR="0065280D">
        <w:t xml:space="preserve"> the Mandate of Heaven</w:t>
      </w:r>
      <w:r w:rsidR="0022627B">
        <w:t xml:space="preserve"> through </w:t>
      </w:r>
      <w:r w:rsidR="00F52D29">
        <w:t>dynasties</w:t>
      </w:r>
      <w:r w:rsidR="0022627B">
        <w:t>.</w:t>
      </w:r>
      <w:r w:rsidR="0065280D">
        <w:t xml:space="preserve"> </w:t>
      </w:r>
      <w:r w:rsidR="00CA35E1">
        <w:t xml:space="preserve">In contrast, astrology in the West has </w:t>
      </w:r>
      <w:r w:rsidR="00D65B7F">
        <w:t>multiple</w:t>
      </w:r>
      <w:r w:rsidR="00CA35E1">
        <w:t xml:space="preserve"> beginnings for</w:t>
      </w:r>
      <w:r w:rsidR="00F52D29">
        <w:t xml:space="preserve"> both</w:t>
      </w:r>
      <w:r w:rsidR="00CA35E1">
        <w:t xml:space="preserve"> astrology and natural </w:t>
      </w:r>
      <w:r w:rsidR="00F52D29">
        <w:t>magic</w:t>
      </w:r>
      <w:r w:rsidR="00385E3D">
        <w:t xml:space="preserve"> as </w:t>
      </w:r>
      <w:r w:rsidR="00D11407">
        <w:t>separated</w:t>
      </w:r>
      <w:r w:rsidR="00385E3D">
        <w:t xml:space="preserve"> disciplines</w:t>
      </w:r>
      <w:r w:rsidR="0019739B">
        <w:t xml:space="preserve"> with different views on fate</w:t>
      </w:r>
      <w:r w:rsidR="00431336">
        <w:t xml:space="preserve">. </w:t>
      </w:r>
      <w:r w:rsidR="00920D4E">
        <w:t>Astronomical observation developed in Mesopotamia 2200 BCE, while natural magic was developed from the Greek philosophers to the Islamic world and picked up again by Ficino’s philosophical discourse</w:t>
      </w:r>
      <w:r w:rsidR="00D65B7F">
        <w:t xml:space="preserve"> in</w:t>
      </w:r>
      <w:r w:rsidR="005F2F6D">
        <w:t xml:space="preserve"> </w:t>
      </w:r>
      <w:r w:rsidR="005F2F6D" w:rsidRPr="00321C10">
        <w:rPr>
          <w:i/>
          <w:iCs/>
        </w:rPr>
        <w:t>De Vita</w:t>
      </w:r>
      <w:r w:rsidR="005F2F6D">
        <w:t xml:space="preserve"> in</w:t>
      </w:r>
      <w:r w:rsidR="00D65B7F">
        <w:t xml:space="preserve"> the 16</w:t>
      </w:r>
      <w:r w:rsidR="00D65B7F" w:rsidRPr="00D65B7F">
        <w:rPr>
          <w:vertAlign w:val="superscript"/>
        </w:rPr>
        <w:t>th</w:t>
      </w:r>
      <w:r w:rsidR="00D65B7F">
        <w:t xml:space="preserve"> century. </w:t>
      </w:r>
    </w:p>
    <w:p w14:paraId="00000023" w14:textId="0690C9EA" w:rsidR="00C54303" w:rsidRDefault="00CA35E1">
      <w:pPr>
        <w:spacing w:before="240" w:after="240"/>
      </w:pPr>
      <w:r>
        <w:t xml:space="preserve">In the philosophy of Tao and Neoplatonism in </w:t>
      </w:r>
      <w:r>
        <w:rPr>
          <w:i/>
        </w:rPr>
        <w:t>De Vita Book Three</w:t>
      </w:r>
      <w:r>
        <w:rPr>
          <w:rFonts w:ascii="Arial Unicode MS" w:eastAsia="Arial Unicode MS" w:hAnsi="Arial Unicode MS" w:cs="Arial Unicode MS"/>
        </w:rPr>
        <w:t>, both contributed effort in understanding the origin of the universe and to restore harmony by aligning with the One.</w:t>
      </w:r>
      <w:r w:rsidR="002A1E01">
        <w:rPr>
          <w:rFonts w:ascii="Arial Unicode MS" w:eastAsia="Arial Unicode MS" w:hAnsi="Arial Unicode MS" w:cs="Arial Unicode MS"/>
        </w:rPr>
        <w:t xml:space="preserve"> </w:t>
      </w:r>
      <w:r w:rsidR="00E06DDD">
        <w:rPr>
          <w:rFonts w:ascii="Arial Unicode MS" w:eastAsia="Arial Unicode MS" w:hAnsi="Arial Unicode MS" w:cs="Arial Unicode MS"/>
        </w:rPr>
        <w:t>B</w:t>
      </w:r>
      <w:r>
        <w:rPr>
          <w:rFonts w:ascii="Arial Unicode MS" w:eastAsia="Arial Unicode MS" w:hAnsi="Arial Unicode MS" w:cs="Arial Unicode MS"/>
        </w:rPr>
        <w:t xml:space="preserve">oth presented their theories in a poetic and imaginative way, providing space for imagination and aspiration to co-create in life through the active harmonization in the cosmos. Tao emphasized </w:t>
      </w:r>
      <w:r>
        <w:rPr>
          <w:rFonts w:ascii="Arial Unicode MS" w:eastAsia="Arial Unicode MS" w:hAnsi="Arial Unicode MS" w:cs="Arial Unicode MS"/>
        </w:rPr>
        <w:lastRenderedPageBreak/>
        <w:t xml:space="preserve">the intention of “non-doing”, Wu Wei 無爲, letting go of dominance and instead, embrace the alignment in Nature, while Neoplatonist Ficino emphasized in </w:t>
      </w:r>
      <w:r>
        <w:t>“being” as one with “God’s will”, to exercise freewill to be in alignment with the divine order. The two philosophies gave birth to distinct uses in astrology with their different cosmology, history, and cultural background. They both believe in striving for alignment of the celestial movements and the physical dimensions through harmonization, united in the notion of liberation of individual sufferings through balancing their respective elemental force to become one with the universe.</w:t>
      </w:r>
    </w:p>
    <w:p w14:paraId="00000024" w14:textId="7F55D2D1" w:rsidR="00C54303" w:rsidRDefault="00CA35E1">
      <w:pPr>
        <w:spacing w:before="240" w:after="240"/>
      </w:pPr>
      <w:r>
        <w:t>In both worlds of astrology, the reason in Heaven was reflected by a calculated probability which could be harmonized with rationale in numbers represented by Time and harmonic ratio in the West and Time and Space (</w:t>
      </w:r>
      <w:proofErr w:type="spellStart"/>
      <w:r>
        <w:t>Ganzhi</w:t>
      </w:r>
      <w:proofErr w:type="spellEnd"/>
      <w:r>
        <w:t>) in the East.</w:t>
      </w:r>
      <w:r w:rsidR="00321C10">
        <w:t xml:space="preserve"> </w:t>
      </w:r>
      <w:r>
        <w:t xml:space="preserve">While different calculations, rationales and methods are used behind the respective reasonings, the concepts of harmony and end goals are still aligned. In </w:t>
      </w:r>
      <w:proofErr w:type="spellStart"/>
      <w:r>
        <w:rPr>
          <w:i/>
        </w:rPr>
        <w:t>Shushu</w:t>
      </w:r>
      <w:proofErr w:type="spellEnd"/>
      <w:r>
        <w:rPr>
          <w:i/>
        </w:rPr>
        <w:t xml:space="preserve"> Lue</w:t>
      </w:r>
      <w:r>
        <w:t xml:space="preserve">, </w:t>
      </w:r>
      <w:proofErr w:type="spellStart"/>
      <w:r>
        <w:t>Ganzhi</w:t>
      </w:r>
      <w:proofErr w:type="spellEnd"/>
      <w:r>
        <w:t xml:space="preserve"> system (as symbols and numbers) is used for space-time calculation, along with variations of methods utilizing the Five Phases and Yin Yang theories. While in </w:t>
      </w:r>
      <w:r>
        <w:rPr>
          <w:i/>
        </w:rPr>
        <w:t>De Vita Book Three</w:t>
      </w:r>
      <w:r>
        <w:t xml:space="preserve">, harmonic ratios, celestial movements indicating Time and meanings along with the Four </w:t>
      </w:r>
      <w:proofErr w:type="spellStart"/>
      <w:r>
        <w:t>Humours</w:t>
      </w:r>
      <w:proofErr w:type="spellEnd"/>
      <w:r>
        <w:t xml:space="preserve"> are used for calculations in all natural systems. Both systems have unique technicalities, reasonings and categorizations. Along the way they came together to the same objective: to be one with the universe. Ficino’s musical spirit resonates with the concept of Qi in Tao, while the concept of reasoning is also the same with calculations of either “numbers” or “</w:t>
      </w:r>
      <w:proofErr w:type="spellStart"/>
      <w:r>
        <w:t>Ganzhi</w:t>
      </w:r>
      <w:proofErr w:type="spellEnd"/>
      <w:r>
        <w:t>”. Both traditions are distinct and different, while both believe in the importance of timeliness and the rationale of the natural order in the universe across all human affairs.</w:t>
      </w:r>
    </w:p>
    <w:p w14:paraId="00000025" w14:textId="34B26584" w:rsidR="00C54303" w:rsidRDefault="00F21E62">
      <w:pPr>
        <w:spacing w:before="240" w:after="240"/>
      </w:pPr>
      <w:r>
        <w:rPr>
          <w:rFonts w:ascii="Arial Unicode MS" w:eastAsia="Arial Unicode MS" w:hAnsi="Arial Unicode MS" w:cs="Arial Unicode MS"/>
        </w:rPr>
        <w:t xml:space="preserve">The concept of Harmony by </w:t>
      </w:r>
      <w:r w:rsidR="00CA35E1">
        <w:rPr>
          <w:rFonts w:ascii="Arial Unicode MS" w:eastAsia="Arial Unicode MS" w:hAnsi="Arial Unicode MS" w:cs="Arial Unicode MS"/>
        </w:rPr>
        <w:t xml:space="preserve">Laozi </w:t>
      </w:r>
      <w:r>
        <w:rPr>
          <w:rFonts w:ascii="Arial Unicode MS" w:eastAsia="Arial Unicode MS" w:hAnsi="Arial Unicode MS" w:cs="Arial Unicode MS"/>
        </w:rPr>
        <w:t xml:space="preserve">was </w:t>
      </w:r>
      <w:r w:rsidR="00CA35E1">
        <w:rPr>
          <w:rFonts w:ascii="Arial Unicode MS" w:eastAsia="Arial Unicode MS" w:hAnsi="Arial Unicode MS" w:cs="Arial Unicode MS"/>
        </w:rPr>
        <w:t xml:space="preserve">based on I Ching, stresses on change for transformation, all forms 有 are co-creations from the freeform “nothingness” Wu 無, contrasting with Neoplatonism stresses on the unchanged, perfect God-like universe in pure mathematical harmony, all forms transformed perfectly when following the divine order. In Tao, the entire universe is an ever-changing organic </w:t>
      </w:r>
      <w:proofErr w:type="gramStart"/>
      <w:r w:rsidR="0010048F">
        <w:rPr>
          <w:rFonts w:ascii="Arial Unicode MS" w:eastAsia="Arial Unicode MS" w:hAnsi="Arial Unicode MS" w:cs="Arial Unicode MS"/>
        </w:rPr>
        <w:t>whole</w:t>
      </w:r>
      <w:proofErr w:type="gramEnd"/>
      <w:r w:rsidR="0010048F">
        <w:rPr>
          <w:rFonts w:ascii="Arial Unicode MS" w:eastAsia="Arial Unicode MS" w:hAnsi="Arial Unicode MS" w:cs="Arial Unicode MS"/>
        </w:rPr>
        <w:t xml:space="preserve"> </w:t>
      </w:r>
      <w:r w:rsidR="00CA35E1">
        <w:rPr>
          <w:rFonts w:ascii="Arial Unicode MS" w:eastAsia="Arial Unicode MS" w:hAnsi="Arial Unicode MS" w:cs="Arial Unicode MS"/>
        </w:rPr>
        <w:t xml:space="preserve">and the truth lies in being one with Nature. While Neoplatonism perceives the entire universe is mathematically pure and perfect, the truth lies in the Reason </w:t>
      </w:r>
      <w:r w:rsidR="00CA35E1">
        <w:t xml:space="preserve">in Heaven. In both systems, transformation is the common end goal while both have different perspectives in getting there. </w:t>
      </w:r>
    </w:p>
    <w:p w14:paraId="07930BC2" w14:textId="70B4BF73" w:rsidR="00173B27" w:rsidRPr="00173B27" w:rsidRDefault="004F4245">
      <w:pPr>
        <w:spacing w:before="240" w:after="240"/>
      </w:pPr>
      <w:r>
        <w:t>A</w:t>
      </w:r>
      <w:r w:rsidR="00906F19" w:rsidRPr="00906F19">
        <w:t>lthough</w:t>
      </w:r>
      <w:r>
        <w:t xml:space="preserve"> </w:t>
      </w:r>
      <w:r w:rsidR="00813787">
        <w:t>Laozi and Plato</w:t>
      </w:r>
      <w:r>
        <w:t xml:space="preserve"> were</w:t>
      </w:r>
      <w:r w:rsidR="00906F19" w:rsidRPr="00906F19">
        <w:t xml:space="preserve"> centuries and miles apart, </w:t>
      </w:r>
      <w:r w:rsidR="00B826D8">
        <w:t>d</w:t>
      </w:r>
      <w:r w:rsidR="00CA35E1">
        <w:t>ifferent points of views and ways towards the universe reached a very similar approach astrologically</w:t>
      </w:r>
      <w:r w:rsidR="006830E5">
        <w:t xml:space="preserve"> and in the notion of fate</w:t>
      </w:r>
      <w:r w:rsidR="00CA35E1">
        <w:t>. Individuals navigate back to Nature through co-create in Tao or unveiling God’s will in their own ways through “</w:t>
      </w:r>
      <w:r w:rsidR="0010048F">
        <w:t>Being” back</w:t>
      </w:r>
      <w:r w:rsidR="00CA35E1">
        <w:t xml:space="preserve"> to One. Both astrological worldviews are confirming that there is an innate certainty or Truth in all matters on Earth. Future </w:t>
      </w:r>
      <w:r w:rsidR="001F292E">
        <w:t>wa</w:t>
      </w:r>
      <w:r w:rsidR="00CA35E1">
        <w:t xml:space="preserve">s reflected with a probability in numbers, </w:t>
      </w:r>
      <w:r w:rsidR="00FE1E11">
        <w:t>while</w:t>
      </w:r>
      <w:r w:rsidR="00CA35E1">
        <w:t xml:space="preserve"> fate </w:t>
      </w:r>
      <w:r w:rsidR="00DE0D2D">
        <w:t>wa</w:t>
      </w:r>
      <w:r w:rsidR="00CA35E1">
        <w:t xml:space="preserve">s not </w:t>
      </w:r>
      <w:r w:rsidR="00FE1E11">
        <w:t>inevitable</w:t>
      </w:r>
      <w:r w:rsidR="00CA35E1">
        <w:t xml:space="preserve">. Humans </w:t>
      </w:r>
      <w:r w:rsidR="00DE0D2D">
        <w:t>we</w:t>
      </w:r>
      <w:r w:rsidR="00CA35E1">
        <w:t>re motivated to “Becoming” One and liberated through harmonization in the universe.</w:t>
      </w:r>
    </w:p>
    <w:p w14:paraId="00000028" w14:textId="7720C752" w:rsidR="00C54303" w:rsidRDefault="00CA35E1">
      <w:pPr>
        <w:spacing w:before="240" w:after="240"/>
        <w:rPr>
          <w:b/>
        </w:rPr>
      </w:pPr>
      <w:r>
        <w:rPr>
          <w:b/>
        </w:rPr>
        <w:t>CONCLUSION</w:t>
      </w:r>
    </w:p>
    <w:p w14:paraId="16356843" w14:textId="2EF54DF0" w:rsidR="00DB3C2D" w:rsidRPr="00DB3C2D" w:rsidRDefault="00FE5BFC">
      <w:pPr>
        <w:spacing w:before="240" w:after="240"/>
      </w:pPr>
      <w:r>
        <w:rPr>
          <w:rFonts w:ascii="Arial Unicode MS" w:eastAsia="Arial Unicode MS" w:hAnsi="Arial Unicode MS" w:cs="Arial Unicode MS"/>
        </w:rPr>
        <w:t xml:space="preserve">He 和 in the East and Harmony in the West were both used metaphorically for harmony in the cosmos originated from the harmony of sounds. Harmonic energy moves as Qi perceived in the East aligns with the “music of the body” in the West. </w:t>
      </w:r>
      <w:r w:rsidR="00DB3C2D">
        <w:t xml:space="preserve">With the known history of cultural exchange </w:t>
      </w:r>
      <w:r w:rsidR="00DB3C2D">
        <w:lastRenderedPageBreak/>
        <w:t>since</w:t>
      </w:r>
      <w:r w:rsidR="00AA21D4">
        <w:t xml:space="preserve"> </w:t>
      </w:r>
      <w:r w:rsidR="00DB3C2D">
        <w:t>the Silk Road, it is possible for the ideas to circulate among China and the West</w:t>
      </w:r>
      <w:r w:rsidR="00502071">
        <w:t xml:space="preserve"> in earlier times</w:t>
      </w:r>
      <w:r w:rsidR="00DB3C2D">
        <w:t xml:space="preserve">. </w:t>
      </w:r>
      <w:r w:rsidR="00F5375A">
        <w:t>While the syncretic nature of Ficino’s work s</w:t>
      </w:r>
      <w:r>
        <w:t>howed</w:t>
      </w:r>
      <w:r w:rsidR="00F5375A">
        <w:t xml:space="preserve"> significant common themes under the concepts of Harmony, </w:t>
      </w:r>
      <w:r w:rsidR="00DB3C2D">
        <w:t xml:space="preserve">direct </w:t>
      </w:r>
      <w:r>
        <w:t>references, or influences</w:t>
      </w:r>
      <w:r w:rsidR="00DB3C2D">
        <w:t xml:space="preserve"> from Chin</w:t>
      </w:r>
      <w:r w:rsidR="00AA3AC5">
        <w:t>ese astrology</w:t>
      </w:r>
      <w:r>
        <w:t xml:space="preserve"> is yet to be found</w:t>
      </w:r>
      <w:r w:rsidR="00F5375A">
        <w:t>.</w:t>
      </w:r>
      <w:r w:rsidR="00DB3C2D">
        <w:t xml:space="preserve"> </w:t>
      </w:r>
    </w:p>
    <w:p w14:paraId="0000002A" w14:textId="4B3C4EDD" w:rsidR="00C54303" w:rsidRDefault="00CA35E1" w:rsidP="001C4B17">
      <w:pPr>
        <w:spacing w:before="240" w:after="240"/>
      </w:pPr>
      <w:r>
        <w:t>Across history, time and culture, different points of views based on different intentions alter</w:t>
      </w:r>
      <w:r w:rsidR="00083DF0">
        <w:t>ed</w:t>
      </w:r>
      <w:r>
        <w:t xml:space="preserve"> the perceptions and attitudes towards astrology. </w:t>
      </w:r>
      <w:r w:rsidR="00D25F4D">
        <w:t xml:space="preserve">Different points of views can bring destruction, while changes can also bring reconciliation. Astrology in Medieval Europe meandered into different forms through time, it is an individual’s choice and intention that would make a difference in alignment with the universe. Just as the concepts of Harmony, Neoplatonism set the tone with “being” one with the divine, and Tao encouraged people to choose “nothingness” in falling back into the natural state. </w:t>
      </w:r>
      <w:r w:rsidR="00442524">
        <w:t>They</w:t>
      </w:r>
      <w:r w:rsidR="00D25F4D">
        <w:t xml:space="preserve"> </w:t>
      </w:r>
      <w:r w:rsidR="00442524">
        <w:t xml:space="preserve">provided </w:t>
      </w:r>
      <w:r w:rsidR="00D25F4D">
        <w:t xml:space="preserve">perspectives </w:t>
      </w:r>
      <w:r w:rsidR="00673500">
        <w:t>for</w:t>
      </w:r>
      <w:r w:rsidR="00D25F4D">
        <w:t xml:space="preserve"> the individual souls in actualizing and materializing through alignment with the universe.</w:t>
      </w:r>
      <w:r w:rsidR="00BA627A">
        <w:t xml:space="preserve"> Through the suppression in the 16</w:t>
      </w:r>
      <w:r w:rsidR="00BA627A" w:rsidRPr="00BA627A">
        <w:rPr>
          <w:vertAlign w:val="superscript"/>
        </w:rPr>
        <w:t>th</w:t>
      </w:r>
      <w:r w:rsidR="00BA627A">
        <w:t xml:space="preserve"> century, Ficino managed to demonstrate his belief by putting the theory of Harmony in practice</w:t>
      </w:r>
      <w:r w:rsidR="00BE2D36">
        <w:t>. Regardless of the direct influenc</w:t>
      </w:r>
      <w:r w:rsidR="00EC48EE">
        <w:t xml:space="preserve">e from Chinese astrology, </w:t>
      </w:r>
      <w:r w:rsidR="00EC48EE" w:rsidRPr="009446B3">
        <w:rPr>
          <w:i/>
          <w:iCs/>
        </w:rPr>
        <w:t xml:space="preserve">De Vita </w:t>
      </w:r>
      <w:r w:rsidR="00BA627A">
        <w:t>embrac</w:t>
      </w:r>
      <w:r w:rsidR="00EC48EE">
        <w:t>ed an accumulation of</w:t>
      </w:r>
      <w:r w:rsidR="00C35454">
        <w:t xml:space="preserve"> a</w:t>
      </w:r>
      <w:r w:rsidR="00BA627A">
        <w:t xml:space="preserve"> </w:t>
      </w:r>
      <w:r w:rsidR="009446B3">
        <w:t>millennium</w:t>
      </w:r>
      <w:r w:rsidR="00EC48EE">
        <w:t xml:space="preserve"> of </w:t>
      </w:r>
      <w:r w:rsidR="00DB6445">
        <w:t xml:space="preserve">wisdom, </w:t>
      </w:r>
      <w:r w:rsidR="00176D6C">
        <w:t>creativity,</w:t>
      </w:r>
      <w:r w:rsidR="00BA627A">
        <w:t xml:space="preserve"> and diversity</w:t>
      </w:r>
      <w:r w:rsidR="00DF364B">
        <w:t xml:space="preserve"> in</w:t>
      </w:r>
      <w:r w:rsidR="00BA627A">
        <w:t xml:space="preserve"> his theory</w:t>
      </w:r>
      <w:r w:rsidR="00DF364B">
        <w:t>,</w:t>
      </w:r>
      <w:r w:rsidR="00BA627A">
        <w:t xml:space="preserve"> set</w:t>
      </w:r>
      <w:r w:rsidR="00DF364B">
        <w:t>ting a</w:t>
      </w:r>
      <w:r w:rsidR="00BA627A">
        <w:t xml:space="preserve"> cornerstone in Renaissance astrology and magic.</w:t>
      </w:r>
    </w:p>
    <w:p w14:paraId="0000002C" w14:textId="7E966EA1" w:rsidR="00C54303" w:rsidRDefault="00CA35E1">
      <w:pPr>
        <w:spacing w:before="240" w:after="240"/>
      </w:pPr>
      <w:r>
        <w:t>The concept of Harmony</w:t>
      </w:r>
      <w:r w:rsidR="005B780B">
        <w:t xml:space="preserve"> </w:t>
      </w:r>
      <w:r w:rsidR="00347175">
        <w:t xml:space="preserve">was </w:t>
      </w:r>
      <w:r w:rsidR="005B780B">
        <w:t>present in</w:t>
      </w:r>
      <w:r>
        <w:t xml:space="preserve"> both cultures </w:t>
      </w:r>
      <w:r w:rsidR="005B780B">
        <w:t xml:space="preserve">while </w:t>
      </w:r>
      <w:r>
        <w:t>both</w:t>
      </w:r>
      <w:r w:rsidR="00642569">
        <w:t xml:space="preserve"> astrology systems are</w:t>
      </w:r>
      <w:r>
        <w:t xml:space="preserve"> distinct, the diverse cosmological, philosophical, astrological, cultural, and historical worldview constitute to different uses and approaches continue</w:t>
      </w:r>
      <w:r w:rsidR="00F106C9">
        <w:t>d</w:t>
      </w:r>
      <w:r>
        <w:t xml:space="preserve"> to strengthen the sense of Harmony in both worlds. As the different points of views</w:t>
      </w:r>
      <w:r w:rsidR="003B1730">
        <w:t xml:space="preserve"> </w:t>
      </w:r>
      <w:r>
        <w:t>magically arrived at the same end goal of Oneness, t</w:t>
      </w:r>
      <w:r w:rsidR="003B1730">
        <w:t xml:space="preserve">he </w:t>
      </w:r>
      <w:r w:rsidR="003724E7">
        <w:t>nature</w:t>
      </w:r>
      <w:r>
        <w:t xml:space="preserve"> of Harmony</w:t>
      </w:r>
      <w:r w:rsidR="003B1730">
        <w:t xml:space="preserve"> synchronized the East and the West,</w:t>
      </w:r>
      <w:r>
        <w:t xml:space="preserve"> </w:t>
      </w:r>
      <w:r w:rsidR="003B1730">
        <w:t>continued to</w:t>
      </w:r>
      <w:r>
        <w:t xml:space="preserve"> work towards a plane of higher existence embracing </w:t>
      </w:r>
      <w:r w:rsidR="00927E93">
        <w:t>the universe as one</w:t>
      </w:r>
      <w:r>
        <w:t xml:space="preserve">.   </w:t>
      </w:r>
    </w:p>
    <w:p w14:paraId="0FEB37FE" w14:textId="77777777" w:rsidR="00B973AE" w:rsidRDefault="00B973AE">
      <w:pPr>
        <w:spacing w:before="240" w:after="240"/>
        <w:rPr>
          <w:b/>
        </w:rPr>
      </w:pPr>
    </w:p>
    <w:p w14:paraId="34B06A9D" w14:textId="77777777" w:rsidR="00B973AE" w:rsidRDefault="00B973AE">
      <w:pPr>
        <w:spacing w:before="240" w:after="240"/>
        <w:rPr>
          <w:b/>
        </w:rPr>
      </w:pPr>
    </w:p>
    <w:p w14:paraId="101A00AC" w14:textId="77777777" w:rsidR="00B973AE" w:rsidRDefault="00B973AE">
      <w:pPr>
        <w:spacing w:before="240" w:after="240"/>
        <w:rPr>
          <w:b/>
        </w:rPr>
      </w:pPr>
    </w:p>
    <w:p w14:paraId="048BA40B" w14:textId="00B25EBE" w:rsidR="00B973AE" w:rsidRDefault="00B973AE">
      <w:pPr>
        <w:spacing w:before="240" w:after="240"/>
        <w:rPr>
          <w:b/>
        </w:rPr>
      </w:pPr>
    </w:p>
    <w:p w14:paraId="010F4688" w14:textId="77777777" w:rsidR="00927E93" w:rsidRDefault="00927E93">
      <w:pPr>
        <w:spacing w:before="240" w:after="240"/>
        <w:rPr>
          <w:b/>
        </w:rPr>
      </w:pPr>
    </w:p>
    <w:p w14:paraId="3674D727" w14:textId="77777777" w:rsidR="00927E93" w:rsidRDefault="00927E93">
      <w:pPr>
        <w:spacing w:before="240" w:after="240"/>
        <w:rPr>
          <w:b/>
        </w:rPr>
      </w:pPr>
    </w:p>
    <w:p w14:paraId="55E9587E" w14:textId="77777777" w:rsidR="003B1730" w:rsidRDefault="003B1730">
      <w:pPr>
        <w:spacing w:before="240" w:after="240"/>
        <w:rPr>
          <w:b/>
        </w:rPr>
      </w:pPr>
    </w:p>
    <w:p w14:paraId="1631CD68" w14:textId="77777777" w:rsidR="00B973AE" w:rsidRDefault="00B973AE">
      <w:pPr>
        <w:spacing w:before="240" w:after="240"/>
        <w:rPr>
          <w:b/>
        </w:rPr>
      </w:pPr>
    </w:p>
    <w:p w14:paraId="2FDF2496" w14:textId="77777777" w:rsidR="00B7035F" w:rsidRDefault="00B7035F">
      <w:pPr>
        <w:spacing w:before="240" w:after="240"/>
        <w:rPr>
          <w:b/>
        </w:rPr>
      </w:pPr>
    </w:p>
    <w:p w14:paraId="660A3CA8" w14:textId="77777777" w:rsidR="00B7035F" w:rsidRDefault="00B7035F">
      <w:pPr>
        <w:spacing w:before="240" w:after="240"/>
        <w:rPr>
          <w:b/>
        </w:rPr>
      </w:pPr>
    </w:p>
    <w:p w14:paraId="0EC5A4BD" w14:textId="77777777" w:rsidR="00B7035F" w:rsidRDefault="00B7035F">
      <w:pPr>
        <w:spacing w:before="240" w:after="240"/>
        <w:rPr>
          <w:b/>
        </w:rPr>
      </w:pPr>
    </w:p>
    <w:p w14:paraId="4F4985BF" w14:textId="77777777" w:rsidR="00B973AE" w:rsidRDefault="00B973AE">
      <w:pPr>
        <w:spacing w:before="240" w:after="240"/>
        <w:rPr>
          <w:b/>
        </w:rPr>
      </w:pPr>
    </w:p>
    <w:p w14:paraId="0000002E" w14:textId="1C9BA253" w:rsidR="00C54303" w:rsidRPr="000B7BD6" w:rsidRDefault="00CA35E1">
      <w:pPr>
        <w:spacing w:before="240" w:after="240"/>
        <w:rPr>
          <w:b/>
        </w:rPr>
      </w:pPr>
      <w:r w:rsidRPr="000B7BD6">
        <w:rPr>
          <w:b/>
        </w:rPr>
        <w:lastRenderedPageBreak/>
        <w:t>B</w:t>
      </w:r>
      <w:r w:rsidR="00B7035F" w:rsidRPr="000B7BD6">
        <w:rPr>
          <w:b/>
        </w:rPr>
        <w:t>IBLIOGRAOHY</w:t>
      </w:r>
    </w:p>
    <w:p w14:paraId="0000002F" w14:textId="346DCE81" w:rsidR="00C54303" w:rsidRDefault="00CA35E1">
      <w:pPr>
        <w:spacing w:before="240" w:after="240"/>
        <w:rPr>
          <w:b/>
        </w:rPr>
      </w:pPr>
      <w:r>
        <w:rPr>
          <w:b/>
        </w:rPr>
        <w:t>Primary Source</w:t>
      </w:r>
    </w:p>
    <w:p w14:paraId="29F9FFB5" w14:textId="4FF6399B" w:rsidR="00B973AE" w:rsidRPr="00B973AE" w:rsidRDefault="00B973AE" w:rsidP="00B973AE">
      <w:pPr>
        <w:spacing w:before="240" w:after="240"/>
        <w:rPr>
          <w:bCs/>
        </w:rPr>
      </w:pPr>
      <w:r w:rsidRPr="00B973AE">
        <w:rPr>
          <w:rFonts w:hint="eastAsia"/>
          <w:bCs/>
        </w:rPr>
        <w:t>班固</w:t>
      </w:r>
      <w:r w:rsidRPr="00B973AE">
        <w:rPr>
          <w:bCs/>
        </w:rPr>
        <w:t>, “</w:t>
      </w:r>
      <w:r w:rsidRPr="00B973AE">
        <w:rPr>
          <w:rFonts w:hint="eastAsia"/>
          <w:bCs/>
        </w:rPr>
        <w:t>漢書</w:t>
      </w:r>
      <w:r w:rsidRPr="00B973AE">
        <w:rPr>
          <w:bCs/>
        </w:rPr>
        <w:t xml:space="preserve"> : </w:t>
      </w:r>
      <w:r w:rsidRPr="00B973AE">
        <w:rPr>
          <w:rFonts w:hint="eastAsia"/>
          <w:bCs/>
        </w:rPr>
        <w:t>志</w:t>
      </w:r>
      <w:r w:rsidRPr="00B973AE">
        <w:rPr>
          <w:bCs/>
        </w:rPr>
        <w:t xml:space="preserve"> : </w:t>
      </w:r>
      <w:r w:rsidRPr="00B973AE">
        <w:rPr>
          <w:rFonts w:hint="eastAsia"/>
          <w:bCs/>
        </w:rPr>
        <w:t>藝文志</w:t>
      </w:r>
      <w:r w:rsidRPr="00B973AE">
        <w:rPr>
          <w:bCs/>
        </w:rPr>
        <w:t xml:space="preserve"> - </w:t>
      </w:r>
      <w:r w:rsidRPr="00B973AE">
        <w:rPr>
          <w:rFonts w:hint="eastAsia"/>
          <w:bCs/>
        </w:rPr>
        <w:t>中國哲學書電子化計劃</w:t>
      </w:r>
      <w:r w:rsidRPr="00B973AE">
        <w:rPr>
          <w:bCs/>
        </w:rPr>
        <w:t xml:space="preserve"> </w:t>
      </w:r>
      <w:proofErr w:type="spellStart"/>
      <w:r w:rsidRPr="00B973AE">
        <w:rPr>
          <w:bCs/>
        </w:rPr>
        <w:t>Hanshu</w:t>
      </w:r>
      <w:proofErr w:type="spellEnd"/>
      <w:r w:rsidRPr="00B973AE">
        <w:rPr>
          <w:bCs/>
        </w:rPr>
        <w:t xml:space="preserve"> </w:t>
      </w:r>
      <w:proofErr w:type="spellStart"/>
      <w:r w:rsidRPr="00B973AE">
        <w:rPr>
          <w:bCs/>
        </w:rPr>
        <w:t>Yiwenzhi</w:t>
      </w:r>
      <w:proofErr w:type="spellEnd"/>
      <w:r w:rsidRPr="00B973AE">
        <w:rPr>
          <w:bCs/>
        </w:rPr>
        <w:t xml:space="preserve"> – Chinese Text Project digitalized original” </w:t>
      </w:r>
      <w:hyperlink r:id="rId9" w:history="1">
        <w:r w:rsidR="0010048F" w:rsidRPr="00C223E9">
          <w:rPr>
            <w:rStyle w:val="Hyperlink"/>
            <w:bCs/>
          </w:rPr>
          <w:t>https://ctext.org/han-shu/yi-wen-zhi/zh</w:t>
        </w:r>
      </w:hyperlink>
    </w:p>
    <w:p w14:paraId="76D3854A" w14:textId="340CC314" w:rsidR="00B973AE" w:rsidRPr="00B973AE" w:rsidRDefault="00B973AE" w:rsidP="00B973AE">
      <w:pPr>
        <w:spacing w:before="240" w:after="240"/>
        <w:rPr>
          <w:bCs/>
        </w:rPr>
      </w:pPr>
      <w:r w:rsidRPr="00B973AE">
        <w:rPr>
          <w:rFonts w:hint="eastAsia"/>
          <w:bCs/>
        </w:rPr>
        <w:t>許慎</w:t>
      </w:r>
      <w:r w:rsidRPr="00B973AE">
        <w:rPr>
          <w:bCs/>
        </w:rPr>
        <w:t>, “</w:t>
      </w:r>
      <w:r w:rsidRPr="00B973AE">
        <w:rPr>
          <w:rFonts w:hint="eastAsia"/>
          <w:bCs/>
        </w:rPr>
        <w:t>說文解字</w:t>
      </w:r>
      <w:r w:rsidRPr="00B973AE">
        <w:rPr>
          <w:bCs/>
        </w:rPr>
        <w:t xml:space="preserve"> : </w:t>
      </w:r>
      <w:r w:rsidRPr="00B973AE">
        <w:rPr>
          <w:rFonts w:hint="eastAsia"/>
          <w:bCs/>
        </w:rPr>
        <w:t>卷三</w:t>
      </w:r>
      <w:r w:rsidRPr="00B973AE">
        <w:rPr>
          <w:bCs/>
        </w:rPr>
        <w:t xml:space="preserve"> : </w:t>
      </w:r>
      <w:r w:rsidRPr="00B973AE">
        <w:rPr>
          <w:rFonts w:hint="eastAsia"/>
          <w:bCs/>
        </w:rPr>
        <w:t>口部</w:t>
      </w:r>
      <w:r w:rsidRPr="00B973AE">
        <w:rPr>
          <w:bCs/>
        </w:rPr>
        <w:t xml:space="preserve"> - </w:t>
      </w:r>
      <w:r w:rsidRPr="00B973AE">
        <w:rPr>
          <w:rFonts w:hint="eastAsia"/>
          <w:bCs/>
        </w:rPr>
        <w:t>中國哲學書電子化計劃</w:t>
      </w:r>
      <w:r w:rsidRPr="00B973AE">
        <w:rPr>
          <w:bCs/>
        </w:rPr>
        <w:t xml:space="preserve"> </w:t>
      </w:r>
      <w:proofErr w:type="spellStart"/>
      <w:r w:rsidRPr="00B973AE">
        <w:rPr>
          <w:bCs/>
        </w:rPr>
        <w:t>Shuowen</w:t>
      </w:r>
      <w:proofErr w:type="spellEnd"/>
      <w:r w:rsidRPr="00B973AE">
        <w:rPr>
          <w:bCs/>
        </w:rPr>
        <w:t xml:space="preserve"> </w:t>
      </w:r>
      <w:proofErr w:type="spellStart"/>
      <w:r w:rsidRPr="00B973AE">
        <w:rPr>
          <w:bCs/>
        </w:rPr>
        <w:t>Jiezi</w:t>
      </w:r>
      <w:proofErr w:type="spellEnd"/>
      <w:r w:rsidRPr="00B973AE">
        <w:rPr>
          <w:bCs/>
        </w:rPr>
        <w:t xml:space="preserve"> – Chinese Text Project digitalized original” </w:t>
      </w:r>
      <w:hyperlink r:id="rId10" w:history="1">
        <w:r w:rsidR="0010048F" w:rsidRPr="00C223E9">
          <w:rPr>
            <w:rStyle w:val="Hyperlink"/>
            <w:bCs/>
          </w:rPr>
          <w:t>https://ctext.org/shuo-wen-jie-zi/kou-bu/zh</w:t>
        </w:r>
      </w:hyperlink>
      <w:r w:rsidRPr="00B973AE">
        <w:rPr>
          <w:bCs/>
        </w:rPr>
        <w:t xml:space="preserve"> </w:t>
      </w:r>
    </w:p>
    <w:p w14:paraId="00000033" w14:textId="68A4B2F3" w:rsidR="00C54303" w:rsidRPr="0010048F" w:rsidRDefault="00B973AE" w:rsidP="0010048F">
      <w:pPr>
        <w:spacing w:before="240" w:after="240"/>
        <w:rPr>
          <w:bCs/>
        </w:rPr>
      </w:pPr>
      <w:r w:rsidRPr="00B973AE">
        <w:rPr>
          <w:bCs/>
        </w:rPr>
        <w:t xml:space="preserve">Ficino, </w:t>
      </w:r>
      <w:proofErr w:type="spellStart"/>
      <w:r w:rsidRPr="00B973AE">
        <w:rPr>
          <w:bCs/>
        </w:rPr>
        <w:t>Marsilio</w:t>
      </w:r>
      <w:proofErr w:type="spellEnd"/>
      <w:r w:rsidRPr="00B973AE">
        <w:rPr>
          <w:bCs/>
        </w:rPr>
        <w:t xml:space="preserve">, Three Books on Life, ed. </w:t>
      </w:r>
      <w:proofErr w:type="spellStart"/>
      <w:r w:rsidRPr="00B973AE">
        <w:rPr>
          <w:bCs/>
        </w:rPr>
        <w:t>Kaske</w:t>
      </w:r>
      <w:proofErr w:type="spellEnd"/>
      <w:r w:rsidRPr="00B973AE">
        <w:rPr>
          <w:bCs/>
        </w:rPr>
        <w:t xml:space="preserve">, Carole C. and Clark, John R., Ficino, Three Books on Life, Center for Medieval and Early Renaissance Studies, Binghamton: State University of New York at Binghamton, 1989. </w:t>
      </w:r>
      <w:hyperlink r:id="rId11" w:history="1">
        <w:r w:rsidR="0010048F" w:rsidRPr="00C223E9">
          <w:rPr>
            <w:rStyle w:val="Hyperlink"/>
            <w:bCs/>
          </w:rPr>
          <w:t>http://people.bu.edu/dklepper/RN242/marsilio.html</w:t>
        </w:r>
      </w:hyperlink>
    </w:p>
    <w:p w14:paraId="77E387D2" w14:textId="73BBFB2C" w:rsidR="00B973AE" w:rsidRPr="00B973AE" w:rsidRDefault="00CA35E1" w:rsidP="00B973AE">
      <w:pPr>
        <w:spacing w:before="240" w:after="240"/>
        <w:rPr>
          <w:b/>
        </w:rPr>
      </w:pPr>
      <w:r>
        <w:rPr>
          <w:b/>
        </w:rPr>
        <w:t xml:space="preserve">Secondary Source </w:t>
      </w:r>
    </w:p>
    <w:p w14:paraId="6EDE6B23" w14:textId="77777777" w:rsidR="00B973AE" w:rsidRDefault="00B973AE" w:rsidP="00B973AE">
      <w:pPr>
        <w:widowControl w:val="0"/>
        <w:pBdr>
          <w:top w:val="nil"/>
          <w:left w:val="nil"/>
          <w:bottom w:val="nil"/>
          <w:right w:val="nil"/>
          <w:between w:val="nil"/>
        </w:pBdr>
      </w:pPr>
      <w:r>
        <w:t xml:space="preserve">Campion, Nicholas, A History of Western Astrology, </w:t>
      </w:r>
      <w:r w:rsidRPr="00B973AE">
        <w:rPr>
          <w:i/>
          <w:iCs/>
        </w:rPr>
        <w:t>The Ancient World</w:t>
      </w:r>
      <w:r>
        <w:t xml:space="preserve"> (Bloomsbury, 2008), </w:t>
      </w:r>
      <w:proofErr w:type="spellStart"/>
      <w:r>
        <w:t>i</w:t>
      </w:r>
      <w:proofErr w:type="spellEnd"/>
      <w:r>
        <w:t>, The Ancient and Classical World</w:t>
      </w:r>
    </w:p>
    <w:p w14:paraId="65C114A0" w14:textId="77777777" w:rsidR="00B973AE" w:rsidRDefault="00B973AE" w:rsidP="00B973AE">
      <w:pPr>
        <w:widowControl w:val="0"/>
        <w:pBdr>
          <w:top w:val="nil"/>
          <w:left w:val="nil"/>
          <w:bottom w:val="nil"/>
          <w:right w:val="nil"/>
          <w:between w:val="nil"/>
        </w:pBdr>
      </w:pPr>
    </w:p>
    <w:p w14:paraId="3B412228" w14:textId="77777777" w:rsidR="00B973AE" w:rsidRDefault="00B973AE" w:rsidP="00B973AE">
      <w:pPr>
        <w:widowControl w:val="0"/>
        <w:pBdr>
          <w:top w:val="nil"/>
          <w:left w:val="nil"/>
          <w:bottom w:val="nil"/>
          <w:right w:val="nil"/>
          <w:between w:val="nil"/>
        </w:pBdr>
      </w:pPr>
      <w:r>
        <w:t xml:space="preserve">Campion, Nicholas, Charles, Sophia Centre for the Study of Cosmology in Culture, University of Wales Trinity Saint David, and Sustainable Food Trust, </w:t>
      </w:r>
      <w:r w:rsidRPr="00B973AE">
        <w:rPr>
          <w:i/>
          <w:iCs/>
        </w:rPr>
        <w:t>The Harmony Debates: Exploring a Practical Philosophy for a Sustainable Future</w:t>
      </w:r>
      <w:r>
        <w:t>, 2020</w:t>
      </w:r>
    </w:p>
    <w:p w14:paraId="4CC81ED0" w14:textId="77777777" w:rsidR="00B973AE" w:rsidRDefault="00B973AE" w:rsidP="00B973AE">
      <w:pPr>
        <w:widowControl w:val="0"/>
        <w:pBdr>
          <w:top w:val="nil"/>
          <w:left w:val="nil"/>
          <w:bottom w:val="nil"/>
          <w:right w:val="nil"/>
          <w:between w:val="nil"/>
        </w:pBdr>
      </w:pPr>
    </w:p>
    <w:p w14:paraId="3452F9F0" w14:textId="6D41076C" w:rsidR="00B973AE" w:rsidRDefault="00B973AE" w:rsidP="00B973AE">
      <w:pPr>
        <w:widowControl w:val="0"/>
        <w:pBdr>
          <w:top w:val="nil"/>
          <w:left w:val="nil"/>
          <w:bottom w:val="nil"/>
          <w:right w:val="nil"/>
          <w:between w:val="nil"/>
        </w:pBdr>
      </w:pPr>
      <w:r>
        <w:t xml:space="preserve">Chen, Yuan, ‘Legitimation Discourse and the Theory of the Five Elements in Imperial China’, </w:t>
      </w:r>
      <w:r w:rsidRPr="0010048F">
        <w:rPr>
          <w:i/>
          <w:iCs/>
        </w:rPr>
        <w:t>Journal of Song-Yuan Studies</w:t>
      </w:r>
      <w:r>
        <w:t xml:space="preserve">, 44.1 (2014), 325–64 </w:t>
      </w:r>
    </w:p>
    <w:p w14:paraId="09A9BA07" w14:textId="77777777" w:rsidR="00E418BF" w:rsidRDefault="00E418BF" w:rsidP="00B973AE">
      <w:pPr>
        <w:widowControl w:val="0"/>
        <w:pBdr>
          <w:top w:val="nil"/>
          <w:left w:val="nil"/>
          <w:bottom w:val="nil"/>
          <w:right w:val="nil"/>
          <w:between w:val="nil"/>
        </w:pBdr>
      </w:pPr>
    </w:p>
    <w:p w14:paraId="58EFAA88" w14:textId="4D59FC39" w:rsidR="00B973AE" w:rsidRDefault="00B973AE" w:rsidP="00B973AE">
      <w:pPr>
        <w:widowControl w:val="0"/>
        <w:pBdr>
          <w:top w:val="nil"/>
          <w:left w:val="nil"/>
          <w:bottom w:val="nil"/>
          <w:right w:val="nil"/>
          <w:between w:val="nil"/>
        </w:pBdr>
      </w:pPr>
      <w:proofErr w:type="spellStart"/>
      <w:r>
        <w:t>Girardot</w:t>
      </w:r>
      <w:proofErr w:type="spellEnd"/>
      <w:r>
        <w:t xml:space="preserve">, N. J., ‘Myth and Meaning in the “Tao </w:t>
      </w:r>
      <w:proofErr w:type="spellStart"/>
      <w:r>
        <w:t>Te</w:t>
      </w:r>
      <w:proofErr w:type="spellEnd"/>
      <w:r>
        <w:t xml:space="preserve"> Ching”: Chapters 25 and 42’, </w:t>
      </w:r>
      <w:r w:rsidRPr="0010048F">
        <w:rPr>
          <w:i/>
          <w:iCs/>
        </w:rPr>
        <w:t>History of Religions</w:t>
      </w:r>
      <w:r>
        <w:t xml:space="preserve">, 16.4 (1977), 294–328 </w:t>
      </w:r>
    </w:p>
    <w:p w14:paraId="260F01C5" w14:textId="77777777" w:rsidR="005E2D17" w:rsidRDefault="005E2D17" w:rsidP="00B973AE">
      <w:pPr>
        <w:widowControl w:val="0"/>
        <w:pBdr>
          <w:top w:val="nil"/>
          <w:left w:val="nil"/>
          <w:bottom w:val="nil"/>
          <w:right w:val="nil"/>
          <w:between w:val="nil"/>
        </w:pBdr>
      </w:pPr>
    </w:p>
    <w:p w14:paraId="759BD06B" w14:textId="2245143A" w:rsidR="005E2D17" w:rsidRDefault="005E2D17" w:rsidP="00B973AE">
      <w:pPr>
        <w:widowControl w:val="0"/>
        <w:pBdr>
          <w:top w:val="nil"/>
          <w:left w:val="nil"/>
          <w:bottom w:val="nil"/>
          <w:right w:val="nil"/>
          <w:between w:val="nil"/>
        </w:pBdr>
      </w:pPr>
      <w:proofErr w:type="spellStart"/>
      <w:r w:rsidRPr="005E2D17">
        <w:t>Hamidreza</w:t>
      </w:r>
      <w:proofErr w:type="spellEnd"/>
      <w:r w:rsidRPr="005E2D17">
        <w:t xml:space="preserve"> Pasha </w:t>
      </w:r>
      <w:proofErr w:type="spellStart"/>
      <w:r w:rsidRPr="005E2D17">
        <w:t>Zanous</w:t>
      </w:r>
      <w:proofErr w:type="spellEnd"/>
      <w:r w:rsidRPr="005E2D17">
        <w:t xml:space="preserve"> and </w:t>
      </w:r>
      <w:proofErr w:type="spellStart"/>
      <w:r w:rsidRPr="005E2D17">
        <w:t>Juping</w:t>
      </w:r>
      <w:proofErr w:type="spellEnd"/>
      <w:r w:rsidRPr="005E2D17">
        <w:t xml:space="preserve"> Yang, ‘Arsacid Cities in the </w:t>
      </w:r>
      <w:proofErr w:type="spellStart"/>
      <w:r w:rsidRPr="005E2D17">
        <w:t>Hanshu</w:t>
      </w:r>
      <w:proofErr w:type="spellEnd"/>
      <w:r w:rsidRPr="005E2D17">
        <w:t xml:space="preserve"> and </w:t>
      </w:r>
      <w:proofErr w:type="spellStart"/>
      <w:r w:rsidRPr="005E2D17">
        <w:t>Houhanshu</w:t>
      </w:r>
      <w:proofErr w:type="spellEnd"/>
      <w:r w:rsidRPr="005E2D17">
        <w:t xml:space="preserve">’, </w:t>
      </w:r>
      <w:r w:rsidRPr="005E2D17">
        <w:rPr>
          <w:i/>
          <w:iCs/>
        </w:rPr>
        <w:t>Iran and the Caucasus</w:t>
      </w:r>
      <w:r w:rsidRPr="005E2D17">
        <w:t>, 2022, 17 (pp. 123–24)</w:t>
      </w:r>
    </w:p>
    <w:p w14:paraId="7D6E1405" w14:textId="77777777" w:rsidR="00B973AE" w:rsidRDefault="00B973AE" w:rsidP="00B973AE">
      <w:pPr>
        <w:widowControl w:val="0"/>
        <w:pBdr>
          <w:top w:val="nil"/>
          <w:left w:val="nil"/>
          <w:bottom w:val="nil"/>
          <w:right w:val="nil"/>
          <w:between w:val="nil"/>
        </w:pBdr>
      </w:pPr>
    </w:p>
    <w:p w14:paraId="0303043F" w14:textId="77777777" w:rsidR="00B973AE" w:rsidRDefault="00B973AE" w:rsidP="00B973AE">
      <w:pPr>
        <w:widowControl w:val="0"/>
        <w:pBdr>
          <w:top w:val="nil"/>
          <w:left w:val="nil"/>
          <w:bottom w:val="nil"/>
          <w:right w:val="nil"/>
          <w:between w:val="nil"/>
        </w:pBdr>
      </w:pPr>
      <w:proofErr w:type="spellStart"/>
      <w:r>
        <w:t>Karcher</w:t>
      </w:r>
      <w:proofErr w:type="spellEnd"/>
      <w:r>
        <w:t xml:space="preserve">, Stephen, ‘Jung, the Tao, and the Classic of Change’, </w:t>
      </w:r>
      <w:r w:rsidRPr="0010048F">
        <w:rPr>
          <w:i/>
          <w:iCs/>
        </w:rPr>
        <w:t>Journal of Religion and Health</w:t>
      </w:r>
      <w:r>
        <w:t>, 2022, 19</w:t>
      </w:r>
    </w:p>
    <w:p w14:paraId="25C6A541" w14:textId="77777777" w:rsidR="00B973AE" w:rsidRDefault="00B973AE" w:rsidP="00B973AE">
      <w:pPr>
        <w:widowControl w:val="0"/>
        <w:pBdr>
          <w:top w:val="nil"/>
          <w:left w:val="nil"/>
          <w:bottom w:val="nil"/>
          <w:right w:val="nil"/>
          <w:between w:val="nil"/>
        </w:pBdr>
      </w:pPr>
    </w:p>
    <w:p w14:paraId="50BE6337" w14:textId="572DD8A1" w:rsidR="00B973AE" w:rsidRDefault="00B973AE" w:rsidP="00B973AE">
      <w:pPr>
        <w:widowControl w:val="0"/>
        <w:pBdr>
          <w:top w:val="nil"/>
          <w:left w:val="nil"/>
          <w:bottom w:val="nil"/>
          <w:right w:val="nil"/>
          <w:between w:val="nil"/>
        </w:pBdr>
      </w:pPr>
      <w:r>
        <w:t xml:space="preserve">Li, </w:t>
      </w:r>
      <w:proofErr w:type="spellStart"/>
      <w:r>
        <w:t>Chenyang</w:t>
      </w:r>
      <w:proofErr w:type="spellEnd"/>
      <w:r>
        <w:t xml:space="preserve">, ‘The Confucian Ideal of Harmony’, </w:t>
      </w:r>
      <w:r w:rsidRPr="0010048F">
        <w:rPr>
          <w:i/>
          <w:iCs/>
        </w:rPr>
        <w:t>Philosophy East and West</w:t>
      </w:r>
      <w:r>
        <w:t>, 56.4 (2006), 583-60</w:t>
      </w:r>
      <w:r w:rsidR="0010048F">
        <w:t>3</w:t>
      </w:r>
    </w:p>
    <w:p w14:paraId="32F11317" w14:textId="77777777" w:rsidR="00B973AE" w:rsidRDefault="00B973AE" w:rsidP="00B973AE">
      <w:pPr>
        <w:widowControl w:val="0"/>
        <w:pBdr>
          <w:top w:val="nil"/>
          <w:left w:val="nil"/>
          <w:bottom w:val="nil"/>
          <w:right w:val="nil"/>
          <w:between w:val="nil"/>
        </w:pBdr>
      </w:pPr>
    </w:p>
    <w:p w14:paraId="65763896" w14:textId="7A90F383" w:rsidR="00B973AE" w:rsidRDefault="00B973AE" w:rsidP="00B973AE">
      <w:pPr>
        <w:widowControl w:val="0"/>
        <w:pBdr>
          <w:top w:val="nil"/>
          <w:left w:val="nil"/>
          <w:bottom w:val="nil"/>
          <w:right w:val="nil"/>
          <w:between w:val="nil"/>
        </w:pBdr>
      </w:pPr>
      <w:r>
        <w:t xml:space="preserve">Li, </w:t>
      </w:r>
      <w:proofErr w:type="spellStart"/>
      <w:r>
        <w:t>Chenyang</w:t>
      </w:r>
      <w:proofErr w:type="spellEnd"/>
      <w:r>
        <w:t xml:space="preserve">, ‘The Ideal of Harmony in Ancient Chinese and Greek Philosophy’, </w:t>
      </w:r>
      <w:r w:rsidRPr="0010048F">
        <w:rPr>
          <w:i/>
          <w:iCs/>
        </w:rPr>
        <w:t>Dao</w:t>
      </w:r>
      <w:r>
        <w:t xml:space="preserve">, 7.1 (2008), 81–98 </w:t>
      </w:r>
    </w:p>
    <w:p w14:paraId="0365CD87" w14:textId="77777777" w:rsidR="00B973AE" w:rsidRDefault="00B973AE" w:rsidP="00B973AE">
      <w:pPr>
        <w:widowControl w:val="0"/>
        <w:pBdr>
          <w:top w:val="nil"/>
          <w:left w:val="nil"/>
          <w:bottom w:val="nil"/>
          <w:right w:val="nil"/>
          <w:between w:val="nil"/>
        </w:pBdr>
      </w:pPr>
    </w:p>
    <w:p w14:paraId="738A7142" w14:textId="02CD83D0" w:rsidR="00B973AE" w:rsidRDefault="00B973AE" w:rsidP="00B973AE">
      <w:pPr>
        <w:widowControl w:val="0"/>
        <w:pBdr>
          <w:top w:val="nil"/>
          <w:left w:val="nil"/>
          <w:bottom w:val="nil"/>
          <w:right w:val="nil"/>
          <w:between w:val="nil"/>
        </w:pBdr>
      </w:pPr>
      <w:r>
        <w:t xml:space="preserve">Marks, Robert W., ‘THE MUSIC AND MUSICAL INSTRUMENTS OF ANCIENT CHINA’, </w:t>
      </w:r>
      <w:r w:rsidRPr="0010048F">
        <w:rPr>
          <w:i/>
          <w:iCs/>
        </w:rPr>
        <w:t>The Musical Quarterly</w:t>
      </w:r>
      <w:r>
        <w:t xml:space="preserve">, XVIII.4 (1932), 593–607 </w:t>
      </w:r>
    </w:p>
    <w:p w14:paraId="2127DA2E" w14:textId="77777777" w:rsidR="00B973AE" w:rsidRDefault="00B973AE" w:rsidP="00B973AE">
      <w:pPr>
        <w:widowControl w:val="0"/>
        <w:pBdr>
          <w:top w:val="nil"/>
          <w:left w:val="nil"/>
          <w:bottom w:val="nil"/>
          <w:right w:val="nil"/>
          <w:between w:val="nil"/>
        </w:pBdr>
      </w:pPr>
    </w:p>
    <w:p w14:paraId="10E9CB17" w14:textId="77777777" w:rsidR="00B973AE" w:rsidRDefault="00B973AE" w:rsidP="00B973AE">
      <w:pPr>
        <w:widowControl w:val="0"/>
        <w:pBdr>
          <w:top w:val="nil"/>
          <w:left w:val="nil"/>
          <w:bottom w:val="nil"/>
          <w:right w:val="nil"/>
          <w:between w:val="nil"/>
        </w:pBdr>
      </w:pPr>
      <w:r>
        <w:t xml:space="preserve">Moore, Authors: J. Kenneth, ‘Music and Art of China | Essay | The Metropolitan Museum of Art | </w:t>
      </w:r>
      <w:proofErr w:type="spellStart"/>
      <w:r>
        <w:lastRenderedPageBreak/>
        <w:t>Heilbrunn</w:t>
      </w:r>
      <w:proofErr w:type="spellEnd"/>
      <w:r>
        <w:t xml:space="preserve"> Timeline of Art History’, </w:t>
      </w:r>
      <w:r w:rsidRPr="0010048F">
        <w:rPr>
          <w:i/>
          <w:iCs/>
        </w:rPr>
        <w:t xml:space="preserve">The Met’s </w:t>
      </w:r>
      <w:proofErr w:type="spellStart"/>
      <w:r w:rsidRPr="0010048F">
        <w:rPr>
          <w:i/>
          <w:iCs/>
        </w:rPr>
        <w:t>Heilbrunn</w:t>
      </w:r>
      <w:proofErr w:type="spellEnd"/>
      <w:r w:rsidRPr="0010048F">
        <w:rPr>
          <w:i/>
          <w:iCs/>
        </w:rPr>
        <w:t xml:space="preserve"> Timeline of Art History</w:t>
      </w:r>
      <w:r>
        <w:t xml:space="preserve"> &lt;https://www.metmuseum.org/toah/hd/much/hd_much.htm&gt; [accessed 12 April 2022]</w:t>
      </w:r>
    </w:p>
    <w:p w14:paraId="7420E38E" w14:textId="77777777" w:rsidR="00B973AE" w:rsidRDefault="00B973AE" w:rsidP="00B973AE">
      <w:pPr>
        <w:widowControl w:val="0"/>
        <w:pBdr>
          <w:top w:val="nil"/>
          <w:left w:val="nil"/>
          <w:bottom w:val="nil"/>
          <w:right w:val="nil"/>
          <w:between w:val="nil"/>
        </w:pBdr>
      </w:pPr>
    </w:p>
    <w:p w14:paraId="2CC6B340" w14:textId="4CEB89DF" w:rsidR="00B973AE" w:rsidRDefault="00B973AE" w:rsidP="00B973AE">
      <w:pPr>
        <w:widowControl w:val="0"/>
        <w:pBdr>
          <w:top w:val="nil"/>
          <w:left w:val="nil"/>
          <w:bottom w:val="nil"/>
          <w:right w:val="nil"/>
          <w:between w:val="nil"/>
        </w:pBdr>
      </w:pPr>
      <w:r>
        <w:t xml:space="preserve">Nakayama, Shigeru, ‘Characteristics of Chinese Astrology’, </w:t>
      </w:r>
      <w:r w:rsidRPr="0010048F">
        <w:rPr>
          <w:i/>
          <w:iCs/>
        </w:rPr>
        <w:t>Isis</w:t>
      </w:r>
      <w:r>
        <w:t xml:space="preserve">, 57.4 (1966), 442–54 </w:t>
      </w:r>
    </w:p>
    <w:p w14:paraId="5DD7710B" w14:textId="77777777" w:rsidR="00B973AE" w:rsidRDefault="00B973AE" w:rsidP="00B973AE">
      <w:pPr>
        <w:widowControl w:val="0"/>
        <w:pBdr>
          <w:top w:val="nil"/>
          <w:left w:val="nil"/>
          <w:bottom w:val="nil"/>
          <w:right w:val="nil"/>
          <w:between w:val="nil"/>
        </w:pBdr>
      </w:pPr>
    </w:p>
    <w:p w14:paraId="2D18A82F" w14:textId="77777777" w:rsidR="00B973AE" w:rsidRDefault="00B973AE" w:rsidP="00B973AE">
      <w:pPr>
        <w:widowControl w:val="0"/>
        <w:pBdr>
          <w:top w:val="nil"/>
          <w:left w:val="nil"/>
          <w:bottom w:val="nil"/>
          <w:right w:val="nil"/>
          <w:between w:val="nil"/>
        </w:pBdr>
      </w:pPr>
      <w:proofErr w:type="spellStart"/>
      <w:r>
        <w:t>Nylan</w:t>
      </w:r>
      <w:proofErr w:type="spellEnd"/>
      <w:r>
        <w:t xml:space="preserve">, Michael, and </w:t>
      </w:r>
      <w:proofErr w:type="spellStart"/>
      <w:r>
        <w:t>Griet</w:t>
      </w:r>
      <w:proofErr w:type="spellEnd"/>
      <w:r>
        <w:t xml:space="preserve"> </w:t>
      </w:r>
      <w:proofErr w:type="spellStart"/>
      <w:r>
        <w:t>Vankeerberghen</w:t>
      </w:r>
      <w:proofErr w:type="spellEnd"/>
      <w:r>
        <w:t xml:space="preserve">, ‘Liu Xiang and Liu Xin’, </w:t>
      </w:r>
      <w:proofErr w:type="spellStart"/>
      <w:r w:rsidRPr="0010048F">
        <w:rPr>
          <w:i/>
          <w:iCs/>
        </w:rPr>
        <w:t>Chang’an</w:t>
      </w:r>
      <w:proofErr w:type="spellEnd"/>
      <w:r w:rsidRPr="0010048F">
        <w:rPr>
          <w:i/>
          <w:iCs/>
        </w:rPr>
        <w:t xml:space="preserve"> 26 BCE</w:t>
      </w:r>
      <w:r>
        <w:t>, 2022, 25</w:t>
      </w:r>
    </w:p>
    <w:p w14:paraId="25F8F036" w14:textId="77777777" w:rsidR="00B973AE" w:rsidRDefault="00B973AE" w:rsidP="00B973AE">
      <w:pPr>
        <w:widowControl w:val="0"/>
        <w:pBdr>
          <w:top w:val="nil"/>
          <w:left w:val="nil"/>
          <w:bottom w:val="nil"/>
          <w:right w:val="nil"/>
          <w:between w:val="nil"/>
        </w:pBdr>
      </w:pPr>
    </w:p>
    <w:p w14:paraId="5A2418FD" w14:textId="39E3ABB9" w:rsidR="00B973AE" w:rsidRDefault="00B973AE" w:rsidP="00B973AE">
      <w:pPr>
        <w:widowControl w:val="0"/>
        <w:pBdr>
          <w:top w:val="nil"/>
          <w:left w:val="nil"/>
          <w:bottom w:val="nil"/>
          <w:right w:val="nil"/>
          <w:between w:val="nil"/>
        </w:pBdr>
      </w:pPr>
      <w:r>
        <w:t xml:space="preserve">Petersen, Jens </w:t>
      </w:r>
      <w:proofErr w:type="spellStart"/>
      <w:r>
        <w:t>Østergȧrd</w:t>
      </w:r>
      <w:proofErr w:type="spellEnd"/>
      <w:r>
        <w:t xml:space="preserve">, ‘Which Books Did the First Emperor of Ch’in Burn? On the Meaning of Pai Chia in Early Chinese Sources’, </w:t>
      </w:r>
      <w:proofErr w:type="spellStart"/>
      <w:r w:rsidRPr="0010048F">
        <w:rPr>
          <w:i/>
          <w:iCs/>
        </w:rPr>
        <w:t>Monumenta</w:t>
      </w:r>
      <w:proofErr w:type="spellEnd"/>
      <w:r w:rsidRPr="0010048F">
        <w:rPr>
          <w:i/>
          <w:iCs/>
        </w:rPr>
        <w:t xml:space="preserve"> </w:t>
      </w:r>
      <w:proofErr w:type="spellStart"/>
      <w:r w:rsidRPr="0010048F">
        <w:rPr>
          <w:i/>
          <w:iCs/>
        </w:rPr>
        <w:t>Serica</w:t>
      </w:r>
      <w:proofErr w:type="spellEnd"/>
      <w:r w:rsidRPr="0010048F">
        <w:rPr>
          <w:i/>
          <w:iCs/>
        </w:rPr>
        <w:t>,</w:t>
      </w:r>
      <w:r>
        <w:t xml:space="preserve"> 43.1 (1995), 1–52 </w:t>
      </w:r>
    </w:p>
    <w:p w14:paraId="35DF85CA" w14:textId="77777777" w:rsidR="00B973AE" w:rsidRDefault="00B973AE" w:rsidP="00B973AE">
      <w:pPr>
        <w:widowControl w:val="0"/>
        <w:pBdr>
          <w:top w:val="nil"/>
          <w:left w:val="nil"/>
          <w:bottom w:val="nil"/>
          <w:right w:val="nil"/>
          <w:between w:val="nil"/>
        </w:pBdr>
      </w:pPr>
    </w:p>
    <w:p w14:paraId="5B1C7517" w14:textId="2EEAB350" w:rsidR="00B973AE" w:rsidRDefault="00B973AE" w:rsidP="00B973AE">
      <w:pPr>
        <w:widowControl w:val="0"/>
        <w:pBdr>
          <w:top w:val="nil"/>
          <w:left w:val="nil"/>
          <w:bottom w:val="nil"/>
          <w:right w:val="nil"/>
          <w:between w:val="nil"/>
        </w:pBdr>
      </w:pPr>
      <w:r>
        <w:t xml:space="preserve">Robichaud, Denis J.-J., ‘Ficino on Force, Magic, and Prayers: Neoplatonic and Hermetic Influences in Ficino’s Three Books on Life’, </w:t>
      </w:r>
      <w:r w:rsidRPr="0010048F">
        <w:rPr>
          <w:i/>
          <w:iCs/>
        </w:rPr>
        <w:t>Renaissance Quarterly</w:t>
      </w:r>
      <w:r>
        <w:t xml:space="preserve">, 70.1 (2017), 44–87 </w:t>
      </w:r>
    </w:p>
    <w:p w14:paraId="6DC4E3F8" w14:textId="77777777" w:rsidR="00B973AE" w:rsidRDefault="00B973AE" w:rsidP="00B973AE">
      <w:pPr>
        <w:widowControl w:val="0"/>
        <w:pBdr>
          <w:top w:val="nil"/>
          <w:left w:val="nil"/>
          <w:bottom w:val="nil"/>
          <w:right w:val="nil"/>
          <w:between w:val="nil"/>
        </w:pBdr>
      </w:pPr>
    </w:p>
    <w:p w14:paraId="356AA186" w14:textId="4DDBD985" w:rsidR="00B973AE" w:rsidRDefault="00B973AE" w:rsidP="00B973AE">
      <w:pPr>
        <w:widowControl w:val="0"/>
        <w:pBdr>
          <w:top w:val="nil"/>
          <w:left w:val="nil"/>
          <w:bottom w:val="nil"/>
          <w:right w:val="nil"/>
          <w:between w:val="nil"/>
        </w:pBdr>
      </w:pPr>
      <w:r>
        <w:t xml:space="preserve">Voss, Angela, ‘The Natural Magic of </w:t>
      </w:r>
      <w:proofErr w:type="spellStart"/>
      <w:r>
        <w:t>Marsilio</w:t>
      </w:r>
      <w:proofErr w:type="spellEnd"/>
      <w:r>
        <w:t xml:space="preserve"> Ficino’, </w:t>
      </w:r>
      <w:r w:rsidRPr="0010048F">
        <w:rPr>
          <w:i/>
          <w:iCs/>
        </w:rPr>
        <w:t>Historic Dance</w:t>
      </w:r>
      <w:r>
        <w:t xml:space="preserve">, 3.1 (1992), </w:t>
      </w:r>
      <w:r w:rsidR="0010048F">
        <w:t>25-30</w:t>
      </w:r>
    </w:p>
    <w:p w14:paraId="56C3520B" w14:textId="77777777" w:rsidR="00B973AE" w:rsidRDefault="00B973AE" w:rsidP="00B973AE">
      <w:pPr>
        <w:widowControl w:val="0"/>
        <w:pBdr>
          <w:top w:val="nil"/>
          <w:left w:val="nil"/>
          <w:bottom w:val="nil"/>
          <w:right w:val="nil"/>
          <w:between w:val="nil"/>
        </w:pBdr>
      </w:pPr>
    </w:p>
    <w:p w14:paraId="1E2F4AF6" w14:textId="6C2802DD" w:rsidR="00B973AE" w:rsidRDefault="00B973AE" w:rsidP="00B973AE">
      <w:pPr>
        <w:widowControl w:val="0"/>
        <w:pBdr>
          <w:top w:val="nil"/>
          <w:left w:val="nil"/>
          <w:bottom w:val="nil"/>
          <w:right w:val="nil"/>
          <w:between w:val="nil"/>
        </w:pBdr>
      </w:pPr>
      <w:r>
        <w:t xml:space="preserve">Zink, Sidney, ‘The Good as Harmony’, </w:t>
      </w:r>
      <w:r w:rsidRPr="0010048F">
        <w:rPr>
          <w:i/>
          <w:iCs/>
        </w:rPr>
        <w:t>The Philosophical Review</w:t>
      </w:r>
      <w:r>
        <w:t xml:space="preserve">, 53.6 (1944), 557 </w:t>
      </w:r>
    </w:p>
    <w:p w14:paraId="175B867A" w14:textId="77777777" w:rsidR="00B973AE" w:rsidRDefault="00B973AE" w:rsidP="00B973AE">
      <w:pPr>
        <w:widowControl w:val="0"/>
        <w:pBdr>
          <w:top w:val="nil"/>
          <w:left w:val="nil"/>
          <w:bottom w:val="nil"/>
          <w:right w:val="nil"/>
          <w:between w:val="nil"/>
        </w:pBdr>
      </w:pPr>
    </w:p>
    <w:p w14:paraId="0000004D" w14:textId="72B5383F" w:rsidR="00C54303" w:rsidRDefault="00B973AE" w:rsidP="00B973AE">
      <w:pPr>
        <w:widowControl w:val="0"/>
        <w:pBdr>
          <w:top w:val="nil"/>
          <w:left w:val="nil"/>
          <w:bottom w:val="nil"/>
          <w:right w:val="nil"/>
          <w:between w:val="nil"/>
        </w:pBdr>
      </w:pPr>
      <w:r>
        <w:rPr>
          <w:rFonts w:hint="eastAsia"/>
        </w:rPr>
        <w:t>辛世芬</w:t>
      </w:r>
      <w:r>
        <w:rPr>
          <w:rFonts w:hint="eastAsia"/>
        </w:rPr>
        <w:t>,</w:t>
      </w:r>
      <w:r>
        <w:rPr>
          <w:rFonts w:hint="eastAsia"/>
        </w:rPr>
        <w:t>‘《汉书·艺文志》对《七略》继承和创新</w:t>
      </w:r>
      <w:r>
        <w:rPr>
          <w:rFonts w:hint="eastAsia"/>
        </w:rPr>
        <w:t>-</w:t>
      </w:r>
      <w:r>
        <w:rPr>
          <w:rFonts w:hint="eastAsia"/>
        </w:rPr>
        <w:t>儒学高等研究院</w:t>
      </w:r>
      <w:r w:rsidR="00103BD9">
        <w:rPr>
          <w:rFonts w:hint="eastAsia"/>
        </w:rPr>
        <w:t xml:space="preserve"> </w:t>
      </w:r>
      <w:r w:rsidR="00103BD9">
        <w:t>Shandong Confucius University</w:t>
      </w:r>
      <w:r>
        <w:rPr>
          <w:rFonts w:hint="eastAsia"/>
        </w:rPr>
        <w:t>’</w:t>
      </w:r>
      <w:r>
        <w:rPr>
          <w:rFonts w:hint="eastAsia"/>
        </w:rPr>
        <w:t xml:space="preserve"> &lt;https://www.rxgdyjy.sdu.edu.cn/info/1033/3991.htm&gt; [accessed 12 April 2022]</w:t>
      </w:r>
    </w:p>
    <w:sectPr w:rsidR="00C5430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97322" w14:textId="77777777" w:rsidR="005C29A6" w:rsidRDefault="005C29A6">
      <w:pPr>
        <w:spacing w:line="240" w:lineRule="auto"/>
      </w:pPr>
      <w:r>
        <w:separator/>
      </w:r>
    </w:p>
  </w:endnote>
  <w:endnote w:type="continuationSeparator" w:id="0">
    <w:p w14:paraId="1C59B790" w14:textId="77777777" w:rsidR="005C29A6" w:rsidRDefault="005C29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altName w:val="Arial"/>
    <w:panose1 w:val="020B0604020202020204"/>
    <w:charset w:val="00"/>
    <w:family w:val="auto"/>
    <w:pitch w:val="default"/>
  </w:font>
  <w:font w:name="Alegreya Sans SC">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2B8952" w14:textId="77777777" w:rsidR="005C29A6" w:rsidRDefault="005C29A6">
      <w:pPr>
        <w:spacing w:line="240" w:lineRule="auto"/>
      </w:pPr>
      <w:r>
        <w:separator/>
      </w:r>
    </w:p>
  </w:footnote>
  <w:footnote w:type="continuationSeparator" w:id="0">
    <w:p w14:paraId="277F202F" w14:textId="77777777" w:rsidR="005C29A6" w:rsidRDefault="005C29A6">
      <w:pPr>
        <w:spacing w:line="240" w:lineRule="auto"/>
      </w:pPr>
      <w:r>
        <w:continuationSeparator/>
      </w:r>
    </w:p>
  </w:footnote>
  <w:footnote w:id="1">
    <w:p w14:paraId="582C4B43" w14:textId="1D96E4BF" w:rsidR="005E2D17" w:rsidRPr="005E2D17" w:rsidRDefault="005E2D17">
      <w:pPr>
        <w:pStyle w:val="FootnoteText"/>
        <w:rPr>
          <w:lang w:val="en-US"/>
        </w:rPr>
      </w:pPr>
      <w:r>
        <w:rPr>
          <w:rStyle w:val="FootnoteReference"/>
        </w:rPr>
        <w:footnoteRef/>
      </w:r>
      <w:r>
        <w:t xml:space="preserve"> </w:t>
      </w:r>
      <w:r>
        <w:fldChar w:fldCharType="begin"/>
      </w:r>
      <w:r>
        <w:instrText xml:space="preserve"> ADDIN ZOTERO_ITEM CSL_CITATION {"citationID":"Polf9Zcn","properties":{"formattedCitation":"Hamidreza Pasha Zanous and Juping Yang, \\uc0\\u8216{}Arsacid Cities in the Hanshu and Houhanshu\\uc0\\u8217{}, {\\i{}Iran and the Caucasus}, 2022, 17 (pp. 123\\uc0\\u8211{}24).","plainCitation":"Hamidreza Pasha Zanous and Juping Yang, ‘Arsacid Cities in the Hanshu and Houhanshu’, Iran and the Caucasus, 2022, 17 (pp. 123–24).","noteIndex":1},"citationItems":[{"id":164,"uris":["http://zotero.org/users/9107787/items/NBWHXGTD"],"itemData":{"id":164,"type":"article-journal","abstract":"In the reports of Chinese travellers submitted to the Emperors, they mentioned the places they had visited or heard of. Although some scholars have tried to identify these Chinese names as specific places in the Iranian Plateau and its bordering plains, their locations are still somewhat vague and debatable. This article discusses the place-names mentioned in Chinese sources and attempts to verify that they could have denoted the localities along the ancient Great Khorasan Road and other routes, which were once the main sections of the Silk Road. Among them, the route that Chinese traveller Gan Ying might have passed before he reached the western frontier of the Arsacid Empire will also be discussed in this study.","container-title":"Iran and the Caucasus","language":"en","page":"17","source":"Zotero","title":"Arsacid Cities in the Hanshu and Houhanshu","author":[{"family":"Zanous","given":"Hamidreza Pasha"},{"family":"Yang","given":"Juping"}],"issued":{"date-parts":[["2022"]]}},"locator":"123-124","label":"page"}],"schema":"https://github.com/citation-style-language/schema/raw/master/csl-citation.json"} </w:instrText>
      </w:r>
      <w:r>
        <w:fldChar w:fldCharType="separate"/>
      </w:r>
      <w:bookmarkStart w:id="6" w:name="_Hlk101993796"/>
      <w:r w:rsidRPr="005E2D17">
        <w:rPr>
          <w:szCs w:val="24"/>
        </w:rPr>
        <w:t xml:space="preserve">Hamidreza Pasha Zanous and Juping Yang, ‘Arsacid Cities in the Hanshu and Houhanshu’, </w:t>
      </w:r>
      <w:r w:rsidRPr="005E2D17">
        <w:rPr>
          <w:i/>
          <w:iCs/>
          <w:szCs w:val="24"/>
        </w:rPr>
        <w:t>Iran and the Caucasus</w:t>
      </w:r>
      <w:r w:rsidRPr="005E2D17">
        <w:rPr>
          <w:szCs w:val="24"/>
        </w:rPr>
        <w:t>, 2022, 17 (pp. 123–24)</w:t>
      </w:r>
      <w:bookmarkEnd w:id="6"/>
      <w:r w:rsidRPr="005E2D17">
        <w:rPr>
          <w:szCs w:val="24"/>
        </w:rPr>
        <w:t>.</w:t>
      </w:r>
      <w:r>
        <w:fldChar w:fldCharType="end"/>
      </w:r>
    </w:p>
  </w:footnote>
  <w:footnote w:id="2">
    <w:p w14:paraId="0000004F" w14:textId="77777777" w:rsidR="00C54303" w:rsidRDefault="00CA35E1">
      <w:pPr>
        <w:spacing w:line="240" w:lineRule="auto"/>
        <w:rPr>
          <w:b/>
          <w:sz w:val="20"/>
          <w:szCs w:val="20"/>
        </w:rPr>
      </w:pPr>
      <w:r>
        <w:rPr>
          <w:vertAlign w:val="superscript"/>
        </w:rPr>
        <w:footnoteRef/>
      </w:r>
      <w:r>
        <w:rPr>
          <w:sz w:val="20"/>
          <w:szCs w:val="20"/>
        </w:rPr>
        <w:t xml:space="preserve"> N. J. </w:t>
      </w:r>
      <w:r>
        <w:rPr>
          <w:sz w:val="20"/>
          <w:szCs w:val="20"/>
        </w:rPr>
        <w:t xml:space="preserve">Girardot, ‘Myth and Meaning in the “Tao Te Ching”: Chapters 25 and 42’, </w:t>
      </w:r>
      <w:r>
        <w:rPr>
          <w:i/>
          <w:sz w:val="20"/>
          <w:szCs w:val="20"/>
        </w:rPr>
        <w:t>History of Religions</w:t>
      </w:r>
      <w:r>
        <w:rPr>
          <w:sz w:val="20"/>
          <w:szCs w:val="20"/>
        </w:rPr>
        <w:t>, 16.4 (1977), 294–328 (p. 298) &lt;https://doi.org/10.1086/462770&gt;.</w:t>
      </w:r>
    </w:p>
  </w:footnote>
  <w:footnote w:id="3">
    <w:p w14:paraId="00000050" w14:textId="77777777" w:rsidR="00C54303" w:rsidRDefault="00CA35E1">
      <w:pPr>
        <w:spacing w:line="240" w:lineRule="auto"/>
        <w:rPr>
          <w:b/>
          <w:sz w:val="20"/>
          <w:szCs w:val="20"/>
        </w:rPr>
      </w:pPr>
      <w:r>
        <w:rPr>
          <w:vertAlign w:val="superscript"/>
        </w:rPr>
        <w:footnoteRef/>
      </w:r>
      <w:r>
        <w:rPr>
          <w:sz w:val="20"/>
          <w:szCs w:val="20"/>
        </w:rPr>
        <w:t xml:space="preserve"> </w:t>
      </w:r>
      <w:r>
        <w:rPr>
          <w:sz w:val="20"/>
          <w:szCs w:val="20"/>
        </w:rPr>
        <w:t>Chenyang Li, ‘The Confucian Ideal of Harmony’, 22 (p. 86).</w:t>
      </w:r>
    </w:p>
  </w:footnote>
  <w:footnote w:id="4">
    <w:p w14:paraId="00000051" w14:textId="77777777" w:rsidR="00C54303" w:rsidRDefault="00CA35E1">
      <w:pPr>
        <w:spacing w:line="240" w:lineRule="auto"/>
        <w:rPr>
          <w:sz w:val="20"/>
          <w:szCs w:val="20"/>
        </w:rPr>
      </w:pPr>
      <w:r>
        <w:rPr>
          <w:vertAlign w:val="superscript"/>
        </w:rPr>
        <w:footnoteRef/>
      </w:r>
      <w:r>
        <w:rPr>
          <w:sz w:val="20"/>
          <w:szCs w:val="20"/>
        </w:rPr>
        <w:t xml:space="preserve"> Nicholas Campion, </w:t>
      </w:r>
      <w:r>
        <w:rPr>
          <w:i/>
          <w:sz w:val="20"/>
          <w:szCs w:val="20"/>
        </w:rPr>
        <w:t>A History of Western Astrology, The Ancient World</w:t>
      </w:r>
      <w:r>
        <w:rPr>
          <w:sz w:val="20"/>
          <w:szCs w:val="20"/>
        </w:rPr>
        <w:t xml:space="preserve"> (Bloomsbury, 2008), </w:t>
      </w:r>
      <w:r>
        <w:rPr>
          <w:sz w:val="20"/>
          <w:szCs w:val="20"/>
        </w:rPr>
        <w:t>i, The Ancient and Classical World, p. 137.</w:t>
      </w:r>
    </w:p>
  </w:footnote>
  <w:footnote w:id="5">
    <w:p w14:paraId="0000004E" w14:textId="77777777" w:rsidR="00C54303" w:rsidRDefault="00CA35E1">
      <w:pPr>
        <w:spacing w:line="240" w:lineRule="auto"/>
        <w:rPr>
          <w:b/>
          <w:sz w:val="20"/>
          <w:szCs w:val="20"/>
        </w:rPr>
      </w:pPr>
      <w:r>
        <w:rPr>
          <w:vertAlign w:val="superscript"/>
        </w:rPr>
        <w:footnoteRef/>
      </w:r>
      <w:r>
        <w:rPr>
          <w:sz w:val="20"/>
          <w:szCs w:val="20"/>
        </w:rPr>
        <w:t xml:space="preserve"> Campion, </w:t>
      </w:r>
      <w:r>
        <w:rPr>
          <w:sz w:val="20"/>
          <w:szCs w:val="20"/>
        </w:rPr>
        <w:t>i, The Ancient and Classical World, p. 149.</w:t>
      </w:r>
    </w:p>
  </w:footnote>
  <w:footnote w:id="6">
    <w:p w14:paraId="00000082" w14:textId="77777777" w:rsidR="00C54303" w:rsidRDefault="00CA35E1">
      <w:pPr>
        <w:spacing w:line="240" w:lineRule="auto"/>
        <w:rPr>
          <w:b/>
          <w:sz w:val="20"/>
          <w:szCs w:val="20"/>
        </w:rPr>
      </w:pPr>
      <w:r>
        <w:rPr>
          <w:vertAlign w:val="superscript"/>
        </w:rPr>
        <w:footnoteRef/>
      </w:r>
      <w:r>
        <w:rPr>
          <w:sz w:val="20"/>
          <w:szCs w:val="20"/>
        </w:rPr>
        <w:t xml:space="preserve"> Nicholas Campion and others, </w:t>
      </w:r>
      <w:r>
        <w:rPr>
          <w:i/>
          <w:sz w:val="20"/>
          <w:szCs w:val="20"/>
        </w:rPr>
        <w:t>The Harmony Debates: Exploring a Practical Philosophy for a Sustainable Future</w:t>
      </w:r>
      <w:r>
        <w:rPr>
          <w:sz w:val="20"/>
          <w:szCs w:val="20"/>
        </w:rPr>
        <w:t>, 2020, p. 247.</w:t>
      </w:r>
    </w:p>
  </w:footnote>
  <w:footnote w:id="7">
    <w:p w14:paraId="46ACCE30" w14:textId="0B0ADD82" w:rsidR="00A62BAC" w:rsidRPr="00A62BAC" w:rsidRDefault="00A62BAC">
      <w:pPr>
        <w:pStyle w:val="FootnoteText"/>
        <w:rPr>
          <w:lang w:val="en-US"/>
        </w:rPr>
      </w:pPr>
      <w:r>
        <w:rPr>
          <w:rStyle w:val="FootnoteReference"/>
        </w:rPr>
        <w:footnoteRef/>
      </w:r>
      <w:r>
        <w:t xml:space="preserve"> </w:t>
      </w:r>
      <w:r>
        <w:fldChar w:fldCharType="begin"/>
      </w:r>
      <w:r w:rsidR="00E418BF">
        <w:instrText xml:space="preserve"> ADDIN ZOTERO_ITEM CSL_CITATION {"citationID":"zQbHGl5t","properties":{"formattedCitation":"Michael Nylan and Griet Vankeerberghen, \\uc0\\u8216{}Liu Xiang and Liu Xin\\uc0\\u8217{}, 2022, 25 (p. 337).","plainCitation":"Michael Nylan and Griet Vankeerberghen, ‘Liu Xiang and Liu Xin’, 2022, 25 (p. 337).","noteIndex":7},"citationItems":[{"id":151,"uris":["http://zotero.org/users/9107787/items/5NL7LJMJ"],"itemData":{"id":151,"type":"article-journal","language":"en","page":"25","source":"Zotero","title":"Liu Xiang and Liu Xin","author":[{"family":"Nylan","given":"Michael"},{"family":"Vankeerberghen","given":"Griet"}],"issued":{"date-parts":[["2022"]]}},"locator":"337","label":"page"}],"schema":"https://github.com/citation-style-language/schema/raw/master/csl-citation.json"} </w:instrText>
      </w:r>
      <w:r>
        <w:fldChar w:fldCharType="separate"/>
      </w:r>
      <w:r w:rsidRPr="00A62BAC">
        <w:rPr>
          <w:szCs w:val="24"/>
        </w:rPr>
        <w:t>Michael Nylan and Griet Vankeerberghen, ‘Liu Xiang and Liu Xin’, 2022, 25 (p. 337).</w:t>
      </w:r>
      <w:r>
        <w:fldChar w:fldCharType="end"/>
      </w:r>
    </w:p>
  </w:footnote>
  <w:footnote w:id="8">
    <w:p w14:paraId="00000080" w14:textId="7A555499" w:rsidR="00C54303" w:rsidRDefault="00CA35E1">
      <w:pPr>
        <w:spacing w:line="240" w:lineRule="auto"/>
        <w:rPr>
          <w:b/>
          <w:sz w:val="20"/>
          <w:szCs w:val="20"/>
        </w:rPr>
      </w:pPr>
      <w:r>
        <w:rPr>
          <w:vertAlign w:val="superscript"/>
        </w:rPr>
        <w:footnoteRef/>
      </w:r>
      <w:r>
        <w:rPr>
          <w:sz w:val="20"/>
          <w:szCs w:val="20"/>
        </w:rPr>
        <w:t xml:space="preserve"> </w:t>
      </w:r>
      <w:r>
        <w:rPr>
          <w:rFonts w:ascii="Arial Unicode MS" w:eastAsia="Arial Unicode MS" w:hAnsi="Arial Unicode MS" w:cs="Arial Unicode MS"/>
          <w:sz w:val="20"/>
          <w:szCs w:val="20"/>
        </w:rPr>
        <w:t xml:space="preserve">班固, ‘漢書 : 志 : 藝文志 - 中國哲學書電子化計劃 </w:t>
      </w:r>
      <w:r>
        <w:rPr>
          <w:rFonts w:ascii="Arial Unicode MS" w:eastAsia="Arial Unicode MS" w:hAnsi="Arial Unicode MS" w:cs="Arial Unicode MS"/>
          <w:sz w:val="20"/>
          <w:szCs w:val="20"/>
        </w:rPr>
        <w:t>Hanshu Yiwenzhi</w:t>
      </w:r>
      <w:r w:rsidR="00967117">
        <w:rPr>
          <w:rFonts w:ascii="Arial Unicode MS" w:eastAsia="Arial Unicode MS" w:hAnsi="Arial Unicode MS" w:cs="Arial Unicode MS"/>
          <w:sz w:val="20"/>
          <w:szCs w:val="20"/>
        </w:rPr>
        <w:t xml:space="preserve"> - Chinese Text Project</w:t>
      </w:r>
      <w:r>
        <w:rPr>
          <w:rFonts w:ascii="Arial Unicode MS" w:eastAsia="Arial Unicode MS" w:hAnsi="Arial Unicode MS" w:cs="Arial Unicode MS"/>
          <w:sz w:val="20"/>
          <w:szCs w:val="20"/>
        </w:rPr>
        <w:t>’ &lt;https://ctext.org/han-shu/yi-wen-zhi/zh&gt;.</w:t>
      </w:r>
    </w:p>
  </w:footnote>
  <w:footnote w:id="9">
    <w:p w14:paraId="00000081" w14:textId="77777777" w:rsidR="00C54303" w:rsidRDefault="00CA35E1">
      <w:pPr>
        <w:spacing w:line="240" w:lineRule="auto"/>
        <w:rPr>
          <w:sz w:val="20"/>
          <w:szCs w:val="20"/>
        </w:rPr>
      </w:pPr>
      <w:r>
        <w:rPr>
          <w:vertAlign w:val="superscript"/>
        </w:rPr>
        <w:footnoteRef/>
      </w:r>
      <w:r>
        <w:rPr>
          <w:sz w:val="20"/>
          <w:szCs w:val="20"/>
        </w:rPr>
        <w:t xml:space="preserve"> ‘</w:t>
      </w:r>
      <w:r>
        <w:rPr>
          <w:sz w:val="20"/>
          <w:szCs w:val="20"/>
        </w:rPr>
        <w:t>Marsilio Ficino, Three Books on Life’ &lt;https://people.bu.edu/dklepper/RN242/marsilio.html&gt; [accessed 22 April 2022].</w:t>
      </w:r>
    </w:p>
  </w:footnote>
  <w:footnote w:id="10">
    <w:p w14:paraId="0000007C" w14:textId="77777777" w:rsidR="00C54303" w:rsidRDefault="00CA35E1">
      <w:pPr>
        <w:spacing w:line="240" w:lineRule="auto"/>
        <w:rPr>
          <w:sz w:val="20"/>
          <w:szCs w:val="20"/>
        </w:rPr>
      </w:pPr>
      <w:r>
        <w:rPr>
          <w:vertAlign w:val="superscript"/>
        </w:rPr>
        <w:footnoteRef/>
      </w:r>
      <w:r>
        <w:rPr>
          <w:sz w:val="20"/>
          <w:szCs w:val="20"/>
        </w:rPr>
        <w:t xml:space="preserve"> </w:t>
      </w:r>
      <w:r>
        <w:rPr>
          <w:sz w:val="20"/>
          <w:szCs w:val="20"/>
        </w:rPr>
        <w:t xml:space="preserve">Chenyang Li, ‘The Ideal of Harmony in Ancient Chinese and Greek Philosophy’, </w:t>
      </w:r>
      <w:r>
        <w:rPr>
          <w:i/>
          <w:sz w:val="20"/>
          <w:szCs w:val="20"/>
        </w:rPr>
        <w:t>Dao</w:t>
      </w:r>
      <w:r>
        <w:rPr>
          <w:sz w:val="20"/>
          <w:szCs w:val="20"/>
        </w:rPr>
        <w:t>, 7.1 (2008), 81–98 (p. 83) &lt;https://doi.org/10.1007/s11712-008-9043-3&gt;.</w:t>
      </w:r>
    </w:p>
  </w:footnote>
  <w:footnote w:id="11">
    <w:p w14:paraId="2DC1EF53" w14:textId="6FDA6F14" w:rsidR="003D1636" w:rsidRDefault="003D1636" w:rsidP="003D1636">
      <w:pPr>
        <w:spacing w:line="240" w:lineRule="auto"/>
        <w:rPr>
          <w:sz w:val="20"/>
          <w:szCs w:val="20"/>
        </w:rPr>
      </w:pPr>
      <w:r>
        <w:rPr>
          <w:vertAlign w:val="superscript"/>
        </w:rPr>
        <w:footnoteRef/>
      </w:r>
      <w:r>
        <w:rPr>
          <w:sz w:val="20"/>
          <w:szCs w:val="20"/>
        </w:rPr>
        <w:t xml:space="preserve"> </w:t>
      </w:r>
      <w:r>
        <w:rPr>
          <w:rFonts w:hint="eastAsia"/>
          <w:sz w:val="20"/>
          <w:szCs w:val="20"/>
        </w:rPr>
        <w:t>許慎，</w:t>
      </w:r>
      <w:r>
        <w:rPr>
          <w:rFonts w:ascii="Arial Unicode MS" w:eastAsia="Arial Unicode MS" w:hAnsi="Arial Unicode MS" w:cs="Arial Unicode MS"/>
          <w:sz w:val="20"/>
          <w:szCs w:val="20"/>
        </w:rPr>
        <w:t>‘說文解字 : 卷三 : 口部 - 中國哲學書電子化計劃</w:t>
      </w:r>
      <w:r>
        <w:rPr>
          <w:rFonts w:ascii="Arial Unicode MS" w:hAnsi="Arial Unicode MS" w:cs="Arial Unicode MS" w:hint="eastAsia"/>
          <w:sz w:val="20"/>
          <w:szCs w:val="20"/>
        </w:rPr>
        <w:t xml:space="preserve"> </w:t>
      </w:r>
      <w:r>
        <w:rPr>
          <w:rFonts w:ascii="Arial Unicode MS" w:hAnsi="Arial Unicode MS" w:cs="Arial Unicode MS"/>
          <w:sz w:val="20"/>
          <w:szCs w:val="20"/>
        </w:rPr>
        <w:t>Shuowen Jiezi - Chinese Text Project</w:t>
      </w:r>
      <w:r>
        <w:rPr>
          <w:rFonts w:ascii="Arial Unicode MS" w:eastAsia="Arial Unicode MS" w:hAnsi="Arial Unicode MS" w:cs="Arial Unicode MS"/>
          <w:sz w:val="20"/>
          <w:szCs w:val="20"/>
        </w:rPr>
        <w:t>’ &lt;https://ctext.org/shuo-wen-jie-zi/kou-bu/zh&gt;.</w:t>
      </w:r>
    </w:p>
  </w:footnote>
  <w:footnote w:id="12">
    <w:p w14:paraId="00000052" w14:textId="77777777" w:rsidR="00C54303" w:rsidRDefault="00CA35E1">
      <w:pPr>
        <w:spacing w:line="240" w:lineRule="auto"/>
        <w:rPr>
          <w:b/>
          <w:sz w:val="20"/>
          <w:szCs w:val="20"/>
        </w:rPr>
      </w:pPr>
      <w:r>
        <w:rPr>
          <w:vertAlign w:val="superscript"/>
        </w:rPr>
        <w:footnoteRef/>
      </w:r>
      <w:r>
        <w:rPr>
          <w:sz w:val="20"/>
          <w:szCs w:val="20"/>
        </w:rPr>
        <w:t xml:space="preserve"> Angela Voss, ‘The Natural Magic of </w:t>
      </w:r>
      <w:r>
        <w:rPr>
          <w:sz w:val="20"/>
          <w:szCs w:val="20"/>
        </w:rPr>
        <w:t>Marsilio Ficino’, 3.1 (1992), 6 (p. 27).</w:t>
      </w:r>
    </w:p>
  </w:footnote>
  <w:footnote w:id="13">
    <w:p w14:paraId="00000053" w14:textId="77777777" w:rsidR="00C54303" w:rsidRDefault="00CA35E1">
      <w:pPr>
        <w:spacing w:line="240" w:lineRule="auto"/>
        <w:rPr>
          <w:b/>
          <w:sz w:val="20"/>
          <w:szCs w:val="20"/>
        </w:rPr>
      </w:pPr>
      <w:r>
        <w:rPr>
          <w:vertAlign w:val="superscript"/>
        </w:rPr>
        <w:footnoteRef/>
      </w:r>
      <w:r>
        <w:rPr>
          <w:sz w:val="20"/>
          <w:szCs w:val="20"/>
        </w:rPr>
        <w:t xml:space="preserve"> Robert W. Marks, ‘THE MUSIC AND MUSICAL INSTRUMENTS OF ANCIENT CHINA’, </w:t>
      </w:r>
      <w:r>
        <w:rPr>
          <w:i/>
          <w:sz w:val="20"/>
          <w:szCs w:val="20"/>
        </w:rPr>
        <w:t>The Musical Quarterly</w:t>
      </w:r>
      <w:r>
        <w:rPr>
          <w:sz w:val="20"/>
          <w:szCs w:val="20"/>
        </w:rPr>
        <w:t>, XVIII.4 (1932), 593–607 (p. 593) &lt;https://doi.org/10.1093/mq/XVIII.4.593&gt;.</w:t>
      </w:r>
    </w:p>
  </w:footnote>
  <w:footnote w:id="14">
    <w:p w14:paraId="00000054" w14:textId="77777777" w:rsidR="00C54303" w:rsidRDefault="00CA35E1">
      <w:pPr>
        <w:spacing w:line="240" w:lineRule="auto"/>
        <w:rPr>
          <w:sz w:val="20"/>
          <w:szCs w:val="20"/>
        </w:rPr>
      </w:pPr>
      <w:r>
        <w:rPr>
          <w:vertAlign w:val="superscript"/>
        </w:rPr>
        <w:footnoteRef/>
      </w:r>
      <w:r>
        <w:rPr>
          <w:sz w:val="20"/>
          <w:szCs w:val="20"/>
        </w:rPr>
        <w:t xml:space="preserve"> Li, ‘The Ideal of Harmony in Ancient Chinese and Greek Philosophy’, p. 83.</w:t>
      </w:r>
    </w:p>
  </w:footnote>
  <w:footnote w:id="15">
    <w:p w14:paraId="00000055" w14:textId="77777777" w:rsidR="00C54303" w:rsidRDefault="00CA35E1">
      <w:pPr>
        <w:spacing w:line="240" w:lineRule="auto"/>
        <w:rPr>
          <w:b/>
          <w:sz w:val="20"/>
          <w:szCs w:val="20"/>
        </w:rPr>
      </w:pPr>
      <w:r>
        <w:rPr>
          <w:vertAlign w:val="superscript"/>
        </w:rPr>
        <w:footnoteRef/>
      </w:r>
      <w:r>
        <w:rPr>
          <w:sz w:val="20"/>
          <w:szCs w:val="20"/>
        </w:rPr>
        <w:t xml:space="preserve"> Li, ‘The Confucian Ideal of Harmony’, p. 584.</w:t>
      </w:r>
    </w:p>
  </w:footnote>
  <w:footnote w:id="16">
    <w:p w14:paraId="00000056" w14:textId="77777777" w:rsidR="00C54303" w:rsidRDefault="00CA35E1">
      <w:pPr>
        <w:spacing w:line="240" w:lineRule="auto"/>
        <w:rPr>
          <w:b/>
          <w:sz w:val="20"/>
          <w:szCs w:val="20"/>
        </w:rPr>
      </w:pPr>
      <w:r>
        <w:rPr>
          <w:vertAlign w:val="superscript"/>
        </w:rPr>
        <w:footnoteRef/>
      </w:r>
      <w:r>
        <w:rPr>
          <w:sz w:val="20"/>
          <w:szCs w:val="20"/>
        </w:rPr>
        <w:t xml:space="preserve"> Marks, p. 595.</w:t>
      </w:r>
    </w:p>
  </w:footnote>
  <w:footnote w:id="17">
    <w:p w14:paraId="00000057" w14:textId="77777777" w:rsidR="00C54303" w:rsidRDefault="00CA35E1">
      <w:pPr>
        <w:spacing w:line="240" w:lineRule="auto"/>
        <w:rPr>
          <w:b/>
          <w:sz w:val="20"/>
          <w:szCs w:val="20"/>
        </w:rPr>
      </w:pPr>
      <w:r>
        <w:rPr>
          <w:vertAlign w:val="superscript"/>
        </w:rPr>
        <w:footnoteRef/>
      </w:r>
      <w:r>
        <w:rPr>
          <w:sz w:val="20"/>
          <w:szCs w:val="20"/>
        </w:rPr>
        <w:t xml:space="preserve"> Marks, p. 596.</w:t>
      </w:r>
    </w:p>
  </w:footnote>
  <w:footnote w:id="18">
    <w:p w14:paraId="00000083" w14:textId="77777777" w:rsidR="00C54303" w:rsidRDefault="00CA35E1">
      <w:pPr>
        <w:spacing w:line="240" w:lineRule="auto"/>
        <w:rPr>
          <w:b/>
          <w:sz w:val="20"/>
          <w:szCs w:val="20"/>
        </w:rPr>
      </w:pPr>
      <w:r>
        <w:rPr>
          <w:vertAlign w:val="superscript"/>
        </w:rPr>
        <w:footnoteRef/>
      </w:r>
      <w:r>
        <w:rPr>
          <w:sz w:val="20"/>
          <w:szCs w:val="20"/>
        </w:rPr>
        <w:t xml:space="preserve"> Campion and others, p. 250.</w:t>
      </w:r>
    </w:p>
  </w:footnote>
  <w:footnote w:id="19">
    <w:p w14:paraId="00000058" w14:textId="77777777" w:rsidR="00C54303" w:rsidRDefault="00CA35E1">
      <w:pPr>
        <w:spacing w:line="240" w:lineRule="auto"/>
        <w:rPr>
          <w:sz w:val="20"/>
          <w:szCs w:val="20"/>
        </w:rPr>
      </w:pPr>
      <w:r>
        <w:rPr>
          <w:vertAlign w:val="superscript"/>
        </w:rPr>
        <w:footnoteRef/>
      </w:r>
      <w:r>
        <w:rPr>
          <w:sz w:val="20"/>
          <w:szCs w:val="20"/>
        </w:rPr>
        <w:t xml:space="preserve"> Sidney Zink, ‘The Good as Harmony’, </w:t>
      </w:r>
      <w:r>
        <w:rPr>
          <w:i/>
          <w:sz w:val="20"/>
          <w:szCs w:val="20"/>
        </w:rPr>
        <w:t>The Philosophical Review</w:t>
      </w:r>
      <w:r>
        <w:rPr>
          <w:sz w:val="20"/>
          <w:szCs w:val="20"/>
        </w:rPr>
        <w:t>, 53.6 (1944), 557 (p. 558) &lt;https://doi.org/10.2307/2181466&gt;.</w:t>
      </w:r>
    </w:p>
  </w:footnote>
  <w:footnote w:id="20">
    <w:p w14:paraId="00000059" w14:textId="77777777" w:rsidR="00C54303" w:rsidRDefault="00CA35E1">
      <w:pPr>
        <w:spacing w:line="240" w:lineRule="auto"/>
        <w:rPr>
          <w:b/>
          <w:sz w:val="20"/>
          <w:szCs w:val="20"/>
        </w:rPr>
      </w:pPr>
      <w:r>
        <w:rPr>
          <w:vertAlign w:val="superscript"/>
        </w:rPr>
        <w:footnoteRef/>
      </w:r>
      <w:r>
        <w:rPr>
          <w:sz w:val="20"/>
          <w:szCs w:val="20"/>
        </w:rPr>
        <w:t xml:space="preserve"> </w:t>
      </w:r>
      <w:r>
        <w:rPr>
          <w:sz w:val="20"/>
          <w:szCs w:val="20"/>
        </w:rPr>
        <w:t>Girardot, p. 298.</w:t>
      </w:r>
    </w:p>
  </w:footnote>
  <w:footnote w:id="21">
    <w:p w14:paraId="00000073" w14:textId="77777777" w:rsidR="00C54303" w:rsidRDefault="00CA35E1">
      <w:pPr>
        <w:spacing w:line="240" w:lineRule="auto"/>
        <w:rPr>
          <w:b/>
          <w:sz w:val="20"/>
          <w:szCs w:val="20"/>
        </w:rPr>
      </w:pPr>
      <w:r>
        <w:rPr>
          <w:vertAlign w:val="superscript"/>
        </w:rPr>
        <w:footnoteRef/>
      </w:r>
      <w:r>
        <w:rPr>
          <w:sz w:val="20"/>
          <w:szCs w:val="20"/>
        </w:rPr>
        <w:t xml:space="preserve"> ‘Jung, the Tao, and the Classic of Change’, </w:t>
      </w:r>
      <w:r>
        <w:rPr>
          <w:i/>
          <w:sz w:val="20"/>
          <w:szCs w:val="20"/>
        </w:rPr>
        <w:t>Journal of Religion and Health</w:t>
      </w:r>
      <w:r>
        <w:rPr>
          <w:sz w:val="20"/>
          <w:szCs w:val="20"/>
        </w:rPr>
        <w:t>, 2022, 19 (p. 291).</w:t>
      </w:r>
      <w:r>
        <w:rPr>
          <w:b/>
          <w:sz w:val="20"/>
          <w:szCs w:val="20"/>
        </w:rPr>
        <w:t xml:space="preserve"> </w:t>
      </w:r>
      <w:r>
        <w:rPr>
          <w:rFonts w:ascii="Arial Unicode MS" w:eastAsia="Arial Unicode MS" w:hAnsi="Arial Unicode MS" w:cs="Arial Unicode MS"/>
          <w:sz w:val="20"/>
          <w:szCs w:val="20"/>
        </w:rPr>
        <w:t xml:space="preserve">I Ching Divination Manual 易經 or </w:t>
      </w:r>
      <w:r>
        <w:rPr>
          <w:rFonts w:ascii="Arial Unicode MS" w:eastAsia="Arial Unicode MS" w:hAnsi="Arial Unicode MS" w:cs="Arial Unicode MS"/>
          <w:sz w:val="20"/>
          <w:szCs w:val="20"/>
        </w:rPr>
        <w:t>Zhouyi 周易 was written by Court diviner Zhouyi 周易in Zhou Dynasty (1046-256 BCE). demonstrated the application of the Yin Yang theory with Bagua (八卦eight cardinal positions reflected on Earth) calculating the sympathetic changes in the natural order with the hexagram system generated.</w:t>
      </w:r>
    </w:p>
  </w:footnote>
  <w:footnote w:id="22">
    <w:p w14:paraId="0000005A" w14:textId="77777777" w:rsidR="00C54303" w:rsidRDefault="00CA35E1">
      <w:pPr>
        <w:spacing w:line="240" w:lineRule="auto"/>
        <w:rPr>
          <w:b/>
          <w:sz w:val="20"/>
          <w:szCs w:val="20"/>
        </w:rPr>
      </w:pPr>
      <w:r>
        <w:rPr>
          <w:vertAlign w:val="superscript"/>
        </w:rPr>
        <w:footnoteRef/>
      </w:r>
      <w:r>
        <w:rPr>
          <w:sz w:val="20"/>
          <w:szCs w:val="20"/>
        </w:rPr>
        <w:t xml:space="preserve"> </w:t>
      </w:r>
      <w:r>
        <w:rPr>
          <w:sz w:val="20"/>
          <w:szCs w:val="20"/>
        </w:rPr>
        <w:t>Girardot, p. 298.</w:t>
      </w:r>
    </w:p>
  </w:footnote>
  <w:footnote w:id="23">
    <w:p w14:paraId="00000075" w14:textId="3F3D7CCD" w:rsidR="00C54303" w:rsidRDefault="00CA35E1">
      <w:pPr>
        <w:spacing w:line="240" w:lineRule="auto"/>
        <w:rPr>
          <w:sz w:val="20"/>
          <w:szCs w:val="20"/>
        </w:rPr>
      </w:pPr>
      <w:r>
        <w:rPr>
          <w:vertAlign w:val="superscript"/>
        </w:rPr>
        <w:footnoteRef/>
      </w:r>
      <w:r>
        <w:rPr>
          <w:sz w:val="20"/>
          <w:szCs w:val="20"/>
        </w:rPr>
        <w:t xml:space="preserve"> </w:t>
      </w:r>
      <w:r w:rsidR="00894036" w:rsidRPr="00894036">
        <w:rPr>
          <w:rFonts w:hint="eastAsia"/>
          <w:sz w:val="20"/>
          <w:szCs w:val="20"/>
        </w:rPr>
        <w:t>辛世芬</w:t>
      </w:r>
      <w:r>
        <w:rPr>
          <w:rFonts w:ascii="Arial Unicode MS" w:eastAsia="Arial Unicode MS" w:hAnsi="Arial Unicode MS" w:cs="Arial Unicode MS"/>
          <w:sz w:val="20"/>
          <w:szCs w:val="20"/>
        </w:rPr>
        <w:t>‘《汉书·艺文志》对《七略》继承和创新-儒学高等研究院’ &lt;https://www.rxgdyjy.sdu.edu.cn/info/1033/3991.htm&gt;.</w:t>
      </w:r>
    </w:p>
  </w:footnote>
  <w:footnote w:id="24">
    <w:p w14:paraId="31CF6111" w14:textId="7BF50F47" w:rsidR="00EC78ED" w:rsidRPr="00EC78ED" w:rsidRDefault="00EC78ED">
      <w:pPr>
        <w:pStyle w:val="FootnoteText"/>
        <w:rPr>
          <w:lang w:val="en-US"/>
        </w:rPr>
      </w:pPr>
      <w:r>
        <w:rPr>
          <w:rStyle w:val="FootnoteReference"/>
        </w:rPr>
        <w:footnoteRef/>
      </w:r>
      <w:r>
        <w:t xml:space="preserve"> </w:t>
      </w:r>
      <w:r>
        <w:fldChar w:fldCharType="begin"/>
      </w:r>
      <w:r w:rsidR="00E418BF">
        <w:instrText xml:space="preserve"> ADDIN ZOTERO_ITEM CSL_CITATION {"citationID":"0QDV8dbx","properties":{"formattedCitation":"Nylan and Vankeerberghen, p. 377.","plainCitation":"Nylan and Vankeerberghen, p. 377.","noteIndex":24},"citationItems":[{"id":151,"uris":["http://zotero.org/users/9107787/items/5NL7LJMJ"],"itemData":{"id":151,"type":"article-journal","language":"en","page":"25","source":"Zotero","title":"Liu Xiang and Liu Xin","author":[{"family":"Nylan","given":"Michael"},{"family":"Vankeerberghen","given":"Griet"}],"issued":{"date-parts":[["2022"]]}},"locator":"377","label":"page"}],"schema":"https://github.com/citation-style-language/schema/raw/master/csl-citation.json"} </w:instrText>
      </w:r>
      <w:r>
        <w:fldChar w:fldCharType="separate"/>
      </w:r>
      <w:r w:rsidRPr="00EC78ED">
        <w:t>Nylan and Vankeerberghen, p. 377.</w:t>
      </w:r>
      <w:r>
        <w:fldChar w:fldCharType="end"/>
      </w:r>
    </w:p>
  </w:footnote>
  <w:footnote w:id="25">
    <w:p w14:paraId="00000079" w14:textId="77777777" w:rsidR="00C54303" w:rsidRDefault="00CA35E1">
      <w:pPr>
        <w:spacing w:line="240" w:lineRule="auto"/>
        <w:rPr>
          <w:b/>
          <w:sz w:val="20"/>
          <w:szCs w:val="20"/>
        </w:rPr>
      </w:pPr>
      <w:r>
        <w:rPr>
          <w:vertAlign w:val="superscript"/>
        </w:rPr>
        <w:footnoteRef/>
      </w:r>
      <w:r>
        <w:rPr>
          <w:sz w:val="20"/>
          <w:szCs w:val="20"/>
        </w:rPr>
        <w:t xml:space="preserve"> Yuan Chen, ‘Legitimation Discourse and the Theory of the Five Elements in Imperial China’, </w:t>
      </w:r>
      <w:r>
        <w:rPr>
          <w:i/>
          <w:sz w:val="20"/>
          <w:szCs w:val="20"/>
        </w:rPr>
        <w:t>Journal of Song-Yuan Studies</w:t>
      </w:r>
      <w:r>
        <w:rPr>
          <w:sz w:val="20"/>
          <w:szCs w:val="20"/>
        </w:rPr>
        <w:t>, 44.1 (2014), 325–64 (p. 325) &lt;https://doi.org/10.1353/sys.2014.0000&gt;.</w:t>
      </w:r>
    </w:p>
  </w:footnote>
  <w:footnote w:id="26">
    <w:p w14:paraId="0000007F" w14:textId="77777777" w:rsidR="00C54303" w:rsidRDefault="00CA35E1">
      <w:pPr>
        <w:spacing w:line="240" w:lineRule="auto"/>
        <w:rPr>
          <w:sz w:val="20"/>
          <w:szCs w:val="20"/>
        </w:rPr>
      </w:pPr>
      <w:r>
        <w:rPr>
          <w:vertAlign w:val="superscript"/>
        </w:rPr>
        <w:footnoteRef/>
      </w:r>
      <w:r>
        <w:rPr>
          <w:sz w:val="20"/>
          <w:szCs w:val="20"/>
        </w:rPr>
        <w:t xml:space="preserve"> Jens </w:t>
      </w:r>
      <w:r>
        <w:rPr>
          <w:sz w:val="20"/>
          <w:szCs w:val="20"/>
        </w:rPr>
        <w:t xml:space="preserve">Østergȧrd Petersen, ‘Which Books </w:t>
      </w:r>
      <w:r>
        <w:rPr>
          <w:i/>
          <w:sz w:val="20"/>
          <w:szCs w:val="20"/>
        </w:rPr>
        <w:t>Did</w:t>
      </w:r>
      <w:r>
        <w:rPr>
          <w:sz w:val="20"/>
          <w:szCs w:val="20"/>
        </w:rPr>
        <w:t xml:space="preserve"> the First Emperor of Ch’in Burn? On the Meaning of </w:t>
      </w:r>
      <w:r>
        <w:rPr>
          <w:i/>
          <w:sz w:val="20"/>
          <w:szCs w:val="20"/>
        </w:rPr>
        <w:t>Pai Chia</w:t>
      </w:r>
      <w:r>
        <w:rPr>
          <w:sz w:val="20"/>
          <w:szCs w:val="20"/>
        </w:rPr>
        <w:t xml:space="preserve"> in Early Chinese Sources’, </w:t>
      </w:r>
      <w:r>
        <w:rPr>
          <w:i/>
          <w:sz w:val="20"/>
          <w:szCs w:val="20"/>
        </w:rPr>
        <w:t>Monumenta Serica</w:t>
      </w:r>
      <w:r>
        <w:rPr>
          <w:sz w:val="20"/>
          <w:szCs w:val="20"/>
        </w:rPr>
        <w:t>, 43.1 (1995), 1–52 (p. 1) &lt;https://doi.org/10.1080/02549948.1995.11731268&gt;.</w:t>
      </w:r>
    </w:p>
  </w:footnote>
  <w:footnote w:id="27">
    <w:p w14:paraId="00000077" w14:textId="77777777" w:rsidR="00C54303" w:rsidRDefault="00CA35E1">
      <w:pPr>
        <w:spacing w:line="240" w:lineRule="auto"/>
        <w:rPr>
          <w:b/>
          <w:sz w:val="20"/>
          <w:szCs w:val="20"/>
        </w:rPr>
      </w:pPr>
      <w:r>
        <w:rPr>
          <w:vertAlign w:val="superscript"/>
        </w:rPr>
        <w:footnoteRef/>
      </w:r>
      <w:r>
        <w:rPr>
          <w:sz w:val="20"/>
          <w:szCs w:val="20"/>
        </w:rPr>
        <w:t xml:space="preserve"> Petersen, p. 7.</w:t>
      </w:r>
    </w:p>
  </w:footnote>
  <w:footnote w:id="28">
    <w:p w14:paraId="00000078" w14:textId="77777777" w:rsidR="00C54303" w:rsidRDefault="00CA35E1">
      <w:pPr>
        <w:spacing w:line="240" w:lineRule="auto"/>
        <w:rPr>
          <w:b/>
          <w:sz w:val="20"/>
          <w:szCs w:val="20"/>
        </w:rPr>
      </w:pPr>
      <w:r>
        <w:rPr>
          <w:vertAlign w:val="superscript"/>
        </w:rPr>
        <w:footnoteRef/>
      </w:r>
      <w:r>
        <w:rPr>
          <w:sz w:val="20"/>
          <w:szCs w:val="20"/>
        </w:rPr>
        <w:t xml:space="preserve"> Chen, p. 329.</w:t>
      </w:r>
    </w:p>
  </w:footnote>
  <w:footnote w:id="29">
    <w:p w14:paraId="00000076" w14:textId="77777777" w:rsidR="00C54303" w:rsidRDefault="00CA35E1">
      <w:pPr>
        <w:spacing w:line="240" w:lineRule="auto"/>
        <w:rPr>
          <w:sz w:val="20"/>
          <w:szCs w:val="20"/>
        </w:rPr>
      </w:pPr>
      <w:r>
        <w:rPr>
          <w:vertAlign w:val="superscript"/>
        </w:rPr>
        <w:footnoteRef/>
      </w:r>
      <w:r>
        <w:rPr>
          <w:sz w:val="20"/>
          <w:szCs w:val="20"/>
        </w:rPr>
        <w:t xml:space="preserve"> Michael </w:t>
      </w:r>
      <w:r>
        <w:rPr>
          <w:sz w:val="20"/>
          <w:szCs w:val="20"/>
        </w:rPr>
        <w:t>Nylan and Griet Vankeerberghen, ‘Liu Xiang and Liu Xin’, 2022, 25 (p. 369).</w:t>
      </w:r>
    </w:p>
  </w:footnote>
  <w:footnote w:id="30">
    <w:p w14:paraId="0000007B" w14:textId="77777777" w:rsidR="00C54303" w:rsidRDefault="00CA35E1">
      <w:pPr>
        <w:spacing w:line="240" w:lineRule="auto"/>
        <w:rPr>
          <w:b/>
          <w:sz w:val="20"/>
          <w:szCs w:val="20"/>
        </w:rPr>
      </w:pPr>
      <w:r>
        <w:rPr>
          <w:vertAlign w:val="superscript"/>
        </w:rPr>
        <w:footnoteRef/>
      </w:r>
      <w:r>
        <w:rPr>
          <w:sz w:val="20"/>
          <w:szCs w:val="20"/>
        </w:rPr>
        <w:t xml:space="preserve"> </w:t>
      </w:r>
      <w:r>
        <w:rPr>
          <w:sz w:val="20"/>
          <w:szCs w:val="20"/>
        </w:rPr>
        <w:t>Nylan and Vankeerberghen, pp. 374–76.</w:t>
      </w:r>
    </w:p>
  </w:footnote>
  <w:footnote w:id="31">
    <w:p w14:paraId="0000005B" w14:textId="7B7DA977" w:rsidR="00C54303" w:rsidRDefault="00CA35E1">
      <w:pPr>
        <w:spacing w:line="240" w:lineRule="auto"/>
        <w:rPr>
          <w:b/>
          <w:sz w:val="20"/>
          <w:szCs w:val="20"/>
        </w:rPr>
      </w:pPr>
      <w:r>
        <w:rPr>
          <w:vertAlign w:val="superscript"/>
        </w:rPr>
        <w:footnoteRef/>
      </w:r>
      <w:r w:rsidR="00E86D37" w:rsidRPr="00E86D37">
        <w:rPr>
          <w:rFonts w:hint="eastAsia"/>
          <w:sz w:val="20"/>
          <w:szCs w:val="20"/>
        </w:rPr>
        <w:t>辛世芬</w:t>
      </w:r>
      <w:r>
        <w:rPr>
          <w:sz w:val="20"/>
          <w:szCs w:val="20"/>
        </w:rPr>
        <w:t xml:space="preserve"> </w:t>
      </w:r>
      <w:r>
        <w:rPr>
          <w:rFonts w:ascii="Arial Unicode MS" w:eastAsia="Arial Unicode MS" w:hAnsi="Arial Unicode MS" w:cs="Arial Unicode MS"/>
          <w:sz w:val="20"/>
          <w:szCs w:val="20"/>
        </w:rPr>
        <w:t>‘《汉书·艺文志》对《七略》继承和创新-儒学高等研究院’ &lt;https://www.rxgdyjy.sdu.edu.cn/info/1033/3991.htm&gt;.</w:t>
      </w:r>
    </w:p>
  </w:footnote>
  <w:footnote w:id="32">
    <w:p w14:paraId="0000007D" w14:textId="35E89B5F" w:rsidR="00C54303" w:rsidRDefault="00CA35E1">
      <w:pPr>
        <w:spacing w:line="240" w:lineRule="auto"/>
        <w:rPr>
          <w:b/>
          <w:sz w:val="20"/>
          <w:szCs w:val="20"/>
        </w:rPr>
      </w:pPr>
      <w:r>
        <w:rPr>
          <w:vertAlign w:val="superscript"/>
        </w:rPr>
        <w:footnoteRef/>
      </w:r>
      <w:r>
        <w:rPr>
          <w:sz w:val="20"/>
          <w:szCs w:val="20"/>
        </w:rPr>
        <w:t xml:space="preserve"> Chen, p. 327</w:t>
      </w:r>
      <w:r w:rsidR="006A3D5B">
        <w:rPr>
          <w:sz w:val="20"/>
          <w:szCs w:val="20"/>
        </w:rPr>
        <w:t>-28</w:t>
      </w:r>
      <w:r>
        <w:rPr>
          <w:sz w:val="20"/>
          <w:szCs w:val="20"/>
        </w:rPr>
        <w:t>.</w:t>
      </w:r>
    </w:p>
  </w:footnote>
  <w:footnote w:id="33">
    <w:p w14:paraId="00000072"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Shigeru Nakayama, ‘Characteristics of Chinese Astrology’, </w:t>
      </w:r>
      <w:r w:rsidRPr="00103BD9">
        <w:rPr>
          <w:i/>
          <w:sz w:val="20"/>
          <w:szCs w:val="20"/>
        </w:rPr>
        <w:t>Isis</w:t>
      </w:r>
      <w:r w:rsidRPr="00103BD9">
        <w:rPr>
          <w:sz w:val="20"/>
          <w:szCs w:val="20"/>
        </w:rPr>
        <w:t>, 57.4 (1966), 442–54 (p. 450) &lt;https://doi.org/10.1086/350161&gt;.</w:t>
      </w:r>
    </w:p>
  </w:footnote>
  <w:footnote w:id="34">
    <w:p w14:paraId="0000005C"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pp. 127–28.</w:t>
      </w:r>
    </w:p>
  </w:footnote>
  <w:footnote w:id="35">
    <w:p w14:paraId="0000005D"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pp. 140–41.</w:t>
      </w:r>
    </w:p>
  </w:footnote>
  <w:footnote w:id="36">
    <w:p w14:paraId="0000005E"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 149.</w:t>
      </w:r>
    </w:p>
  </w:footnote>
  <w:footnote w:id="37">
    <w:p w14:paraId="0000005F"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 169.</w:t>
      </w:r>
    </w:p>
  </w:footnote>
  <w:footnote w:id="38">
    <w:p w14:paraId="00000060"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 137.</w:t>
      </w:r>
    </w:p>
  </w:footnote>
  <w:footnote w:id="39">
    <w:p w14:paraId="00000061"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pp. 139–40.</w:t>
      </w:r>
    </w:p>
  </w:footnote>
  <w:footnote w:id="40">
    <w:p w14:paraId="00000062"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 141.</w:t>
      </w:r>
    </w:p>
  </w:footnote>
  <w:footnote w:id="41">
    <w:p w14:paraId="00000063" w14:textId="77777777" w:rsidR="00C54303"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 162.</w:t>
      </w:r>
    </w:p>
  </w:footnote>
  <w:footnote w:id="42">
    <w:p w14:paraId="00000074"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 139.</w:t>
      </w:r>
    </w:p>
  </w:footnote>
  <w:footnote w:id="43">
    <w:p w14:paraId="00000064"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pp. 156–57.</w:t>
      </w:r>
    </w:p>
  </w:footnote>
  <w:footnote w:id="44">
    <w:p w14:paraId="00000065"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 145.</w:t>
      </w:r>
    </w:p>
  </w:footnote>
  <w:footnote w:id="45">
    <w:p w14:paraId="00000066"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w:t>
      </w:r>
      <w:r w:rsidRPr="00103BD9">
        <w:rPr>
          <w:rFonts w:eastAsia="Alegreya Sans SC"/>
          <w:sz w:val="20"/>
          <w:szCs w:val="20"/>
        </w:rPr>
        <w:t>i, The Ancient and Classical World</w:t>
      </w:r>
      <w:r w:rsidRPr="00103BD9">
        <w:rPr>
          <w:sz w:val="20"/>
          <w:szCs w:val="20"/>
        </w:rPr>
        <w:t>, pp. 170–71.</w:t>
      </w:r>
    </w:p>
  </w:footnote>
  <w:footnote w:id="46">
    <w:p w14:paraId="00000067"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Voss, p. 25.</w:t>
      </w:r>
    </w:p>
  </w:footnote>
  <w:footnote w:id="47">
    <w:p w14:paraId="00000068"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Denis J.-J. Robichaud, ‘Ficino on Force, Magic, and Prayers: Neoplatonic and Hermetic Influences in Ficino’s </w:t>
      </w:r>
      <w:r w:rsidRPr="00103BD9">
        <w:rPr>
          <w:i/>
          <w:sz w:val="20"/>
          <w:szCs w:val="20"/>
        </w:rPr>
        <w:t>Three Books on Life</w:t>
      </w:r>
      <w:r w:rsidRPr="00103BD9">
        <w:rPr>
          <w:sz w:val="20"/>
          <w:szCs w:val="20"/>
        </w:rPr>
        <w:t xml:space="preserve">’, </w:t>
      </w:r>
      <w:r w:rsidRPr="00103BD9">
        <w:rPr>
          <w:i/>
          <w:sz w:val="20"/>
          <w:szCs w:val="20"/>
        </w:rPr>
        <w:t>Renaissance Quarterly</w:t>
      </w:r>
      <w:r w:rsidRPr="00103BD9">
        <w:rPr>
          <w:sz w:val="20"/>
          <w:szCs w:val="20"/>
        </w:rPr>
        <w:t>, 70.1 (2017), 44–87 (p. 44) &lt;https://doi.org/10.1086/691830&gt;.</w:t>
      </w:r>
    </w:p>
  </w:footnote>
  <w:footnote w:id="48">
    <w:p w14:paraId="00000069" w14:textId="77777777" w:rsidR="00C54303" w:rsidRPr="00103BD9" w:rsidRDefault="00CA35E1">
      <w:pPr>
        <w:spacing w:line="240" w:lineRule="auto"/>
        <w:rPr>
          <w:sz w:val="20"/>
          <w:szCs w:val="20"/>
        </w:rPr>
      </w:pPr>
      <w:r w:rsidRPr="00103BD9">
        <w:rPr>
          <w:sz w:val="20"/>
          <w:szCs w:val="20"/>
          <w:vertAlign w:val="superscript"/>
        </w:rPr>
        <w:footnoteRef/>
      </w:r>
      <w:r w:rsidRPr="00103BD9">
        <w:rPr>
          <w:sz w:val="20"/>
          <w:szCs w:val="20"/>
        </w:rPr>
        <w:t xml:space="preserve"> Voss, p. 25.</w:t>
      </w:r>
    </w:p>
  </w:footnote>
  <w:footnote w:id="49">
    <w:p w14:paraId="0000006A"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Robichaud, pp. 49–50.</w:t>
      </w:r>
    </w:p>
  </w:footnote>
  <w:footnote w:id="50">
    <w:p w14:paraId="00000084" w14:textId="77777777" w:rsidR="00C54303" w:rsidRPr="00103BD9"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and others, pp. 255–57.</w:t>
      </w:r>
    </w:p>
  </w:footnote>
  <w:footnote w:id="51">
    <w:p w14:paraId="00000086" w14:textId="77777777" w:rsidR="00C54303" w:rsidRDefault="00CA35E1">
      <w:pPr>
        <w:spacing w:line="240" w:lineRule="auto"/>
        <w:rPr>
          <w:b/>
          <w:sz w:val="20"/>
          <w:szCs w:val="20"/>
        </w:rPr>
      </w:pPr>
      <w:r w:rsidRPr="00103BD9">
        <w:rPr>
          <w:sz w:val="20"/>
          <w:szCs w:val="20"/>
          <w:vertAlign w:val="superscript"/>
        </w:rPr>
        <w:footnoteRef/>
      </w:r>
      <w:r w:rsidRPr="00103BD9">
        <w:rPr>
          <w:sz w:val="20"/>
          <w:szCs w:val="20"/>
        </w:rPr>
        <w:t xml:space="preserve"> Campion and others, p. 247.</w:t>
      </w:r>
    </w:p>
  </w:footnote>
  <w:footnote w:id="52">
    <w:p w14:paraId="00000085" w14:textId="77777777" w:rsidR="00C54303" w:rsidRDefault="00CA35E1">
      <w:pPr>
        <w:spacing w:line="240" w:lineRule="auto"/>
        <w:rPr>
          <w:sz w:val="20"/>
          <w:szCs w:val="20"/>
        </w:rPr>
      </w:pPr>
      <w:r>
        <w:rPr>
          <w:vertAlign w:val="superscript"/>
        </w:rPr>
        <w:footnoteRef/>
      </w:r>
      <w:r>
        <w:rPr>
          <w:sz w:val="20"/>
          <w:szCs w:val="20"/>
        </w:rPr>
        <w:t xml:space="preserve"> Campion and others, pp. 250–52.</w:t>
      </w:r>
    </w:p>
  </w:footnote>
  <w:footnote w:id="53">
    <w:p w14:paraId="00000087" w14:textId="77777777" w:rsidR="00C54303" w:rsidRDefault="00CA35E1">
      <w:pPr>
        <w:spacing w:line="240" w:lineRule="auto"/>
        <w:rPr>
          <w:sz w:val="20"/>
          <w:szCs w:val="20"/>
        </w:rPr>
      </w:pPr>
      <w:r>
        <w:rPr>
          <w:vertAlign w:val="superscript"/>
        </w:rPr>
        <w:footnoteRef/>
      </w:r>
      <w:r>
        <w:rPr>
          <w:sz w:val="20"/>
          <w:szCs w:val="20"/>
        </w:rPr>
        <w:t xml:space="preserve"> Campion and others, pp. 258–61.</w:t>
      </w:r>
    </w:p>
  </w:footnote>
  <w:footnote w:id="54">
    <w:p w14:paraId="00000089" w14:textId="77777777" w:rsidR="00C54303" w:rsidRDefault="00CA35E1">
      <w:pPr>
        <w:spacing w:line="240" w:lineRule="auto"/>
        <w:rPr>
          <w:b/>
          <w:sz w:val="20"/>
          <w:szCs w:val="20"/>
        </w:rPr>
      </w:pPr>
      <w:r>
        <w:rPr>
          <w:vertAlign w:val="superscript"/>
        </w:rPr>
        <w:footnoteRef/>
      </w:r>
      <w:r>
        <w:rPr>
          <w:sz w:val="20"/>
          <w:szCs w:val="20"/>
        </w:rPr>
        <w:t xml:space="preserve"> Campion and others, p. 256.</w:t>
      </w:r>
    </w:p>
  </w:footnote>
  <w:footnote w:id="55">
    <w:p w14:paraId="0000006B" w14:textId="77777777" w:rsidR="00C54303" w:rsidRPr="00CA3723" w:rsidRDefault="00CA35E1">
      <w:pPr>
        <w:spacing w:line="240" w:lineRule="auto"/>
        <w:rPr>
          <w:b/>
          <w:sz w:val="20"/>
          <w:szCs w:val="20"/>
        </w:rPr>
      </w:pPr>
      <w:r>
        <w:rPr>
          <w:vertAlign w:val="superscript"/>
        </w:rPr>
        <w:footnoteRef/>
      </w:r>
      <w:r>
        <w:rPr>
          <w:sz w:val="20"/>
          <w:szCs w:val="20"/>
        </w:rPr>
        <w:t xml:space="preserve"> </w:t>
      </w:r>
      <w:r w:rsidRPr="00CA3723">
        <w:rPr>
          <w:sz w:val="20"/>
          <w:szCs w:val="20"/>
        </w:rPr>
        <w:t xml:space="preserve">Campion, </w:t>
      </w:r>
      <w:r w:rsidRPr="00CA3723">
        <w:rPr>
          <w:rFonts w:eastAsia="Alegreya Sans SC"/>
          <w:sz w:val="20"/>
          <w:szCs w:val="20"/>
        </w:rPr>
        <w:t>i, The Ancient and Classical World</w:t>
      </w:r>
      <w:r w:rsidRPr="00CA3723">
        <w:rPr>
          <w:sz w:val="20"/>
          <w:szCs w:val="20"/>
        </w:rPr>
        <w:t>, p. 140.</w:t>
      </w:r>
    </w:p>
  </w:footnote>
  <w:footnote w:id="56">
    <w:p w14:paraId="0000006C" w14:textId="77777777" w:rsidR="00C54303" w:rsidRDefault="00CA35E1">
      <w:pPr>
        <w:spacing w:line="240" w:lineRule="auto"/>
        <w:rPr>
          <w:b/>
          <w:sz w:val="20"/>
          <w:szCs w:val="20"/>
        </w:rPr>
      </w:pPr>
      <w:r w:rsidRPr="00CA3723">
        <w:rPr>
          <w:sz w:val="20"/>
          <w:szCs w:val="20"/>
          <w:vertAlign w:val="superscript"/>
        </w:rPr>
        <w:footnoteRef/>
      </w:r>
      <w:r w:rsidRPr="00CA3723">
        <w:rPr>
          <w:sz w:val="20"/>
          <w:szCs w:val="20"/>
        </w:rPr>
        <w:t xml:space="preserve"> Nakayama, p. 448.</w:t>
      </w:r>
    </w:p>
  </w:footnote>
  <w:footnote w:id="57">
    <w:p w14:paraId="0000006D" w14:textId="77777777" w:rsidR="00C54303" w:rsidRDefault="00CA35E1">
      <w:pPr>
        <w:spacing w:line="240" w:lineRule="auto"/>
        <w:rPr>
          <w:b/>
          <w:sz w:val="20"/>
          <w:szCs w:val="20"/>
        </w:rPr>
      </w:pPr>
      <w:r>
        <w:rPr>
          <w:vertAlign w:val="superscript"/>
        </w:rPr>
        <w:footnoteRef/>
      </w:r>
      <w:r>
        <w:rPr>
          <w:sz w:val="20"/>
          <w:szCs w:val="20"/>
        </w:rPr>
        <w:t xml:space="preserve"> Authors: J. Kenneth Moore, ‘Music and Art of China | Essay | The Metropolitan Museum of Art | </w:t>
      </w:r>
      <w:r>
        <w:rPr>
          <w:sz w:val="20"/>
          <w:szCs w:val="20"/>
        </w:rPr>
        <w:t xml:space="preserve">Heilbrunn Timeline of Art History’, </w:t>
      </w:r>
      <w:r>
        <w:rPr>
          <w:i/>
          <w:sz w:val="20"/>
          <w:szCs w:val="20"/>
        </w:rPr>
        <w:t>The Met’s Heilbrunn Timeline of Art History</w:t>
      </w:r>
      <w:r>
        <w:rPr>
          <w:sz w:val="20"/>
          <w:szCs w:val="20"/>
        </w:rPr>
        <w:t xml:space="preserve"> &lt;https://www.metmuseum.org/toah/hd/much/hd_much.htm&gt; [accessed 12 April 2022].</w:t>
      </w:r>
    </w:p>
  </w:footnote>
  <w:footnote w:id="58">
    <w:p w14:paraId="0000006E" w14:textId="77777777" w:rsidR="00C54303" w:rsidRDefault="00CA35E1">
      <w:pPr>
        <w:spacing w:line="240" w:lineRule="auto"/>
        <w:rPr>
          <w:b/>
          <w:sz w:val="20"/>
          <w:szCs w:val="20"/>
        </w:rPr>
      </w:pPr>
      <w:r>
        <w:rPr>
          <w:vertAlign w:val="superscript"/>
        </w:rPr>
        <w:footnoteRef/>
      </w:r>
      <w:r>
        <w:rPr>
          <w:sz w:val="20"/>
          <w:szCs w:val="20"/>
        </w:rPr>
        <w:t xml:space="preserve"> Li, ‘The Ideal of Harmony in Ancient Chinese and Greek Philosophy’, p. 88.</w:t>
      </w:r>
    </w:p>
  </w:footnote>
  <w:footnote w:id="59">
    <w:p w14:paraId="0000007E" w14:textId="77777777" w:rsidR="00C54303" w:rsidRDefault="00CA35E1">
      <w:pPr>
        <w:spacing w:line="240" w:lineRule="auto"/>
        <w:rPr>
          <w:sz w:val="20"/>
          <w:szCs w:val="20"/>
        </w:rPr>
      </w:pPr>
      <w:r>
        <w:rPr>
          <w:vertAlign w:val="superscript"/>
        </w:rPr>
        <w:footnoteRef/>
      </w:r>
      <w:r>
        <w:rPr>
          <w:sz w:val="20"/>
          <w:szCs w:val="20"/>
        </w:rPr>
        <w:t xml:space="preserve"> </w:t>
      </w:r>
      <w:r>
        <w:rPr>
          <w:sz w:val="20"/>
          <w:szCs w:val="20"/>
        </w:rPr>
        <w:t>Girardot, p. 295.</w:t>
      </w:r>
    </w:p>
  </w:footnote>
  <w:footnote w:id="60">
    <w:p w14:paraId="0000008B" w14:textId="77777777" w:rsidR="00C54303" w:rsidRDefault="00CA35E1">
      <w:pPr>
        <w:spacing w:line="240" w:lineRule="auto"/>
        <w:rPr>
          <w:sz w:val="20"/>
          <w:szCs w:val="20"/>
        </w:rPr>
      </w:pPr>
      <w:r>
        <w:rPr>
          <w:vertAlign w:val="superscript"/>
        </w:rPr>
        <w:footnoteRef/>
      </w:r>
      <w:r>
        <w:rPr>
          <w:sz w:val="20"/>
          <w:szCs w:val="20"/>
        </w:rPr>
        <w:t xml:space="preserve"> Campion and others, p. 257.</w:t>
      </w:r>
    </w:p>
  </w:footnote>
  <w:footnote w:id="61">
    <w:p w14:paraId="0000006F" w14:textId="77777777" w:rsidR="00C54303" w:rsidRDefault="00CA35E1">
      <w:pPr>
        <w:spacing w:line="240" w:lineRule="auto"/>
        <w:rPr>
          <w:sz w:val="20"/>
          <w:szCs w:val="20"/>
        </w:rPr>
      </w:pPr>
      <w:r>
        <w:rPr>
          <w:vertAlign w:val="superscript"/>
        </w:rPr>
        <w:footnoteRef/>
      </w:r>
      <w:r>
        <w:rPr>
          <w:sz w:val="20"/>
          <w:szCs w:val="20"/>
        </w:rPr>
        <w:t xml:space="preserve"> Robichaud, p. 66.</w:t>
      </w:r>
    </w:p>
  </w:footnote>
  <w:footnote w:id="62">
    <w:p w14:paraId="00000070" w14:textId="77777777" w:rsidR="00C54303" w:rsidRDefault="00CA35E1">
      <w:pPr>
        <w:spacing w:line="240" w:lineRule="auto"/>
        <w:rPr>
          <w:sz w:val="20"/>
          <w:szCs w:val="20"/>
        </w:rPr>
      </w:pPr>
      <w:r>
        <w:rPr>
          <w:vertAlign w:val="superscript"/>
        </w:rPr>
        <w:footnoteRef/>
      </w:r>
      <w:r>
        <w:rPr>
          <w:sz w:val="20"/>
          <w:szCs w:val="20"/>
        </w:rPr>
        <w:t xml:space="preserve"> Voss, p. 27.</w:t>
      </w:r>
    </w:p>
  </w:footnote>
  <w:footnote w:id="63">
    <w:p w14:paraId="00000071" w14:textId="77777777" w:rsidR="00C54303" w:rsidRDefault="00CA35E1">
      <w:pPr>
        <w:spacing w:line="240" w:lineRule="auto"/>
        <w:rPr>
          <w:sz w:val="20"/>
          <w:szCs w:val="20"/>
        </w:rPr>
      </w:pPr>
      <w:r>
        <w:rPr>
          <w:vertAlign w:val="superscript"/>
        </w:rPr>
        <w:footnoteRef/>
      </w:r>
      <w:r>
        <w:rPr>
          <w:sz w:val="20"/>
          <w:szCs w:val="20"/>
        </w:rPr>
        <w:t xml:space="preserve"> Voss, p. 25.</w:t>
      </w:r>
    </w:p>
  </w:footnote>
  <w:footnote w:id="64">
    <w:p w14:paraId="0000008A" w14:textId="77777777" w:rsidR="00C54303" w:rsidRDefault="00CA35E1">
      <w:pPr>
        <w:spacing w:line="240" w:lineRule="auto"/>
        <w:rPr>
          <w:b/>
          <w:sz w:val="20"/>
          <w:szCs w:val="20"/>
        </w:rPr>
      </w:pPr>
      <w:r>
        <w:rPr>
          <w:vertAlign w:val="superscript"/>
        </w:rPr>
        <w:footnoteRef/>
      </w:r>
      <w:r>
        <w:rPr>
          <w:sz w:val="20"/>
          <w:szCs w:val="20"/>
        </w:rPr>
        <w:t xml:space="preserve"> Campion and others, p. 256.</w:t>
      </w:r>
    </w:p>
  </w:footnote>
  <w:footnote w:id="65">
    <w:p w14:paraId="00000088" w14:textId="77777777" w:rsidR="00C54303" w:rsidRDefault="00CA35E1">
      <w:pPr>
        <w:spacing w:line="240" w:lineRule="auto"/>
        <w:rPr>
          <w:b/>
          <w:sz w:val="20"/>
          <w:szCs w:val="20"/>
        </w:rPr>
      </w:pPr>
      <w:r>
        <w:rPr>
          <w:vertAlign w:val="superscript"/>
        </w:rPr>
        <w:footnoteRef/>
      </w:r>
      <w:r>
        <w:rPr>
          <w:sz w:val="20"/>
          <w:szCs w:val="20"/>
        </w:rPr>
        <w:t xml:space="preserve"> Campion and others, p. 255.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303"/>
    <w:rsid w:val="00012FC8"/>
    <w:rsid w:val="00016A30"/>
    <w:rsid w:val="000332CB"/>
    <w:rsid w:val="00034AC0"/>
    <w:rsid w:val="000619CF"/>
    <w:rsid w:val="00080FE4"/>
    <w:rsid w:val="00083DF0"/>
    <w:rsid w:val="00084E40"/>
    <w:rsid w:val="00094E3E"/>
    <w:rsid w:val="00095131"/>
    <w:rsid w:val="00096D5E"/>
    <w:rsid w:val="000A0A32"/>
    <w:rsid w:val="000B7AE7"/>
    <w:rsid w:val="000B7BD6"/>
    <w:rsid w:val="000C04A1"/>
    <w:rsid w:val="000E72EB"/>
    <w:rsid w:val="0010048F"/>
    <w:rsid w:val="00103BD9"/>
    <w:rsid w:val="00146583"/>
    <w:rsid w:val="00172336"/>
    <w:rsid w:val="00173B27"/>
    <w:rsid w:val="001744C4"/>
    <w:rsid w:val="00176D6C"/>
    <w:rsid w:val="0019739B"/>
    <w:rsid w:val="001A0A48"/>
    <w:rsid w:val="001C34EA"/>
    <w:rsid w:val="001C4B17"/>
    <w:rsid w:val="001C58DA"/>
    <w:rsid w:val="001E3191"/>
    <w:rsid w:val="001F292E"/>
    <w:rsid w:val="0020454F"/>
    <w:rsid w:val="00226079"/>
    <w:rsid w:val="0022627B"/>
    <w:rsid w:val="00226977"/>
    <w:rsid w:val="00234862"/>
    <w:rsid w:val="0027022F"/>
    <w:rsid w:val="00293205"/>
    <w:rsid w:val="002932BE"/>
    <w:rsid w:val="00296552"/>
    <w:rsid w:val="002A1E01"/>
    <w:rsid w:val="00312BBC"/>
    <w:rsid w:val="00321C10"/>
    <w:rsid w:val="00347175"/>
    <w:rsid w:val="00351AC3"/>
    <w:rsid w:val="00354239"/>
    <w:rsid w:val="003724E7"/>
    <w:rsid w:val="00385E3D"/>
    <w:rsid w:val="003862EB"/>
    <w:rsid w:val="00396C0E"/>
    <w:rsid w:val="003B1730"/>
    <w:rsid w:val="003B2518"/>
    <w:rsid w:val="003B42D9"/>
    <w:rsid w:val="003C011E"/>
    <w:rsid w:val="003D1636"/>
    <w:rsid w:val="003D3CCB"/>
    <w:rsid w:val="003E7AAE"/>
    <w:rsid w:val="003F322B"/>
    <w:rsid w:val="00431336"/>
    <w:rsid w:val="00442524"/>
    <w:rsid w:val="00477F5A"/>
    <w:rsid w:val="004A7934"/>
    <w:rsid w:val="004C55BF"/>
    <w:rsid w:val="004F22EE"/>
    <w:rsid w:val="004F4245"/>
    <w:rsid w:val="00502071"/>
    <w:rsid w:val="00506D44"/>
    <w:rsid w:val="00511D7C"/>
    <w:rsid w:val="0051738C"/>
    <w:rsid w:val="0054743F"/>
    <w:rsid w:val="00592463"/>
    <w:rsid w:val="005B780B"/>
    <w:rsid w:val="005C29A6"/>
    <w:rsid w:val="005E2D17"/>
    <w:rsid w:val="005F26A4"/>
    <w:rsid w:val="005F2F6D"/>
    <w:rsid w:val="00603488"/>
    <w:rsid w:val="00636405"/>
    <w:rsid w:val="00642569"/>
    <w:rsid w:val="00642737"/>
    <w:rsid w:val="0065280D"/>
    <w:rsid w:val="0065530C"/>
    <w:rsid w:val="00673500"/>
    <w:rsid w:val="006830E5"/>
    <w:rsid w:val="006855F7"/>
    <w:rsid w:val="006A2193"/>
    <w:rsid w:val="006A265E"/>
    <w:rsid w:val="006A3D5B"/>
    <w:rsid w:val="006E4065"/>
    <w:rsid w:val="00704A6A"/>
    <w:rsid w:val="007264DF"/>
    <w:rsid w:val="00737400"/>
    <w:rsid w:val="00782DFF"/>
    <w:rsid w:val="00787D98"/>
    <w:rsid w:val="00794FA1"/>
    <w:rsid w:val="007962EA"/>
    <w:rsid w:val="007B0138"/>
    <w:rsid w:val="007B0DCA"/>
    <w:rsid w:val="007D679C"/>
    <w:rsid w:val="00810AE2"/>
    <w:rsid w:val="00813787"/>
    <w:rsid w:val="00816003"/>
    <w:rsid w:val="008410A8"/>
    <w:rsid w:val="00846690"/>
    <w:rsid w:val="008674CE"/>
    <w:rsid w:val="00870EAF"/>
    <w:rsid w:val="00877C80"/>
    <w:rsid w:val="0089078F"/>
    <w:rsid w:val="00894036"/>
    <w:rsid w:val="00896086"/>
    <w:rsid w:val="008B10F8"/>
    <w:rsid w:val="008C2E5B"/>
    <w:rsid w:val="008C4ED1"/>
    <w:rsid w:val="008D7C82"/>
    <w:rsid w:val="008E670E"/>
    <w:rsid w:val="00906F19"/>
    <w:rsid w:val="00920D4E"/>
    <w:rsid w:val="00927E93"/>
    <w:rsid w:val="009446B3"/>
    <w:rsid w:val="00967117"/>
    <w:rsid w:val="009C72FC"/>
    <w:rsid w:val="009D409A"/>
    <w:rsid w:val="009E3972"/>
    <w:rsid w:val="00A3278C"/>
    <w:rsid w:val="00A367D5"/>
    <w:rsid w:val="00A433EA"/>
    <w:rsid w:val="00A46C05"/>
    <w:rsid w:val="00A56D99"/>
    <w:rsid w:val="00A62BAC"/>
    <w:rsid w:val="00A62FC3"/>
    <w:rsid w:val="00A70598"/>
    <w:rsid w:val="00A838A0"/>
    <w:rsid w:val="00AA21D4"/>
    <w:rsid w:val="00AA3AC5"/>
    <w:rsid w:val="00AB6058"/>
    <w:rsid w:val="00AC58B5"/>
    <w:rsid w:val="00AE1B52"/>
    <w:rsid w:val="00B37516"/>
    <w:rsid w:val="00B52091"/>
    <w:rsid w:val="00B56EC8"/>
    <w:rsid w:val="00B664BB"/>
    <w:rsid w:val="00B67F5C"/>
    <w:rsid w:val="00B7025F"/>
    <w:rsid w:val="00B7035F"/>
    <w:rsid w:val="00B826D8"/>
    <w:rsid w:val="00B973AE"/>
    <w:rsid w:val="00BA627A"/>
    <w:rsid w:val="00BD2CE9"/>
    <w:rsid w:val="00BD5634"/>
    <w:rsid w:val="00BE2D36"/>
    <w:rsid w:val="00BF16B5"/>
    <w:rsid w:val="00BF466C"/>
    <w:rsid w:val="00BF6344"/>
    <w:rsid w:val="00C137F9"/>
    <w:rsid w:val="00C23AFF"/>
    <w:rsid w:val="00C35454"/>
    <w:rsid w:val="00C36241"/>
    <w:rsid w:val="00C52EDA"/>
    <w:rsid w:val="00C54303"/>
    <w:rsid w:val="00C77FD2"/>
    <w:rsid w:val="00C8219E"/>
    <w:rsid w:val="00C84130"/>
    <w:rsid w:val="00CA35E1"/>
    <w:rsid w:val="00CA3723"/>
    <w:rsid w:val="00CC330A"/>
    <w:rsid w:val="00CC6865"/>
    <w:rsid w:val="00D11407"/>
    <w:rsid w:val="00D200B7"/>
    <w:rsid w:val="00D25F4D"/>
    <w:rsid w:val="00D26EB8"/>
    <w:rsid w:val="00D4415C"/>
    <w:rsid w:val="00D53B9C"/>
    <w:rsid w:val="00D659AD"/>
    <w:rsid w:val="00D65B7F"/>
    <w:rsid w:val="00D8752A"/>
    <w:rsid w:val="00D878EE"/>
    <w:rsid w:val="00D948D0"/>
    <w:rsid w:val="00DA6F3E"/>
    <w:rsid w:val="00DB3147"/>
    <w:rsid w:val="00DB3C2D"/>
    <w:rsid w:val="00DB4C26"/>
    <w:rsid w:val="00DB6445"/>
    <w:rsid w:val="00DE0D2D"/>
    <w:rsid w:val="00DF364B"/>
    <w:rsid w:val="00E05C9D"/>
    <w:rsid w:val="00E06DDD"/>
    <w:rsid w:val="00E418BF"/>
    <w:rsid w:val="00E53E83"/>
    <w:rsid w:val="00E825E0"/>
    <w:rsid w:val="00E86D37"/>
    <w:rsid w:val="00EB62F7"/>
    <w:rsid w:val="00EC0077"/>
    <w:rsid w:val="00EC0480"/>
    <w:rsid w:val="00EC48EE"/>
    <w:rsid w:val="00EC78ED"/>
    <w:rsid w:val="00EE2F7D"/>
    <w:rsid w:val="00F073D1"/>
    <w:rsid w:val="00F106C9"/>
    <w:rsid w:val="00F21E62"/>
    <w:rsid w:val="00F525F5"/>
    <w:rsid w:val="00F52D29"/>
    <w:rsid w:val="00F5375A"/>
    <w:rsid w:val="00F71329"/>
    <w:rsid w:val="00F768D3"/>
    <w:rsid w:val="00F94DBC"/>
    <w:rsid w:val="00FB18F9"/>
    <w:rsid w:val="00FD03DB"/>
    <w:rsid w:val="00FE1E11"/>
    <w:rsid w:val="00FE5B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6D2CD6"/>
  <w15:docId w15:val="{DD618B80-9112-4C9D-BDC6-CF4624851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olor w:val="666666"/>
      <w:sz w:val="30"/>
      <w:szCs w:val="30"/>
    </w:rPr>
  </w:style>
  <w:style w:type="character" w:styleId="Hyperlink">
    <w:name w:val="Hyperlink"/>
    <w:basedOn w:val="DefaultParagraphFont"/>
    <w:uiPriority w:val="99"/>
    <w:unhideWhenUsed/>
    <w:rsid w:val="00B973AE"/>
    <w:rPr>
      <w:color w:val="0000FF" w:themeColor="hyperlink"/>
      <w:u w:val="single"/>
    </w:rPr>
  </w:style>
  <w:style w:type="character" w:styleId="UnresolvedMention">
    <w:name w:val="Unresolved Mention"/>
    <w:basedOn w:val="DefaultParagraphFont"/>
    <w:uiPriority w:val="99"/>
    <w:semiHidden/>
    <w:unhideWhenUsed/>
    <w:rsid w:val="00B973AE"/>
    <w:rPr>
      <w:color w:val="605E5C"/>
      <w:shd w:val="clear" w:color="auto" w:fill="E1DFDD"/>
    </w:rPr>
  </w:style>
  <w:style w:type="paragraph" w:styleId="NormalWeb">
    <w:name w:val="Normal (Web)"/>
    <w:basedOn w:val="Normal"/>
    <w:rsid w:val="00810AE2"/>
    <w:pPr>
      <w:spacing w:before="100" w:beforeAutospacing="1" w:after="100" w:afterAutospacing="1" w:line="240" w:lineRule="auto"/>
    </w:pPr>
    <w:rPr>
      <w:rFonts w:ascii="Georgia" w:eastAsia="SimSun" w:hAnsi="Georgia" w:cs="Times New Roman"/>
      <w:color w:val="000000"/>
      <w:sz w:val="21"/>
      <w:szCs w:val="21"/>
      <w:lang w:val="en-GB"/>
    </w:rPr>
  </w:style>
  <w:style w:type="paragraph" w:styleId="FootnoteText">
    <w:name w:val="footnote text"/>
    <w:basedOn w:val="Normal"/>
    <w:link w:val="FootnoteTextChar"/>
    <w:uiPriority w:val="99"/>
    <w:semiHidden/>
    <w:unhideWhenUsed/>
    <w:rsid w:val="00A62BAC"/>
    <w:pPr>
      <w:spacing w:line="240" w:lineRule="auto"/>
    </w:pPr>
    <w:rPr>
      <w:sz w:val="20"/>
      <w:szCs w:val="20"/>
    </w:rPr>
  </w:style>
  <w:style w:type="character" w:customStyle="1" w:styleId="FootnoteTextChar">
    <w:name w:val="Footnote Text Char"/>
    <w:basedOn w:val="DefaultParagraphFont"/>
    <w:link w:val="FootnoteText"/>
    <w:uiPriority w:val="99"/>
    <w:semiHidden/>
    <w:rsid w:val="00A62BAC"/>
    <w:rPr>
      <w:sz w:val="20"/>
      <w:szCs w:val="20"/>
    </w:rPr>
  </w:style>
  <w:style w:type="character" w:styleId="FootnoteReference">
    <w:name w:val="footnote reference"/>
    <w:basedOn w:val="DefaultParagraphFont"/>
    <w:uiPriority w:val="99"/>
    <w:semiHidden/>
    <w:unhideWhenUsed/>
    <w:rsid w:val="00A62BAC"/>
    <w:rPr>
      <w:vertAlign w:val="superscript"/>
    </w:rPr>
  </w:style>
  <w:style w:type="paragraph" w:styleId="Header">
    <w:name w:val="header"/>
    <w:basedOn w:val="Normal"/>
    <w:link w:val="HeaderChar"/>
    <w:uiPriority w:val="99"/>
    <w:unhideWhenUsed/>
    <w:rsid w:val="006855F7"/>
    <w:pPr>
      <w:tabs>
        <w:tab w:val="center" w:pos="4680"/>
        <w:tab w:val="right" w:pos="9360"/>
      </w:tabs>
      <w:spacing w:line="240" w:lineRule="auto"/>
    </w:pPr>
  </w:style>
  <w:style w:type="character" w:customStyle="1" w:styleId="HeaderChar">
    <w:name w:val="Header Char"/>
    <w:basedOn w:val="DefaultParagraphFont"/>
    <w:link w:val="Header"/>
    <w:uiPriority w:val="99"/>
    <w:rsid w:val="006855F7"/>
  </w:style>
  <w:style w:type="paragraph" w:styleId="Footer">
    <w:name w:val="footer"/>
    <w:basedOn w:val="Normal"/>
    <w:link w:val="FooterChar"/>
    <w:uiPriority w:val="99"/>
    <w:unhideWhenUsed/>
    <w:rsid w:val="006855F7"/>
    <w:pPr>
      <w:tabs>
        <w:tab w:val="center" w:pos="4680"/>
        <w:tab w:val="right" w:pos="9360"/>
      </w:tabs>
      <w:spacing w:line="240" w:lineRule="auto"/>
    </w:pPr>
  </w:style>
  <w:style w:type="character" w:customStyle="1" w:styleId="FooterChar">
    <w:name w:val="Footer Char"/>
    <w:basedOn w:val="DefaultParagraphFont"/>
    <w:link w:val="Footer"/>
    <w:uiPriority w:val="99"/>
    <w:rsid w:val="006855F7"/>
  </w:style>
  <w:style w:type="paragraph" w:styleId="Bibliography">
    <w:name w:val="Bibliography"/>
    <w:basedOn w:val="Normal"/>
    <w:next w:val="Normal"/>
    <w:uiPriority w:val="37"/>
    <w:unhideWhenUsed/>
    <w:rsid w:val="00E418BF"/>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4908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713d3bb725f10f69/Documents/HA%20ESSAY%202%20RE_DRAFT%201.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docs.live.net/713d3bb725f10f69/Documents/HA%20ESSAY%202%20RE_DRAFT%201.doc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people.bu.edu/dklepper/RN242/marsilio.html" TargetMode="External"/><Relationship Id="rId5" Type="http://schemas.openxmlformats.org/officeDocument/2006/relationships/endnotes" Target="endnotes.xml"/><Relationship Id="rId10" Type="http://schemas.openxmlformats.org/officeDocument/2006/relationships/hyperlink" Target="https://ctext.org/shuo-wen-jie-zi/kou-bu/zh" TargetMode="External"/><Relationship Id="rId4" Type="http://schemas.openxmlformats.org/officeDocument/2006/relationships/footnotes" Target="footnotes.xml"/><Relationship Id="rId9" Type="http://schemas.openxmlformats.org/officeDocument/2006/relationships/hyperlink" Target="https://ctext.org/han-shu/yi-wen-zhi/z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5516</Words>
  <Characters>28854</Characters>
  <Application>Microsoft Office Word</Application>
  <DocSecurity>0</DocSecurity>
  <Lines>506</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Ying Ching Lee</cp:lastModifiedBy>
  <cp:revision>2</cp:revision>
  <dcterms:created xsi:type="dcterms:W3CDTF">2022-04-27T16:36:00Z</dcterms:created>
  <dcterms:modified xsi:type="dcterms:W3CDTF">2022-04-27T16:36:00Z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zotero-version="6.0.5"&gt;&lt;session id="6BB46AUx"/&gt;&lt;style id="http://www.zotero.org/styles/modern-humanities-research-association" hasBibliography="1" bibliographyStyleHasBeenSet="1"/&gt;&lt;prefs&gt;&lt;pref name="fieldType" value="Field"/&gt;&lt;pref n</vt:lpwstr>
  </property>
  <property fmtid="{D5CDD505-2E9C-101B-9397-08002B2CF9AE}" pid="3" name="ZOTERO_PREF_2">
    <vt:lpwstr>ame="automaticJournalAbbreviations" value="true"/&gt;&lt;pref name="noteType" value="1"/&gt;&lt;/prefs&gt;&lt;/data&gt;</vt:lpwstr>
  </property>
</Properties>
</file>