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CEDA2A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EE03B8">
              <w:rPr>
                <w:rFonts w:ascii="Tahoma" w:hAnsi="Tahoma" w:cs="Tahoma"/>
                <w:b/>
                <w:sz w:val="20"/>
                <w:szCs w:val="20"/>
              </w:rPr>
              <w:t>SHABNA HUSSAIN</w:t>
            </w:r>
          </w:p>
          <w:p w14:paraId="498F0B10" w14:textId="77777777" w:rsidR="001B69C8" w:rsidRPr="003C3341" w:rsidRDefault="001B69C8">
            <w:pPr>
              <w:rPr>
                <w:rFonts w:ascii="Tahoma" w:hAnsi="Tahoma" w:cs="Tahoma"/>
                <w:b/>
                <w:sz w:val="20"/>
                <w:szCs w:val="20"/>
              </w:rPr>
            </w:pPr>
          </w:p>
          <w:p w14:paraId="69E1F0CF" w14:textId="6F4EF16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EE03B8">
              <w:rPr>
                <w:rFonts w:ascii="Tahoma" w:hAnsi="Tahoma" w:cs="Tahoma"/>
                <w:b/>
                <w:sz w:val="20"/>
                <w:szCs w:val="20"/>
              </w:rPr>
              <w:t>2123212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BE4E25C"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96C85">
              <w:rPr>
                <w:rFonts w:ascii="Tahoma" w:hAnsi="Tahoma" w:cs="Tahoma"/>
                <w:b/>
                <w:sz w:val="20"/>
                <w:szCs w:val="20"/>
              </w:rPr>
              <w:t>BMIH4002 student journal</w:t>
            </w:r>
          </w:p>
          <w:p w14:paraId="2019D1B6" w14:textId="77777777" w:rsidR="00B21F2E" w:rsidRDefault="00B21F2E" w:rsidP="00B21F2E">
            <w:pPr>
              <w:rPr>
                <w:rFonts w:ascii="Tahoma" w:hAnsi="Tahoma" w:cs="Tahoma"/>
                <w:b/>
                <w:sz w:val="20"/>
                <w:szCs w:val="20"/>
              </w:rPr>
            </w:pPr>
          </w:p>
          <w:p w14:paraId="450FE136" w14:textId="1D38928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35832">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729294B3" w:rsidR="00B21F2E" w:rsidRDefault="00196C85" w:rsidP="00196C85">
            <w:pPr>
              <w:jc w:val="both"/>
              <w:rPr>
                <w:rFonts w:ascii="Tahoma" w:hAnsi="Tahoma" w:cs="Tahoma"/>
                <w:b/>
                <w:sz w:val="20"/>
                <w:szCs w:val="20"/>
              </w:rPr>
            </w:pPr>
            <w:r>
              <w:rPr>
                <w:rFonts w:ascii="Tahoma" w:hAnsi="Tahoma" w:cs="Tahoma"/>
                <w:b/>
                <w:sz w:val="20"/>
                <w:szCs w:val="20"/>
              </w:rPr>
              <w:t>Allergies and intolerance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986302" w:rsidRPr="003C3341" w14:paraId="60CC0225" w14:textId="77777777" w:rsidTr="00A91FD6">
        <w:trPr>
          <w:trHeight w:val="2494"/>
        </w:trPr>
        <w:tc>
          <w:tcPr>
            <w:tcW w:w="11182" w:type="dxa"/>
            <w:gridSpan w:val="2"/>
          </w:tcPr>
          <w:p w14:paraId="282B8EC6" w14:textId="77777777" w:rsidR="00986302" w:rsidRDefault="00986302" w:rsidP="00986302">
            <w:pPr>
              <w:rPr>
                <w:rFonts w:ascii="Tahoma" w:hAnsi="Tahoma" w:cs="Tahoma"/>
                <w:sz w:val="20"/>
                <w:szCs w:val="20"/>
              </w:rPr>
            </w:pPr>
          </w:p>
          <w:p w14:paraId="2A110A76" w14:textId="692FF040" w:rsidR="00986302" w:rsidRPr="001A1E92" w:rsidRDefault="00986302" w:rsidP="00986302">
            <w:pPr>
              <w:spacing w:line="360" w:lineRule="auto"/>
              <w:jc w:val="both"/>
              <w:rPr>
                <w:rFonts w:ascii="Arial" w:hAnsi="Arial" w:cs="Arial"/>
              </w:rPr>
            </w:pPr>
            <w:r w:rsidRPr="001A1E92">
              <w:rPr>
                <w:rFonts w:ascii="Arial" w:hAnsi="Arial" w:cs="Arial"/>
              </w:rPr>
              <w:t xml:space="preserve">It is essential that personnel in restaurants and other food-serving establishments </w:t>
            </w:r>
            <w:r>
              <w:rPr>
                <w:rFonts w:ascii="Arial" w:hAnsi="Arial" w:cs="Arial"/>
              </w:rPr>
              <w:t xml:space="preserve">need to </w:t>
            </w:r>
            <w:r w:rsidRPr="001A1E92">
              <w:rPr>
                <w:rFonts w:ascii="Arial" w:hAnsi="Arial" w:cs="Arial"/>
              </w:rPr>
              <w:t>receive training on how to assist customers with food allergies. This training should include subjects like safe food handling and communicating with consumers with food sensitivities. There is an increased likelihood of protein cross-contamination whenever proteins derived from different sources interact</w:t>
            </w:r>
            <w:r w:rsidRPr="000F3DD8">
              <w:rPr>
                <w:rFonts w:ascii="Open Sans" w:hAnsi="Open Sans" w:cs="Open Sans"/>
                <w:color w:val="000000"/>
                <w:sz w:val="20"/>
                <w:szCs w:val="20"/>
                <w:shd w:val="clear" w:color="auto" w:fill="FFFFFF"/>
              </w:rPr>
              <w:t xml:space="preserve"> </w:t>
            </w:r>
            <w:r w:rsidRPr="000F3DD8">
              <w:rPr>
                <w:rFonts w:ascii="Arial" w:hAnsi="Arial" w:cs="Arial"/>
              </w:rPr>
              <w:t>(Campbell, 2016)</w:t>
            </w:r>
            <w:r w:rsidRPr="001A1E92">
              <w:rPr>
                <w:rFonts w:ascii="Arial" w:hAnsi="Arial" w:cs="Arial"/>
              </w:rPr>
              <w:t xml:space="preserve">. This is referred to as the "risk of cross-contamination." It is a good idea to combine the hamburger with the same spoon and oil used to prepare the peanut butter, fries, and shrimp. This will save time and ensure </w:t>
            </w:r>
            <w:r w:rsidR="00D81A49">
              <w:rPr>
                <w:rFonts w:ascii="Arial" w:hAnsi="Arial" w:cs="Arial"/>
              </w:rPr>
              <w:t xml:space="preserve">that </w:t>
            </w:r>
            <w:r w:rsidRPr="001A1E92">
              <w:rPr>
                <w:rFonts w:ascii="Arial" w:hAnsi="Arial" w:cs="Arial"/>
              </w:rPr>
              <w:t xml:space="preserve">the meat is completely mixed. </w:t>
            </w:r>
            <w:proofErr w:type="gramStart"/>
            <w:r w:rsidRPr="001A1E92">
              <w:rPr>
                <w:rFonts w:ascii="Arial" w:hAnsi="Arial" w:cs="Arial"/>
              </w:rPr>
              <w:t>As a consequence</w:t>
            </w:r>
            <w:proofErr w:type="gramEnd"/>
            <w:r w:rsidRPr="001A1E92">
              <w:rPr>
                <w:rFonts w:ascii="Arial" w:hAnsi="Arial" w:cs="Arial"/>
              </w:rPr>
              <w:t xml:space="preserve">, </w:t>
            </w:r>
            <w:r>
              <w:rPr>
                <w:rFonts w:ascii="Arial" w:hAnsi="Arial" w:cs="Arial"/>
              </w:rPr>
              <w:t>people</w:t>
            </w:r>
            <w:r w:rsidRPr="001A1E92">
              <w:rPr>
                <w:rFonts w:ascii="Arial" w:hAnsi="Arial" w:cs="Arial"/>
              </w:rPr>
              <w:t xml:space="preserve"> will save time and the hamburger will be thoroughly combined.</w:t>
            </w:r>
          </w:p>
          <w:p w14:paraId="6ACB241C" w14:textId="0104CF78" w:rsidR="00986302" w:rsidRPr="001A1E92" w:rsidRDefault="00986302" w:rsidP="00986302">
            <w:pPr>
              <w:spacing w:line="360" w:lineRule="auto"/>
              <w:jc w:val="both"/>
              <w:rPr>
                <w:rFonts w:ascii="Arial" w:hAnsi="Arial" w:cs="Arial"/>
              </w:rPr>
            </w:pPr>
            <w:r w:rsidRPr="001A1E92">
              <w:rPr>
                <w:rFonts w:ascii="Arial" w:hAnsi="Arial" w:cs="Arial"/>
              </w:rPr>
              <w:t>Because there is no other way to alleviate the symptoms of food allergies, avoidance is the sole treatment option for those affected</w:t>
            </w:r>
            <w:r w:rsidRPr="000F3DD8">
              <w:rPr>
                <w:rFonts w:ascii="Open Sans" w:hAnsi="Open Sans" w:cs="Open Sans"/>
                <w:color w:val="000000"/>
                <w:sz w:val="20"/>
                <w:szCs w:val="20"/>
                <w:shd w:val="clear" w:color="auto" w:fill="FFFFFF"/>
              </w:rPr>
              <w:t xml:space="preserve"> </w:t>
            </w:r>
            <w:r w:rsidRPr="000F3DD8">
              <w:rPr>
                <w:rFonts w:ascii="Arial" w:hAnsi="Arial" w:cs="Arial"/>
              </w:rPr>
              <w:t>(Hall and Schulz, 2011)</w:t>
            </w:r>
            <w:r w:rsidRPr="001A1E92">
              <w:rPr>
                <w:rFonts w:ascii="Arial" w:hAnsi="Arial" w:cs="Arial"/>
              </w:rPr>
              <w:t xml:space="preserve">. Before cooking a dinner for someone who is allergic to one or more of the ingredients, check the labels carefully, as they may experience severe reactions. If </w:t>
            </w:r>
            <w:r>
              <w:rPr>
                <w:rFonts w:ascii="Arial" w:hAnsi="Arial" w:cs="Arial"/>
              </w:rPr>
              <w:t>people</w:t>
            </w:r>
            <w:r w:rsidRPr="001A1E92">
              <w:rPr>
                <w:rFonts w:ascii="Arial" w:hAnsi="Arial" w:cs="Arial"/>
              </w:rPr>
              <w:t xml:space="preserve"> are uncertain, </w:t>
            </w:r>
            <w:r>
              <w:rPr>
                <w:rFonts w:ascii="Arial" w:hAnsi="Arial" w:cs="Arial"/>
              </w:rPr>
              <w:t>people</w:t>
            </w:r>
            <w:r w:rsidRPr="001A1E92">
              <w:rPr>
                <w:rFonts w:ascii="Arial" w:hAnsi="Arial" w:cs="Arial"/>
              </w:rPr>
              <w:t xml:space="preserve"> should always serve food to an allergic customer on a clean plate that is clearly labelled with the allergens it contains</w:t>
            </w:r>
            <w:r w:rsidRPr="000F3DD8">
              <w:rPr>
                <w:rFonts w:ascii="Open Sans" w:hAnsi="Open Sans" w:cs="Open Sans"/>
                <w:color w:val="000000"/>
                <w:sz w:val="20"/>
                <w:szCs w:val="20"/>
                <w:shd w:val="clear" w:color="auto" w:fill="FFFFFF"/>
              </w:rPr>
              <w:t xml:space="preserve"> </w:t>
            </w:r>
            <w:r w:rsidRPr="000F3DD8">
              <w:rPr>
                <w:rFonts w:ascii="Arial" w:hAnsi="Arial" w:cs="Arial"/>
              </w:rPr>
              <w:t>(Huggett and Meyer, 2020)</w:t>
            </w:r>
            <w:r w:rsidRPr="001A1E92">
              <w:rPr>
                <w:rFonts w:ascii="Arial" w:hAnsi="Arial" w:cs="Arial"/>
              </w:rPr>
              <w:t xml:space="preserve">. Additionally, </w:t>
            </w:r>
            <w:r>
              <w:rPr>
                <w:rFonts w:ascii="Arial" w:hAnsi="Arial" w:cs="Arial"/>
              </w:rPr>
              <w:t>people</w:t>
            </w:r>
            <w:r w:rsidRPr="001A1E92">
              <w:rPr>
                <w:rFonts w:ascii="Arial" w:hAnsi="Arial" w:cs="Arial"/>
              </w:rPr>
              <w:t xml:space="preserve"> must ensure that the equipment, tools, and plates </w:t>
            </w:r>
            <w:r>
              <w:rPr>
                <w:rFonts w:ascii="Arial" w:hAnsi="Arial" w:cs="Arial"/>
              </w:rPr>
              <w:t>people</w:t>
            </w:r>
            <w:r w:rsidRPr="001A1E92">
              <w:rPr>
                <w:rFonts w:ascii="Arial" w:hAnsi="Arial" w:cs="Arial"/>
              </w:rPr>
              <w:t xml:space="preserve"> employ are clean. Food allergies are caused when an individual's immune system develops a reaction to a protein that is taken as part of their normal diet. The immune system's excessive synthesis of antibodies in response to an allergen is what causes an allergic reaction in a</w:t>
            </w:r>
            <w:r w:rsidR="0089294E">
              <w:rPr>
                <w:rFonts w:ascii="Arial" w:hAnsi="Arial" w:cs="Arial"/>
              </w:rPr>
              <w:t xml:space="preserve">ny </w:t>
            </w:r>
            <w:r w:rsidRPr="001A1E92">
              <w:rPr>
                <w:rFonts w:ascii="Arial" w:hAnsi="Arial" w:cs="Arial"/>
              </w:rPr>
              <w:t>vulnerable individual. It may take as little as a few minutes or as long as four hours for symptoms to begin manifesting after consuming the food</w:t>
            </w:r>
            <w:r w:rsidRPr="000F3DD8">
              <w:rPr>
                <w:rFonts w:ascii="Open Sans" w:hAnsi="Open Sans" w:cs="Open Sans"/>
                <w:color w:val="000000"/>
                <w:sz w:val="20"/>
                <w:szCs w:val="20"/>
                <w:shd w:val="clear" w:color="auto" w:fill="FFFFFF"/>
              </w:rPr>
              <w:t xml:space="preserve"> </w:t>
            </w:r>
            <w:r w:rsidRPr="000F3DD8">
              <w:rPr>
                <w:rFonts w:ascii="Arial" w:hAnsi="Arial" w:cs="Arial"/>
              </w:rPr>
              <w:t>(Humphrey, 2011)</w:t>
            </w:r>
            <w:r w:rsidRPr="001A1E92">
              <w:rPr>
                <w:rFonts w:ascii="Arial" w:hAnsi="Arial" w:cs="Arial"/>
              </w:rPr>
              <w:t>. Up to possibly deadly reactions necessitating emergency medical attention by a certified practitioner.</w:t>
            </w:r>
          </w:p>
          <w:p w14:paraId="0E353ECF" w14:textId="52A85754" w:rsidR="00986302" w:rsidRPr="001A1E92" w:rsidRDefault="00986302" w:rsidP="00986302">
            <w:pPr>
              <w:spacing w:line="360" w:lineRule="auto"/>
              <w:jc w:val="both"/>
              <w:rPr>
                <w:rFonts w:ascii="Arial" w:hAnsi="Arial" w:cs="Arial"/>
              </w:rPr>
            </w:pPr>
            <w:r w:rsidRPr="001A1E92">
              <w:rPr>
                <w:rFonts w:ascii="Arial" w:hAnsi="Arial" w:cs="Arial"/>
              </w:rPr>
              <w:t>An allergen i</w:t>
            </w:r>
            <w:r w:rsidR="00D81A49">
              <w:rPr>
                <w:rFonts w:ascii="Arial" w:hAnsi="Arial" w:cs="Arial"/>
              </w:rPr>
              <w:t>n</w:t>
            </w:r>
            <w:r w:rsidRPr="001A1E92">
              <w:rPr>
                <w:rFonts w:ascii="Arial" w:hAnsi="Arial" w:cs="Arial"/>
              </w:rPr>
              <w:t xml:space="preserve"> any substance that can trigger an allergic reaction in an individual who is vulnerable. For some individuals, even the smallest amount of allergen in their environment is sufficient to trigger an allergic reaction. If </w:t>
            </w:r>
            <w:r>
              <w:rPr>
                <w:rFonts w:ascii="Arial" w:hAnsi="Arial" w:cs="Arial"/>
              </w:rPr>
              <w:t>people</w:t>
            </w:r>
            <w:r w:rsidRPr="001A1E92">
              <w:rPr>
                <w:rFonts w:ascii="Arial" w:hAnsi="Arial" w:cs="Arial"/>
              </w:rPr>
              <w:t xml:space="preserve"> have been diagnosed with a food intolerance, it is imperative that </w:t>
            </w:r>
            <w:r>
              <w:rPr>
                <w:rFonts w:ascii="Arial" w:hAnsi="Arial" w:cs="Arial"/>
              </w:rPr>
              <w:t>people</w:t>
            </w:r>
            <w:r w:rsidRPr="001A1E92">
              <w:rPr>
                <w:rFonts w:ascii="Arial" w:hAnsi="Arial" w:cs="Arial"/>
              </w:rPr>
              <w:t xml:space="preserve"> identify and avoid all allergens.</w:t>
            </w:r>
          </w:p>
          <w:p w14:paraId="2BB74FC3" w14:textId="77777777" w:rsidR="00986302" w:rsidRPr="001A1E92" w:rsidRDefault="00986302" w:rsidP="00986302">
            <w:pPr>
              <w:spacing w:line="360" w:lineRule="auto"/>
              <w:jc w:val="both"/>
              <w:rPr>
                <w:rFonts w:ascii="Arial" w:hAnsi="Arial" w:cs="Arial"/>
              </w:rPr>
            </w:pPr>
            <w:r w:rsidRPr="001A1E92">
              <w:rPr>
                <w:rFonts w:ascii="Arial" w:hAnsi="Arial" w:cs="Arial"/>
              </w:rPr>
              <w:t xml:space="preserve">There are various foods that can make it more difficult for the body to digest them. These food types are included: In contrast to a reaction that is brought on by an allergy to food, a reaction that is brought on by food intolerance does not involve the immune system. Depending on the stimulus, a reaction may </w:t>
            </w:r>
            <w:r w:rsidRPr="001A1E92">
              <w:rPr>
                <w:rFonts w:ascii="Arial" w:hAnsi="Arial" w:cs="Arial"/>
              </w:rPr>
              <w:lastRenderedPageBreak/>
              <w:t>occur instantly or up to twenty hours after its removal</w:t>
            </w:r>
            <w:r w:rsidRPr="000F3DD8">
              <w:rPr>
                <w:rFonts w:ascii="Open Sans" w:hAnsi="Open Sans" w:cs="Open Sans"/>
                <w:color w:val="000000"/>
                <w:sz w:val="20"/>
                <w:szCs w:val="20"/>
                <w:shd w:val="clear" w:color="auto" w:fill="FFFFFF"/>
              </w:rPr>
              <w:t xml:space="preserve"> </w:t>
            </w:r>
            <w:r w:rsidRPr="000F3DD8">
              <w:rPr>
                <w:rFonts w:ascii="Arial" w:hAnsi="Arial" w:cs="Arial"/>
              </w:rPr>
              <w:t>(Silverstein, Silverstein and Nunn, 2011)</w:t>
            </w:r>
            <w:r w:rsidRPr="001A1E92">
              <w:rPr>
                <w:rFonts w:ascii="Arial" w:hAnsi="Arial" w:cs="Arial"/>
              </w:rPr>
              <w:t>. People with food allergies are less likely than the general population to die as a direct result of their symptoms.</w:t>
            </w:r>
          </w:p>
          <w:p w14:paraId="327BA709" w14:textId="77777777"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The precautions taken by food establishments to limit the possibility of customers experiencing undesirable responses.</w:t>
            </w:r>
          </w:p>
          <w:p w14:paraId="4CC3CAC7" w14:textId="60718F67"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 xml:space="preserve">People will be able to guarantee that </w:t>
            </w:r>
            <w:r>
              <w:rPr>
                <w:rFonts w:ascii="Arial" w:hAnsi="Arial" w:cs="Arial"/>
              </w:rPr>
              <w:t>the</w:t>
            </w:r>
            <w:r w:rsidRPr="001A1E92">
              <w:rPr>
                <w:rFonts w:ascii="Arial" w:hAnsi="Arial" w:cs="Arial"/>
              </w:rPr>
              <w:t xml:space="preserve"> products are allergen-free if </w:t>
            </w:r>
            <w:r>
              <w:rPr>
                <w:rFonts w:ascii="Arial" w:hAnsi="Arial" w:cs="Arial"/>
              </w:rPr>
              <w:t>people</w:t>
            </w:r>
            <w:r w:rsidRPr="001A1E92">
              <w:rPr>
                <w:rFonts w:ascii="Arial" w:hAnsi="Arial" w:cs="Arial"/>
              </w:rPr>
              <w:t xml:space="preserve"> subject them to rigorous testing</w:t>
            </w:r>
            <w:r w:rsidRPr="000F3DD8">
              <w:rPr>
                <w:rFonts w:ascii="Open Sans" w:hAnsi="Open Sans" w:cs="Open Sans"/>
                <w:color w:val="000000"/>
                <w:sz w:val="20"/>
                <w:szCs w:val="20"/>
                <w:shd w:val="clear" w:color="auto" w:fill="FFFFFF"/>
              </w:rPr>
              <w:t xml:space="preserve"> </w:t>
            </w:r>
            <w:r w:rsidRPr="000F3DD8">
              <w:rPr>
                <w:rFonts w:ascii="Arial" w:hAnsi="Arial" w:cs="Arial"/>
              </w:rPr>
              <w:t>(Silverstein, Silverstein and Nunn, 2011)</w:t>
            </w:r>
            <w:r w:rsidRPr="001A1E92">
              <w:rPr>
                <w:rFonts w:ascii="Arial" w:hAnsi="Arial" w:cs="Arial"/>
              </w:rPr>
              <w:t xml:space="preserve">. Food allergy sufferers may notice an exacerbation of their symptoms if they </w:t>
            </w:r>
            <w:proofErr w:type="gramStart"/>
            <w:r w:rsidRPr="001A1E92">
              <w:rPr>
                <w:rFonts w:ascii="Arial" w:hAnsi="Arial" w:cs="Arial"/>
              </w:rPr>
              <w:t>come in contact with</w:t>
            </w:r>
            <w:proofErr w:type="gramEnd"/>
            <w:r w:rsidRPr="001A1E92">
              <w:rPr>
                <w:rFonts w:ascii="Arial" w:hAnsi="Arial" w:cs="Arial"/>
              </w:rPr>
              <w:t xml:space="preserve"> any meal or food item.</w:t>
            </w:r>
          </w:p>
          <w:p w14:paraId="0E470B37" w14:textId="7A27F7DF"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 xml:space="preserve">Before foods are packed for sale or prepared for consumption, allergens are checked for and, if necessary, </w:t>
            </w:r>
            <w:r w:rsidR="00B03278">
              <w:rPr>
                <w:rFonts w:ascii="Arial" w:hAnsi="Arial" w:cs="Arial"/>
              </w:rPr>
              <w:t xml:space="preserve">will be </w:t>
            </w:r>
            <w:r w:rsidRPr="001A1E92">
              <w:rPr>
                <w:rFonts w:ascii="Arial" w:hAnsi="Arial" w:cs="Arial"/>
              </w:rPr>
              <w:t>removed.</w:t>
            </w:r>
          </w:p>
          <w:p w14:paraId="5685E511" w14:textId="6C9B0F66"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 xml:space="preserve">Cutting boards, knives, and a vast array of other types of silverware each </w:t>
            </w:r>
            <w:proofErr w:type="gramStart"/>
            <w:r w:rsidRPr="001A1E92">
              <w:rPr>
                <w:rFonts w:ascii="Arial" w:hAnsi="Arial" w:cs="Arial"/>
              </w:rPr>
              <w:t>have the ability to</w:t>
            </w:r>
            <w:proofErr w:type="gramEnd"/>
            <w:r w:rsidRPr="001A1E92">
              <w:rPr>
                <w:rFonts w:ascii="Arial" w:hAnsi="Arial" w:cs="Arial"/>
              </w:rPr>
              <w:t xml:space="preserve"> serve multiple purposes in the </w:t>
            </w:r>
            <w:r w:rsidR="00B03278" w:rsidRPr="001A1E92">
              <w:rPr>
                <w:rFonts w:ascii="Arial" w:hAnsi="Arial" w:cs="Arial"/>
              </w:rPr>
              <w:t>kitchen</w:t>
            </w:r>
            <w:r w:rsidR="00B03278">
              <w:rPr>
                <w:rFonts w:ascii="Arial" w:hAnsi="Arial" w:cs="Arial"/>
              </w:rPr>
              <w:t xml:space="preserve"> and need to be used accordingly.</w:t>
            </w:r>
          </w:p>
          <w:p w14:paraId="69B19DD5" w14:textId="52974C89"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Throughout the many phases of their manufacture, a vast variety of foods undergo multiple cleaning and processing steps.</w:t>
            </w:r>
          </w:p>
          <w:p w14:paraId="5E00DA5B" w14:textId="77777777"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Completely disinfect and sanitize all surfaces.</w:t>
            </w:r>
          </w:p>
          <w:p w14:paraId="61C5B710" w14:textId="77777777"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A good way to demonstrate this concept is by creating food from various cuisines while wearing diverse aprons.</w:t>
            </w:r>
          </w:p>
          <w:p w14:paraId="790CD120" w14:textId="77777777"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Dishes that have the potential to cause an allergic reaction should be kept in a separate section of the dining room.</w:t>
            </w:r>
          </w:p>
          <w:p w14:paraId="7BBFC38A" w14:textId="77777777"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 xml:space="preserve">validating the accuracy of </w:t>
            </w:r>
            <w:proofErr w:type="gramStart"/>
            <w:r w:rsidRPr="001A1E92">
              <w:rPr>
                <w:rFonts w:ascii="Arial" w:hAnsi="Arial" w:cs="Arial"/>
              </w:rPr>
              <w:t>each and every</w:t>
            </w:r>
            <w:proofErr w:type="gramEnd"/>
            <w:r w:rsidRPr="001A1E92">
              <w:rPr>
                <w:rFonts w:ascii="Arial" w:hAnsi="Arial" w:cs="Arial"/>
              </w:rPr>
              <w:t xml:space="preserve"> item listed on each and every label</w:t>
            </w:r>
          </w:p>
          <w:p w14:paraId="06BD7C59" w14:textId="77777777" w:rsidR="0098630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All employees in the food service industry are expected to get training on allergies and the proper handling of allergen-containing meals.</w:t>
            </w:r>
          </w:p>
          <w:p w14:paraId="2E581582" w14:textId="77777777" w:rsidR="00986302" w:rsidRPr="001A1E92" w:rsidRDefault="00986302" w:rsidP="00986302">
            <w:pPr>
              <w:pStyle w:val="ListParagraph"/>
              <w:numPr>
                <w:ilvl w:val="0"/>
                <w:numId w:val="29"/>
              </w:numPr>
              <w:spacing w:line="360" w:lineRule="auto"/>
              <w:jc w:val="both"/>
              <w:rPr>
                <w:rFonts w:ascii="Arial" w:hAnsi="Arial" w:cs="Arial"/>
              </w:rPr>
            </w:pPr>
            <w:r w:rsidRPr="001A1E92">
              <w:rPr>
                <w:rFonts w:ascii="Arial" w:hAnsi="Arial" w:cs="Arial"/>
              </w:rPr>
              <w:t>minimizing as much as possible the likelihood of contamination transferring from one source to another.</w:t>
            </w:r>
          </w:p>
          <w:p w14:paraId="3B344F1E" w14:textId="043DF864" w:rsidR="00986302" w:rsidRPr="003C3341" w:rsidRDefault="00986302" w:rsidP="00986302">
            <w:pPr>
              <w:jc w:val="both"/>
              <w:rPr>
                <w:rFonts w:ascii="Tahoma" w:hAnsi="Tahoma" w:cs="Tahoma"/>
                <w:sz w:val="20"/>
                <w:szCs w:val="20"/>
              </w:rPr>
            </w:pPr>
            <w:r w:rsidRPr="001A1E92">
              <w:rPr>
                <w:rFonts w:ascii="Arial" w:hAnsi="Arial" w:cs="Arial"/>
              </w:rPr>
              <w:t>Restaurants, cafes, and takeaways all sell a substantial proportion of food that is not correctly labelled. Due to this, allergens cannot be pinpointed with any degree of accuracy. For the sake of the health and safety of its consumers, the business must make it a top priority to remain cautious regarding the possible existence of allergens in the food it provides. They have no alternative. Any food product that has even a remote chance of containing any of the following allergens must carry an allergy warning label</w:t>
            </w:r>
            <w:r>
              <w:rPr>
                <w:rFonts w:ascii="Arial" w:hAnsi="Arial" w:cs="Arial"/>
              </w:rPr>
              <w:t>.</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7A480E0E" w14:textId="77777777" w:rsidR="00B03278" w:rsidRPr="000F3DD8" w:rsidRDefault="00B03278" w:rsidP="00B03278">
            <w:pPr>
              <w:spacing w:line="360" w:lineRule="auto"/>
              <w:jc w:val="both"/>
              <w:rPr>
                <w:rFonts w:ascii="Arial" w:hAnsi="Arial" w:cs="Arial"/>
              </w:rPr>
            </w:pPr>
            <w:r w:rsidRPr="000F3DD8">
              <w:rPr>
                <w:rFonts w:ascii="Arial" w:hAnsi="Arial" w:cs="Arial"/>
              </w:rPr>
              <w:t>Campbell, J., 2016. </w:t>
            </w:r>
            <w:r w:rsidRPr="000F3DD8">
              <w:rPr>
                <w:rFonts w:ascii="Arial" w:hAnsi="Arial" w:cs="Arial"/>
                <w:i/>
                <w:iCs/>
              </w:rPr>
              <w:t>Intolerance</w:t>
            </w:r>
            <w:r w:rsidRPr="000F3DD8">
              <w:rPr>
                <w:rFonts w:ascii="Arial" w:hAnsi="Arial" w:cs="Arial"/>
              </w:rPr>
              <w:t>. 4th ed. Oxford: [Iowa State University].</w:t>
            </w:r>
          </w:p>
          <w:p w14:paraId="39502B9E" w14:textId="77777777" w:rsidR="00B03278" w:rsidRPr="000F3DD8" w:rsidRDefault="00B03278" w:rsidP="00B03278">
            <w:pPr>
              <w:spacing w:line="360" w:lineRule="auto"/>
              <w:jc w:val="both"/>
              <w:rPr>
                <w:rFonts w:ascii="Arial" w:hAnsi="Arial" w:cs="Arial"/>
              </w:rPr>
            </w:pPr>
            <w:r w:rsidRPr="000F3DD8">
              <w:rPr>
                <w:rFonts w:ascii="Arial" w:hAnsi="Arial" w:cs="Arial"/>
              </w:rPr>
              <w:t>Hall, K. and Schulz, C., 2011. </w:t>
            </w:r>
            <w:r w:rsidRPr="000F3DD8">
              <w:rPr>
                <w:rFonts w:ascii="Arial" w:hAnsi="Arial" w:cs="Arial"/>
                <w:i/>
                <w:iCs/>
              </w:rPr>
              <w:t>Hospitality</w:t>
            </w:r>
            <w:r w:rsidRPr="000F3DD8">
              <w:rPr>
                <w:rFonts w:ascii="Arial" w:hAnsi="Arial" w:cs="Arial"/>
              </w:rPr>
              <w:t>. 2nd ed. York: Ferguson.</w:t>
            </w:r>
          </w:p>
          <w:p w14:paraId="53A6220A" w14:textId="77777777" w:rsidR="00B03278" w:rsidRPr="000F3DD8" w:rsidRDefault="00B03278" w:rsidP="00B03278">
            <w:pPr>
              <w:spacing w:line="360" w:lineRule="auto"/>
              <w:jc w:val="both"/>
              <w:rPr>
                <w:rFonts w:ascii="Arial" w:hAnsi="Arial" w:cs="Arial"/>
              </w:rPr>
            </w:pPr>
            <w:r w:rsidRPr="000F3DD8">
              <w:rPr>
                <w:rFonts w:ascii="Arial" w:hAnsi="Arial" w:cs="Arial"/>
              </w:rPr>
              <w:t>Huggett, R. and Meyer, I., 2020. </w:t>
            </w:r>
            <w:r w:rsidRPr="000F3DD8">
              <w:rPr>
                <w:rFonts w:ascii="Arial" w:hAnsi="Arial" w:cs="Arial"/>
                <w:i/>
                <w:iCs/>
              </w:rPr>
              <w:t>Industry</w:t>
            </w:r>
            <w:r w:rsidRPr="000F3DD8">
              <w:rPr>
                <w:rFonts w:ascii="Arial" w:hAnsi="Arial" w:cs="Arial"/>
              </w:rPr>
              <w:t>. 3rd ed. London: Harper and Row.</w:t>
            </w:r>
          </w:p>
          <w:p w14:paraId="2774CB13" w14:textId="77777777" w:rsidR="00B03278" w:rsidRPr="000F3DD8" w:rsidRDefault="00B03278" w:rsidP="00B03278">
            <w:pPr>
              <w:spacing w:line="360" w:lineRule="auto"/>
              <w:jc w:val="both"/>
              <w:rPr>
                <w:rFonts w:ascii="Arial" w:hAnsi="Arial" w:cs="Arial"/>
              </w:rPr>
            </w:pPr>
            <w:r w:rsidRPr="000F3DD8">
              <w:rPr>
                <w:rFonts w:ascii="Arial" w:hAnsi="Arial" w:cs="Arial"/>
              </w:rPr>
              <w:t>Humphrey, D., 2011. </w:t>
            </w:r>
            <w:r w:rsidRPr="000F3DD8">
              <w:rPr>
                <w:rFonts w:ascii="Arial" w:hAnsi="Arial" w:cs="Arial"/>
                <w:i/>
                <w:iCs/>
              </w:rPr>
              <w:t>Customer service</w:t>
            </w:r>
            <w:r w:rsidRPr="000F3DD8">
              <w:rPr>
                <w:rFonts w:ascii="Arial" w:hAnsi="Arial" w:cs="Arial"/>
              </w:rPr>
              <w:t>. 3rd ed. Manchester: South-Western Cengage Learning.</w:t>
            </w:r>
          </w:p>
          <w:p w14:paraId="469F71E4" w14:textId="77777777" w:rsidR="00B03278" w:rsidRPr="000F3DD8" w:rsidRDefault="00B03278" w:rsidP="00B03278">
            <w:pPr>
              <w:spacing w:line="360" w:lineRule="auto"/>
              <w:jc w:val="both"/>
              <w:rPr>
                <w:rFonts w:ascii="Arial" w:hAnsi="Arial" w:cs="Arial"/>
              </w:rPr>
            </w:pPr>
            <w:r w:rsidRPr="000F3DD8">
              <w:rPr>
                <w:rFonts w:ascii="Arial" w:hAnsi="Arial" w:cs="Arial"/>
              </w:rPr>
              <w:t>Silverstein, A., Silverstein, V. and Nunn, L., 2011. </w:t>
            </w:r>
            <w:r w:rsidRPr="000F3DD8">
              <w:rPr>
                <w:rFonts w:ascii="Arial" w:hAnsi="Arial" w:cs="Arial"/>
                <w:i/>
                <w:iCs/>
              </w:rPr>
              <w:t>Allergies</w:t>
            </w:r>
            <w:r w:rsidRPr="000F3DD8">
              <w:rPr>
                <w:rFonts w:ascii="Arial" w:hAnsi="Arial" w:cs="Arial"/>
              </w:rPr>
              <w:t>. 3rd ed. Leeds: Franklin Watts.</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ECB00" w14:textId="77777777" w:rsidR="00BF4F69" w:rsidRDefault="00BF4F69">
      <w:r>
        <w:separator/>
      </w:r>
    </w:p>
  </w:endnote>
  <w:endnote w:type="continuationSeparator" w:id="0">
    <w:p w14:paraId="4678BC16" w14:textId="77777777" w:rsidR="00BF4F69" w:rsidRDefault="00BF4F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D9617" w14:textId="77777777" w:rsidR="00BF4F69" w:rsidRDefault="00BF4F69">
      <w:r>
        <w:separator/>
      </w:r>
    </w:p>
  </w:footnote>
  <w:footnote w:type="continuationSeparator" w:id="0">
    <w:p w14:paraId="32DFD409" w14:textId="77777777" w:rsidR="00BF4F69" w:rsidRDefault="00BF4F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CD1C97"/>
    <w:multiLevelType w:val="hybridMultilevel"/>
    <w:tmpl w:val="20DAB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717895797">
    <w:abstractNumId w:val="13"/>
  </w:num>
  <w:num w:numId="2" w16cid:durableId="400251860">
    <w:abstractNumId w:val="5"/>
  </w:num>
  <w:num w:numId="3" w16cid:durableId="2095663555">
    <w:abstractNumId w:val="28"/>
  </w:num>
  <w:num w:numId="4" w16cid:durableId="1337685491">
    <w:abstractNumId w:val="6"/>
  </w:num>
  <w:num w:numId="5" w16cid:durableId="106507473">
    <w:abstractNumId w:val="24"/>
  </w:num>
  <w:num w:numId="6" w16cid:durableId="1496216403">
    <w:abstractNumId w:val="7"/>
  </w:num>
  <w:num w:numId="7" w16cid:durableId="435832917">
    <w:abstractNumId w:val="0"/>
  </w:num>
  <w:num w:numId="8" w16cid:durableId="1092892905">
    <w:abstractNumId w:val="27"/>
  </w:num>
  <w:num w:numId="9" w16cid:durableId="1621835468">
    <w:abstractNumId w:val="16"/>
  </w:num>
  <w:num w:numId="10" w16cid:durableId="2023430968">
    <w:abstractNumId w:val="19"/>
  </w:num>
  <w:num w:numId="11" w16cid:durableId="1980455635">
    <w:abstractNumId w:val="4"/>
  </w:num>
  <w:num w:numId="12" w16cid:durableId="2041002915">
    <w:abstractNumId w:val="14"/>
  </w:num>
  <w:num w:numId="13" w16cid:durableId="1386568677">
    <w:abstractNumId w:val="3"/>
  </w:num>
  <w:num w:numId="14" w16cid:durableId="468594522">
    <w:abstractNumId w:val="10"/>
  </w:num>
  <w:num w:numId="15" w16cid:durableId="1005548044">
    <w:abstractNumId w:val="18"/>
  </w:num>
  <w:num w:numId="16" w16cid:durableId="1883441712">
    <w:abstractNumId w:val="20"/>
  </w:num>
  <w:num w:numId="17" w16cid:durableId="2109421592">
    <w:abstractNumId w:val="1"/>
  </w:num>
  <w:num w:numId="18" w16cid:durableId="606959744">
    <w:abstractNumId w:val="26"/>
  </w:num>
  <w:num w:numId="19" w16cid:durableId="1125613548">
    <w:abstractNumId w:val="9"/>
  </w:num>
  <w:num w:numId="20" w16cid:durableId="1422413171">
    <w:abstractNumId w:val="21"/>
  </w:num>
  <w:num w:numId="21" w16cid:durableId="193932690">
    <w:abstractNumId w:val="12"/>
  </w:num>
  <w:num w:numId="22" w16cid:durableId="1246723003">
    <w:abstractNumId w:val="17"/>
  </w:num>
  <w:num w:numId="23" w16cid:durableId="876426318">
    <w:abstractNumId w:val="25"/>
  </w:num>
  <w:num w:numId="24" w16cid:durableId="262960723">
    <w:abstractNumId w:val="11"/>
  </w:num>
  <w:num w:numId="25" w16cid:durableId="1509171731">
    <w:abstractNumId w:val="23"/>
  </w:num>
  <w:num w:numId="26" w16cid:durableId="475611484">
    <w:abstractNumId w:val="8"/>
  </w:num>
  <w:num w:numId="27" w16cid:durableId="752091836">
    <w:abstractNumId w:val="22"/>
  </w:num>
  <w:num w:numId="28" w16cid:durableId="809638419">
    <w:abstractNumId w:val="15"/>
  </w:num>
  <w:num w:numId="29" w16cid:durableId="1795322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40959"/>
    <w:rsid w:val="00162FE2"/>
    <w:rsid w:val="001703BD"/>
    <w:rsid w:val="00170A87"/>
    <w:rsid w:val="0018449A"/>
    <w:rsid w:val="00196C85"/>
    <w:rsid w:val="00197F4A"/>
    <w:rsid w:val="001A59E7"/>
    <w:rsid w:val="001B3628"/>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35832"/>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55BDE"/>
    <w:rsid w:val="0089294E"/>
    <w:rsid w:val="00895843"/>
    <w:rsid w:val="008B4B9C"/>
    <w:rsid w:val="008B534C"/>
    <w:rsid w:val="008E2A5A"/>
    <w:rsid w:val="008F0B0D"/>
    <w:rsid w:val="008F0D83"/>
    <w:rsid w:val="009061F1"/>
    <w:rsid w:val="00911C43"/>
    <w:rsid w:val="009139BF"/>
    <w:rsid w:val="00923E76"/>
    <w:rsid w:val="009448FE"/>
    <w:rsid w:val="00946B23"/>
    <w:rsid w:val="00985CF1"/>
    <w:rsid w:val="00986302"/>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2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BF4F69"/>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1A49"/>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E03B8"/>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822</Words>
  <Characters>4534</Characters>
  <Application>Microsoft Office Word</Application>
  <DocSecurity>0</DocSecurity>
  <Lines>906</Lines>
  <Paragraphs>81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Shabna Hussain (2123212)</cp:lastModifiedBy>
  <cp:revision>3</cp:revision>
  <cp:lastPrinted>2020-09-28T20:53:00Z</cp:lastPrinted>
  <dcterms:created xsi:type="dcterms:W3CDTF">2022-05-28T21:12:00Z</dcterms:created>
  <dcterms:modified xsi:type="dcterms:W3CDTF">2022-05-28T21:41:00Z</dcterms:modified>
</cp:coreProperties>
</file>