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72E60" w14:textId="304EE663" w:rsidR="00374851" w:rsidRDefault="00374851" w:rsidP="009B1BAD">
      <w:pPr>
        <w:spacing w:line="480" w:lineRule="auto"/>
      </w:pPr>
      <w:r>
        <w:t xml:space="preserve">Assessment 1: </w:t>
      </w:r>
      <w:r w:rsidR="00B40D01">
        <w:t>UNESCO</w:t>
      </w:r>
      <w:r>
        <w:t xml:space="preserve"> Heritage Profile</w:t>
      </w:r>
    </w:p>
    <w:p w14:paraId="5AF1389A" w14:textId="18883ABD" w:rsidR="00AF1740" w:rsidRDefault="003921B7" w:rsidP="009B1BAD">
      <w:pPr>
        <w:spacing w:line="480" w:lineRule="auto"/>
      </w:pPr>
      <w:r>
        <w:t>There are</w:t>
      </w:r>
      <w:r w:rsidR="00AF1740">
        <w:t xml:space="preserve"> four Welsh sites included on </w:t>
      </w:r>
      <w:r w:rsidR="00E44212">
        <w:t>UNESCO’s</w:t>
      </w:r>
      <w:r w:rsidR="00AF1740">
        <w:t xml:space="preserve"> World Heritage </w:t>
      </w:r>
      <w:r w:rsidR="00495DB0">
        <w:t>List</w:t>
      </w:r>
      <w:r>
        <w:t xml:space="preserve"> of which</w:t>
      </w:r>
      <w:r w:rsidR="00AF1740">
        <w:t xml:space="preserve"> three</w:t>
      </w:r>
      <w:r w:rsidR="00AE1E79">
        <w:t xml:space="preserve">: </w:t>
      </w:r>
      <w:r w:rsidR="00AF1740">
        <w:t xml:space="preserve"> Blaenavon Industrial </w:t>
      </w:r>
      <w:r w:rsidR="00E549EC">
        <w:t>Landscape</w:t>
      </w:r>
      <w:r w:rsidR="00AF1740">
        <w:t xml:space="preserve">, Pontcysyllte Aqueduct and Canal and the slate landscape of Northwest Wales have </w:t>
      </w:r>
      <w:r w:rsidR="002B4174">
        <w:t xml:space="preserve">noted </w:t>
      </w:r>
      <w:r w:rsidR="00AF1740">
        <w:t>h</w:t>
      </w:r>
      <w:r w:rsidR="005F7EC4">
        <w:t xml:space="preserve">eritage importance </w:t>
      </w:r>
      <w:r w:rsidR="00E44212">
        <w:t xml:space="preserve">which is based </w:t>
      </w:r>
      <w:r w:rsidR="00AF1740">
        <w:t>largely in the nineteenth century</w:t>
      </w:r>
      <w:r w:rsidR="00AE1E79">
        <w:t>.</w:t>
      </w:r>
      <w:r w:rsidR="00AF1740">
        <w:t xml:space="preserve"> </w:t>
      </w:r>
      <w:r w:rsidR="00AE1E79">
        <w:t>A</w:t>
      </w:r>
      <w:r w:rsidR="00AF1740">
        <w:t>ll three are examples of industrial heritage</w:t>
      </w:r>
      <w:r w:rsidR="00AE1E79">
        <w:t xml:space="preserve"> as all three sites/areas developed due to the </w:t>
      </w:r>
      <w:r w:rsidR="00495DB0">
        <w:t>needs of</w:t>
      </w:r>
      <w:r w:rsidR="00AE1E79">
        <w:t xml:space="preserve"> the Industrial Revolution</w:t>
      </w:r>
      <w:r w:rsidR="002B4174">
        <w:t>.</w:t>
      </w:r>
      <w:r w:rsidR="00AE1E79">
        <w:t xml:space="preserve"> </w:t>
      </w:r>
      <w:r w:rsidR="003A674E">
        <w:t>This was a</w:t>
      </w:r>
      <w:r w:rsidR="002B4174">
        <w:t xml:space="preserve"> period </w:t>
      </w:r>
      <w:r w:rsidR="00AE1E79">
        <w:t xml:space="preserve">when Wales provided the raw materials </w:t>
      </w:r>
      <w:r w:rsidR="002B4174">
        <w:t>and finished product</w:t>
      </w:r>
      <w:r w:rsidR="003A674E">
        <w:t>s</w:t>
      </w:r>
      <w:r w:rsidR="002B4174">
        <w:t xml:space="preserve"> </w:t>
      </w:r>
      <w:r w:rsidR="00AE1E79">
        <w:t>for the iron, coal and slate industries. The Industrial Revolution changed the patterns of urbanisation</w:t>
      </w:r>
      <w:r w:rsidR="001D5737">
        <w:t>, population and</w:t>
      </w:r>
      <w:r w:rsidR="00AE1E79">
        <w:t xml:space="preserve"> landscape of Wales forever and </w:t>
      </w:r>
      <w:r w:rsidR="003A674E">
        <w:t>should</w:t>
      </w:r>
      <w:r w:rsidR="00AE1E79">
        <w:t xml:space="preserve"> be viewed as a turning point in the history of the country. </w:t>
      </w:r>
      <w:r w:rsidR="001D5737">
        <w:t>It is therefore fitting that the importance of these sites is recognised not just for their own importance in the heritage of Wales</w:t>
      </w:r>
      <w:r w:rsidR="00B75891">
        <w:t>,</w:t>
      </w:r>
      <w:r w:rsidR="001D5737">
        <w:t xml:space="preserve"> but also as representatives of the wider changes which occurred during the nineteenth century.</w:t>
      </w:r>
      <w:r w:rsidR="003723A7">
        <w:t xml:space="preserve"> All three of these sites now serve the tourist industry, bringing much needed revenue to support the weak</w:t>
      </w:r>
      <w:r w:rsidR="007F7F21">
        <w:t>ened economy in</w:t>
      </w:r>
      <w:r w:rsidR="003723A7">
        <w:t xml:space="preserve"> these formerly important areas.</w:t>
      </w:r>
    </w:p>
    <w:p w14:paraId="5DE925AD" w14:textId="55E5124C" w:rsidR="00B50631" w:rsidRDefault="00B50631" w:rsidP="009B1BAD">
      <w:pPr>
        <w:spacing w:line="480" w:lineRule="auto"/>
      </w:pPr>
      <w:r>
        <w:t xml:space="preserve">Blaenavon Industrial Landscape was added to UNESCO’s World Heritage List in November 2000. </w:t>
      </w:r>
      <w:r w:rsidR="00D77711">
        <w:t xml:space="preserve">The successful bid to include Blaenavon on the List </w:t>
      </w:r>
      <w:r w:rsidR="009B1BAD">
        <w:t xml:space="preserve">could be attributed to the remarkable state of preservation of the industrial </w:t>
      </w:r>
      <w:r w:rsidR="00D77711">
        <w:t>remains within</w:t>
      </w:r>
      <w:r w:rsidR="009B1BAD">
        <w:t xml:space="preserve"> the Blae</w:t>
      </w:r>
      <w:r w:rsidR="00F35539">
        <w:t>n</w:t>
      </w:r>
      <w:r w:rsidR="009B1BAD">
        <w:t>avon area.</w:t>
      </w:r>
      <w:r w:rsidR="00D77711">
        <w:t xml:space="preserve"> </w:t>
      </w:r>
      <w:r w:rsidR="006B6EF4">
        <w:t>Calvin J</w:t>
      </w:r>
      <w:r w:rsidR="00F84318">
        <w:t>ones and Max Munday assert that the abandonment and neglect of Blaenavon</w:t>
      </w:r>
      <w:r w:rsidR="00D24028">
        <w:t xml:space="preserve"> </w:t>
      </w:r>
      <w:r w:rsidR="00F84318">
        <w:t>might unintentionally have preserved the site.</w:t>
      </w:r>
      <w:r w:rsidR="00622EC2">
        <w:rPr>
          <w:rStyle w:val="FootnoteReference"/>
        </w:rPr>
        <w:footnoteReference w:id="1"/>
      </w:r>
      <w:r w:rsidR="00F84318">
        <w:t xml:space="preserve"> </w:t>
      </w:r>
      <w:r w:rsidR="00157F96">
        <w:t>T</w:t>
      </w:r>
      <w:r w:rsidR="00D24028">
        <w:t>he Ironworks</w:t>
      </w:r>
      <w:r w:rsidR="00157F96">
        <w:t xml:space="preserve"> closed in </w:t>
      </w:r>
      <w:r w:rsidR="00805DB1">
        <w:t>1922 and</w:t>
      </w:r>
      <w:r w:rsidR="00D24028">
        <w:t xml:space="preserve"> Big Pit</w:t>
      </w:r>
      <w:r w:rsidR="00157F96">
        <w:t xml:space="preserve"> in 1980</w:t>
      </w:r>
      <w:r w:rsidR="00D24028">
        <w:t>.</w:t>
      </w:r>
      <w:r w:rsidR="00D24028">
        <w:rPr>
          <w:rStyle w:val="FootnoteReference"/>
        </w:rPr>
        <w:footnoteReference w:id="2"/>
      </w:r>
      <w:r w:rsidR="00D24028">
        <w:t xml:space="preserve"> </w:t>
      </w:r>
      <w:r w:rsidR="00F84318">
        <w:t xml:space="preserve">Blaenavon’s comparative remoteness at the upper end of the </w:t>
      </w:r>
      <w:proofErr w:type="spellStart"/>
      <w:r w:rsidR="00F84318">
        <w:t>Afon</w:t>
      </w:r>
      <w:proofErr w:type="spellEnd"/>
      <w:r w:rsidR="00F84318">
        <w:t xml:space="preserve"> </w:t>
      </w:r>
      <w:proofErr w:type="spellStart"/>
      <w:r w:rsidR="00F84318">
        <w:t>Llwyd</w:t>
      </w:r>
      <w:proofErr w:type="spellEnd"/>
      <w:r w:rsidR="00F84318">
        <w:t xml:space="preserve"> valley, </w:t>
      </w:r>
      <w:r w:rsidR="00210386">
        <w:t xml:space="preserve">resulted in </w:t>
      </w:r>
      <w:r w:rsidR="00F84318">
        <w:t xml:space="preserve">the land </w:t>
      </w:r>
      <w:r w:rsidR="00210386">
        <w:t xml:space="preserve">being </w:t>
      </w:r>
      <w:r w:rsidR="004F7648">
        <w:t xml:space="preserve">deemed </w:t>
      </w:r>
      <w:r w:rsidR="00F84318">
        <w:t>economically unnecessary for redevelopment</w:t>
      </w:r>
      <w:r w:rsidR="00FD6E9A">
        <w:t xml:space="preserve"> </w:t>
      </w:r>
      <w:r w:rsidR="00805DB1">
        <w:t>once industry ceased</w:t>
      </w:r>
      <w:r w:rsidR="00947912">
        <w:t>,</w:t>
      </w:r>
      <w:r w:rsidR="00805DB1">
        <w:t xml:space="preserve"> </w:t>
      </w:r>
      <w:r w:rsidR="00FD6E9A">
        <w:t xml:space="preserve">as more accessible brownfield sites were available closer to </w:t>
      </w:r>
      <w:r w:rsidR="00B75891">
        <w:t xml:space="preserve">existing </w:t>
      </w:r>
      <w:r w:rsidR="00FD6E9A">
        <w:t>transport links</w:t>
      </w:r>
      <w:r w:rsidR="00805DB1">
        <w:t>.</w:t>
      </w:r>
      <w:r w:rsidR="00FD6E9A">
        <w:t xml:space="preserve"> </w:t>
      </w:r>
      <w:r w:rsidR="00622EC2">
        <w:t xml:space="preserve">This </w:t>
      </w:r>
      <w:r w:rsidR="00805DB1">
        <w:t>led</w:t>
      </w:r>
      <w:r w:rsidR="004F7648">
        <w:t xml:space="preserve"> to </w:t>
      </w:r>
      <w:r w:rsidR="00622EC2">
        <w:t xml:space="preserve">the </w:t>
      </w:r>
      <w:r w:rsidR="004F7648">
        <w:t xml:space="preserve">various </w:t>
      </w:r>
      <w:r w:rsidR="00622EC2">
        <w:t>si</w:t>
      </w:r>
      <w:r w:rsidR="004F7648">
        <w:t>t</w:t>
      </w:r>
      <w:r w:rsidR="00622EC2">
        <w:t xml:space="preserve">es within the </w:t>
      </w:r>
      <w:r w:rsidR="00805DB1">
        <w:t xml:space="preserve">Blaenavon </w:t>
      </w:r>
      <w:r w:rsidR="00622EC2">
        <w:t xml:space="preserve">Landscape </w:t>
      </w:r>
      <w:r w:rsidR="004F7648">
        <w:t xml:space="preserve">being simply </w:t>
      </w:r>
      <w:r w:rsidR="00622EC2">
        <w:t xml:space="preserve">abandoned. </w:t>
      </w:r>
      <w:r w:rsidR="00D77711">
        <w:t>Furthermore,</w:t>
      </w:r>
      <w:r w:rsidR="006B6EF4">
        <w:t xml:space="preserve"> the successful bid might also </w:t>
      </w:r>
      <w:r w:rsidR="00622EC2">
        <w:t>have been</w:t>
      </w:r>
      <w:r w:rsidR="006B6EF4">
        <w:t xml:space="preserve"> the result of</w:t>
      </w:r>
      <w:r w:rsidR="00D77711">
        <w:t xml:space="preserve"> the </w:t>
      </w:r>
      <w:r w:rsidR="008A2435">
        <w:t xml:space="preserve">diversity </w:t>
      </w:r>
      <w:r w:rsidR="00D77711">
        <w:t>of</w:t>
      </w:r>
      <w:r w:rsidR="006B6EF4">
        <w:t xml:space="preserve"> raw materials</w:t>
      </w:r>
      <w:r w:rsidR="00D77711">
        <w:t xml:space="preserve"> necessary for iron production</w:t>
      </w:r>
      <w:r w:rsidR="008A2435">
        <w:t>. C</w:t>
      </w:r>
      <w:r w:rsidR="006B6EF4">
        <w:t>oal, iron ore and limestone</w:t>
      </w:r>
      <w:r w:rsidR="00D77711">
        <w:t xml:space="preserve"> </w:t>
      </w:r>
      <w:r w:rsidR="006B6EF4">
        <w:t xml:space="preserve">being </w:t>
      </w:r>
      <w:r w:rsidR="00D77711">
        <w:t xml:space="preserve">present within </w:t>
      </w:r>
      <w:r w:rsidR="006B6EF4">
        <w:t xml:space="preserve">a small </w:t>
      </w:r>
      <w:r w:rsidR="006B6EF4">
        <w:lastRenderedPageBreak/>
        <w:t>geographical area</w:t>
      </w:r>
      <w:r w:rsidR="008A2435">
        <w:t xml:space="preserve"> close to Blaenavon. </w:t>
      </w:r>
      <w:r w:rsidR="00F35539">
        <w:t xml:space="preserve"> </w:t>
      </w:r>
      <w:r w:rsidR="004F7648">
        <w:t xml:space="preserve">This was </w:t>
      </w:r>
      <w:r w:rsidR="00947912">
        <w:t xml:space="preserve">unusual and </w:t>
      </w:r>
      <w:r w:rsidR="008A2435">
        <w:t xml:space="preserve">was </w:t>
      </w:r>
      <w:r w:rsidR="004F7648">
        <w:t xml:space="preserve">not the case in most ironworks where one or more of the necessary raw materials had to be transported some distance. </w:t>
      </w:r>
      <w:r w:rsidR="006B6EF4">
        <w:t>Th</w:t>
      </w:r>
      <w:r w:rsidR="004F7648">
        <w:t>ese factors</w:t>
      </w:r>
      <w:r w:rsidR="006B6EF4">
        <w:t xml:space="preserve"> make</w:t>
      </w:r>
      <w:r w:rsidR="00D77711">
        <w:t xml:space="preserve"> Blaenavon an outstanding example of </w:t>
      </w:r>
      <w:r w:rsidR="004F7648">
        <w:t xml:space="preserve">preserved </w:t>
      </w:r>
      <w:r w:rsidR="00D77711">
        <w:t xml:space="preserve">industrial archaeology in comparison to other </w:t>
      </w:r>
      <w:r w:rsidR="006B6EF4">
        <w:t>iron production</w:t>
      </w:r>
      <w:r w:rsidR="00D77711">
        <w:t xml:space="preserve"> sites in </w:t>
      </w:r>
      <w:r w:rsidR="00F35539">
        <w:t>S</w:t>
      </w:r>
      <w:r w:rsidR="00D77711">
        <w:t>outh Wales</w:t>
      </w:r>
      <w:r w:rsidR="00F35539">
        <w:t>,</w:t>
      </w:r>
      <w:r w:rsidR="00D77711">
        <w:t xml:space="preserve"> such as the </w:t>
      </w:r>
      <w:r w:rsidR="00CA13E1">
        <w:t xml:space="preserve">Bedford Ironworks at </w:t>
      </w:r>
      <w:proofErr w:type="spellStart"/>
      <w:r w:rsidR="00CA13E1">
        <w:t>Cefn</w:t>
      </w:r>
      <w:proofErr w:type="spellEnd"/>
      <w:r w:rsidR="00CA13E1">
        <w:t xml:space="preserve"> </w:t>
      </w:r>
      <w:proofErr w:type="spellStart"/>
      <w:r w:rsidR="00CA13E1">
        <w:t>Cribwr</w:t>
      </w:r>
      <w:proofErr w:type="spellEnd"/>
      <w:r w:rsidR="00CA13E1">
        <w:t>.</w:t>
      </w:r>
    </w:p>
    <w:p w14:paraId="731912ED" w14:textId="662B04D8" w:rsidR="001A61DA" w:rsidRDefault="001A61DA" w:rsidP="009B1BAD">
      <w:pPr>
        <w:spacing w:line="480" w:lineRule="auto"/>
      </w:pPr>
      <w:r>
        <w:t>For these reasons Blaenavon was granted inclusion on the UNESCO World Heritage List. There are no examples of intangible heritage listed for Wale</w:t>
      </w:r>
      <w:r w:rsidR="00A519AF">
        <w:t>s</w:t>
      </w:r>
      <w:r w:rsidR="001804F6">
        <w:t>,</w:t>
      </w:r>
      <w:r w:rsidR="00A519AF">
        <w:t xml:space="preserve"> accordingly t</w:t>
      </w:r>
      <w:r>
        <w:t xml:space="preserve">he four Welsh entries on the List are therefore examples of tangible heritage. The industrial remains of Blaenavon are listed on the basis of criteria three and four of the ten possible </w:t>
      </w:r>
      <w:bookmarkStart w:id="2" w:name="_Hlk96365382"/>
      <w:r w:rsidRPr="001A61DA">
        <w:rPr>
          <w:i/>
          <w:iCs/>
        </w:rPr>
        <w:t>Criteria for Selection</w:t>
      </w:r>
      <w:r>
        <w:t xml:space="preserve"> used by UNESCO</w:t>
      </w:r>
      <w:bookmarkEnd w:id="2"/>
      <w:r>
        <w:t>.</w:t>
      </w:r>
      <w:r>
        <w:rPr>
          <w:rStyle w:val="FootnoteReference"/>
        </w:rPr>
        <w:footnoteReference w:id="3"/>
      </w:r>
      <w:r>
        <w:t xml:space="preserve"> </w:t>
      </w:r>
      <w:r w:rsidR="007104DB">
        <w:t xml:space="preserve">Both </w:t>
      </w:r>
      <w:r w:rsidR="00154017">
        <w:t xml:space="preserve">these </w:t>
      </w:r>
      <w:r w:rsidR="007104DB">
        <w:t>criteria are concerned with the man-made environment as opposed to natural landscapes. Criteri</w:t>
      </w:r>
      <w:r w:rsidR="00945C46">
        <w:t>on</w:t>
      </w:r>
      <w:r w:rsidR="007104DB">
        <w:t xml:space="preserve"> four is particularly concerned with buildings which may be involved in technologies which represent a specific period. In the case of Blaenavon the iron works represents the period when coal rather than charcoal was used to produce iron. Although Abraham Darby’s discovery of the use of coal </w:t>
      </w:r>
      <w:r w:rsidR="001804F6">
        <w:t>for</w:t>
      </w:r>
      <w:r w:rsidR="007104DB">
        <w:t xml:space="preserve"> smelting took place in Ironbridge in 1707, it was not </w:t>
      </w:r>
      <w:r w:rsidR="001804F6">
        <w:t>until</w:t>
      </w:r>
      <w:r w:rsidR="007104DB">
        <w:t xml:space="preserve"> 1788 that the Blaenavon Ironworks started production.</w:t>
      </w:r>
      <w:r w:rsidR="001804F6">
        <w:t xml:space="preserve"> The works was in continuous production until 190</w:t>
      </w:r>
      <w:r w:rsidR="00F81AA3">
        <w:t>4 and partial production for two decades subsequent to this date</w:t>
      </w:r>
      <w:r w:rsidR="001804F6">
        <w:t xml:space="preserve">. </w:t>
      </w:r>
    </w:p>
    <w:p w14:paraId="6B003C41" w14:textId="1F69F4A6" w:rsidR="00ED7BC8" w:rsidRDefault="00195FDC" w:rsidP="009B1BAD">
      <w:pPr>
        <w:spacing w:line="480" w:lineRule="auto"/>
      </w:pPr>
      <w:r>
        <w:t>UNESCO notes that t</w:t>
      </w:r>
      <w:r w:rsidR="00ED7BC8">
        <w:t xml:space="preserve">he outstanding buildings in the Landscape are the ironworks and Big Pit, where several of the pit head buildings are still in </w:t>
      </w:r>
      <w:r>
        <w:t>existence</w:t>
      </w:r>
      <w:r w:rsidR="00ED7BC8">
        <w:t>.</w:t>
      </w:r>
      <w:r>
        <w:rPr>
          <w:rStyle w:val="FootnoteReference"/>
        </w:rPr>
        <w:footnoteReference w:id="4"/>
      </w:r>
      <w:r w:rsidR="00ED7BC8">
        <w:t xml:space="preserve"> The mine shaft itself is still used to take tourists underground via the lift which was </w:t>
      </w:r>
      <w:r w:rsidR="007B0D60">
        <w:t xml:space="preserve">formerly </w:t>
      </w:r>
      <w:r w:rsidR="00ED7BC8">
        <w:t>used to take miners to the coal face</w:t>
      </w:r>
      <w:r w:rsidR="00D20000">
        <w:t xml:space="preserve"> and </w:t>
      </w:r>
      <w:r w:rsidR="00BF4060">
        <w:t xml:space="preserve">enables </w:t>
      </w:r>
      <w:r w:rsidR="00D20000">
        <w:t>t</w:t>
      </w:r>
      <w:r w:rsidR="00ED7BC8">
        <w:t xml:space="preserve">ourists </w:t>
      </w:r>
      <w:r w:rsidR="00BF4060">
        <w:t>to</w:t>
      </w:r>
      <w:r w:rsidR="00D20000">
        <w:t xml:space="preserve"> see</w:t>
      </w:r>
      <w:r w:rsidR="00ED7BC8">
        <w:t xml:space="preserve"> the coal face and workings at close quarters.</w:t>
      </w:r>
      <w:r w:rsidR="000275E4">
        <w:t xml:space="preserve"> Retired miners are used as guides in the pit which gives a community involvement in the running of the site.</w:t>
      </w:r>
      <w:r w:rsidR="00C5113C">
        <w:t xml:space="preserve"> The listing also notes the remains of iron ore mines</w:t>
      </w:r>
      <w:r w:rsidR="0064114C">
        <w:t xml:space="preserve"> and</w:t>
      </w:r>
      <w:r w:rsidR="00C5113C">
        <w:t xml:space="preserve"> quarries including the means of transportation </w:t>
      </w:r>
      <w:r w:rsidR="00154017">
        <w:t xml:space="preserve">of raw materials </w:t>
      </w:r>
      <w:r w:rsidR="00C5113C">
        <w:t xml:space="preserve">via rail and canal. </w:t>
      </w:r>
      <w:r w:rsidR="0064114C">
        <w:t>W</w:t>
      </w:r>
      <w:r w:rsidR="00C5113C">
        <w:t xml:space="preserve">orker’s homes located </w:t>
      </w:r>
      <w:r w:rsidR="0064114C">
        <w:t>near to</w:t>
      </w:r>
      <w:r w:rsidR="00C5113C">
        <w:t xml:space="preserve"> the blast furnace along with the evidence of social </w:t>
      </w:r>
      <w:r w:rsidR="00C5113C">
        <w:lastRenderedPageBreak/>
        <w:t>infrastructure is also noted.</w:t>
      </w:r>
      <w:r w:rsidR="00C5113C">
        <w:rPr>
          <w:rStyle w:val="FootnoteReference"/>
        </w:rPr>
        <w:footnoteReference w:id="5"/>
      </w:r>
      <w:r w:rsidR="00362B57">
        <w:t xml:space="preserve"> The Blaenavon Industrial Landscape is an area which encapsulates the </w:t>
      </w:r>
      <w:r w:rsidR="00154017">
        <w:t>life</w:t>
      </w:r>
      <w:r w:rsidR="00362B57">
        <w:t xml:space="preserve"> of </w:t>
      </w:r>
      <w:r w:rsidR="0064114C">
        <w:t xml:space="preserve">a </w:t>
      </w:r>
      <w:r w:rsidR="00362B57">
        <w:t>community</w:t>
      </w:r>
      <w:r w:rsidR="00C907C7">
        <w:t xml:space="preserve"> living and working in </w:t>
      </w:r>
      <w:r w:rsidR="0064114C">
        <w:t xml:space="preserve">Welsh </w:t>
      </w:r>
      <w:r w:rsidR="00C907C7">
        <w:t xml:space="preserve">heavy industry during </w:t>
      </w:r>
      <w:r w:rsidR="008F6833">
        <w:t>the nineteenth</w:t>
      </w:r>
      <w:r w:rsidR="00C907C7">
        <w:t xml:space="preserve"> century.</w:t>
      </w:r>
    </w:p>
    <w:p w14:paraId="5CE20551" w14:textId="4C819888" w:rsidR="008F6833" w:rsidRDefault="008F6833" w:rsidP="009B1BAD">
      <w:pPr>
        <w:spacing w:line="480" w:lineRule="auto"/>
      </w:pPr>
      <w:r>
        <w:t xml:space="preserve">Hence, the Blaenavon Industrial Landscape typifies </w:t>
      </w:r>
      <w:r w:rsidR="00232B20">
        <w:t>all</w:t>
      </w:r>
      <w:r>
        <w:t xml:space="preserve"> other World Heritage sites in that it represents an example of the actor network theory.</w:t>
      </w:r>
      <w:r>
        <w:rPr>
          <w:rStyle w:val="FootnoteReference"/>
        </w:rPr>
        <w:footnoteReference w:id="6"/>
      </w:r>
      <w:r w:rsidR="006336B2">
        <w:t xml:space="preserve">  As noted in the original </w:t>
      </w:r>
      <w:r w:rsidR="00BF49DC">
        <w:t>UNESCO</w:t>
      </w:r>
      <w:r w:rsidR="006336B2">
        <w:t xml:space="preserve"> listing in addition </w:t>
      </w:r>
      <w:r w:rsidR="00BF49DC">
        <w:t>to the</w:t>
      </w:r>
      <w:r w:rsidR="006336B2">
        <w:t xml:space="preserve"> physical, tangible remains, there exists evidence of a distinctive </w:t>
      </w:r>
      <w:r w:rsidR="00BF49DC">
        <w:t>socio-economic</w:t>
      </w:r>
      <w:r w:rsidR="006336B2">
        <w:t xml:space="preserve"> system of ‘patronage and the social structure of the community’.</w:t>
      </w:r>
      <w:r w:rsidR="006336B2">
        <w:rPr>
          <w:rStyle w:val="FootnoteReference"/>
        </w:rPr>
        <w:footnoteReference w:id="7"/>
      </w:r>
      <w:r w:rsidR="00BF49DC">
        <w:t xml:space="preserve"> </w:t>
      </w:r>
      <w:r w:rsidR="00770B28">
        <w:t xml:space="preserve">Within the Landscape there are forty-five listed buildings. </w:t>
      </w:r>
      <w:r w:rsidR="00870595">
        <w:t xml:space="preserve">As well as </w:t>
      </w:r>
      <w:r w:rsidR="00770B28">
        <w:t>several buildings directly connected to the iron industry such as the grade one listed Balance Tower located at the Ironworks site</w:t>
      </w:r>
      <w:r w:rsidR="00F201B9">
        <w:t xml:space="preserve">. However, </w:t>
      </w:r>
      <w:r w:rsidR="00770B28">
        <w:t xml:space="preserve">several of the listed buildings are related to aspects of nineteenth century Blaenavon which are not work related. An example of this type of actor are the </w:t>
      </w:r>
      <w:r w:rsidR="00870595">
        <w:t>three</w:t>
      </w:r>
      <w:r w:rsidR="00770B28">
        <w:t xml:space="preserve"> buildings of St Peter’s School all located in Church Road, Blaenavon.</w:t>
      </w:r>
      <w:r w:rsidR="00770B28">
        <w:rPr>
          <w:rStyle w:val="FootnoteReference"/>
        </w:rPr>
        <w:footnoteReference w:id="8"/>
      </w:r>
      <w:r w:rsidR="00924C61">
        <w:t xml:space="preserve"> Blaenavon continues to evolve as it uses its UNESCO listing to attract tourists. Jones and Munday assert that this is not without some difficulties as the local workforce did not appear to possess the necessary skills and financial wherewithal to adapt to the latest chapter in</w:t>
      </w:r>
      <w:r w:rsidR="00E81DAA">
        <w:t xml:space="preserve"> B</w:t>
      </w:r>
      <w:r w:rsidR="00924C61">
        <w:t>laenavon’s history.</w:t>
      </w:r>
      <w:r w:rsidR="00E81DAA">
        <w:rPr>
          <w:rStyle w:val="FootnoteReference"/>
        </w:rPr>
        <w:footnoteReference w:id="9"/>
      </w:r>
      <w:r w:rsidR="00870595">
        <w:t xml:space="preserve"> </w:t>
      </w:r>
      <w:r w:rsidR="003322E6">
        <w:t>Blaenavon</w:t>
      </w:r>
      <w:r w:rsidR="00870595">
        <w:t xml:space="preserve"> after a period of dormancy</w:t>
      </w:r>
      <w:r w:rsidR="003322E6">
        <w:t xml:space="preserve"> continues to develop whilst trying to engage and involve the local community.</w:t>
      </w:r>
    </w:p>
    <w:p w14:paraId="38FDDDF8" w14:textId="155C891D" w:rsidR="00E22CC4" w:rsidRDefault="00E22CC4" w:rsidP="009B1BAD">
      <w:pPr>
        <w:spacing w:line="480" w:lineRule="auto"/>
      </w:pPr>
      <w:r>
        <w:t>In cont</w:t>
      </w:r>
      <w:r w:rsidR="00592AFE">
        <w:t>r</w:t>
      </w:r>
      <w:r>
        <w:t>ast to the picture of Welsh eighteenth-</w:t>
      </w:r>
      <w:r w:rsidR="00592AFE">
        <w:t xml:space="preserve">century life </w:t>
      </w:r>
      <w:r>
        <w:t xml:space="preserve">presented by the Blaenavon Industrial Landscape via traces, messages and memories, the Pontcysyllte Aqueduct and canal </w:t>
      </w:r>
      <w:r w:rsidR="00592AFE">
        <w:t>offers a</w:t>
      </w:r>
      <w:r w:rsidR="006515E9">
        <w:t xml:space="preserve"> different </w:t>
      </w:r>
      <w:r w:rsidR="00592AFE">
        <w:t xml:space="preserve">aspect </w:t>
      </w:r>
      <w:r w:rsidR="00F94FE6">
        <w:t>of</w:t>
      </w:r>
      <w:r w:rsidR="00592AFE">
        <w:t xml:space="preserve"> </w:t>
      </w:r>
      <w:r w:rsidR="006515E9">
        <w:t xml:space="preserve">life in </w:t>
      </w:r>
      <w:r w:rsidR="00592AFE">
        <w:t xml:space="preserve">nineteenth century </w:t>
      </w:r>
      <w:r w:rsidR="006515E9">
        <w:t>Wales</w:t>
      </w:r>
      <w:r w:rsidR="00592AFE">
        <w:t xml:space="preserve">. </w:t>
      </w:r>
      <w:r w:rsidR="00F94FE6">
        <w:t xml:space="preserve">The Aqueduct represents one aspect of the transport infrastructure and networks which evolved to meet the needs of heavy industry in Wales during the period from the late eighteenth century through to the twentieth century. </w:t>
      </w:r>
      <w:r w:rsidR="00592AFE">
        <w:t>The Aqueduct and canal were inscribed by UNESCO in 2009, nine years after Blaenavon</w:t>
      </w:r>
      <w:r w:rsidR="005F638F">
        <w:t xml:space="preserve">’s inclusion on the Heritage List. </w:t>
      </w:r>
      <w:r w:rsidR="006515E9">
        <w:t xml:space="preserve">In common with Blaenavon, the Aqueduct also relates to heavy industry in that its construction </w:t>
      </w:r>
      <w:r w:rsidR="006515E9">
        <w:lastRenderedPageBreak/>
        <w:t xml:space="preserve">was carried out to serve the needs of the iron and coal industries. However, unlike Blaenavon </w:t>
      </w:r>
      <w:r w:rsidR="00266E34">
        <w:t xml:space="preserve">where the raw materials were all located within a small geographical </w:t>
      </w:r>
      <w:r w:rsidR="00A320C8">
        <w:t>area, the</w:t>
      </w:r>
      <w:r w:rsidR="00266E34">
        <w:t xml:space="preserve"> canal and Aqueduct provided the means of transport for the same resources over a much greater distance.</w:t>
      </w:r>
      <w:r w:rsidR="00A320C8">
        <w:t xml:space="preserve"> </w:t>
      </w:r>
      <w:r w:rsidR="00855177">
        <w:t xml:space="preserve">Pontcysyllte Aqueduct and canal met three of the ten </w:t>
      </w:r>
      <w:r w:rsidR="00855177" w:rsidRPr="001A61DA">
        <w:rPr>
          <w:i/>
          <w:iCs/>
        </w:rPr>
        <w:t>Criteria for Selection</w:t>
      </w:r>
      <w:r w:rsidR="00855177">
        <w:t xml:space="preserve"> used by UNESCO.</w:t>
      </w:r>
      <w:r w:rsidR="00855177">
        <w:rPr>
          <w:rStyle w:val="FootnoteReference"/>
        </w:rPr>
        <w:footnoteReference w:id="10"/>
      </w:r>
    </w:p>
    <w:p w14:paraId="1A04D8CE" w14:textId="44F299B9" w:rsidR="00F94FE6" w:rsidRDefault="00F94FE6" w:rsidP="009B1BAD">
      <w:pPr>
        <w:spacing w:line="480" w:lineRule="auto"/>
      </w:pPr>
      <w:r>
        <w:t>Pon</w:t>
      </w:r>
      <w:r w:rsidR="009941FF">
        <w:t>t</w:t>
      </w:r>
      <w:r>
        <w:t>cysyllte Aqueduct and the canal were inscribed on the basis of criteria one, two and four. Criteri</w:t>
      </w:r>
      <w:r w:rsidR="00945C46">
        <w:t>on</w:t>
      </w:r>
      <w:r>
        <w:t xml:space="preserve"> one concerns human creative endeavour. </w:t>
      </w:r>
      <w:r w:rsidR="009941FF">
        <w:t>The Aqueduct represents the first major civil engineering project undertaken by Thomas Telford. Its use of iron to support the tall arches was unique at this time</w:t>
      </w:r>
      <w:r w:rsidR="008A6344">
        <w:t xml:space="preserve"> and UNESCO noted that during this period Britain was a world leader in iron production and technology.</w:t>
      </w:r>
      <w:r w:rsidR="0020757B">
        <w:rPr>
          <w:rStyle w:val="FootnoteReference"/>
        </w:rPr>
        <w:footnoteReference w:id="11"/>
      </w:r>
      <w:r w:rsidR="009941FF">
        <w:t xml:space="preserve"> Telford himself chose to be depicted against the backdrop of the Aqueduct in his portrait as first president of the Institution of Civil Engineers.</w:t>
      </w:r>
      <w:r w:rsidR="009941FF">
        <w:rPr>
          <w:rStyle w:val="FootnoteReference"/>
        </w:rPr>
        <w:footnoteReference w:id="12"/>
      </w:r>
      <w:r w:rsidR="00B259BF">
        <w:t xml:space="preserve"> This indicates how important this project was to Telford and how well regarded the outcome was. </w:t>
      </w:r>
      <w:r w:rsidR="00945C46">
        <w:t>Criterion two was included as the Aqueduct and canal reflect</w:t>
      </w:r>
      <w:r w:rsidR="008A769C">
        <w:t xml:space="preserve"> the use and development of canals from the second half of the eighteenth century onwards. The particular technical difficulties of constructing a canal in this area warranted its inclusion on the Heritage List. Pontcysyllte and Blaenavon share one criterion in common – criterion four. Whereas Blaenavon represented the actual location for heavy industry as part of the Industrial Revolution, Pontcysyllte represents support via transportation to enable the Industrial Revolution to continue and develop</w:t>
      </w:r>
      <w:r w:rsidR="008A1474">
        <w:t xml:space="preserve"> in areas some distance from its location.</w:t>
      </w:r>
    </w:p>
    <w:p w14:paraId="6CBCE128" w14:textId="37FF1433" w:rsidR="00D84DC2" w:rsidRDefault="00D84DC2" w:rsidP="009B1BAD">
      <w:pPr>
        <w:spacing w:line="480" w:lineRule="auto"/>
      </w:pPr>
      <w:r>
        <w:t xml:space="preserve">Whilst the Aqueduct could arguably be seen as ‘the jewel in the crown’ of this UNESCO World Heritage site, it must be </w:t>
      </w:r>
      <w:r w:rsidR="00F201B9">
        <w:t>remembered</w:t>
      </w:r>
      <w:r>
        <w:t xml:space="preserve"> that eleven miles of the Llangollen Canal are also included in the listing.</w:t>
      </w:r>
      <w:r w:rsidR="00091904">
        <w:t xml:space="preserve">  Civil engineering works are widely seen along this stretch of canal. These include: embankments, tunnels, viaducts, and aqueducts</w:t>
      </w:r>
      <w:r w:rsidR="00564367">
        <w:t xml:space="preserve"> totalling </w:t>
      </w:r>
      <w:r w:rsidR="00C826A8">
        <w:t>thirty-one</w:t>
      </w:r>
      <w:r w:rsidR="00564367">
        <w:t xml:space="preserve"> listed structures.</w:t>
      </w:r>
      <w:r w:rsidR="00CE4FC4">
        <w:rPr>
          <w:rStyle w:val="FootnoteReference"/>
        </w:rPr>
        <w:footnoteReference w:id="13"/>
      </w:r>
      <w:r w:rsidR="00C826A8">
        <w:t xml:space="preserve"> It should be noted that the name ‘Llangollen Canal’ was only adopted fairly recently as the original plans, dated </w:t>
      </w:r>
      <w:r w:rsidR="00C826A8">
        <w:lastRenderedPageBreak/>
        <w:t>1791, refer to the Ellesmere Canal.</w:t>
      </w:r>
      <w:r w:rsidR="008E7234">
        <w:rPr>
          <w:rStyle w:val="FootnoteReference"/>
        </w:rPr>
        <w:footnoteReference w:id="14"/>
      </w:r>
      <w:r w:rsidR="00F91AF2">
        <w:t xml:space="preserve"> The entire planned canal network </w:t>
      </w:r>
      <w:r w:rsidR="00F201B9">
        <w:t xml:space="preserve">in this area </w:t>
      </w:r>
      <w:r w:rsidR="00F91AF2">
        <w:t xml:space="preserve">was never completed. The part of the plan involving the Ellesmere Canal was intended to link the River Mersey with the </w:t>
      </w:r>
      <w:r w:rsidR="001460B1">
        <w:t>R</w:t>
      </w:r>
      <w:r w:rsidR="00F91AF2">
        <w:t>iver Severn.</w:t>
      </w:r>
      <w:r w:rsidR="00F91AF2">
        <w:rPr>
          <w:rStyle w:val="FootnoteReference"/>
        </w:rPr>
        <w:footnoteReference w:id="15"/>
      </w:r>
      <w:r w:rsidR="001460B1">
        <w:t xml:space="preserve"> Cultural memory demonstrated by archaeological remains, as in the case of Blaenavon Industrial Heritage is undisputed as both sites contain many tangible remains. </w:t>
      </w:r>
      <w:r w:rsidR="00DA644E">
        <w:t xml:space="preserve">Messages within cultural memory at both sites are generally related to the heavy industry typical of Wales during the nineteenth century Industrial Revolution </w:t>
      </w:r>
      <w:r w:rsidR="00541B26">
        <w:t>era</w:t>
      </w:r>
      <w:r w:rsidR="00DA644E">
        <w:t xml:space="preserve">. Arguably memories connected to the Blaenavon site </w:t>
      </w:r>
      <w:r w:rsidR="008A1474">
        <w:t>are stronger</w:t>
      </w:r>
      <w:r w:rsidR="00DA644E">
        <w:t xml:space="preserve"> as Big Pit having only closed in 1980 has allowed ex miners to be employed as guides at the site bringing first hand information to the visitor experience.</w:t>
      </w:r>
      <w:r w:rsidR="00094F3C">
        <w:t xml:space="preserve"> </w:t>
      </w:r>
    </w:p>
    <w:p w14:paraId="1753645E" w14:textId="0834E9FD" w:rsidR="00541B26" w:rsidRDefault="00541B26" w:rsidP="009B1BAD">
      <w:pPr>
        <w:spacing w:line="480" w:lineRule="auto"/>
      </w:pPr>
      <w:r>
        <w:t>Pontcysyllte Aqueduct and canal are covered by a detailed and frequently updated management plan.</w:t>
      </w:r>
      <w:r>
        <w:rPr>
          <w:rStyle w:val="FootnoteReference"/>
        </w:rPr>
        <w:footnoteReference w:id="16"/>
      </w:r>
      <w:r>
        <w:t xml:space="preserve"> The plan notes that Pontcysyllte Aqueduct has been in continuous use for two hundred years and is crossed by fifteen thousand boats a year. It has three hundred and thirty thousand visitors a year.</w:t>
      </w:r>
      <w:r w:rsidR="00527F3F">
        <w:t xml:space="preserve"> By comparison Blaenavon has less than half this number. </w:t>
      </w:r>
      <w:r w:rsidR="00EF73E1">
        <w:t>Whilst Blaenavon has used the listed St Peter’s School in the town to create a visitor centre, Pontcysyllte Aqueduct reused a canal side building near the Trevor Basin which is some distance from both the canal and Aqueduct.</w:t>
      </w:r>
      <w:r w:rsidR="001E656D">
        <w:t xml:space="preserve"> The ‘Actor Network’ experience of either sets of visitors would therefore be quite different.</w:t>
      </w:r>
      <w:r w:rsidR="00BE1BDA">
        <w:t xml:space="preserve"> Blaenavon presents a remarkably complete landscape of both the iron </w:t>
      </w:r>
      <w:r w:rsidR="006F6D99">
        <w:t xml:space="preserve">and coal </w:t>
      </w:r>
      <w:r w:rsidR="00BE1BDA">
        <w:t>industr</w:t>
      </w:r>
      <w:r w:rsidR="006F6D99">
        <w:t>ies but also</w:t>
      </w:r>
      <w:r w:rsidR="00BE1BDA">
        <w:t xml:space="preserve"> the domestic lives of the workers within a small area</w:t>
      </w:r>
      <w:r w:rsidR="006F6D99">
        <w:t>,</w:t>
      </w:r>
      <w:r w:rsidR="00BE1BDA">
        <w:t xml:space="preserve"> during the Industrial Revolution. Whilst the Pontcysylltye Aqueduct and eleven mile stretch of the latterly named Llangollen Canal presents less of a nucleated community, </w:t>
      </w:r>
      <w:r w:rsidR="003A7F1F">
        <w:t xml:space="preserve">it </w:t>
      </w:r>
      <w:r w:rsidR="00BE1BDA">
        <w:t xml:space="preserve">represents the technological development of civil </w:t>
      </w:r>
      <w:r w:rsidR="00BF5E81">
        <w:t>engineering to</w:t>
      </w:r>
      <w:r w:rsidR="00BE1BDA">
        <w:t xml:space="preserve"> support heavy industry via transport links.</w:t>
      </w:r>
    </w:p>
    <w:p w14:paraId="68CF6509" w14:textId="6C1AA3A8" w:rsidR="00BA250D" w:rsidRDefault="00BF5E81" w:rsidP="009B1BAD">
      <w:pPr>
        <w:spacing w:line="480" w:lineRule="auto"/>
      </w:pPr>
      <w:r>
        <w:t xml:space="preserve">Accordingly, the inclusion of the Blaenavon Industrial Landscape and Pontcysyllte viaduct </w:t>
      </w:r>
      <w:r w:rsidR="008F3983">
        <w:t xml:space="preserve">and Llangollen Canal </w:t>
      </w:r>
      <w:r>
        <w:t xml:space="preserve">on the UNESCO </w:t>
      </w:r>
      <w:r w:rsidR="008F3983">
        <w:t>World Heritage Property List were for differing reasons and therefore</w:t>
      </w:r>
      <w:r w:rsidR="009D195F">
        <w:t xml:space="preserve"> different</w:t>
      </w:r>
      <w:r w:rsidR="008F3983">
        <w:t xml:space="preserve"> criteria. </w:t>
      </w:r>
      <w:r w:rsidR="009D195F">
        <w:t xml:space="preserve">It is noteworthy that three of the four UNESCO sites in Wales are </w:t>
      </w:r>
      <w:r w:rsidR="009D195F">
        <w:lastRenderedPageBreak/>
        <w:t>included due to their industrial links</w:t>
      </w:r>
      <w:r w:rsidR="00EA3563">
        <w:t xml:space="preserve">, largely during the nineteenth century. </w:t>
      </w:r>
      <w:r w:rsidR="009D195F">
        <w:t xml:space="preserve"> M. Oglethorpe stresses that less than 5% of the listed sites worldwide </w:t>
      </w:r>
      <w:r w:rsidR="004052AC">
        <w:t>are included due to industrial links.</w:t>
      </w:r>
      <w:r w:rsidR="004052AC">
        <w:rPr>
          <w:rStyle w:val="FootnoteReference"/>
        </w:rPr>
        <w:footnoteReference w:id="17"/>
      </w:r>
      <w:r w:rsidR="00EA3563">
        <w:t xml:space="preserve"> Therefore</w:t>
      </w:r>
      <w:r w:rsidR="00B45240">
        <w:t>,</w:t>
      </w:r>
      <w:r w:rsidR="00EA3563">
        <w:t xml:space="preserve"> </w:t>
      </w:r>
      <w:r w:rsidR="00A86526">
        <w:t xml:space="preserve">Wales </w:t>
      </w:r>
      <w:r w:rsidR="00EA3563">
        <w:t>having 75% of</w:t>
      </w:r>
      <w:r w:rsidR="00A86526">
        <w:t xml:space="preserve"> its</w:t>
      </w:r>
      <w:r w:rsidR="00EA3563">
        <w:t xml:space="preserve"> </w:t>
      </w:r>
      <w:r w:rsidR="00B45240">
        <w:t>UNESCO sites listed for industrial links is somewhat unusual</w:t>
      </w:r>
      <w:r w:rsidR="00456FC1">
        <w:t xml:space="preserve"> and reflects the upheaval in the life of Welsh people during this century. The change from an agrarian society to an urban one, whilst not unique in Britain</w:t>
      </w:r>
      <w:r w:rsidR="0026115D">
        <w:t>,</w:t>
      </w:r>
      <w:r w:rsidR="00456FC1">
        <w:t xml:space="preserve"> </w:t>
      </w:r>
      <w:r w:rsidR="0026115D">
        <w:t xml:space="preserve">was </w:t>
      </w:r>
      <w:r w:rsidR="00456FC1">
        <w:t xml:space="preserve">clearly seen in parts of </w:t>
      </w:r>
      <w:r w:rsidR="007475BC">
        <w:t xml:space="preserve">both South and North </w:t>
      </w:r>
      <w:r w:rsidR="00456FC1">
        <w:t xml:space="preserve">Wales. </w:t>
      </w:r>
      <w:r w:rsidR="007475BC">
        <w:t xml:space="preserve">Blaenavon’s comparative remoteness at the head of the </w:t>
      </w:r>
      <w:proofErr w:type="spellStart"/>
      <w:r w:rsidR="007475BC">
        <w:t>Afon</w:t>
      </w:r>
      <w:proofErr w:type="spellEnd"/>
      <w:r w:rsidR="007475BC">
        <w:t xml:space="preserve"> </w:t>
      </w:r>
      <w:proofErr w:type="spellStart"/>
      <w:r w:rsidR="007475BC">
        <w:t>Llwyd</w:t>
      </w:r>
      <w:proofErr w:type="spellEnd"/>
      <w:r w:rsidR="007475BC">
        <w:t xml:space="preserve"> Valley paved the way for inclusion on the List as the </w:t>
      </w:r>
      <w:r w:rsidR="00BB1799">
        <w:t xml:space="preserve">land in this </w:t>
      </w:r>
      <w:r w:rsidR="007475BC">
        <w:t>area had little use for redevelopment. This meant that once the major structures of the sites no longer had economic use</w:t>
      </w:r>
      <w:r w:rsidR="0026115D">
        <w:t>,</w:t>
      </w:r>
      <w:r w:rsidR="007475BC">
        <w:t xml:space="preserve"> they and the community were largely abandoned. Jones and Munday’s assertion that</w:t>
      </w:r>
      <w:r w:rsidR="00504D09">
        <w:t xml:space="preserve"> it was necessary to offer ‘protection of the cultural resource during the diversification and rejuvenation processes’, which has not always been the case in South Wales was unintentionally carried out in Blaenavon</w:t>
      </w:r>
      <w:r w:rsidR="0047112F">
        <w:t xml:space="preserve"> through neglect</w:t>
      </w:r>
      <w:r w:rsidR="00504D09">
        <w:t>.</w:t>
      </w:r>
      <w:r w:rsidR="00504D09">
        <w:rPr>
          <w:rStyle w:val="FootnoteReference"/>
        </w:rPr>
        <w:footnoteReference w:id="18"/>
      </w:r>
      <w:r w:rsidR="00466582">
        <w:t xml:space="preserve"> The extent of community neglect was remarked upon by King Edward VIII in November 1936 </w:t>
      </w:r>
      <w:r w:rsidR="00931487">
        <w:t>whilst</w:t>
      </w:r>
      <w:r w:rsidR="00466582">
        <w:t xml:space="preserve"> visiting Blaenavon he uttered, ‘something must be done’.</w:t>
      </w:r>
      <w:r w:rsidR="00466582">
        <w:rPr>
          <w:rStyle w:val="FootnoteReference"/>
        </w:rPr>
        <w:footnoteReference w:id="19"/>
      </w:r>
      <w:r w:rsidR="00466582">
        <w:t xml:space="preserve"> The iron works had closed fourteen years prior to his visit, although Big Pit was still operating.</w:t>
      </w:r>
      <w:r w:rsidR="0026115D">
        <w:t xml:space="preserve"> Blaenavon’s inclusion on the Heritage List served to illustrate the wider working and living conditions of much of South Wales during the nineteenth century.</w:t>
      </w:r>
      <w:r w:rsidR="00A35ED0">
        <w:t xml:space="preserve"> </w:t>
      </w:r>
      <w:r w:rsidR="0026115D">
        <w:t>By contrast the Pontcysyllte Aqueduct and Llangollen Canal represented ‘a remarkable example of the construction of a human engineered waterway’.</w:t>
      </w:r>
      <w:r w:rsidR="0026115D">
        <w:rPr>
          <w:rStyle w:val="FootnoteReference"/>
        </w:rPr>
        <w:footnoteReference w:id="20"/>
      </w:r>
      <w:r w:rsidR="0026115D">
        <w:t xml:space="preserve"> It is less illustrative of </w:t>
      </w:r>
      <w:r w:rsidR="00A35ED0">
        <w:t xml:space="preserve">a </w:t>
      </w:r>
      <w:r w:rsidR="0026115D">
        <w:t>wider</w:t>
      </w:r>
      <w:r w:rsidR="00A35ED0">
        <w:t>, nucleated</w:t>
      </w:r>
      <w:r w:rsidR="0026115D">
        <w:t xml:space="preserve"> community but was seen by UNESCO as a</w:t>
      </w:r>
      <w:r w:rsidR="005A1121">
        <w:t xml:space="preserve">n outstanding example of </w:t>
      </w:r>
      <w:r w:rsidR="0026115D">
        <w:t>civil engineering which spawned several similar constructions.</w:t>
      </w:r>
      <w:r w:rsidR="00A35ED0">
        <w:t xml:space="preserve"> It is representative of the</w:t>
      </w:r>
      <w:r w:rsidR="007A343D">
        <w:t xml:space="preserve"> civil engineering technology which developed during the</w:t>
      </w:r>
      <w:r w:rsidR="00A35ED0">
        <w:t xml:space="preserve"> era of ‘canal mania’ which lasted from the late seventeenth century into the early part of the eighteenth century.</w:t>
      </w:r>
      <w:r w:rsidR="00BA250D">
        <w:tab/>
      </w:r>
      <w:r w:rsidR="00BA250D">
        <w:tab/>
      </w:r>
      <w:r w:rsidR="00BA250D">
        <w:tab/>
      </w:r>
      <w:r w:rsidR="00BA250D">
        <w:tab/>
      </w:r>
      <w:r w:rsidR="00BA250D">
        <w:tab/>
      </w:r>
      <w:r w:rsidR="00BA250D">
        <w:tab/>
      </w:r>
      <w:r w:rsidR="00BA250D">
        <w:tab/>
        <w:t>1969 words</w:t>
      </w:r>
    </w:p>
    <w:p w14:paraId="31BD6E81" w14:textId="6F8EB7AA" w:rsidR="00097A20" w:rsidRPr="000358D0" w:rsidRDefault="00C2061D" w:rsidP="009B1BAD">
      <w:pPr>
        <w:spacing w:line="480" w:lineRule="auto"/>
        <w:rPr>
          <w:b/>
          <w:bCs/>
        </w:rPr>
      </w:pPr>
      <w:r w:rsidRPr="000358D0">
        <w:rPr>
          <w:b/>
          <w:bCs/>
        </w:rPr>
        <w:lastRenderedPageBreak/>
        <w:t>Bibliography</w:t>
      </w:r>
    </w:p>
    <w:p w14:paraId="33C07424" w14:textId="43ED7D0E" w:rsidR="008C31F1" w:rsidRPr="000358D0" w:rsidRDefault="008C31F1" w:rsidP="009B1BAD">
      <w:pPr>
        <w:spacing w:line="480" w:lineRule="auto"/>
        <w:rPr>
          <w:b/>
          <w:bCs/>
        </w:rPr>
      </w:pPr>
      <w:r w:rsidRPr="000358D0">
        <w:rPr>
          <w:b/>
          <w:bCs/>
        </w:rPr>
        <w:t>Books</w:t>
      </w:r>
    </w:p>
    <w:p w14:paraId="68EBB6D8" w14:textId="2B479113" w:rsidR="004D2D35" w:rsidRDefault="004D2D35" w:rsidP="009B1BAD">
      <w:pPr>
        <w:spacing w:line="480" w:lineRule="auto"/>
      </w:pPr>
      <w:r>
        <w:t xml:space="preserve">Bowen, H.V., </w:t>
      </w:r>
      <w:r w:rsidRPr="00546916">
        <w:rPr>
          <w:i/>
          <w:iCs/>
        </w:rPr>
        <w:t>A New History of Wales</w:t>
      </w:r>
      <w:r>
        <w:t xml:space="preserve"> (Llandysul: Gomer, 2012)</w:t>
      </w:r>
    </w:p>
    <w:p w14:paraId="3D048183" w14:textId="3AAAC5AA" w:rsidR="00097A20" w:rsidRDefault="00097A20" w:rsidP="009B1BAD">
      <w:pPr>
        <w:spacing w:line="480" w:lineRule="auto"/>
      </w:pPr>
      <w:r>
        <w:t>Davies, John</w:t>
      </w:r>
      <w:r w:rsidRPr="00546916">
        <w:rPr>
          <w:i/>
          <w:iCs/>
        </w:rPr>
        <w:t>, A History of Wales</w:t>
      </w:r>
      <w:r>
        <w:t xml:space="preserve"> (London: Penguin, 1993)</w:t>
      </w:r>
    </w:p>
    <w:p w14:paraId="446DCD12" w14:textId="47516750" w:rsidR="00546916" w:rsidRDefault="00546916" w:rsidP="009B1BAD">
      <w:pPr>
        <w:spacing w:line="480" w:lineRule="auto"/>
      </w:pPr>
      <w:r>
        <w:t xml:space="preserve">Evans, D. Gareth, </w:t>
      </w:r>
      <w:r w:rsidRPr="00546916">
        <w:rPr>
          <w:i/>
          <w:iCs/>
        </w:rPr>
        <w:t>A History of Wales 1906 – 2000</w:t>
      </w:r>
      <w:r>
        <w:t xml:space="preserve"> (Cardiff: University of Wales Press, 2000)</w:t>
      </w:r>
    </w:p>
    <w:p w14:paraId="18F54CEB" w14:textId="6F120E16" w:rsidR="00235420" w:rsidRDefault="00235420" w:rsidP="009B1BAD">
      <w:pPr>
        <w:spacing w:line="480" w:lineRule="auto"/>
      </w:pPr>
      <w:r>
        <w:t xml:space="preserve">Harrison, Rodney, </w:t>
      </w:r>
      <w:r w:rsidRPr="00042A8C">
        <w:rPr>
          <w:i/>
          <w:iCs/>
        </w:rPr>
        <w:t xml:space="preserve">Heritage – Critical Approaches </w:t>
      </w:r>
      <w:r>
        <w:t>(Abingdon: Routledge, 2013) e book</w:t>
      </w:r>
    </w:p>
    <w:p w14:paraId="1F386125" w14:textId="1CBADA32" w:rsidR="00235420" w:rsidRDefault="00235420" w:rsidP="009B1BAD">
      <w:pPr>
        <w:spacing w:line="480" w:lineRule="auto"/>
      </w:pPr>
      <w:r>
        <w:t xml:space="preserve">Howard, Peter, </w:t>
      </w:r>
      <w:r w:rsidRPr="00235420">
        <w:rPr>
          <w:i/>
          <w:iCs/>
        </w:rPr>
        <w:t>Heritage – Management, Interpretation, Identity</w:t>
      </w:r>
      <w:r>
        <w:t xml:space="preserve"> (London: Continuum, 2003)</w:t>
      </w:r>
    </w:p>
    <w:p w14:paraId="194EAA0C" w14:textId="7258FED7" w:rsidR="00D2505B" w:rsidRDefault="00D2505B" w:rsidP="009B1BAD">
      <w:pPr>
        <w:spacing w:line="480" w:lineRule="auto"/>
      </w:pPr>
      <w:r>
        <w:t xml:space="preserve">Gower, Jon, </w:t>
      </w:r>
      <w:r w:rsidRPr="00042A8C">
        <w:rPr>
          <w:i/>
          <w:iCs/>
        </w:rPr>
        <w:t>The Story of Wales</w:t>
      </w:r>
      <w:r>
        <w:t xml:space="preserve"> (London: BBC Books, 2012)</w:t>
      </w:r>
    </w:p>
    <w:p w14:paraId="5B35759D" w14:textId="6AB57988" w:rsidR="00042A8C" w:rsidRDefault="00042A8C" w:rsidP="009B1BAD">
      <w:pPr>
        <w:spacing w:line="480" w:lineRule="auto"/>
      </w:pPr>
      <w:proofErr w:type="spellStart"/>
      <w:r>
        <w:t>Meskell</w:t>
      </w:r>
      <w:proofErr w:type="spellEnd"/>
      <w:r>
        <w:t xml:space="preserve">, L., </w:t>
      </w:r>
      <w:r w:rsidRPr="00042A8C">
        <w:rPr>
          <w:i/>
          <w:iCs/>
        </w:rPr>
        <w:t>Global Heritage: A Reader</w:t>
      </w:r>
      <w:r>
        <w:t xml:space="preserve"> (Malden: Wiley Blackwell, 2015)</w:t>
      </w:r>
    </w:p>
    <w:p w14:paraId="318CF196" w14:textId="15D63D41" w:rsidR="008C31F1" w:rsidRDefault="00214760" w:rsidP="009B1BAD">
      <w:pPr>
        <w:spacing w:line="480" w:lineRule="auto"/>
      </w:pPr>
      <w:r>
        <w:t xml:space="preserve">Morgan, Kenneth, O., </w:t>
      </w:r>
      <w:r w:rsidRPr="00546916">
        <w:rPr>
          <w:i/>
          <w:iCs/>
        </w:rPr>
        <w:t>Rebirth of a Nation – Wales</w:t>
      </w:r>
      <w:r w:rsidR="00546916">
        <w:rPr>
          <w:i/>
          <w:iCs/>
        </w:rPr>
        <w:t xml:space="preserve">, </w:t>
      </w:r>
      <w:r w:rsidRPr="00546916">
        <w:rPr>
          <w:i/>
          <w:iCs/>
        </w:rPr>
        <w:t>1880 -1980</w:t>
      </w:r>
      <w:r>
        <w:t xml:space="preserve"> (Oxford, Oxford University Press, 1990)</w:t>
      </w:r>
    </w:p>
    <w:p w14:paraId="56F8AD7F" w14:textId="35B341A9" w:rsidR="00235420" w:rsidRDefault="00235420" w:rsidP="009B1BAD">
      <w:pPr>
        <w:spacing w:line="480" w:lineRule="auto"/>
      </w:pPr>
      <w:r>
        <w:t xml:space="preserve">Silverman, Helaine, Emma Watson and Steve Watson, </w:t>
      </w:r>
      <w:r w:rsidRPr="00235420">
        <w:rPr>
          <w:i/>
          <w:iCs/>
        </w:rPr>
        <w:t>Heritage in Action</w:t>
      </w:r>
      <w:r>
        <w:t xml:space="preserve"> (New York: Springer, 2017)</w:t>
      </w:r>
    </w:p>
    <w:p w14:paraId="645CC47A" w14:textId="3F5B0525" w:rsidR="005812B8" w:rsidRDefault="005812B8" w:rsidP="009B1BAD">
      <w:pPr>
        <w:spacing w:line="480" w:lineRule="auto"/>
      </w:pPr>
      <w:r>
        <w:t xml:space="preserve">Smith, Laura Jane, </w:t>
      </w:r>
      <w:r w:rsidRPr="005812B8">
        <w:rPr>
          <w:i/>
          <w:iCs/>
        </w:rPr>
        <w:t>Uses of Heritage</w:t>
      </w:r>
      <w:r>
        <w:t xml:space="preserve"> (London: Routledge, 2006)</w:t>
      </w:r>
    </w:p>
    <w:p w14:paraId="14CE905D" w14:textId="574988CF" w:rsidR="005E5177" w:rsidRPr="000358D0" w:rsidRDefault="008C31F1" w:rsidP="009B1BAD">
      <w:pPr>
        <w:spacing w:line="480" w:lineRule="auto"/>
        <w:rPr>
          <w:b/>
          <w:bCs/>
        </w:rPr>
      </w:pPr>
      <w:r w:rsidRPr="000358D0">
        <w:rPr>
          <w:b/>
          <w:bCs/>
        </w:rPr>
        <w:t>Online Journal Articles</w:t>
      </w:r>
    </w:p>
    <w:p w14:paraId="1DC0955B" w14:textId="50EBB354" w:rsidR="005E5177" w:rsidRPr="005E5177" w:rsidRDefault="005E5177" w:rsidP="005E5177">
      <w:pPr>
        <w:pStyle w:val="FootnoteText"/>
        <w:rPr>
          <w:sz w:val="22"/>
          <w:szCs w:val="22"/>
        </w:rPr>
      </w:pPr>
      <w:r w:rsidRPr="005E5177">
        <w:rPr>
          <w:sz w:val="22"/>
          <w:szCs w:val="22"/>
        </w:rPr>
        <w:t>Jones</w:t>
      </w:r>
      <w:r>
        <w:rPr>
          <w:sz w:val="22"/>
          <w:szCs w:val="22"/>
        </w:rPr>
        <w:t>, Calvin</w:t>
      </w:r>
      <w:r w:rsidRPr="005E5177">
        <w:rPr>
          <w:sz w:val="22"/>
          <w:szCs w:val="22"/>
        </w:rPr>
        <w:t xml:space="preserve"> and Max Munday, ‘Blaenavon and United Nation’s World Heritage Site status: Is Conservation of Industrial Heritage a Road to Local Economic Development?’, </w:t>
      </w:r>
      <w:r w:rsidRPr="005E5177">
        <w:rPr>
          <w:i/>
          <w:iCs/>
          <w:sz w:val="22"/>
          <w:szCs w:val="22"/>
        </w:rPr>
        <w:t>Regional Studies</w:t>
      </w:r>
      <w:r w:rsidRPr="005E5177">
        <w:rPr>
          <w:sz w:val="22"/>
          <w:szCs w:val="22"/>
        </w:rPr>
        <w:t xml:space="preserve">, 35.6 (2001), 585 – 90 </w:t>
      </w:r>
      <w:bookmarkStart w:id="16" w:name="_Hlk96864101"/>
      <w:r>
        <w:rPr>
          <w:sz w:val="22"/>
          <w:szCs w:val="22"/>
        </w:rPr>
        <w:t>&lt;</w:t>
      </w:r>
      <w:hyperlink r:id="rId7" w:history="1">
        <w:r w:rsidRPr="00AC6E89">
          <w:rPr>
            <w:rStyle w:val="Hyperlink"/>
            <w:sz w:val="22"/>
            <w:szCs w:val="22"/>
          </w:rPr>
          <w:t>http://doi.org/10.18573/wer.172</w:t>
        </w:r>
      </w:hyperlink>
      <w:r w:rsidRPr="005E5177">
        <w:rPr>
          <w:sz w:val="22"/>
          <w:szCs w:val="22"/>
        </w:rPr>
        <w:t>&gt;</w:t>
      </w:r>
    </w:p>
    <w:bookmarkEnd w:id="16"/>
    <w:p w14:paraId="1B94E891" w14:textId="46070CB0" w:rsidR="00546916" w:rsidRDefault="00546916" w:rsidP="009B1BAD">
      <w:pPr>
        <w:spacing w:line="480" w:lineRule="auto"/>
      </w:pPr>
    </w:p>
    <w:p w14:paraId="096CA152" w14:textId="2F64C4B6" w:rsidR="00D2232B" w:rsidRPr="00D2232B" w:rsidRDefault="00D2232B" w:rsidP="00D2232B">
      <w:pPr>
        <w:pStyle w:val="FootnoteText"/>
        <w:rPr>
          <w:sz w:val="22"/>
          <w:szCs w:val="22"/>
        </w:rPr>
      </w:pPr>
      <w:r w:rsidRPr="00D2232B">
        <w:rPr>
          <w:sz w:val="22"/>
          <w:szCs w:val="22"/>
        </w:rPr>
        <w:t>Oglethorpe,</w:t>
      </w:r>
      <w:r>
        <w:rPr>
          <w:sz w:val="22"/>
          <w:szCs w:val="22"/>
        </w:rPr>
        <w:t xml:space="preserve"> M.</w:t>
      </w:r>
      <w:r w:rsidRPr="00D2232B">
        <w:rPr>
          <w:sz w:val="22"/>
          <w:szCs w:val="22"/>
        </w:rPr>
        <w:t xml:space="preserve"> ‘Realising the Benefits of Industrial World Heritage Sites, with Particular Reference to the Forth Bridge’, </w:t>
      </w:r>
      <w:proofErr w:type="spellStart"/>
      <w:r w:rsidRPr="00D2232B">
        <w:rPr>
          <w:i/>
          <w:iCs/>
          <w:sz w:val="22"/>
          <w:szCs w:val="22"/>
        </w:rPr>
        <w:t>Entreprises</w:t>
      </w:r>
      <w:proofErr w:type="spellEnd"/>
      <w:r w:rsidRPr="00D2232B">
        <w:rPr>
          <w:i/>
          <w:iCs/>
          <w:sz w:val="22"/>
          <w:szCs w:val="22"/>
        </w:rPr>
        <w:t xml:space="preserve"> et </w:t>
      </w:r>
      <w:proofErr w:type="spellStart"/>
      <w:r w:rsidRPr="00D2232B">
        <w:rPr>
          <w:i/>
          <w:iCs/>
          <w:sz w:val="22"/>
          <w:szCs w:val="22"/>
        </w:rPr>
        <w:t>Histoire</w:t>
      </w:r>
      <w:proofErr w:type="spellEnd"/>
      <w:r w:rsidRPr="00D2232B">
        <w:rPr>
          <w:sz w:val="22"/>
          <w:szCs w:val="22"/>
        </w:rPr>
        <w:t>, 87 (2017), p.20 &lt;</w:t>
      </w:r>
      <w:hyperlink r:id="rId8" w:history="1">
        <w:r w:rsidRPr="00D2232B">
          <w:rPr>
            <w:rStyle w:val="Hyperlink"/>
            <w:sz w:val="22"/>
            <w:szCs w:val="22"/>
          </w:rPr>
          <w:t>https://www.cairn-int.info/journal-entreprises-et-histoire-2017-2-page-20.htm</w:t>
        </w:r>
      </w:hyperlink>
      <w:r w:rsidRPr="00D2232B">
        <w:rPr>
          <w:sz w:val="22"/>
          <w:szCs w:val="22"/>
        </w:rPr>
        <w:t xml:space="preserve">&gt; [accessed 6 February 2022] </w:t>
      </w:r>
    </w:p>
    <w:p w14:paraId="177E9C00" w14:textId="3B125397" w:rsidR="00D2232B" w:rsidRDefault="00D2232B" w:rsidP="009B1BAD">
      <w:pPr>
        <w:spacing w:line="480" w:lineRule="auto"/>
      </w:pPr>
    </w:p>
    <w:p w14:paraId="491D96AE" w14:textId="31A5B117" w:rsidR="008C31F1" w:rsidRPr="000358D0" w:rsidRDefault="008C31F1" w:rsidP="009B1BAD">
      <w:pPr>
        <w:spacing w:line="480" w:lineRule="auto"/>
        <w:rPr>
          <w:b/>
          <w:bCs/>
        </w:rPr>
      </w:pPr>
      <w:r w:rsidRPr="000358D0">
        <w:rPr>
          <w:b/>
          <w:bCs/>
        </w:rPr>
        <w:t>Websites</w:t>
      </w:r>
    </w:p>
    <w:p w14:paraId="6B224053" w14:textId="3B5ECC0B" w:rsidR="009A5513" w:rsidRDefault="009A5513" w:rsidP="008C31F1">
      <w:pPr>
        <w:spacing w:after="100" w:afterAutospacing="1" w:line="240" w:lineRule="auto"/>
      </w:pPr>
      <w:r w:rsidRPr="00545926">
        <w:rPr>
          <w:i/>
          <w:iCs/>
        </w:rPr>
        <w:t>British Listed Buildings</w:t>
      </w:r>
      <w:r>
        <w:t xml:space="preserve"> &lt;</w:t>
      </w:r>
      <w:hyperlink r:id="rId9" w:anchor=".Yg1XHpbLfct" w:history="1">
        <w:r w:rsidRPr="00AC6E89">
          <w:rPr>
            <w:rStyle w:val="Hyperlink"/>
          </w:rPr>
          <w:t>https://britishlistedbuildings.co.uk/wales/blaenavontorfaen#.Yg1XHpbLfct</w:t>
        </w:r>
      </w:hyperlink>
      <w:r>
        <w:t>&gt; [accessed 16 February 2022]</w:t>
      </w:r>
    </w:p>
    <w:p w14:paraId="62F2BAC2" w14:textId="77777777" w:rsidR="00333AC3" w:rsidRPr="00333AC3" w:rsidRDefault="00333AC3" w:rsidP="00333AC3">
      <w:pPr>
        <w:pStyle w:val="FootnoteText"/>
        <w:rPr>
          <w:sz w:val="22"/>
          <w:szCs w:val="22"/>
        </w:rPr>
      </w:pPr>
      <w:proofErr w:type="spellStart"/>
      <w:r w:rsidRPr="00333AC3">
        <w:rPr>
          <w:i/>
          <w:iCs/>
          <w:sz w:val="22"/>
          <w:szCs w:val="22"/>
        </w:rPr>
        <w:lastRenderedPageBreak/>
        <w:t>DbPedia</w:t>
      </w:r>
      <w:proofErr w:type="spellEnd"/>
      <w:r w:rsidRPr="00333AC3">
        <w:rPr>
          <w:sz w:val="22"/>
          <w:szCs w:val="22"/>
        </w:rPr>
        <w:t xml:space="preserve"> &lt;</w:t>
      </w:r>
      <w:hyperlink r:id="rId10" w:history="1">
        <w:r w:rsidRPr="00333AC3">
          <w:rPr>
            <w:rStyle w:val="Hyperlink"/>
            <w:sz w:val="22"/>
            <w:szCs w:val="22"/>
          </w:rPr>
          <w:t>https://dbpedia.org/page/Llangollen_Canal</w:t>
        </w:r>
      </w:hyperlink>
      <w:proofErr w:type="gramStart"/>
      <w:r w:rsidRPr="00333AC3">
        <w:rPr>
          <w:sz w:val="22"/>
          <w:szCs w:val="22"/>
        </w:rPr>
        <w:t>&gt;[</w:t>
      </w:r>
      <w:proofErr w:type="gramEnd"/>
      <w:r w:rsidRPr="00333AC3">
        <w:rPr>
          <w:sz w:val="22"/>
          <w:szCs w:val="22"/>
        </w:rPr>
        <w:t xml:space="preserve">accessed 25 February 2022] </w:t>
      </w:r>
    </w:p>
    <w:p w14:paraId="3EC685A8" w14:textId="77777777" w:rsidR="00333AC3" w:rsidRDefault="00333AC3" w:rsidP="008C31F1">
      <w:pPr>
        <w:spacing w:after="100" w:afterAutospacing="1" w:line="240" w:lineRule="auto"/>
      </w:pPr>
    </w:p>
    <w:p w14:paraId="5E77C8A2" w14:textId="77777777" w:rsidR="00762108" w:rsidRPr="00762108" w:rsidRDefault="00762108" w:rsidP="00762108">
      <w:pPr>
        <w:pStyle w:val="FootnoteText"/>
        <w:rPr>
          <w:sz w:val="22"/>
          <w:szCs w:val="22"/>
        </w:rPr>
      </w:pPr>
      <w:r w:rsidRPr="00762108">
        <w:rPr>
          <w:sz w:val="22"/>
          <w:szCs w:val="22"/>
        </w:rPr>
        <w:t xml:space="preserve">‘Outstanding Universal Value, Brief Synthesis’, </w:t>
      </w:r>
      <w:r w:rsidRPr="00762108">
        <w:rPr>
          <w:i/>
          <w:iCs/>
          <w:sz w:val="22"/>
          <w:szCs w:val="22"/>
        </w:rPr>
        <w:t>UNESCO</w:t>
      </w:r>
      <w:r w:rsidRPr="00762108">
        <w:rPr>
          <w:sz w:val="22"/>
          <w:szCs w:val="22"/>
        </w:rPr>
        <w:t xml:space="preserve"> &lt;</w:t>
      </w:r>
      <w:hyperlink r:id="rId11" w:history="1">
        <w:r w:rsidRPr="00762108">
          <w:rPr>
            <w:rStyle w:val="Hyperlink"/>
            <w:sz w:val="22"/>
            <w:szCs w:val="22"/>
          </w:rPr>
          <w:t>https://whc.unesco.org/en/list/984/</w:t>
        </w:r>
      </w:hyperlink>
      <w:r w:rsidRPr="00762108">
        <w:rPr>
          <w:sz w:val="22"/>
          <w:szCs w:val="22"/>
        </w:rPr>
        <w:t xml:space="preserve">&gt; [accessed 21 January 2022] </w:t>
      </w:r>
    </w:p>
    <w:p w14:paraId="64F9619F" w14:textId="7014A683" w:rsidR="00333AC3" w:rsidRDefault="00333AC3" w:rsidP="009B1BAD">
      <w:pPr>
        <w:spacing w:line="480" w:lineRule="auto"/>
      </w:pPr>
    </w:p>
    <w:p w14:paraId="5859D754" w14:textId="77777777" w:rsidR="00333AC3" w:rsidRPr="008C31F1" w:rsidRDefault="00333AC3" w:rsidP="00333AC3">
      <w:pPr>
        <w:pStyle w:val="FootnoteText"/>
        <w:rPr>
          <w:sz w:val="22"/>
          <w:szCs w:val="22"/>
        </w:rPr>
      </w:pPr>
      <w:proofErr w:type="spellStart"/>
      <w:r w:rsidRPr="008C31F1">
        <w:rPr>
          <w:i/>
          <w:iCs/>
          <w:sz w:val="22"/>
          <w:szCs w:val="22"/>
        </w:rPr>
        <w:t>Pontcysyllte</w:t>
      </w:r>
      <w:proofErr w:type="spellEnd"/>
      <w:r w:rsidRPr="008C31F1">
        <w:rPr>
          <w:i/>
          <w:iCs/>
          <w:sz w:val="22"/>
          <w:szCs w:val="22"/>
        </w:rPr>
        <w:t xml:space="preserve"> Aqueduct and Canal World</w:t>
      </w:r>
      <w:r w:rsidRPr="008C31F1">
        <w:rPr>
          <w:sz w:val="22"/>
          <w:szCs w:val="22"/>
        </w:rPr>
        <w:t xml:space="preserve"> </w:t>
      </w:r>
      <w:r w:rsidRPr="008C31F1">
        <w:rPr>
          <w:i/>
          <w:iCs/>
          <w:sz w:val="22"/>
          <w:szCs w:val="22"/>
        </w:rPr>
        <w:t>Heritage Site</w:t>
      </w:r>
      <w:r>
        <w:rPr>
          <w:sz w:val="22"/>
          <w:szCs w:val="22"/>
        </w:rPr>
        <w:t xml:space="preserve"> </w:t>
      </w:r>
      <w:r w:rsidRPr="008C31F1">
        <w:rPr>
          <w:sz w:val="22"/>
          <w:szCs w:val="22"/>
        </w:rPr>
        <w:t>&lt;</w:t>
      </w:r>
      <w:hyperlink r:id="rId12" w:history="1">
        <w:r w:rsidRPr="008C31F1">
          <w:rPr>
            <w:rStyle w:val="Hyperlink"/>
            <w:sz w:val="22"/>
            <w:szCs w:val="22"/>
          </w:rPr>
          <w:t>https://www.pontcysyllte-aqueduct.co.uk/</w:t>
        </w:r>
      </w:hyperlink>
      <w:r w:rsidRPr="008C31F1">
        <w:rPr>
          <w:sz w:val="22"/>
          <w:szCs w:val="22"/>
        </w:rPr>
        <w:t>&gt; [accessed 17 February 2022]</w:t>
      </w:r>
    </w:p>
    <w:p w14:paraId="6344DC29" w14:textId="77777777" w:rsidR="00333AC3" w:rsidRDefault="00333AC3" w:rsidP="009B1BAD">
      <w:pPr>
        <w:spacing w:line="480" w:lineRule="auto"/>
      </w:pPr>
    </w:p>
    <w:p w14:paraId="55406E54" w14:textId="3B7F31AB" w:rsidR="00762108" w:rsidRDefault="00762108" w:rsidP="009B1BAD">
      <w:pPr>
        <w:spacing w:line="480" w:lineRule="auto"/>
      </w:pPr>
      <w:r>
        <w:t xml:space="preserve">‘The Criteria for Selection’, </w:t>
      </w:r>
      <w:r w:rsidRPr="009D216D">
        <w:rPr>
          <w:i/>
          <w:iCs/>
        </w:rPr>
        <w:t>UNESCO</w:t>
      </w:r>
      <w:r>
        <w:t xml:space="preserve"> &lt;</w:t>
      </w:r>
      <w:r w:rsidRPr="00064839">
        <w:rPr>
          <w:color w:val="4472C4" w:themeColor="accent1"/>
        </w:rPr>
        <w:t>https: whc.unesco.org &gt;criteria</w:t>
      </w:r>
      <w:r>
        <w:t>&gt; [accessed 21 January 2022]</w:t>
      </w:r>
    </w:p>
    <w:p w14:paraId="42FA9DBE" w14:textId="77777777" w:rsidR="00333AC3" w:rsidRPr="000358D0" w:rsidRDefault="00333AC3" w:rsidP="00333AC3">
      <w:pPr>
        <w:pStyle w:val="FootnoteText"/>
        <w:rPr>
          <w:sz w:val="22"/>
          <w:szCs w:val="22"/>
        </w:rPr>
      </w:pPr>
      <w:r w:rsidRPr="000358D0">
        <w:rPr>
          <w:i/>
          <w:iCs/>
          <w:sz w:val="22"/>
          <w:szCs w:val="22"/>
        </w:rPr>
        <w:t>UNESCO</w:t>
      </w:r>
      <w:r w:rsidRPr="000358D0">
        <w:rPr>
          <w:sz w:val="22"/>
          <w:szCs w:val="22"/>
        </w:rPr>
        <w:t xml:space="preserve"> &lt;</w:t>
      </w:r>
      <w:hyperlink w:history="1">
        <w:r w:rsidRPr="000358D0">
          <w:rPr>
            <w:rStyle w:val="Hyperlink"/>
            <w:sz w:val="22"/>
            <w:szCs w:val="22"/>
          </w:rPr>
          <w:t>https://whc.unesco.org&gt;list</w:t>
        </w:r>
      </w:hyperlink>
      <w:r w:rsidRPr="000358D0">
        <w:rPr>
          <w:sz w:val="22"/>
          <w:szCs w:val="22"/>
        </w:rPr>
        <w:t>&gt; [accessed 6 February 2022]</w:t>
      </w:r>
    </w:p>
    <w:p w14:paraId="23824EFA" w14:textId="77777777" w:rsidR="00333AC3" w:rsidRPr="000358D0" w:rsidRDefault="00333AC3" w:rsidP="00333AC3">
      <w:pPr>
        <w:pStyle w:val="FootnoteText"/>
        <w:rPr>
          <w:sz w:val="22"/>
          <w:szCs w:val="22"/>
        </w:rPr>
      </w:pPr>
    </w:p>
    <w:p w14:paraId="19A134FB" w14:textId="77777777" w:rsidR="00333AC3" w:rsidRDefault="00333AC3" w:rsidP="009B1BAD">
      <w:pPr>
        <w:spacing w:line="480" w:lineRule="auto"/>
      </w:pPr>
    </w:p>
    <w:p w14:paraId="34EA571A" w14:textId="01D55B45" w:rsidR="009A5513" w:rsidRDefault="009A5513" w:rsidP="009B1BAD">
      <w:pPr>
        <w:spacing w:line="480" w:lineRule="auto"/>
      </w:pPr>
      <w:proofErr w:type="gramStart"/>
      <w:r w:rsidRPr="009D216D">
        <w:rPr>
          <w:i/>
          <w:iCs/>
        </w:rPr>
        <w:t>UNESCO</w:t>
      </w:r>
      <w:r>
        <w:t xml:space="preserve"> ,</w:t>
      </w:r>
      <w:proofErr w:type="gramEnd"/>
      <w:r>
        <w:t xml:space="preserve"> &lt;</w:t>
      </w:r>
      <w:hyperlink r:id="rId13" w:history="1">
        <w:r w:rsidRPr="007206CD">
          <w:rPr>
            <w:rStyle w:val="Hyperlink"/>
          </w:rPr>
          <w:t>https://whc.unesco.org/en/list/984/</w:t>
        </w:r>
      </w:hyperlink>
      <w:r>
        <w:t xml:space="preserve"> &gt;</w:t>
      </w:r>
      <w:r w:rsidR="003042FB">
        <w:t>[accessed 21 January 2022]</w:t>
      </w:r>
    </w:p>
    <w:p w14:paraId="1E682800" w14:textId="77777777" w:rsidR="008C31F1" w:rsidRDefault="008C31F1" w:rsidP="009B1BAD">
      <w:pPr>
        <w:spacing w:line="480" w:lineRule="auto"/>
      </w:pPr>
      <w:bookmarkStart w:id="17" w:name="_Hlk96864877"/>
    </w:p>
    <w:bookmarkEnd w:id="17"/>
    <w:sectPr w:rsidR="008C31F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6D3B1" w14:textId="77777777" w:rsidR="00FA7C9E" w:rsidRDefault="00FA7C9E" w:rsidP="00FA7C9E">
      <w:pPr>
        <w:spacing w:after="0" w:line="240" w:lineRule="auto"/>
      </w:pPr>
      <w:r>
        <w:separator/>
      </w:r>
    </w:p>
  </w:endnote>
  <w:endnote w:type="continuationSeparator" w:id="0">
    <w:p w14:paraId="3F12B97A" w14:textId="77777777" w:rsidR="00FA7C9E" w:rsidRDefault="00FA7C9E" w:rsidP="00FA7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184039"/>
      <w:docPartObj>
        <w:docPartGallery w:val="Page Numbers (Bottom of Page)"/>
        <w:docPartUnique/>
      </w:docPartObj>
    </w:sdtPr>
    <w:sdtEndPr>
      <w:rPr>
        <w:noProof/>
      </w:rPr>
    </w:sdtEndPr>
    <w:sdtContent>
      <w:p w14:paraId="02602E0E" w14:textId="52C625AD" w:rsidR="00FA7C9E" w:rsidRDefault="00FA7C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81E7E" w14:textId="77777777" w:rsidR="00FA7C9E" w:rsidRDefault="00FA7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2AD7A" w14:textId="77777777" w:rsidR="00FA7C9E" w:rsidRDefault="00FA7C9E" w:rsidP="00FA7C9E">
      <w:pPr>
        <w:spacing w:after="0" w:line="240" w:lineRule="auto"/>
      </w:pPr>
      <w:r>
        <w:separator/>
      </w:r>
    </w:p>
  </w:footnote>
  <w:footnote w:type="continuationSeparator" w:id="0">
    <w:p w14:paraId="30693ECB" w14:textId="77777777" w:rsidR="00FA7C9E" w:rsidRDefault="00FA7C9E" w:rsidP="00FA7C9E">
      <w:pPr>
        <w:spacing w:after="0" w:line="240" w:lineRule="auto"/>
      </w:pPr>
      <w:r>
        <w:continuationSeparator/>
      </w:r>
    </w:p>
  </w:footnote>
  <w:footnote w:id="1">
    <w:p w14:paraId="6A683715" w14:textId="0FB75574" w:rsidR="00622EC2" w:rsidRPr="005E5177" w:rsidRDefault="00622EC2">
      <w:pPr>
        <w:pStyle w:val="FootnoteText"/>
        <w:rPr>
          <w:sz w:val="22"/>
          <w:szCs w:val="22"/>
        </w:rPr>
      </w:pPr>
      <w:r>
        <w:rPr>
          <w:rStyle w:val="FootnoteReference"/>
        </w:rPr>
        <w:footnoteRef/>
      </w:r>
      <w:r>
        <w:t xml:space="preserve"> </w:t>
      </w:r>
      <w:bookmarkStart w:id="0" w:name="_Hlk96863801"/>
      <w:r>
        <w:t xml:space="preserve">Calvin Jones </w:t>
      </w:r>
      <w:r w:rsidR="00E81DAA">
        <w:t>and</w:t>
      </w:r>
      <w:r>
        <w:t xml:space="preserve"> Max Munday, ‘Blaenavon and United Nation’s World Heritage Site status: Is Conservation of </w:t>
      </w:r>
      <w:r w:rsidR="00980C02">
        <w:t>Industrial</w:t>
      </w:r>
      <w:r>
        <w:t xml:space="preserve"> Heritage a Road to Local Economic Development?’, </w:t>
      </w:r>
      <w:r w:rsidRPr="00980C02">
        <w:rPr>
          <w:i/>
          <w:iCs/>
        </w:rPr>
        <w:t xml:space="preserve">Regional </w:t>
      </w:r>
      <w:r w:rsidR="00980C02" w:rsidRPr="00980C02">
        <w:rPr>
          <w:i/>
          <w:iCs/>
        </w:rPr>
        <w:t>Studies</w:t>
      </w:r>
      <w:r>
        <w:t>, 35.6 (2001),</w:t>
      </w:r>
      <w:r w:rsidR="00980C02">
        <w:t xml:space="preserve"> </w:t>
      </w:r>
      <w:r>
        <w:t>585 – 90 (p.</w:t>
      </w:r>
      <w:r w:rsidR="00980C02">
        <w:t>585)</w:t>
      </w:r>
      <w:r w:rsidR="005E5177">
        <w:t xml:space="preserve"> </w:t>
      </w:r>
      <w:r w:rsidR="005E5177">
        <w:rPr>
          <w:sz w:val="22"/>
          <w:szCs w:val="22"/>
        </w:rPr>
        <w:t>&lt;</w:t>
      </w:r>
      <w:hyperlink r:id="rId1" w:history="1">
        <w:r w:rsidR="005E5177" w:rsidRPr="005E5177">
          <w:rPr>
            <w:rStyle w:val="Hyperlink"/>
          </w:rPr>
          <w:t>http://doi.org/10.18573/wer.172</w:t>
        </w:r>
      </w:hyperlink>
      <w:r w:rsidR="005E5177" w:rsidRPr="005E5177">
        <w:rPr>
          <w:sz w:val="22"/>
          <w:szCs w:val="22"/>
        </w:rPr>
        <w:t>&gt;</w:t>
      </w:r>
    </w:p>
    <w:bookmarkEnd w:id="0"/>
  </w:footnote>
  <w:footnote w:id="2">
    <w:p w14:paraId="1200C69A" w14:textId="4836E583" w:rsidR="00D24028" w:rsidRDefault="00D24028">
      <w:pPr>
        <w:pStyle w:val="FootnoteText"/>
      </w:pPr>
      <w:r>
        <w:rPr>
          <w:rStyle w:val="FootnoteReference"/>
        </w:rPr>
        <w:footnoteRef/>
      </w:r>
      <w:r>
        <w:t xml:space="preserve"> </w:t>
      </w:r>
      <w:bookmarkStart w:id="1" w:name="_Hlk96863219"/>
      <w:r>
        <w:t xml:space="preserve">John Davies, </w:t>
      </w:r>
      <w:r w:rsidRPr="00D24028">
        <w:rPr>
          <w:i/>
          <w:iCs/>
        </w:rPr>
        <w:t>A History of Wales</w:t>
      </w:r>
      <w:r>
        <w:t xml:space="preserve"> (London: Penguin, 1993) </w:t>
      </w:r>
      <w:bookmarkEnd w:id="1"/>
      <w:r>
        <w:t>p.558</w:t>
      </w:r>
    </w:p>
  </w:footnote>
  <w:footnote w:id="3">
    <w:p w14:paraId="6FB3A02A" w14:textId="7A679DBB" w:rsidR="001A61DA" w:rsidRDefault="001A61DA">
      <w:pPr>
        <w:pStyle w:val="FootnoteText"/>
      </w:pPr>
      <w:r>
        <w:rPr>
          <w:rStyle w:val="FootnoteReference"/>
        </w:rPr>
        <w:footnoteRef/>
      </w:r>
      <w:r>
        <w:t xml:space="preserve"> </w:t>
      </w:r>
      <w:bookmarkStart w:id="3" w:name="_Hlk96365426"/>
      <w:r>
        <w:t>‘The Criteria for Selection’</w:t>
      </w:r>
      <w:r w:rsidR="009D216D">
        <w:t>,</w:t>
      </w:r>
      <w:r w:rsidR="00DD221F">
        <w:t xml:space="preserve"> </w:t>
      </w:r>
      <w:bookmarkStart w:id="4" w:name="_Hlk96771457"/>
      <w:r w:rsidR="009D216D" w:rsidRPr="009D216D">
        <w:rPr>
          <w:i/>
          <w:iCs/>
        </w:rPr>
        <w:t>UNESCO</w:t>
      </w:r>
      <w:r w:rsidR="00526A80">
        <w:t xml:space="preserve"> </w:t>
      </w:r>
      <w:bookmarkEnd w:id="4"/>
      <w:r w:rsidR="00526A80">
        <w:t>&lt;</w:t>
      </w:r>
      <w:r w:rsidR="009D216D" w:rsidRPr="00064839">
        <w:rPr>
          <w:color w:val="4472C4" w:themeColor="accent1"/>
        </w:rPr>
        <w:t>https: whc.unesco.org</w:t>
      </w:r>
      <w:r w:rsidR="00526A80" w:rsidRPr="00064839">
        <w:rPr>
          <w:color w:val="4472C4" w:themeColor="accent1"/>
        </w:rPr>
        <w:t xml:space="preserve"> &gt;criteria</w:t>
      </w:r>
      <w:r w:rsidR="00526A80">
        <w:t>&gt; [accessed 21 January 2022]</w:t>
      </w:r>
      <w:bookmarkEnd w:id="3"/>
    </w:p>
  </w:footnote>
  <w:footnote w:id="4">
    <w:p w14:paraId="02625328" w14:textId="77E0B58D" w:rsidR="00195FDC" w:rsidRDefault="00195FDC">
      <w:pPr>
        <w:pStyle w:val="FootnoteText"/>
      </w:pPr>
      <w:r>
        <w:rPr>
          <w:rStyle w:val="FootnoteReference"/>
        </w:rPr>
        <w:footnoteRef/>
      </w:r>
      <w:r>
        <w:t xml:space="preserve"> </w:t>
      </w:r>
      <w:bookmarkStart w:id="5" w:name="_Hlk96864270"/>
      <w:r>
        <w:t>‘Outstanding Universal Value, Brief Synthesis’</w:t>
      </w:r>
      <w:r w:rsidR="00DD221F">
        <w:t xml:space="preserve">, </w:t>
      </w:r>
      <w:r w:rsidR="00DD221F" w:rsidRPr="009D216D">
        <w:rPr>
          <w:i/>
          <w:iCs/>
        </w:rPr>
        <w:t>UNESCO</w:t>
      </w:r>
      <w:r>
        <w:t xml:space="preserve"> </w:t>
      </w:r>
      <w:r w:rsidR="0088213C">
        <w:t>&lt;</w:t>
      </w:r>
      <w:hyperlink r:id="rId2" w:history="1">
        <w:r w:rsidR="0088213C" w:rsidRPr="006A65B7">
          <w:rPr>
            <w:rStyle w:val="Hyperlink"/>
          </w:rPr>
          <w:t>https://whc.unesco.org/en/list/984/</w:t>
        </w:r>
      </w:hyperlink>
      <w:r w:rsidR="0088213C">
        <w:t xml:space="preserve">&gt; [accessed 21 January 2022] </w:t>
      </w:r>
    </w:p>
    <w:bookmarkEnd w:id="5"/>
  </w:footnote>
  <w:footnote w:id="5">
    <w:p w14:paraId="3E57C134" w14:textId="2C8974A0" w:rsidR="00C5113C" w:rsidRPr="00C5113C" w:rsidRDefault="00C5113C">
      <w:pPr>
        <w:pStyle w:val="FootnoteText"/>
        <w:rPr>
          <w:i/>
          <w:iCs/>
        </w:rPr>
      </w:pPr>
      <w:r>
        <w:rPr>
          <w:rStyle w:val="FootnoteReference"/>
        </w:rPr>
        <w:footnoteRef/>
      </w:r>
      <w:r>
        <w:t xml:space="preserve"> </w:t>
      </w:r>
      <w:r w:rsidRPr="00C5113C">
        <w:rPr>
          <w:i/>
          <w:iCs/>
        </w:rPr>
        <w:t>ibid</w:t>
      </w:r>
    </w:p>
  </w:footnote>
  <w:footnote w:id="6">
    <w:p w14:paraId="7D31377A" w14:textId="03D3EBAB" w:rsidR="008F6833" w:rsidRDefault="008F6833">
      <w:pPr>
        <w:pStyle w:val="FootnoteText"/>
      </w:pPr>
      <w:r>
        <w:rPr>
          <w:rStyle w:val="FootnoteReference"/>
        </w:rPr>
        <w:footnoteRef/>
      </w:r>
      <w:r>
        <w:t xml:space="preserve"> ‘Actor Network Theory’, &lt;</w:t>
      </w:r>
      <w:hyperlink r:id="rId3" w:history="1">
        <w:r w:rsidRPr="007206CD">
          <w:rPr>
            <w:rStyle w:val="Hyperlink"/>
          </w:rPr>
          <w:t>https://is.theorizeit.org/wiki/Actor_network_theory</w:t>
        </w:r>
      </w:hyperlink>
      <w:r>
        <w:t xml:space="preserve">&gt; [accessed 17 February 2022] </w:t>
      </w:r>
    </w:p>
  </w:footnote>
  <w:footnote w:id="7">
    <w:p w14:paraId="73A93464" w14:textId="1B7E6E51" w:rsidR="006336B2" w:rsidRDefault="006336B2">
      <w:pPr>
        <w:pStyle w:val="FootnoteText"/>
      </w:pPr>
      <w:r>
        <w:rPr>
          <w:rStyle w:val="FootnoteReference"/>
        </w:rPr>
        <w:footnoteRef/>
      </w:r>
      <w:r>
        <w:t xml:space="preserve"> </w:t>
      </w:r>
      <w:bookmarkStart w:id="6" w:name="_Hlk96864331"/>
      <w:proofErr w:type="gramStart"/>
      <w:r w:rsidR="0038546A" w:rsidRPr="009D216D">
        <w:rPr>
          <w:i/>
          <w:iCs/>
        </w:rPr>
        <w:t>UNESCO</w:t>
      </w:r>
      <w:r w:rsidR="0038546A">
        <w:t xml:space="preserve"> ,</w:t>
      </w:r>
      <w:proofErr w:type="gramEnd"/>
      <w:r w:rsidR="0038546A">
        <w:t xml:space="preserve"> </w:t>
      </w:r>
      <w:r>
        <w:t>&lt;</w:t>
      </w:r>
      <w:hyperlink r:id="rId4" w:history="1">
        <w:r w:rsidRPr="007206CD">
          <w:rPr>
            <w:rStyle w:val="Hyperlink"/>
          </w:rPr>
          <w:t>https://whc.unesco.org/en/list/984/</w:t>
        </w:r>
      </w:hyperlink>
      <w:r>
        <w:t xml:space="preserve"> &gt; </w:t>
      </w:r>
      <w:bookmarkEnd w:id="6"/>
      <w:r>
        <w:t>[accessed 21 January 2022]</w:t>
      </w:r>
    </w:p>
  </w:footnote>
  <w:footnote w:id="8">
    <w:p w14:paraId="6C381829" w14:textId="36E2950E" w:rsidR="00770B28" w:rsidRDefault="00770B28">
      <w:pPr>
        <w:pStyle w:val="FootnoteText"/>
      </w:pPr>
      <w:r>
        <w:rPr>
          <w:rStyle w:val="FootnoteReference"/>
        </w:rPr>
        <w:footnoteRef/>
      </w:r>
      <w:r>
        <w:t xml:space="preserve"> </w:t>
      </w:r>
      <w:bookmarkStart w:id="7" w:name="_Hlk96864388"/>
      <w:r w:rsidR="00545926" w:rsidRPr="00545926">
        <w:rPr>
          <w:i/>
          <w:iCs/>
        </w:rPr>
        <w:t>British Listed Buildings</w:t>
      </w:r>
      <w:r w:rsidR="00545926">
        <w:t xml:space="preserve"> </w:t>
      </w:r>
      <w:r w:rsidR="00CF6517">
        <w:t>&lt;</w:t>
      </w:r>
      <w:hyperlink r:id="rId5" w:anchor=".Yg1XHpbLfct" w:history="1">
        <w:r w:rsidR="00CF6517" w:rsidRPr="007206CD">
          <w:rPr>
            <w:rStyle w:val="Hyperlink"/>
          </w:rPr>
          <w:t>https://britishlistedbuildings.co.uk/wales/blaenavon-torfaen#.Yg1XHpbLfct</w:t>
        </w:r>
      </w:hyperlink>
      <w:r w:rsidR="00CF6517">
        <w:t xml:space="preserve">&gt; [accessed 16 February 2022] </w:t>
      </w:r>
      <w:bookmarkEnd w:id="7"/>
    </w:p>
  </w:footnote>
  <w:footnote w:id="9">
    <w:p w14:paraId="7C18A1F5" w14:textId="66B059C9" w:rsidR="00E81DAA" w:rsidRDefault="00E81DAA">
      <w:pPr>
        <w:pStyle w:val="FootnoteText"/>
      </w:pPr>
      <w:r>
        <w:rPr>
          <w:rStyle w:val="FootnoteReference"/>
        </w:rPr>
        <w:footnoteRef/>
      </w:r>
      <w:r>
        <w:t xml:space="preserve"> </w:t>
      </w:r>
      <w:bookmarkStart w:id="8" w:name="_Hlk96692322"/>
      <w:r>
        <w:t>Jones and Munday</w:t>
      </w:r>
      <w:r w:rsidR="00504D09">
        <w:t>,</w:t>
      </w:r>
      <w:r>
        <w:t xml:space="preserve"> p.589</w:t>
      </w:r>
      <w:bookmarkEnd w:id="8"/>
    </w:p>
  </w:footnote>
  <w:footnote w:id="10">
    <w:p w14:paraId="62511C1A" w14:textId="02A6FD17" w:rsidR="00855177" w:rsidRDefault="00855177">
      <w:pPr>
        <w:pStyle w:val="FootnoteText"/>
      </w:pPr>
      <w:r>
        <w:rPr>
          <w:rStyle w:val="FootnoteReference"/>
        </w:rPr>
        <w:footnoteRef/>
      </w:r>
      <w:r>
        <w:t xml:space="preserve"> ‘The Criteria for Selection’</w:t>
      </w:r>
      <w:r w:rsidR="0047405C">
        <w:t xml:space="preserve">, </w:t>
      </w:r>
      <w:r w:rsidR="0047405C" w:rsidRPr="009D216D">
        <w:rPr>
          <w:i/>
          <w:iCs/>
        </w:rPr>
        <w:t>UNESCO</w:t>
      </w:r>
      <w:r>
        <w:t xml:space="preserve"> &lt;</w:t>
      </w:r>
      <w:proofErr w:type="gramStart"/>
      <w:r w:rsidRPr="00064839">
        <w:rPr>
          <w:color w:val="4472C4" w:themeColor="accent1"/>
        </w:rPr>
        <w:t>https:whc.unesco.org</w:t>
      </w:r>
      <w:proofErr w:type="gramEnd"/>
      <w:r w:rsidRPr="00064839">
        <w:rPr>
          <w:color w:val="4472C4" w:themeColor="accent1"/>
        </w:rPr>
        <w:t xml:space="preserve"> &gt;criteria&gt; </w:t>
      </w:r>
      <w:r>
        <w:t>[accessed 21 January 2022].</w:t>
      </w:r>
    </w:p>
  </w:footnote>
  <w:footnote w:id="11">
    <w:p w14:paraId="361FAD6E" w14:textId="34EEA857" w:rsidR="0020757B" w:rsidRDefault="0020757B">
      <w:pPr>
        <w:pStyle w:val="FootnoteText"/>
      </w:pPr>
      <w:r>
        <w:rPr>
          <w:rStyle w:val="FootnoteReference"/>
        </w:rPr>
        <w:footnoteRef/>
      </w:r>
      <w:r>
        <w:t xml:space="preserve"> </w:t>
      </w:r>
      <w:r w:rsidR="0047405C" w:rsidRPr="009D216D">
        <w:rPr>
          <w:i/>
          <w:iCs/>
        </w:rPr>
        <w:t>UNESCO</w:t>
      </w:r>
      <w:r w:rsidR="0047405C">
        <w:t xml:space="preserve"> </w:t>
      </w:r>
      <w:r>
        <w:t>&lt;</w:t>
      </w:r>
      <w:hyperlink w:history="1">
        <w:r w:rsidRPr="00344A5D">
          <w:rPr>
            <w:rStyle w:val="Hyperlink"/>
          </w:rPr>
          <w:t>https://whc.unesco.org&gt;list</w:t>
        </w:r>
      </w:hyperlink>
      <w:r>
        <w:t>&gt; [accessed 6 February 2022]</w:t>
      </w:r>
    </w:p>
  </w:footnote>
  <w:footnote w:id="12">
    <w:p w14:paraId="45DE3DCE" w14:textId="67DAA88D" w:rsidR="009941FF" w:rsidRDefault="009941FF">
      <w:pPr>
        <w:pStyle w:val="FootnoteText"/>
      </w:pPr>
      <w:r>
        <w:rPr>
          <w:rStyle w:val="FootnoteReference"/>
        </w:rPr>
        <w:footnoteRef/>
      </w:r>
      <w:r>
        <w:t xml:space="preserve"> </w:t>
      </w:r>
      <w:bookmarkStart w:id="9" w:name="_Hlk96771837"/>
      <w:bookmarkStart w:id="10" w:name="_Hlk96864509"/>
      <w:r w:rsidR="00545926" w:rsidRPr="00545926">
        <w:rPr>
          <w:i/>
          <w:iCs/>
        </w:rPr>
        <w:t>Pontcysyllte Aqueduct and Canal World</w:t>
      </w:r>
      <w:r w:rsidR="00545926">
        <w:t xml:space="preserve"> </w:t>
      </w:r>
      <w:bookmarkEnd w:id="9"/>
      <w:r>
        <w:t>&lt;</w:t>
      </w:r>
      <w:hyperlink r:id="rId6" w:history="1">
        <w:r w:rsidRPr="00E624F5">
          <w:rPr>
            <w:rStyle w:val="Hyperlink"/>
          </w:rPr>
          <w:t>https://www.pontcysyllte-aqueduct.co.uk/</w:t>
        </w:r>
      </w:hyperlink>
      <w:r>
        <w:t>&gt; [accessed 17 February 2022]</w:t>
      </w:r>
    </w:p>
    <w:bookmarkEnd w:id="10"/>
  </w:footnote>
  <w:footnote w:id="13">
    <w:p w14:paraId="5497709B" w14:textId="364B9100" w:rsidR="00CE4FC4" w:rsidRDefault="00CE4FC4">
      <w:pPr>
        <w:pStyle w:val="FootnoteText"/>
      </w:pPr>
      <w:r>
        <w:rPr>
          <w:rStyle w:val="FootnoteReference"/>
        </w:rPr>
        <w:footnoteRef/>
      </w:r>
      <w:r>
        <w:t xml:space="preserve"> </w:t>
      </w:r>
      <w:bookmarkStart w:id="11" w:name="_Hlk96611007"/>
      <w:r w:rsidR="00545926" w:rsidRPr="00545926">
        <w:rPr>
          <w:i/>
          <w:iCs/>
        </w:rPr>
        <w:t>ibid</w:t>
      </w:r>
      <w:r w:rsidRPr="00545926">
        <w:rPr>
          <w:i/>
          <w:iCs/>
        </w:rPr>
        <w:t xml:space="preserve"> </w:t>
      </w:r>
      <w:bookmarkEnd w:id="11"/>
    </w:p>
  </w:footnote>
  <w:footnote w:id="14">
    <w:p w14:paraId="37777550" w14:textId="111F28C2" w:rsidR="008E7234" w:rsidRDefault="008E7234">
      <w:pPr>
        <w:pStyle w:val="FootnoteText"/>
      </w:pPr>
      <w:r>
        <w:rPr>
          <w:rStyle w:val="FootnoteReference"/>
        </w:rPr>
        <w:footnoteRef/>
      </w:r>
      <w:r>
        <w:t xml:space="preserve"> </w:t>
      </w:r>
      <w:bookmarkStart w:id="12" w:name="_Hlk96864661"/>
      <w:proofErr w:type="spellStart"/>
      <w:r w:rsidR="00545926" w:rsidRPr="00545926">
        <w:rPr>
          <w:i/>
          <w:iCs/>
        </w:rPr>
        <w:t>DbPedia</w:t>
      </w:r>
      <w:proofErr w:type="spellEnd"/>
      <w:r w:rsidR="00545926">
        <w:t xml:space="preserve"> </w:t>
      </w:r>
      <w:r>
        <w:t>&lt;</w:t>
      </w:r>
      <w:hyperlink r:id="rId7" w:history="1">
        <w:r w:rsidRPr="00344A5D">
          <w:rPr>
            <w:rStyle w:val="Hyperlink"/>
          </w:rPr>
          <w:t>https://dbpedia.org/page/Llangollen_Canal</w:t>
        </w:r>
      </w:hyperlink>
      <w:proofErr w:type="gramStart"/>
      <w:r>
        <w:t>&gt;[</w:t>
      </w:r>
      <w:proofErr w:type="gramEnd"/>
      <w:r>
        <w:t xml:space="preserve">accessed 25 February 2022] </w:t>
      </w:r>
    </w:p>
    <w:bookmarkEnd w:id="12"/>
  </w:footnote>
  <w:footnote w:id="15">
    <w:p w14:paraId="2272CC2E" w14:textId="09A455E5" w:rsidR="00F91AF2" w:rsidRDefault="00F91AF2">
      <w:pPr>
        <w:pStyle w:val="FootnoteText"/>
      </w:pPr>
      <w:r>
        <w:rPr>
          <w:rStyle w:val="FootnoteReference"/>
        </w:rPr>
        <w:footnoteRef/>
      </w:r>
      <w:r w:rsidRPr="00F91AF2">
        <w:rPr>
          <w:i/>
          <w:iCs/>
        </w:rPr>
        <w:t xml:space="preserve"> ibid</w:t>
      </w:r>
    </w:p>
  </w:footnote>
  <w:footnote w:id="16">
    <w:p w14:paraId="168FDC0C" w14:textId="66694888" w:rsidR="00541B26" w:rsidRDefault="00541B26">
      <w:pPr>
        <w:pStyle w:val="FootnoteText"/>
      </w:pPr>
      <w:r>
        <w:rPr>
          <w:rStyle w:val="FootnoteReference"/>
        </w:rPr>
        <w:footnoteRef/>
      </w:r>
      <w:r>
        <w:t xml:space="preserve"> </w:t>
      </w:r>
      <w:r w:rsidR="00545926" w:rsidRPr="00545926">
        <w:rPr>
          <w:i/>
          <w:iCs/>
        </w:rPr>
        <w:t>Pontcysyllte Aqueduct and Canal World</w:t>
      </w:r>
      <w:r w:rsidR="00545926">
        <w:t xml:space="preserve"> </w:t>
      </w:r>
      <w:r>
        <w:t>&lt;</w:t>
      </w:r>
      <w:hyperlink r:id="rId8" w:history="1">
        <w:r w:rsidRPr="00344A5D">
          <w:rPr>
            <w:rStyle w:val="Hyperlink"/>
          </w:rPr>
          <w:t>https://www.pontcysyllte-aqueduct.co.uk/</w:t>
        </w:r>
      </w:hyperlink>
      <w:proofErr w:type="gramStart"/>
      <w:r>
        <w:t>&gt;[</w:t>
      </w:r>
      <w:proofErr w:type="gramEnd"/>
      <w:r>
        <w:t>accessed 17 February 2022]</w:t>
      </w:r>
    </w:p>
  </w:footnote>
  <w:footnote w:id="17">
    <w:p w14:paraId="7EA448E2" w14:textId="5D55A1B5" w:rsidR="004052AC" w:rsidRDefault="004052AC">
      <w:pPr>
        <w:pStyle w:val="FootnoteText"/>
      </w:pPr>
      <w:r>
        <w:rPr>
          <w:rStyle w:val="FootnoteReference"/>
        </w:rPr>
        <w:footnoteRef/>
      </w:r>
      <w:r>
        <w:t xml:space="preserve"> </w:t>
      </w:r>
      <w:bookmarkStart w:id="13" w:name="_Hlk96863709"/>
      <w:r>
        <w:t xml:space="preserve">M. Oglethorpe, ‘Realising the Benefits of Industrial World Heritage Sites, with Particular Reference to the Forth Bridge’, </w:t>
      </w:r>
      <w:proofErr w:type="spellStart"/>
      <w:r w:rsidRPr="004052AC">
        <w:rPr>
          <w:i/>
          <w:iCs/>
        </w:rPr>
        <w:t>Entreprises</w:t>
      </w:r>
      <w:proofErr w:type="spellEnd"/>
      <w:r w:rsidRPr="004052AC">
        <w:rPr>
          <w:i/>
          <w:iCs/>
        </w:rPr>
        <w:t xml:space="preserve"> et </w:t>
      </w:r>
      <w:proofErr w:type="spellStart"/>
      <w:r w:rsidRPr="004052AC">
        <w:rPr>
          <w:i/>
          <w:iCs/>
        </w:rPr>
        <w:t>Histoire</w:t>
      </w:r>
      <w:proofErr w:type="spellEnd"/>
      <w:r>
        <w:t>, 87 (2017), p.20</w:t>
      </w:r>
      <w:r w:rsidR="00A8393B">
        <w:t xml:space="preserve"> &lt;</w:t>
      </w:r>
      <w:hyperlink r:id="rId9" w:history="1">
        <w:r w:rsidR="00A8393B" w:rsidRPr="00162A53">
          <w:rPr>
            <w:rStyle w:val="Hyperlink"/>
          </w:rPr>
          <w:t>https://www.cairn-int.info/journal-entreprises-et-histoire-2017-2-page-20.htm</w:t>
        </w:r>
      </w:hyperlink>
      <w:r w:rsidR="00A8393B">
        <w:t xml:space="preserve">&gt; [accessed 6 February 2022] </w:t>
      </w:r>
    </w:p>
    <w:bookmarkEnd w:id="13"/>
  </w:footnote>
  <w:footnote w:id="18">
    <w:p w14:paraId="5AA1CD26" w14:textId="4DA5A4CE" w:rsidR="00504D09" w:rsidRDefault="00504D09">
      <w:pPr>
        <w:pStyle w:val="FootnoteText"/>
      </w:pPr>
      <w:r>
        <w:rPr>
          <w:rStyle w:val="FootnoteReference"/>
        </w:rPr>
        <w:footnoteRef/>
      </w:r>
      <w:r>
        <w:t xml:space="preserve"> Jones and Munday, p.590</w:t>
      </w:r>
    </w:p>
  </w:footnote>
  <w:footnote w:id="19">
    <w:p w14:paraId="74F68349" w14:textId="2FA37E20" w:rsidR="00466582" w:rsidRDefault="00466582">
      <w:pPr>
        <w:pStyle w:val="FootnoteText"/>
      </w:pPr>
      <w:r>
        <w:rPr>
          <w:rStyle w:val="FootnoteReference"/>
        </w:rPr>
        <w:footnoteRef/>
      </w:r>
      <w:r>
        <w:t xml:space="preserve">Davies, </w:t>
      </w:r>
      <w:r w:rsidRPr="00D24028">
        <w:rPr>
          <w:i/>
          <w:iCs/>
        </w:rPr>
        <w:t>A History of Wales</w:t>
      </w:r>
      <w:r>
        <w:t>, p.585</w:t>
      </w:r>
    </w:p>
  </w:footnote>
  <w:footnote w:id="20">
    <w:p w14:paraId="4AF5E2AF" w14:textId="67220C70" w:rsidR="0026115D" w:rsidRDefault="0026115D" w:rsidP="0026115D">
      <w:pPr>
        <w:pStyle w:val="FootnoteText"/>
      </w:pPr>
      <w:r>
        <w:rPr>
          <w:rStyle w:val="FootnoteReference"/>
        </w:rPr>
        <w:footnoteRef/>
      </w:r>
      <w:r>
        <w:t xml:space="preserve"> </w:t>
      </w:r>
      <w:bookmarkStart w:id="14" w:name="_Hlk96864858"/>
      <w:bookmarkStart w:id="15" w:name="_Hlk96864859"/>
      <w:r w:rsidR="0047405C" w:rsidRPr="009D216D">
        <w:rPr>
          <w:i/>
          <w:iCs/>
        </w:rPr>
        <w:t>UNESCO</w:t>
      </w:r>
      <w:r w:rsidR="0047405C">
        <w:t xml:space="preserve"> </w:t>
      </w:r>
      <w:r>
        <w:t>&lt;</w:t>
      </w:r>
      <w:hyperlink w:history="1">
        <w:r w:rsidRPr="00344A5D">
          <w:rPr>
            <w:rStyle w:val="Hyperlink"/>
          </w:rPr>
          <w:t>https://whc.unesco.org&gt;list</w:t>
        </w:r>
      </w:hyperlink>
      <w:r>
        <w:t>&gt; [accessed 6 February 2022]</w:t>
      </w:r>
    </w:p>
    <w:bookmarkEnd w:id="14"/>
    <w:bookmarkEnd w:id="15"/>
    <w:p w14:paraId="5F9EC510" w14:textId="56062997" w:rsidR="0026115D" w:rsidRDefault="0026115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14665" w14:textId="7198263A" w:rsidR="00FA7C9E" w:rsidRDefault="00FA7C9E">
    <w:pPr>
      <w:pStyle w:val="Header"/>
    </w:pPr>
    <w:r>
      <w:t>Student No: 26002929 Assignment 1</w:t>
    </w:r>
  </w:p>
  <w:p w14:paraId="5C5F0E2F" w14:textId="77777777" w:rsidR="00FA7C9E" w:rsidRDefault="00FA7C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851"/>
    <w:rsid w:val="000275E4"/>
    <w:rsid w:val="000358D0"/>
    <w:rsid w:val="00042A8C"/>
    <w:rsid w:val="00064839"/>
    <w:rsid w:val="00091904"/>
    <w:rsid w:val="00094F3C"/>
    <w:rsid w:val="00097A20"/>
    <w:rsid w:val="001460B1"/>
    <w:rsid w:val="00154017"/>
    <w:rsid w:val="00157F96"/>
    <w:rsid w:val="001804F6"/>
    <w:rsid w:val="00195FDC"/>
    <w:rsid w:val="001A61DA"/>
    <w:rsid w:val="001D5737"/>
    <w:rsid w:val="001E656D"/>
    <w:rsid w:val="0020757B"/>
    <w:rsid w:val="00210386"/>
    <w:rsid w:val="00214760"/>
    <w:rsid w:val="00232B20"/>
    <w:rsid w:val="00235420"/>
    <w:rsid w:val="0026115D"/>
    <w:rsid w:val="00266E34"/>
    <w:rsid w:val="002B4174"/>
    <w:rsid w:val="003042FB"/>
    <w:rsid w:val="00306E92"/>
    <w:rsid w:val="003322E6"/>
    <w:rsid w:val="00333AC3"/>
    <w:rsid w:val="00362B57"/>
    <w:rsid w:val="003723A7"/>
    <w:rsid w:val="00374851"/>
    <w:rsid w:val="0038546A"/>
    <w:rsid w:val="003921B7"/>
    <w:rsid w:val="00394A31"/>
    <w:rsid w:val="003A674E"/>
    <w:rsid w:val="003A7F1F"/>
    <w:rsid w:val="004052AC"/>
    <w:rsid w:val="00456FC1"/>
    <w:rsid w:val="00466582"/>
    <w:rsid w:val="0047112F"/>
    <w:rsid w:val="0047405C"/>
    <w:rsid w:val="00495DB0"/>
    <w:rsid w:val="004A3186"/>
    <w:rsid w:val="004D2D35"/>
    <w:rsid w:val="004F7648"/>
    <w:rsid w:val="00504D09"/>
    <w:rsid w:val="00526A80"/>
    <w:rsid w:val="00527F3F"/>
    <w:rsid w:val="00541B26"/>
    <w:rsid w:val="00545926"/>
    <w:rsid w:val="00546916"/>
    <w:rsid w:val="00564367"/>
    <w:rsid w:val="005812B8"/>
    <w:rsid w:val="00592AFE"/>
    <w:rsid w:val="005A1121"/>
    <w:rsid w:val="005E5177"/>
    <w:rsid w:val="005F638F"/>
    <w:rsid w:val="005F7EC4"/>
    <w:rsid w:val="00622EC2"/>
    <w:rsid w:val="006336B2"/>
    <w:rsid w:val="0064114C"/>
    <w:rsid w:val="006515E9"/>
    <w:rsid w:val="00651F82"/>
    <w:rsid w:val="006B6EF4"/>
    <w:rsid w:val="006F6D99"/>
    <w:rsid w:val="007104DB"/>
    <w:rsid w:val="007475BC"/>
    <w:rsid w:val="00762108"/>
    <w:rsid w:val="00770B28"/>
    <w:rsid w:val="007941F4"/>
    <w:rsid w:val="007A343D"/>
    <w:rsid w:val="007B0D60"/>
    <w:rsid w:val="007F7F21"/>
    <w:rsid w:val="00805DB1"/>
    <w:rsid w:val="00821B46"/>
    <w:rsid w:val="0083383F"/>
    <w:rsid w:val="00855177"/>
    <w:rsid w:val="00870595"/>
    <w:rsid w:val="00872986"/>
    <w:rsid w:val="0088213C"/>
    <w:rsid w:val="008A1474"/>
    <w:rsid w:val="008A2435"/>
    <w:rsid w:val="008A5E07"/>
    <w:rsid w:val="008A6344"/>
    <w:rsid w:val="008A769C"/>
    <w:rsid w:val="008C30BC"/>
    <w:rsid w:val="008C31F1"/>
    <w:rsid w:val="008E7234"/>
    <w:rsid w:val="008F3983"/>
    <w:rsid w:val="008F630A"/>
    <w:rsid w:val="008F6833"/>
    <w:rsid w:val="00924C61"/>
    <w:rsid w:val="00931487"/>
    <w:rsid w:val="00942025"/>
    <w:rsid w:val="00945C46"/>
    <w:rsid w:val="00947912"/>
    <w:rsid w:val="00980C02"/>
    <w:rsid w:val="009941FF"/>
    <w:rsid w:val="009A5513"/>
    <w:rsid w:val="009B1BAD"/>
    <w:rsid w:val="009D195F"/>
    <w:rsid w:val="009D216D"/>
    <w:rsid w:val="00A129F4"/>
    <w:rsid w:val="00A320C8"/>
    <w:rsid w:val="00A35ED0"/>
    <w:rsid w:val="00A519AF"/>
    <w:rsid w:val="00A8393B"/>
    <w:rsid w:val="00A86526"/>
    <w:rsid w:val="00AA21A8"/>
    <w:rsid w:val="00AB595D"/>
    <w:rsid w:val="00AE1E79"/>
    <w:rsid w:val="00AF1740"/>
    <w:rsid w:val="00B259BF"/>
    <w:rsid w:val="00B40D01"/>
    <w:rsid w:val="00B45240"/>
    <w:rsid w:val="00B50631"/>
    <w:rsid w:val="00B75891"/>
    <w:rsid w:val="00BA176C"/>
    <w:rsid w:val="00BA250D"/>
    <w:rsid w:val="00BB1799"/>
    <w:rsid w:val="00BE1BDA"/>
    <w:rsid w:val="00BF4060"/>
    <w:rsid w:val="00BF49DC"/>
    <w:rsid w:val="00BF5E81"/>
    <w:rsid w:val="00C2061D"/>
    <w:rsid w:val="00C5113C"/>
    <w:rsid w:val="00C826A8"/>
    <w:rsid w:val="00C907C7"/>
    <w:rsid w:val="00CA13E1"/>
    <w:rsid w:val="00CB64D7"/>
    <w:rsid w:val="00CE4FC4"/>
    <w:rsid w:val="00CF6517"/>
    <w:rsid w:val="00D20000"/>
    <w:rsid w:val="00D2232B"/>
    <w:rsid w:val="00D24028"/>
    <w:rsid w:val="00D2505B"/>
    <w:rsid w:val="00D652D7"/>
    <w:rsid w:val="00D77711"/>
    <w:rsid w:val="00D84DC2"/>
    <w:rsid w:val="00DA644E"/>
    <w:rsid w:val="00DD221F"/>
    <w:rsid w:val="00E22CC4"/>
    <w:rsid w:val="00E44212"/>
    <w:rsid w:val="00E549EC"/>
    <w:rsid w:val="00E81DAA"/>
    <w:rsid w:val="00EA3563"/>
    <w:rsid w:val="00ED7BC8"/>
    <w:rsid w:val="00EF73E1"/>
    <w:rsid w:val="00F201B9"/>
    <w:rsid w:val="00F35539"/>
    <w:rsid w:val="00F81AA3"/>
    <w:rsid w:val="00F84318"/>
    <w:rsid w:val="00F91AF2"/>
    <w:rsid w:val="00F94FE6"/>
    <w:rsid w:val="00FA7C9E"/>
    <w:rsid w:val="00FB6E17"/>
    <w:rsid w:val="00FD600F"/>
    <w:rsid w:val="00FD6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15F0C"/>
  <w15:chartTrackingRefBased/>
  <w15:docId w15:val="{78CD4A1A-5D6C-46A8-AACD-A6FC1AF0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C9E"/>
  </w:style>
  <w:style w:type="paragraph" w:styleId="Footer">
    <w:name w:val="footer"/>
    <w:basedOn w:val="Normal"/>
    <w:link w:val="FooterChar"/>
    <w:uiPriority w:val="99"/>
    <w:unhideWhenUsed/>
    <w:rsid w:val="00FA7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C9E"/>
  </w:style>
  <w:style w:type="paragraph" w:styleId="FootnoteText">
    <w:name w:val="footnote text"/>
    <w:basedOn w:val="Normal"/>
    <w:link w:val="FootnoteTextChar"/>
    <w:uiPriority w:val="99"/>
    <w:semiHidden/>
    <w:unhideWhenUsed/>
    <w:rsid w:val="00622E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2EC2"/>
    <w:rPr>
      <w:sz w:val="20"/>
      <w:szCs w:val="20"/>
    </w:rPr>
  </w:style>
  <w:style w:type="character" w:styleId="FootnoteReference">
    <w:name w:val="footnote reference"/>
    <w:basedOn w:val="DefaultParagraphFont"/>
    <w:uiPriority w:val="99"/>
    <w:semiHidden/>
    <w:unhideWhenUsed/>
    <w:rsid w:val="00622EC2"/>
    <w:rPr>
      <w:vertAlign w:val="superscript"/>
    </w:rPr>
  </w:style>
  <w:style w:type="character" w:styleId="Hyperlink">
    <w:name w:val="Hyperlink"/>
    <w:basedOn w:val="DefaultParagraphFont"/>
    <w:uiPriority w:val="99"/>
    <w:unhideWhenUsed/>
    <w:rsid w:val="0088213C"/>
    <w:rPr>
      <w:color w:val="0563C1" w:themeColor="hyperlink"/>
      <w:u w:val="single"/>
    </w:rPr>
  </w:style>
  <w:style w:type="character" w:styleId="UnresolvedMention">
    <w:name w:val="Unresolved Mention"/>
    <w:basedOn w:val="DefaultParagraphFont"/>
    <w:uiPriority w:val="99"/>
    <w:semiHidden/>
    <w:unhideWhenUsed/>
    <w:rsid w:val="00882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irn-int.info/journal-entreprises-et-histoire-2017-2-page-20.htm" TargetMode="External"/><Relationship Id="rId13" Type="http://schemas.openxmlformats.org/officeDocument/2006/relationships/hyperlink" Target="https://whc.unesco.org/en/list/984/" TargetMode="External"/><Relationship Id="rId3" Type="http://schemas.openxmlformats.org/officeDocument/2006/relationships/settings" Target="settings.xml"/><Relationship Id="rId7" Type="http://schemas.openxmlformats.org/officeDocument/2006/relationships/hyperlink" Target="http://doi.org/10.18573/wer.172" TargetMode="External"/><Relationship Id="rId12" Type="http://schemas.openxmlformats.org/officeDocument/2006/relationships/hyperlink" Target="https://www.pontcysyllte-aqueduct.co.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c.unesco.org/en/list/98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bpedia.org/page/Llangollen_Canal" TargetMode="External"/><Relationship Id="rId4" Type="http://schemas.openxmlformats.org/officeDocument/2006/relationships/webSettings" Target="webSettings.xml"/><Relationship Id="rId9" Type="http://schemas.openxmlformats.org/officeDocument/2006/relationships/hyperlink" Target="https://britishlistedbuildings.co.uk/wales/blaenavontorfaen"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pontcysyllte-aqueduct.co.uk/" TargetMode="External"/><Relationship Id="rId3" Type="http://schemas.openxmlformats.org/officeDocument/2006/relationships/hyperlink" Target="https://is.theorizeit.org/wiki/Actor_network_theory" TargetMode="External"/><Relationship Id="rId7" Type="http://schemas.openxmlformats.org/officeDocument/2006/relationships/hyperlink" Target="https://dbpedia.org/page/Llangollen_Canal" TargetMode="External"/><Relationship Id="rId2" Type="http://schemas.openxmlformats.org/officeDocument/2006/relationships/hyperlink" Target="https://whc.unesco.org/en/list/984/" TargetMode="External"/><Relationship Id="rId1" Type="http://schemas.openxmlformats.org/officeDocument/2006/relationships/hyperlink" Target="http://doi.org/10.18573/wer.172" TargetMode="External"/><Relationship Id="rId6" Type="http://schemas.openxmlformats.org/officeDocument/2006/relationships/hyperlink" Target="https://www.pontcysyllte-aqueduct.co.uk/" TargetMode="External"/><Relationship Id="rId5" Type="http://schemas.openxmlformats.org/officeDocument/2006/relationships/hyperlink" Target="https://britishlistedbuildings.co.uk/wales/blaenavon-torfaen" TargetMode="External"/><Relationship Id="rId4" Type="http://schemas.openxmlformats.org/officeDocument/2006/relationships/hyperlink" Target="https://whc.unesco.org/en/list/984/" TargetMode="External"/><Relationship Id="rId9" Type="http://schemas.openxmlformats.org/officeDocument/2006/relationships/hyperlink" Target="https://www.cairn-int.info/journal-entreprises-et-histoire-2017-2-page-2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7FA29-8449-437B-BDB7-81DC50AEB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2247</Words>
  <Characters>12809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Jones</dc:creator>
  <cp:keywords/>
  <dc:description/>
  <cp:lastModifiedBy>Jane Jones</cp:lastModifiedBy>
  <cp:revision>2</cp:revision>
  <cp:lastPrinted>2022-02-26T12:27:00Z</cp:lastPrinted>
  <dcterms:created xsi:type="dcterms:W3CDTF">2022-03-04T15:24:00Z</dcterms:created>
  <dcterms:modified xsi:type="dcterms:W3CDTF">2022-03-04T15:24:00Z</dcterms:modified>
</cp:coreProperties>
</file>