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2488" w14:textId="5C366E76" w:rsidR="007E4818" w:rsidRPr="008B6DAF" w:rsidRDefault="00EA29B5" w:rsidP="008B6DAF">
      <w:pPr>
        <w:spacing w:line="360" w:lineRule="auto"/>
        <w:jc w:val="center"/>
        <w:rPr>
          <w:rFonts w:ascii="Arial" w:hAnsi="Arial" w:cs="Arial"/>
          <w:b/>
          <w:bCs/>
          <w:sz w:val="22"/>
          <w:szCs w:val="22"/>
        </w:rPr>
      </w:pPr>
      <w:r>
        <w:rPr>
          <w:rFonts w:ascii="Arial" w:hAnsi="Arial" w:cs="Arial"/>
          <w:b/>
          <w:bCs/>
          <w:sz w:val="22"/>
          <w:szCs w:val="22"/>
        </w:rPr>
        <w:t xml:space="preserve">UNIVERCITY </w:t>
      </w:r>
      <w:r w:rsidR="008B6DAF" w:rsidRPr="008B6DAF">
        <w:rPr>
          <w:rFonts w:ascii="Arial" w:hAnsi="Arial" w:cs="Arial"/>
          <w:b/>
          <w:bCs/>
          <w:sz w:val="22"/>
          <w:szCs w:val="22"/>
        </w:rPr>
        <w:t>OF WALES TRINITY SAINT DAVID</w:t>
      </w:r>
    </w:p>
    <w:p w14:paraId="4425E894" w14:textId="77777777" w:rsidR="008B6DAF" w:rsidRPr="008B6DAF" w:rsidRDefault="008B6DAF" w:rsidP="008B6DAF">
      <w:pPr>
        <w:spacing w:line="360" w:lineRule="auto"/>
        <w:jc w:val="center"/>
        <w:rPr>
          <w:rFonts w:ascii="Arial" w:hAnsi="Arial" w:cs="Arial"/>
          <w:b/>
          <w:bCs/>
          <w:sz w:val="22"/>
          <w:szCs w:val="22"/>
        </w:rPr>
      </w:pPr>
    </w:p>
    <w:p w14:paraId="3FCD60A9" w14:textId="5F6C776E" w:rsidR="008B6DAF" w:rsidRPr="008B6DAF" w:rsidRDefault="008B6DAF" w:rsidP="008B6DAF">
      <w:pPr>
        <w:spacing w:line="360" w:lineRule="auto"/>
        <w:jc w:val="center"/>
        <w:rPr>
          <w:rFonts w:ascii="Arial" w:hAnsi="Arial" w:cs="Arial"/>
          <w:b/>
          <w:bCs/>
          <w:sz w:val="22"/>
          <w:szCs w:val="22"/>
        </w:rPr>
      </w:pPr>
      <w:r w:rsidRPr="008B6DAF">
        <w:rPr>
          <w:rFonts w:ascii="Arial" w:hAnsi="Arial" w:cs="Arial"/>
          <w:b/>
          <w:bCs/>
          <w:sz w:val="22"/>
          <w:szCs w:val="22"/>
        </w:rPr>
        <w:t>The Misdiagnosis of Hormonal Imbalances in Women:</w:t>
      </w:r>
    </w:p>
    <w:p w14:paraId="437ED15B" w14:textId="3CCEDA30" w:rsidR="008B6DAF" w:rsidRDefault="008B6DAF" w:rsidP="008B6DAF">
      <w:pPr>
        <w:spacing w:line="360" w:lineRule="auto"/>
        <w:jc w:val="center"/>
        <w:rPr>
          <w:rFonts w:ascii="Arial" w:hAnsi="Arial" w:cs="Arial"/>
          <w:b/>
          <w:bCs/>
          <w:sz w:val="22"/>
          <w:szCs w:val="22"/>
        </w:rPr>
      </w:pPr>
      <w:r w:rsidRPr="008B6DAF">
        <w:rPr>
          <w:rFonts w:ascii="Arial" w:hAnsi="Arial" w:cs="Arial"/>
          <w:b/>
          <w:bCs/>
          <w:sz w:val="22"/>
          <w:szCs w:val="22"/>
        </w:rPr>
        <w:t>Implications for Health an</w:t>
      </w:r>
      <w:r>
        <w:rPr>
          <w:rFonts w:ascii="Arial" w:hAnsi="Arial" w:cs="Arial"/>
          <w:b/>
          <w:bCs/>
          <w:sz w:val="22"/>
          <w:szCs w:val="22"/>
        </w:rPr>
        <w:t>d</w:t>
      </w:r>
      <w:r w:rsidRPr="008B6DAF">
        <w:rPr>
          <w:rFonts w:ascii="Arial" w:hAnsi="Arial" w:cs="Arial"/>
          <w:b/>
          <w:bCs/>
          <w:sz w:val="22"/>
          <w:szCs w:val="22"/>
        </w:rPr>
        <w:t xml:space="preserve"> Social Care Practice in the UK</w:t>
      </w:r>
    </w:p>
    <w:p w14:paraId="5AEC2B09" w14:textId="77777777" w:rsidR="008B6DAF" w:rsidRDefault="008B6DAF" w:rsidP="008B6DAF">
      <w:pPr>
        <w:spacing w:line="360" w:lineRule="auto"/>
        <w:rPr>
          <w:rFonts w:ascii="Arial" w:hAnsi="Arial" w:cs="Arial"/>
          <w:b/>
          <w:bCs/>
          <w:sz w:val="22"/>
          <w:szCs w:val="22"/>
        </w:rPr>
      </w:pPr>
    </w:p>
    <w:p w14:paraId="066AFDD2" w14:textId="77777777" w:rsidR="008B6DAF" w:rsidRDefault="008B6DAF" w:rsidP="008B6DAF">
      <w:pPr>
        <w:spacing w:line="360" w:lineRule="auto"/>
        <w:rPr>
          <w:rFonts w:ascii="Arial" w:hAnsi="Arial" w:cs="Arial"/>
          <w:b/>
          <w:bCs/>
          <w:sz w:val="22"/>
          <w:szCs w:val="22"/>
        </w:rPr>
      </w:pPr>
    </w:p>
    <w:p w14:paraId="54F97700" w14:textId="77777777" w:rsidR="008B6DAF" w:rsidRDefault="008B6DAF" w:rsidP="008B6DAF">
      <w:pPr>
        <w:spacing w:line="360" w:lineRule="auto"/>
        <w:rPr>
          <w:rFonts w:ascii="Arial" w:hAnsi="Arial" w:cs="Arial"/>
          <w:b/>
          <w:bCs/>
          <w:sz w:val="22"/>
          <w:szCs w:val="22"/>
        </w:rPr>
      </w:pPr>
    </w:p>
    <w:p w14:paraId="616811C7" w14:textId="46C4C3CF" w:rsidR="008B6DAF" w:rsidRDefault="008B6DAF" w:rsidP="008B6DAF">
      <w:pPr>
        <w:spacing w:line="360" w:lineRule="auto"/>
        <w:rPr>
          <w:rFonts w:ascii="Arial" w:hAnsi="Arial" w:cs="Arial"/>
          <w:b/>
          <w:bCs/>
          <w:sz w:val="22"/>
          <w:szCs w:val="22"/>
        </w:rPr>
      </w:pPr>
      <w:r>
        <w:rPr>
          <w:rFonts w:ascii="Arial" w:hAnsi="Arial" w:cs="Arial"/>
          <w:b/>
          <w:bCs/>
          <w:sz w:val="22"/>
          <w:szCs w:val="22"/>
        </w:rPr>
        <w:t>Name:</w:t>
      </w:r>
      <w:r w:rsidR="00EA29B5">
        <w:rPr>
          <w:rFonts w:ascii="Arial" w:hAnsi="Arial" w:cs="Arial"/>
          <w:b/>
          <w:bCs/>
          <w:sz w:val="22"/>
          <w:szCs w:val="22"/>
        </w:rPr>
        <w:t xml:space="preserve">  Naznin Sumar</w:t>
      </w:r>
    </w:p>
    <w:p w14:paraId="12EE602C" w14:textId="19B12EAF" w:rsidR="008B6DAF" w:rsidRDefault="008B6DAF" w:rsidP="008B6DAF">
      <w:pPr>
        <w:spacing w:line="360" w:lineRule="auto"/>
        <w:rPr>
          <w:rFonts w:ascii="Arial" w:hAnsi="Arial" w:cs="Arial"/>
          <w:b/>
          <w:bCs/>
          <w:sz w:val="22"/>
          <w:szCs w:val="22"/>
        </w:rPr>
      </w:pPr>
      <w:r>
        <w:rPr>
          <w:rFonts w:ascii="Arial" w:hAnsi="Arial" w:cs="Arial"/>
          <w:b/>
          <w:bCs/>
          <w:sz w:val="22"/>
          <w:szCs w:val="22"/>
        </w:rPr>
        <w:t>Student ID:</w:t>
      </w:r>
      <w:r w:rsidR="00EA29B5">
        <w:rPr>
          <w:rFonts w:ascii="Arial" w:hAnsi="Arial" w:cs="Arial"/>
          <w:b/>
          <w:bCs/>
          <w:sz w:val="22"/>
          <w:szCs w:val="22"/>
        </w:rPr>
        <w:t xml:space="preserve"> 2</w:t>
      </w:r>
      <w:r w:rsidR="00A42EED">
        <w:rPr>
          <w:rFonts w:ascii="Arial" w:hAnsi="Arial" w:cs="Arial"/>
          <w:b/>
          <w:bCs/>
          <w:sz w:val="22"/>
          <w:szCs w:val="22"/>
        </w:rPr>
        <w:t>529002</w:t>
      </w:r>
    </w:p>
    <w:p w14:paraId="0E3E99E9" w14:textId="6418D727" w:rsidR="008B6DAF" w:rsidRDefault="008B6DAF" w:rsidP="008B6DAF">
      <w:pPr>
        <w:spacing w:line="360" w:lineRule="auto"/>
        <w:rPr>
          <w:rFonts w:ascii="Arial" w:hAnsi="Arial" w:cs="Arial"/>
          <w:sz w:val="22"/>
          <w:szCs w:val="22"/>
        </w:rPr>
      </w:pPr>
      <w:r>
        <w:rPr>
          <w:rFonts w:ascii="Arial" w:hAnsi="Arial" w:cs="Arial"/>
          <w:sz w:val="22"/>
          <w:szCs w:val="22"/>
        </w:rPr>
        <w:t>Module Code: LCHS4007</w:t>
      </w:r>
    </w:p>
    <w:p w14:paraId="0E9C561C" w14:textId="63454E9C" w:rsidR="008B6DAF" w:rsidRDefault="008B6DAF" w:rsidP="008B6DAF">
      <w:pPr>
        <w:spacing w:line="360" w:lineRule="auto"/>
        <w:rPr>
          <w:rFonts w:ascii="Arial" w:hAnsi="Arial" w:cs="Arial"/>
          <w:sz w:val="22"/>
          <w:szCs w:val="22"/>
        </w:rPr>
      </w:pPr>
      <w:r>
        <w:rPr>
          <w:rFonts w:ascii="Arial" w:hAnsi="Arial" w:cs="Arial"/>
          <w:sz w:val="22"/>
          <w:szCs w:val="22"/>
        </w:rPr>
        <w:t>Module: Digital Skills and Research Methods</w:t>
      </w:r>
    </w:p>
    <w:p w14:paraId="52E820D6" w14:textId="6ECDDF8C" w:rsidR="008B6DAF" w:rsidRDefault="008B6DAF" w:rsidP="008B6DAF">
      <w:pPr>
        <w:spacing w:line="360" w:lineRule="auto"/>
        <w:rPr>
          <w:rFonts w:ascii="Arial" w:hAnsi="Arial" w:cs="Arial"/>
          <w:sz w:val="22"/>
          <w:szCs w:val="22"/>
        </w:rPr>
      </w:pPr>
      <w:r>
        <w:rPr>
          <w:rFonts w:ascii="Arial" w:hAnsi="Arial" w:cs="Arial"/>
          <w:sz w:val="22"/>
          <w:szCs w:val="22"/>
        </w:rPr>
        <w:t xml:space="preserve">Lecturer: Markus </w:t>
      </w:r>
      <w:proofErr w:type="spellStart"/>
      <w:r>
        <w:rPr>
          <w:rFonts w:ascii="Arial" w:hAnsi="Arial" w:cs="Arial"/>
          <w:sz w:val="22"/>
          <w:szCs w:val="22"/>
        </w:rPr>
        <w:t>Klingelfuss</w:t>
      </w:r>
      <w:proofErr w:type="spellEnd"/>
    </w:p>
    <w:p w14:paraId="5FD3BEDA" w14:textId="77777777" w:rsidR="008B6DAF" w:rsidRDefault="008B6DAF" w:rsidP="008B6DAF">
      <w:pPr>
        <w:spacing w:line="360" w:lineRule="auto"/>
        <w:rPr>
          <w:rFonts w:ascii="Arial" w:hAnsi="Arial" w:cs="Arial"/>
          <w:sz w:val="22"/>
          <w:szCs w:val="22"/>
        </w:rPr>
      </w:pPr>
    </w:p>
    <w:p w14:paraId="1045D9A6" w14:textId="77777777" w:rsidR="008B6DAF" w:rsidRDefault="008B6DAF" w:rsidP="008B6DAF">
      <w:pPr>
        <w:spacing w:line="360" w:lineRule="auto"/>
        <w:rPr>
          <w:rFonts w:ascii="Arial" w:hAnsi="Arial" w:cs="Arial"/>
          <w:sz w:val="22"/>
          <w:szCs w:val="22"/>
        </w:rPr>
      </w:pPr>
    </w:p>
    <w:p w14:paraId="4D4A7453" w14:textId="7187BB92" w:rsidR="008B6DAF" w:rsidRDefault="008B6DAF" w:rsidP="008B6DAF">
      <w:pPr>
        <w:spacing w:line="360" w:lineRule="auto"/>
        <w:rPr>
          <w:rFonts w:ascii="Arial" w:hAnsi="Arial" w:cs="Arial"/>
          <w:sz w:val="22"/>
          <w:szCs w:val="22"/>
        </w:rPr>
      </w:pPr>
      <w:r>
        <w:rPr>
          <w:rFonts w:ascii="Arial" w:hAnsi="Arial" w:cs="Arial"/>
          <w:sz w:val="22"/>
          <w:szCs w:val="22"/>
        </w:rPr>
        <w:t>Submitted on:</w:t>
      </w:r>
    </w:p>
    <w:p w14:paraId="02894389" w14:textId="77777777" w:rsidR="008B6DAF" w:rsidRDefault="008B6DAF" w:rsidP="008B6DAF">
      <w:pPr>
        <w:spacing w:line="360" w:lineRule="auto"/>
        <w:rPr>
          <w:rFonts w:ascii="Arial" w:hAnsi="Arial" w:cs="Arial"/>
          <w:sz w:val="22"/>
          <w:szCs w:val="22"/>
        </w:rPr>
      </w:pPr>
    </w:p>
    <w:p w14:paraId="34F69A45" w14:textId="77777777" w:rsidR="008B6DAF" w:rsidRDefault="008B6DAF" w:rsidP="008B6DAF">
      <w:pPr>
        <w:spacing w:line="360" w:lineRule="auto"/>
        <w:rPr>
          <w:rFonts w:ascii="Arial" w:hAnsi="Arial" w:cs="Arial"/>
          <w:sz w:val="22"/>
          <w:szCs w:val="22"/>
        </w:rPr>
      </w:pPr>
    </w:p>
    <w:p w14:paraId="6EE791A2" w14:textId="77777777" w:rsidR="008B6DAF" w:rsidRDefault="008B6DAF" w:rsidP="008B6DAF">
      <w:pPr>
        <w:spacing w:line="360" w:lineRule="auto"/>
        <w:rPr>
          <w:rFonts w:ascii="Arial" w:hAnsi="Arial" w:cs="Arial"/>
          <w:sz w:val="22"/>
          <w:szCs w:val="22"/>
        </w:rPr>
      </w:pPr>
    </w:p>
    <w:p w14:paraId="357AF771" w14:textId="77777777" w:rsidR="008B6DAF" w:rsidRDefault="008B6DAF" w:rsidP="008B6DAF">
      <w:pPr>
        <w:spacing w:line="360" w:lineRule="auto"/>
        <w:rPr>
          <w:rFonts w:ascii="Arial" w:hAnsi="Arial" w:cs="Arial"/>
          <w:sz w:val="22"/>
          <w:szCs w:val="22"/>
        </w:rPr>
      </w:pPr>
    </w:p>
    <w:p w14:paraId="6F04FA18" w14:textId="77777777" w:rsidR="008B6DAF" w:rsidRDefault="008B6DAF" w:rsidP="008B6DAF">
      <w:pPr>
        <w:spacing w:line="360" w:lineRule="auto"/>
        <w:rPr>
          <w:rFonts w:ascii="Arial" w:hAnsi="Arial" w:cs="Arial"/>
          <w:sz w:val="22"/>
          <w:szCs w:val="22"/>
        </w:rPr>
      </w:pPr>
    </w:p>
    <w:p w14:paraId="4130F4B6" w14:textId="77777777" w:rsidR="008B6DAF" w:rsidRDefault="008B6DAF" w:rsidP="008B6DAF">
      <w:pPr>
        <w:spacing w:line="360" w:lineRule="auto"/>
        <w:rPr>
          <w:rFonts w:ascii="Arial" w:hAnsi="Arial" w:cs="Arial"/>
          <w:sz w:val="22"/>
          <w:szCs w:val="22"/>
        </w:rPr>
      </w:pPr>
    </w:p>
    <w:p w14:paraId="4EC12ADB" w14:textId="77777777" w:rsidR="008B6DAF" w:rsidRDefault="008B6DAF" w:rsidP="008B6DAF">
      <w:pPr>
        <w:spacing w:line="360" w:lineRule="auto"/>
        <w:rPr>
          <w:rFonts w:ascii="Arial" w:hAnsi="Arial" w:cs="Arial"/>
          <w:sz w:val="22"/>
          <w:szCs w:val="22"/>
        </w:rPr>
      </w:pPr>
    </w:p>
    <w:p w14:paraId="07FDE809" w14:textId="77777777" w:rsidR="008B6DAF" w:rsidRDefault="008B6DAF" w:rsidP="008B6DAF">
      <w:pPr>
        <w:spacing w:line="360" w:lineRule="auto"/>
        <w:rPr>
          <w:rFonts w:ascii="Arial" w:hAnsi="Arial" w:cs="Arial"/>
          <w:sz w:val="22"/>
          <w:szCs w:val="22"/>
        </w:rPr>
      </w:pPr>
    </w:p>
    <w:p w14:paraId="56D75EC2" w14:textId="77777777" w:rsidR="008B6DAF" w:rsidRDefault="008B6DAF" w:rsidP="008B6DAF">
      <w:pPr>
        <w:spacing w:line="360" w:lineRule="auto"/>
        <w:rPr>
          <w:rFonts w:ascii="Arial" w:hAnsi="Arial" w:cs="Arial"/>
          <w:sz w:val="22"/>
          <w:szCs w:val="22"/>
        </w:rPr>
      </w:pPr>
    </w:p>
    <w:p w14:paraId="4086066F" w14:textId="77777777" w:rsidR="008B6DAF" w:rsidRDefault="008B6DAF" w:rsidP="008B6DAF">
      <w:pPr>
        <w:spacing w:line="360" w:lineRule="auto"/>
        <w:rPr>
          <w:rFonts w:ascii="Arial" w:hAnsi="Arial" w:cs="Arial"/>
          <w:sz w:val="22"/>
          <w:szCs w:val="22"/>
        </w:rPr>
      </w:pPr>
    </w:p>
    <w:p w14:paraId="693631CF" w14:textId="77777777" w:rsidR="008B6DAF" w:rsidRDefault="008B6DAF" w:rsidP="008B6DAF">
      <w:pPr>
        <w:spacing w:line="360" w:lineRule="auto"/>
        <w:rPr>
          <w:rFonts w:ascii="Arial" w:hAnsi="Arial" w:cs="Arial"/>
          <w:sz w:val="22"/>
          <w:szCs w:val="22"/>
        </w:rPr>
      </w:pPr>
    </w:p>
    <w:p w14:paraId="07DABDDA" w14:textId="77777777" w:rsidR="008B6DAF" w:rsidRDefault="008B6DAF" w:rsidP="008B6DAF">
      <w:pPr>
        <w:spacing w:line="360" w:lineRule="auto"/>
        <w:rPr>
          <w:rFonts w:ascii="Arial" w:hAnsi="Arial" w:cs="Arial"/>
          <w:sz w:val="22"/>
          <w:szCs w:val="22"/>
        </w:rPr>
      </w:pPr>
    </w:p>
    <w:p w14:paraId="634472FD" w14:textId="0E9981F5" w:rsidR="008B6DAF" w:rsidRDefault="008B6DAF" w:rsidP="008B6DAF">
      <w:pPr>
        <w:spacing w:line="360" w:lineRule="auto"/>
        <w:rPr>
          <w:rFonts w:ascii="Arial" w:hAnsi="Arial" w:cs="Arial"/>
          <w:b/>
          <w:bCs/>
          <w:sz w:val="22"/>
          <w:szCs w:val="22"/>
        </w:rPr>
      </w:pPr>
      <w:r w:rsidRPr="008B6DAF">
        <w:rPr>
          <w:rFonts w:ascii="Arial" w:hAnsi="Arial" w:cs="Arial"/>
          <w:b/>
          <w:bCs/>
          <w:sz w:val="22"/>
          <w:szCs w:val="22"/>
        </w:rPr>
        <w:t>Table of Contents</w:t>
      </w:r>
    </w:p>
    <w:p w14:paraId="593822EC" w14:textId="4BE58959" w:rsidR="008B6DAF" w:rsidRPr="008B6DAF" w:rsidRDefault="008B6DAF" w:rsidP="008B6DAF">
      <w:pPr>
        <w:spacing w:line="360" w:lineRule="auto"/>
      </w:pPr>
      <w:r>
        <w:t>Introduction…….…………………………………………………………………………………………….3</w:t>
      </w:r>
    </w:p>
    <w:p w14:paraId="63101A6C" w14:textId="1A3154E0" w:rsidR="008B6DAF" w:rsidRPr="008B6DAF" w:rsidRDefault="008B6DAF" w:rsidP="008B6DAF">
      <w:pPr>
        <w:spacing w:line="360" w:lineRule="auto"/>
      </w:pPr>
      <w:r>
        <w:t>1.1 Selection of Research Topic………………..……………………………………………………….3</w:t>
      </w:r>
    </w:p>
    <w:p w14:paraId="7BD29406" w14:textId="038DA572" w:rsidR="008B6DAF" w:rsidRPr="008B6DAF" w:rsidRDefault="008B6DAF" w:rsidP="008B6DAF">
      <w:pPr>
        <w:spacing w:line="360" w:lineRule="auto"/>
      </w:pPr>
      <w:r>
        <w:t>1.2 Evaluating Information Sources……..…………………………………………………………….4</w:t>
      </w:r>
    </w:p>
    <w:p w14:paraId="5885A583" w14:textId="37FDABE5" w:rsidR="008B6DAF" w:rsidRPr="008B6DAF" w:rsidRDefault="008B6DAF" w:rsidP="008B6DAF">
      <w:pPr>
        <w:spacing w:line="360" w:lineRule="auto"/>
      </w:pPr>
      <w:r>
        <w:t>1.3 Research Methodologies…………………………………………………………………………….</w:t>
      </w:r>
      <w:r w:rsidR="00281F6D">
        <w:t>7</w:t>
      </w:r>
    </w:p>
    <w:p w14:paraId="1A2B6BAF" w14:textId="4D9B1C01" w:rsidR="008B6DAF" w:rsidRPr="008B6DAF" w:rsidRDefault="008B6DAF" w:rsidP="008B6DAF">
      <w:pPr>
        <w:spacing w:line="360" w:lineRule="auto"/>
      </w:pPr>
      <w:r>
        <w:t>1.4 Data Collection…..…………………………………………………………………………………….7</w:t>
      </w:r>
    </w:p>
    <w:p w14:paraId="0ECECAEE" w14:textId="4D2C0C19" w:rsidR="008B6DAF" w:rsidRPr="008B6DAF" w:rsidRDefault="008B6DAF" w:rsidP="008B6DAF">
      <w:pPr>
        <w:spacing w:line="360" w:lineRule="auto"/>
      </w:pPr>
      <w:r>
        <w:t>Conclusion……..…………………………………………………………………………………………….8</w:t>
      </w:r>
    </w:p>
    <w:p w14:paraId="519B73F4" w14:textId="6F18F688" w:rsidR="008B6DAF" w:rsidRDefault="008B6DAF" w:rsidP="008B6DAF">
      <w:pPr>
        <w:spacing w:line="360" w:lineRule="auto"/>
      </w:pPr>
      <w:r>
        <w:t>Reference List….…………………………………………………………………………………………….9</w:t>
      </w:r>
    </w:p>
    <w:p w14:paraId="7695467F" w14:textId="77777777" w:rsidR="008B6DAF" w:rsidRDefault="008B6DAF" w:rsidP="008B6DAF">
      <w:pPr>
        <w:spacing w:line="360" w:lineRule="auto"/>
      </w:pPr>
    </w:p>
    <w:p w14:paraId="3E3C76E5" w14:textId="77777777" w:rsidR="008B6DAF" w:rsidRDefault="008B6DAF" w:rsidP="008B6DAF">
      <w:pPr>
        <w:spacing w:line="360" w:lineRule="auto"/>
      </w:pPr>
    </w:p>
    <w:p w14:paraId="03CAC4DF" w14:textId="77777777" w:rsidR="008B6DAF" w:rsidRDefault="008B6DAF" w:rsidP="008B6DAF">
      <w:pPr>
        <w:spacing w:line="360" w:lineRule="auto"/>
      </w:pPr>
    </w:p>
    <w:p w14:paraId="3A3F8DF9" w14:textId="77777777" w:rsidR="008B6DAF" w:rsidRDefault="008B6DAF" w:rsidP="008B6DAF">
      <w:pPr>
        <w:spacing w:line="360" w:lineRule="auto"/>
      </w:pPr>
    </w:p>
    <w:p w14:paraId="488F0C27" w14:textId="77777777" w:rsidR="008B6DAF" w:rsidRDefault="008B6DAF" w:rsidP="008B6DAF">
      <w:pPr>
        <w:spacing w:line="360" w:lineRule="auto"/>
      </w:pPr>
    </w:p>
    <w:p w14:paraId="3EC0DC4A" w14:textId="77777777" w:rsidR="008B6DAF" w:rsidRDefault="008B6DAF" w:rsidP="008B6DAF">
      <w:pPr>
        <w:spacing w:line="360" w:lineRule="auto"/>
      </w:pPr>
    </w:p>
    <w:p w14:paraId="49AFF545" w14:textId="77777777" w:rsidR="008B6DAF" w:rsidRDefault="008B6DAF" w:rsidP="008B6DAF">
      <w:pPr>
        <w:spacing w:line="360" w:lineRule="auto"/>
      </w:pPr>
    </w:p>
    <w:p w14:paraId="731A738F" w14:textId="77777777" w:rsidR="008B6DAF" w:rsidRDefault="008B6DAF" w:rsidP="008B6DAF">
      <w:pPr>
        <w:spacing w:line="360" w:lineRule="auto"/>
      </w:pPr>
    </w:p>
    <w:p w14:paraId="47C49D35" w14:textId="77777777" w:rsidR="008B6DAF" w:rsidRDefault="008B6DAF" w:rsidP="008B6DAF">
      <w:pPr>
        <w:spacing w:line="360" w:lineRule="auto"/>
      </w:pPr>
    </w:p>
    <w:p w14:paraId="4EFAF118" w14:textId="77777777" w:rsidR="008B6DAF" w:rsidRDefault="008B6DAF" w:rsidP="008B6DAF">
      <w:pPr>
        <w:spacing w:line="360" w:lineRule="auto"/>
      </w:pPr>
    </w:p>
    <w:p w14:paraId="76918767" w14:textId="77777777" w:rsidR="008B6DAF" w:rsidRDefault="008B6DAF" w:rsidP="008B6DAF">
      <w:pPr>
        <w:spacing w:line="360" w:lineRule="auto"/>
      </w:pPr>
    </w:p>
    <w:p w14:paraId="6EAA59E3" w14:textId="77777777" w:rsidR="008B6DAF" w:rsidRDefault="008B6DAF" w:rsidP="008B6DAF">
      <w:pPr>
        <w:spacing w:line="360" w:lineRule="auto"/>
      </w:pPr>
    </w:p>
    <w:p w14:paraId="5A1C5BC8" w14:textId="77777777" w:rsidR="008B6DAF" w:rsidRDefault="008B6DAF" w:rsidP="008B6DAF">
      <w:pPr>
        <w:spacing w:line="360" w:lineRule="auto"/>
      </w:pPr>
    </w:p>
    <w:p w14:paraId="6AF043ED" w14:textId="77777777" w:rsidR="008B6DAF" w:rsidRDefault="008B6DAF" w:rsidP="008B6DAF">
      <w:pPr>
        <w:spacing w:line="360" w:lineRule="auto"/>
      </w:pPr>
    </w:p>
    <w:p w14:paraId="44770482" w14:textId="70507819" w:rsidR="008B6DAF" w:rsidRDefault="008B6DAF" w:rsidP="008B6DAF">
      <w:pPr>
        <w:spacing w:line="360" w:lineRule="auto"/>
      </w:pPr>
      <w:r>
        <w:rPr>
          <w:b/>
          <w:bCs/>
        </w:rPr>
        <w:lastRenderedPageBreak/>
        <w:t>Introduction</w:t>
      </w:r>
    </w:p>
    <w:p w14:paraId="03593AB9" w14:textId="6129B035" w:rsidR="008B6DAF" w:rsidRDefault="008B6DAF" w:rsidP="008B6DAF">
      <w:pPr>
        <w:spacing w:line="360" w:lineRule="auto"/>
        <w:rPr>
          <w:rFonts w:ascii="Arial" w:hAnsi="Arial" w:cs="Arial"/>
          <w:sz w:val="22"/>
          <w:szCs w:val="22"/>
        </w:rPr>
      </w:pPr>
      <w:r>
        <w:rPr>
          <w:rFonts w:ascii="Arial" w:hAnsi="Arial" w:cs="Arial"/>
          <w:sz w:val="22"/>
          <w:szCs w:val="22"/>
        </w:rPr>
        <w:t>This report analyses the misdiagnosis of hormonal imbalances in women within the UK health and Social Care system.</w:t>
      </w:r>
      <w:r w:rsidR="00281F6D">
        <w:rPr>
          <w:rFonts w:ascii="Arial" w:hAnsi="Arial" w:cs="Arial"/>
          <w:sz w:val="22"/>
          <w:szCs w:val="22"/>
        </w:rPr>
        <w:t xml:space="preserve"> Many</w:t>
      </w:r>
      <w:r>
        <w:rPr>
          <w:rFonts w:ascii="Arial" w:hAnsi="Arial" w:cs="Arial"/>
          <w:sz w:val="22"/>
          <w:szCs w:val="22"/>
        </w:rPr>
        <w:t xml:space="preserve"> women suffering from conditions such as PCOS, thyroid </w:t>
      </w:r>
      <w:r w:rsidR="00281F6D">
        <w:rPr>
          <w:rFonts w:ascii="Arial" w:hAnsi="Arial" w:cs="Arial"/>
          <w:sz w:val="22"/>
          <w:szCs w:val="22"/>
        </w:rPr>
        <w:t>issues</w:t>
      </w:r>
      <w:r>
        <w:rPr>
          <w:rFonts w:ascii="Arial" w:hAnsi="Arial" w:cs="Arial"/>
          <w:sz w:val="22"/>
          <w:szCs w:val="22"/>
        </w:rPr>
        <w:t xml:space="preserve">, endometriosis, and perimenopause, </w:t>
      </w:r>
      <w:r w:rsidR="00281F6D">
        <w:rPr>
          <w:rFonts w:ascii="Arial" w:hAnsi="Arial" w:cs="Arial"/>
          <w:sz w:val="22"/>
          <w:szCs w:val="22"/>
        </w:rPr>
        <w:t xml:space="preserve">often </w:t>
      </w:r>
      <w:r>
        <w:rPr>
          <w:rFonts w:ascii="Arial" w:hAnsi="Arial" w:cs="Arial"/>
          <w:sz w:val="22"/>
          <w:szCs w:val="22"/>
        </w:rPr>
        <w:t xml:space="preserve">have to wait years </w:t>
      </w:r>
      <w:r w:rsidR="00281F6D">
        <w:rPr>
          <w:rFonts w:ascii="Arial" w:hAnsi="Arial" w:cs="Arial"/>
          <w:sz w:val="22"/>
          <w:szCs w:val="22"/>
        </w:rPr>
        <w:t>for the right</w:t>
      </w:r>
      <w:r>
        <w:rPr>
          <w:rFonts w:ascii="Arial" w:hAnsi="Arial" w:cs="Arial"/>
          <w:sz w:val="22"/>
          <w:szCs w:val="22"/>
        </w:rPr>
        <w:t xml:space="preserve"> diagnosis. </w:t>
      </w:r>
      <w:r w:rsidR="00281F6D">
        <w:rPr>
          <w:rFonts w:ascii="Arial" w:hAnsi="Arial" w:cs="Arial"/>
          <w:sz w:val="22"/>
          <w:szCs w:val="22"/>
        </w:rPr>
        <w:t>Consequently</w:t>
      </w:r>
      <w:r>
        <w:rPr>
          <w:rFonts w:ascii="Arial" w:hAnsi="Arial" w:cs="Arial"/>
          <w:sz w:val="22"/>
          <w:szCs w:val="22"/>
        </w:rPr>
        <w:t>, their health and well</w:t>
      </w:r>
      <w:r w:rsidR="00281F6D">
        <w:rPr>
          <w:rFonts w:ascii="Arial" w:hAnsi="Arial" w:cs="Arial"/>
          <w:sz w:val="22"/>
          <w:szCs w:val="22"/>
        </w:rPr>
        <w:t>-being</w:t>
      </w:r>
      <w:r>
        <w:rPr>
          <w:rFonts w:ascii="Arial" w:hAnsi="Arial" w:cs="Arial"/>
          <w:sz w:val="22"/>
          <w:szCs w:val="22"/>
        </w:rPr>
        <w:t xml:space="preserve"> de</w:t>
      </w:r>
      <w:r w:rsidR="00281F6D">
        <w:rPr>
          <w:rFonts w:ascii="Arial" w:hAnsi="Arial" w:cs="Arial"/>
          <w:sz w:val="22"/>
          <w:szCs w:val="22"/>
        </w:rPr>
        <w:t>cline</w:t>
      </w:r>
      <w:r>
        <w:rPr>
          <w:rFonts w:ascii="Arial" w:hAnsi="Arial" w:cs="Arial"/>
          <w:sz w:val="22"/>
          <w:szCs w:val="22"/>
        </w:rPr>
        <w:t xml:space="preserve"> </w:t>
      </w:r>
      <w:r w:rsidR="00281F6D">
        <w:rPr>
          <w:rFonts w:ascii="Arial" w:hAnsi="Arial" w:cs="Arial"/>
          <w:sz w:val="22"/>
          <w:szCs w:val="22"/>
        </w:rPr>
        <w:t>significantly</w:t>
      </w:r>
      <w:r>
        <w:rPr>
          <w:rFonts w:ascii="Arial" w:hAnsi="Arial" w:cs="Arial"/>
          <w:sz w:val="22"/>
          <w:szCs w:val="22"/>
        </w:rPr>
        <w:t xml:space="preserve">. The report recognizes the issue, describes a research strategy that can be used to explore the problem more deeply, evaluates three relevant resources, and presents a research strategy that could be employed to examine this issue in greater detail. </w:t>
      </w:r>
    </w:p>
    <w:p w14:paraId="612D3420" w14:textId="77777777" w:rsidR="008B6DAF" w:rsidRDefault="008B6DAF" w:rsidP="008B6DAF">
      <w:pPr>
        <w:spacing w:line="360" w:lineRule="auto"/>
        <w:rPr>
          <w:rFonts w:ascii="Arial" w:hAnsi="Arial" w:cs="Arial"/>
          <w:sz w:val="22"/>
          <w:szCs w:val="22"/>
        </w:rPr>
      </w:pPr>
    </w:p>
    <w:p w14:paraId="190BDAED" w14:textId="0E160AB8" w:rsidR="008B6DAF" w:rsidRPr="008B6DAF" w:rsidRDefault="008B6DAF" w:rsidP="008B6DAF">
      <w:pPr>
        <w:pStyle w:val="ListParagraph"/>
        <w:numPr>
          <w:ilvl w:val="1"/>
          <w:numId w:val="1"/>
        </w:numPr>
        <w:spacing w:line="360" w:lineRule="auto"/>
        <w:rPr>
          <w:rFonts w:ascii="Arial" w:hAnsi="Arial" w:cs="Arial"/>
          <w:b/>
          <w:bCs/>
          <w:sz w:val="22"/>
          <w:szCs w:val="22"/>
        </w:rPr>
      </w:pPr>
      <w:r w:rsidRPr="008B6DAF">
        <w:rPr>
          <w:rFonts w:ascii="Arial" w:hAnsi="Arial" w:cs="Arial"/>
          <w:b/>
          <w:bCs/>
          <w:sz w:val="22"/>
          <w:szCs w:val="22"/>
        </w:rPr>
        <w:t>Selection of Research Topic</w:t>
      </w:r>
    </w:p>
    <w:p w14:paraId="3ED86135" w14:textId="59EA9CC5" w:rsidR="008B6DAF" w:rsidRPr="00281F6D" w:rsidRDefault="008B6DAF" w:rsidP="008B6DAF">
      <w:pPr>
        <w:spacing w:line="360" w:lineRule="auto"/>
        <w:rPr>
          <w:rFonts w:ascii="Arial" w:hAnsi="Arial" w:cs="Arial"/>
          <w:sz w:val="22"/>
          <w:szCs w:val="22"/>
        </w:rPr>
      </w:pPr>
      <w:r w:rsidRPr="00281F6D">
        <w:rPr>
          <w:rFonts w:ascii="Arial" w:hAnsi="Arial" w:cs="Arial"/>
          <w:sz w:val="22"/>
          <w:szCs w:val="22"/>
        </w:rPr>
        <w:t xml:space="preserve">The issue examined in this report is the misdiagnosis of hormonal imbalances in women </w:t>
      </w:r>
      <w:r w:rsidR="00281F6D" w:rsidRPr="00281F6D">
        <w:rPr>
          <w:rFonts w:ascii="Arial" w:hAnsi="Arial" w:cs="Arial"/>
          <w:sz w:val="22"/>
          <w:szCs w:val="22"/>
        </w:rPr>
        <w:t xml:space="preserve">who get </w:t>
      </w:r>
      <w:r w:rsidRPr="00281F6D">
        <w:rPr>
          <w:rFonts w:ascii="Arial" w:hAnsi="Arial" w:cs="Arial"/>
          <w:sz w:val="22"/>
          <w:szCs w:val="22"/>
        </w:rPr>
        <w:t xml:space="preserve">care through the UK’s National Health Service (NHS). </w:t>
      </w:r>
      <w:r w:rsidR="00281F6D" w:rsidRPr="00281F6D">
        <w:rPr>
          <w:rFonts w:ascii="Arial" w:hAnsi="Arial" w:cs="Arial"/>
          <w:sz w:val="22"/>
          <w:szCs w:val="22"/>
        </w:rPr>
        <w:t>H</w:t>
      </w:r>
      <w:r w:rsidRPr="00281F6D">
        <w:rPr>
          <w:rFonts w:ascii="Arial" w:hAnsi="Arial" w:cs="Arial"/>
          <w:sz w:val="22"/>
          <w:szCs w:val="22"/>
        </w:rPr>
        <w:t xml:space="preserve">ormonal imbalances often </w:t>
      </w:r>
      <w:r w:rsidR="00281F6D" w:rsidRPr="00281F6D">
        <w:rPr>
          <w:rFonts w:ascii="Arial" w:hAnsi="Arial" w:cs="Arial"/>
          <w:sz w:val="22"/>
          <w:szCs w:val="22"/>
        </w:rPr>
        <w:t>coexist with</w:t>
      </w:r>
      <w:r w:rsidRPr="00281F6D">
        <w:rPr>
          <w:rFonts w:ascii="Arial" w:hAnsi="Arial" w:cs="Arial"/>
          <w:sz w:val="22"/>
          <w:szCs w:val="22"/>
        </w:rPr>
        <w:t xml:space="preserve"> other conditions, </w:t>
      </w:r>
      <w:r w:rsidR="00281F6D" w:rsidRPr="00281F6D">
        <w:rPr>
          <w:rFonts w:ascii="Arial" w:hAnsi="Arial" w:cs="Arial"/>
          <w:sz w:val="22"/>
          <w:szCs w:val="22"/>
        </w:rPr>
        <w:t>including depression,</w:t>
      </w:r>
      <w:r w:rsidRPr="00281F6D">
        <w:rPr>
          <w:rFonts w:ascii="Arial" w:hAnsi="Arial" w:cs="Arial"/>
          <w:sz w:val="22"/>
          <w:szCs w:val="22"/>
        </w:rPr>
        <w:t xml:space="preserve"> </w:t>
      </w:r>
      <w:r w:rsidR="00281F6D" w:rsidRPr="00281F6D">
        <w:rPr>
          <w:rFonts w:ascii="Arial" w:hAnsi="Arial" w:cs="Arial"/>
          <w:sz w:val="22"/>
          <w:szCs w:val="22"/>
        </w:rPr>
        <w:t xml:space="preserve">anxiety, and </w:t>
      </w:r>
      <w:r w:rsidRPr="00281F6D">
        <w:rPr>
          <w:rFonts w:ascii="Arial" w:hAnsi="Arial" w:cs="Arial"/>
          <w:sz w:val="22"/>
          <w:szCs w:val="22"/>
        </w:rPr>
        <w:t xml:space="preserve">chronic fatigue. Therefore, they are </w:t>
      </w:r>
      <w:r w:rsidR="00281F6D" w:rsidRPr="00281F6D">
        <w:rPr>
          <w:rFonts w:ascii="Arial" w:hAnsi="Arial" w:cs="Arial"/>
          <w:sz w:val="22"/>
          <w:szCs w:val="22"/>
        </w:rPr>
        <w:t xml:space="preserve">more </w:t>
      </w:r>
      <w:r w:rsidRPr="00281F6D">
        <w:rPr>
          <w:rFonts w:ascii="Arial" w:hAnsi="Arial" w:cs="Arial"/>
          <w:sz w:val="22"/>
          <w:szCs w:val="22"/>
        </w:rPr>
        <w:t xml:space="preserve">difficult to diagnose, and </w:t>
      </w:r>
      <w:r w:rsidR="00281F6D" w:rsidRPr="00281F6D">
        <w:rPr>
          <w:rFonts w:ascii="Arial" w:hAnsi="Arial" w:cs="Arial"/>
          <w:sz w:val="22"/>
          <w:szCs w:val="22"/>
        </w:rPr>
        <w:t xml:space="preserve">many </w:t>
      </w:r>
      <w:r w:rsidRPr="00281F6D">
        <w:rPr>
          <w:rFonts w:ascii="Arial" w:hAnsi="Arial" w:cs="Arial"/>
          <w:sz w:val="22"/>
          <w:szCs w:val="22"/>
        </w:rPr>
        <w:t xml:space="preserve">women </w:t>
      </w:r>
      <w:r w:rsidR="00281F6D" w:rsidRPr="00281F6D">
        <w:rPr>
          <w:rFonts w:ascii="Arial" w:hAnsi="Arial" w:cs="Arial"/>
          <w:sz w:val="22"/>
          <w:szCs w:val="22"/>
        </w:rPr>
        <w:t xml:space="preserve">are treated incorrectly </w:t>
      </w:r>
      <w:r w:rsidRPr="00281F6D">
        <w:rPr>
          <w:rFonts w:ascii="Arial" w:hAnsi="Arial" w:cs="Arial"/>
          <w:sz w:val="22"/>
          <w:szCs w:val="22"/>
        </w:rPr>
        <w:t xml:space="preserve">for the wrong condition before </w:t>
      </w:r>
      <w:r w:rsidR="00281F6D" w:rsidRPr="00281F6D">
        <w:rPr>
          <w:rFonts w:ascii="Arial" w:hAnsi="Arial" w:cs="Arial"/>
          <w:sz w:val="22"/>
          <w:szCs w:val="22"/>
        </w:rPr>
        <w:t>the true cause is found</w:t>
      </w:r>
      <w:r w:rsidRPr="00281F6D">
        <w:rPr>
          <w:rFonts w:ascii="Arial" w:hAnsi="Arial" w:cs="Arial"/>
          <w:sz w:val="22"/>
          <w:szCs w:val="22"/>
        </w:rPr>
        <w:t xml:space="preserve">. </w:t>
      </w:r>
    </w:p>
    <w:p w14:paraId="5720CD34" w14:textId="77777777" w:rsidR="00281F6D" w:rsidRDefault="008B6DAF" w:rsidP="00281F6D">
      <w:pPr>
        <w:spacing w:line="360" w:lineRule="auto"/>
        <w:rPr>
          <w:rFonts w:ascii="Arial" w:hAnsi="Arial" w:cs="Arial"/>
          <w:sz w:val="22"/>
          <w:szCs w:val="22"/>
        </w:rPr>
      </w:pPr>
      <w:r>
        <w:rPr>
          <w:rFonts w:ascii="Arial" w:hAnsi="Arial" w:cs="Arial"/>
          <w:sz w:val="22"/>
          <w:szCs w:val="22"/>
        </w:rPr>
        <w:t xml:space="preserve">The extent of the problem is considerable. </w:t>
      </w:r>
      <w:r w:rsidR="00281F6D">
        <w:rPr>
          <w:rFonts w:ascii="Arial" w:hAnsi="Arial" w:cs="Arial"/>
          <w:sz w:val="22"/>
          <w:szCs w:val="22"/>
        </w:rPr>
        <w:t xml:space="preserve">According to Endometriosis UK (2023), women in the UK typically had to wait eight years to be diagnosed with endometriosis. According to a British Thyroid Foundation study from 2022, 35% of women with hypothyroidism had been previously diagnosed with a mental health condition. Based on the 2023 Wellbeing of Women foundation study, 84% of women said that doctors did not take their symptoms seriously. These numbers emphasize the seriousness of the issue and the need for quick action. </w:t>
      </w:r>
    </w:p>
    <w:p w14:paraId="22822A40" w14:textId="778627AC" w:rsidR="008B6DAF" w:rsidRDefault="00281F6D" w:rsidP="00281F6D">
      <w:pPr>
        <w:spacing w:line="360" w:lineRule="auto"/>
        <w:rPr>
          <w:rFonts w:ascii="Arial" w:hAnsi="Arial" w:cs="Arial"/>
          <w:sz w:val="22"/>
          <w:szCs w:val="22"/>
        </w:rPr>
      </w:pPr>
      <w:r>
        <w:rPr>
          <w:rFonts w:ascii="Arial" w:hAnsi="Arial" w:cs="Arial"/>
          <w:sz w:val="22"/>
          <w:szCs w:val="22"/>
        </w:rPr>
        <w:br/>
        <w:t xml:space="preserve">This issue affects women of all ages and backgrounds, especially those who work or provide care, because a delayed diagnosis can make it more difficult for them to handle their day-to-day tasks and work. Additionally, NHS Services end up incurring avoidable costs as a result </w:t>
      </w:r>
      <w:proofErr w:type="spellStart"/>
      <w:r>
        <w:rPr>
          <w:rFonts w:ascii="Arial" w:hAnsi="Arial" w:cs="Arial"/>
          <w:sz w:val="22"/>
          <w:szCs w:val="22"/>
        </w:rPr>
        <w:t>of</w:t>
      </w:r>
      <w:r w:rsidR="00EA29B5">
        <w:rPr>
          <w:rFonts w:ascii="Arial" w:hAnsi="Arial" w:cs="Arial"/>
          <w:sz w:val="22"/>
          <w:szCs w:val="22"/>
        </w:rPr>
        <w:t>j</w:t>
      </w:r>
      <w:proofErr w:type="spellEnd"/>
      <w:r>
        <w:rPr>
          <w:rFonts w:ascii="Arial" w:hAnsi="Arial" w:cs="Arial"/>
          <w:sz w:val="22"/>
          <w:szCs w:val="22"/>
        </w:rPr>
        <w:t xml:space="preserve"> frequent appointments and inappropriate treatments. </w:t>
      </w:r>
      <w:r w:rsidR="008B6DAF">
        <w:rPr>
          <w:rFonts w:ascii="Arial" w:hAnsi="Arial" w:cs="Arial"/>
          <w:sz w:val="22"/>
          <w:szCs w:val="22"/>
        </w:rPr>
        <w:t>There is a noticeable lack of understanding in women’s hormonal health among caregivers that needs to be addresses (RCOG, 2022).</w:t>
      </w:r>
    </w:p>
    <w:p w14:paraId="4750BD0C" w14:textId="206D30C4" w:rsidR="008B6DAF" w:rsidRDefault="00281F6D" w:rsidP="008B6DAF">
      <w:pPr>
        <w:spacing w:line="360" w:lineRule="auto"/>
        <w:rPr>
          <w:rFonts w:ascii="Arial" w:hAnsi="Arial" w:cs="Arial"/>
          <w:sz w:val="22"/>
          <w:szCs w:val="22"/>
        </w:rPr>
      </w:pPr>
      <w:r w:rsidRPr="00281F6D">
        <w:rPr>
          <w:rFonts w:ascii="Arial" w:hAnsi="Arial" w:cs="Arial"/>
          <w:sz w:val="22"/>
          <w:szCs w:val="22"/>
        </w:rPr>
        <w:t>This</w:t>
      </w:r>
      <w:r>
        <w:rPr>
          <w:rFonts w:ascii="Arial" w:hAnsi="Arial" w:cs="Arial"/>
          <w:sz w:val="22"/>
          <w:szCs w:val="22"/>
        </w:rPr>
        <w:t xml:space="preserve"> topic was chosen because of a personal connection to the issue. It took a long time for someone close to me to get a proper hormonal diagnosis, and during that time, their symptoms were repeatedly brushed off or associated with stress and anxiety. After experiencing diagnostic delays myself, I became aware of their seriousness and impact, </w:t>
      </w:r>
      <w:r>
        <w:rPr>
          <w:rFonts w:ascii="Arial" w:hAnsi="Arial" w:cs="Arial"/>
          <w:sz w:val="22"/>
          <w:szCs w:val="22"/>
        </w:rPr>
        <w:lastRenderedPageBreak/>
        <w:t>which piqued my interest in their causes.</w:t>
      </w:r>
      <w:r w:rsidR="008B6DAF">
        <w:rPr>
          <w:rFonts w:ascii="Arial" w:hAnsi="Arial" w:cs="Arial"/>
          <w:sz w:val="22"/>
          <w:szCs w:val="22"/>
        </w:rPr>
        <w:t xml:space="preserve"> Therefore, exploring this subject is personally important as well as extremely pertinent to health and social care practices in the UK.  </w:t>
      </w:r>
    </w:p>
    <w:p w14:paraId="19D603EE" w14:textId="77777777" w:rsidR="00281F6D" w:rsidRDefault="00281F6D" w:rsidP="008B6DAF">
      <w:pPr>
        <w:spacing w:line="360" w:lineRule="auto"/>
        <w:rPr>
          <w:rFonts w:ascii="Arial" w:hAnsi="Arial" w:cs="Arial"/>
          <w:sz w:val="22"/>
          <w:szCs w:val="22"/>
        </w:rPr>
      </w:pPr>
    </w:p>
    <w:p w14:paraId="124616BB" w14:textId="05593EE8" w:rsidR="008B6DAF" w:rsidRPr="008B6DAF" w:rsidRDefault="008B6DAF" w:rsidP="008B6DAF">
      <w:pPr>
        <w:pStyle w:val="ListParagraph"/>
        <w:numPr>
          <w:ilvl w:val="1"/>
          <w:numId w:val="1"/>
        </w:numPr>
        <w:spacing w:line="360" w:lineRule="auto"/>
        <w:rPr>
          <w:rFonts w:ascii="Arial" w:hAnsi="Arial" w:cs="Arial"/>
          <w:b/>
          <w:bCs/>
          <w:sz w:val="22"/>
          <w:szCs w:val="22"/>
        </w:rPr>
      </w:pPr>
      <w:r w:rsidRPr="008B6DAF">
        <w:rPr>
          <w:rFonts w:ascii="Arial" w:hAnsi="Arial" w:cs="Arial"/>
          <w:b/>
          <w:bCs/>
          <w:sz w:val="22"/>
          <w:szCs w:val="22"/>
        </w:rPr>
        <w:t>Evaluating Information Sources</w:t>
      </w:r>
    </w:p>
    <w:p w14:paraId="6C5B4B00" w14:textId="41D812FA" w:rsidR="008B6DAF" w:rsidRPr="00281F6D" w:rsidRDefault="008B6DAF" w:rsidP="008B6DAF">
      <w:pPr>
        <w:spacing w:line="360" w:lineRule="auto"/>
        <w:rPr>
          <w:rFonts w:ascii="Arial" w:hAnsi="Arial" w:cs="Arial"/>
          <w:sz w:val="22"/>
          <w:szCs w:val="22"/>
          <w:highlight w:val="yellow"/>
        </w:rPr>
      </w:pPr>
      <w:r>
        <w:rPr>
          <w:rFonts w:ascii="Arial" w:hAnsi="Arial" w:cs="Arial"/>
          <w:sz w:val="22"/>
          <w:szCs w:val="22"/>
        </w:rPr>
        <w:t xml:space="preserve">Three reliable sources were selected to back this report. </w:t>
      </w:r>
      <w:r w:rsidRPr="00281F6D">
        <w:rPr>
          <w:rFonts w:ascii="Arial" w:hAnsi="Arial" w:cs="Arial"/>
          <w:sz w:val="22"/>
          <w:szCs w:val="22"/>
        </w:rPr>
        <w:t>E</w:t>
      </w:r>
      <w:r w:rsidR="00281F6D" w:rsidRPr="00281F6D">
        <w:rPr>
          <w:rFonts w:ascii="Arial" w:hAnsi="Arial" w:cs="Arial"/>
          <w:sz w:val="22"/>
          <w:szCs w:val="22"/>
        </w:rPr>
        <w:t>very</w:t>
      </w:r>
      <w:r w:rsidRPr="00281F6D">
        <w:rPr>
          <w:rFonts w:ascii="Arial" w:hAnsi="Arial" w:cs="Arial"/>
          <w:sz w:val="22"/>
          <w:szCs w:val="22"/>
        </w:rPr>
        <w:t xml:space="preserve"> source was </w:t>
      </w:r>
      <w:r w:rsidR="00281F6D" w:rsidRPr="00281F6D">
        <w:rPr>
          <w:rFonts w:ascii="Arial" w:hAnsi="Arial" w:cs="Arial"/>
          <w:sz w:val="22"/>
          <w:szCs w:val="22"/>
        </w:rPr>
        <w:t>analysed</w:t>
      </w:r>
      <w:r w:rsidRPr="00281F6D">
        <w:rPr>
          <w:rFonts w:ascii="Arial" w:hAnsi="Arial" w:cs="Arial"/>
          <w:sz w:val="22"/>
          <w:szCs w:val="22"/>
        </w:rPr>
        <w:t xml:space="preserve"> using the CRAAP test, which </w:t>
      </w:r>
      <w:r w:rsidR="00281F6D" w:rsidRPr="00281F6D">
        <w:rPr>
          <w:rFonts w:ascii="Arial" w:hAnsi="Arial" w:cs="Arial"/>
          <w:sz w:val="22"/>
          <w:szCs w:val="22"/>
        </w:rPr>
        <w:t>evaluates whether</w:t>
      </w:r>
      <w:r w:rsidRPr="00281F6D">
        <w:rPr>
          <w:rFonts w:ascii="Arial" w:hAnsi="Arial" w:cs="Arial"/>
          <w:sz w:val="22"/>
          <w:szCs w:val="22"/>
        </w:rPr>
        <w:t xml:space="preserve"> i</w:t>
      </w:r>
      <w:r w:rsidR="00281F6D" w:rsidRPr="00281F6D">
        <w:rPr>
          <w:rFonts w:ascii="Arial" w:hAnsi="Arial" w:cs="Arial"/>
          <w:sz w:val="22"/>
          <w:szCs w:val="22"/>
        </w:rPr>
        <w:t>t</w:t>
      </w:r>
      <w:r w:rsidRPr="00281F6D">
        <w:rPr>
          <w:rFonts w:ascii="Arial" w:hAnsi="Arial" w:cs="Arial"/>
          <w:sz w:val="22"/>
          <w:szCs w:val="22"/>
        </w:rPr>
        <w:t xml:space="preserve"> i</w:t>
      </w:r>
      <w:r w:rsidR="00281F6D" w:rsidRPr="00281F6D">
        <w:rPr>
          <w:rFonts w:ascii="Arial" w:hAnsi="Arial" w:cs="Arial"/>
          <w:sz w:val="22"/>
          <w:szCs w:val="22"/>
        </w:rPr>
        <w:t>s</w:t>
      </w:r>
      <w:r w:rsidRPr="00281F6D">
        <w:rPr>
          <w:rFonts w:ascii="Arial" w:hAnsi="Arial" w:cs="Arial"/>
          <w:sz w:val="22"/>
          <w:szCs w:val="22"/>
        </w:rPr>
        <w:t xml:space="preserve"> Current, Relevant, Authoritative, Accurate and </w:t>
      </w:r>
      <w:r w:rsidR="00281F6D" w:rsidRPr="00281F6D">
        <w:rPr>
          <w:rFonts w:ascii="Arial" w:hAnsi="Arial" w:cs="Arial"/>
          <w:sz w:val="22"/>
          <w:szCs w:val="22"/>
        </w:rPr>
        <w:t>suitable</w:t>
      </w:r>
      <w:r w:rsidRPr="00281F6D">
        <w:rPr>
          <w:rFonts w:ascii="Arial" w:hAnsi="Arial" w:cs="Arial"/>
          <w:sz w:val="22"/>
          <w:szCs w:val="22"/>
        </w:rPr>
        <w:t xml:space="preserve"> for Purpose (Blakeslee, 2004). </w:t>
      </w:r>
    </w:p>
    <w:p w14:paraId="77F03201" w14:textId="06084477" w:rsidR="008B6DAF" w:rsidRDefault="008B6DAF" w:rsidP="008B6DAF">
      <w:pPr>
        <w:spacing w:line="360" w:lineRule="auto"/>
        <w:rPr>
          <w:rFonts w:ascii="Arial" w:hAnsi="Arial" w:cs="Arial"/>
          <w:sz w:val="22"/>
          <w:szCs w:val="22"/>
        </w:rPr>
      </w:pPr>
      <w:r w:rsidRPr="00281F6D">
        <w:rPr>
          <w:rFonts w:ascii="Arial" w:hAnsi="Arial" w:cs="Arial"/>
          <w:sz w:val="22"/>
          <w:szCs w:val="22"/>
        </w:rPr>
        <w:t xml:space="preserve">The first source is a journal article </w:t>
      </w:r>
      <w:r w:rsidR="00281F6D" w:rsidRPr="00281F6D">
        <w:rPr>
          <w:rFonts w:ascii="Arial" w:hAnsi="Arial" w:cs="Arial"/>
          <w:sz w:val="22"/>
          <w:szCs w:val="22"/>
        </w:rPr>
        <w:t xml:space="preserve">published in the British Journal of General Practice </w:t>
      </w:r>
      <w:r w:rsidRPr="00281F6D">
        <w:rPr>
          <w:rFonts w:ascii="Arial" w:hAnsi="Arial" w:cs="Arial"/>
          <w:sz w:val="22"/>
          <w:szCs w:val="22"/>
        </w:rPr>
        <w:t xml:space="preserve">by Whitney et al. (2021. It </w:t>
      </w:r>
      <w:r w:rsidR="00281F6D" w:rsidRPr="00281F6D">
        <w:rPr>
          <w:rFonts w:ascii="Arial" w:hAnsi="Arial" w:cs="Arial"/>
          <w:sz w:val="22"/>
          <w:szCs w:val="22"/>
        </w:rPr>
        <w:t>outlines</w:t>
      </w:r>
      <w:r w:rsidRPr="00281F6D">
        <w:rPr>
          <w:rFonts w:ascii="Arial" w:hAnsi="Arial" w:cs="Arial"/>
          <w:sz w:val="22"/>
          <w:szCs w:val="22"/>
        </w:rPr>
        <w:t xml:space="preserve"> qualitative interviews with</w:t>
      </w:r>
      <w:r w:rsidR="00281F6D">
        <w:rPr>
          <w:rFonts w:ascii="Arial" w:hAnsi="Arial" w:cs="Arial"/>
          <w:sz w:val="22"/>
          <w:szCs w:val="22"/>
        </w:rPr>
        <w:t xml:space="preserve"> PCOS-diagnosed women in the UK and explores how their symptoms were misinterpreted prior to getting a proper diagnosis. It was published in a reputable peer-reviewed publication, is up to date, and comes from original research with ethical approval. </w:t>
      </w:r>
      <w:r>
        <w:rPr>
          <w:rFonts w:ascii="Arial" w:hAnsi="Arial" w:cs="Arial"/>
          <w:sz w:val="22"/>
          <w:szCs w:val="22"/>
        </w:rPr>
        <w:t xml:space="preserve">It is directly linked as it provides actual proof of misdiagnosis from the perspective of the patient. A limitation is that it might not fully capture the experiences of women with different hormonal issues since it focuses exclusively on PCOS. </w:t>
      </w:r>
    </w:p>
    <w:p w14:paraId="78300943" w14:textId="1A21DF94" w:rsidR="008B6DAF" w:rsidRDefault="008B6DAF" w:rsidP="008B6DAF">
      <w:pPr>
        <w:spacing w:line="360" w:lineRule="auto"/>
        <w:rPr>
          <w:rFonts w:ascii="Arial" w:hAnsi="Arial" w:cs="Arial"/>
          <w:sz w:val="22"/>
          <w:szCs w:val="22"/>
        </w:rPr>
      </w:pPr>
      <w:r>
        <w:rPr>
          <w:rFonts w:ascii="Arial" w:hAnsi="Arial" w:cs="Arial"/>
          <w:sz w:val="22"/>
          <w:szCs w:val="22"/>
        </w:rPr>
        <w:t xml:space="preserve">The second source is the report from Endometriosis UK (2023) titles ‘Endometriosis is the UK: Time for Change’. This study, which surveyed over 10,000 women, found that the typical duration to receive an endometriosis diagnosis was eight years, and 58% had been diagnosed with a different condition beforehand. It is current, uses a large dataset, and was developed by a well-known charity in the UK. The data is reliable and commonly referenced in NHS policy debates, but the aim is somewhat advocacy-driven, indicating it might focus on negative outcomes. This source has a weakness in that it omits clinician perspectives on the causes of misdiagnosis. </w:t>
      </w:r>
      <w:r w:rsidR="00281F6D">
        <w:rPr>
          <w:rFonts w:ascii="Arial" w:hAnsi="Arial" w:cs="Arial"/>
          <w:sz w:val="22"/>
          <w:szCs w:val="22"/>
        </w:rPr>
        <w:t xml:space="preserve">The rates of incorrect diagnoses and delayed diagnoses from this source are shown in Figures 1 and 2. </w:t>
      </w:r>
    </w:p>
    <w:p w14:paraId="218EDC50" w14:textId="77777777" w:rsidR="008B6DAF" w:rsidRDefault="008B6DAF" w:rsidP="008B6DAF">
      <w:pPr>
        <w:spacing w:line="360" w:lineRule="auto"/>
        <w:rPr>
          <w:rFonts w:ascii="Arial" w:hAnsi="Arial" w:cs="Arial"/>
          <w:sz w:val="22"/>
          <w:szCs w:val="22"/>
        </w:rPr>
      </w:pPr>
    </w:p>
    <w:p w14:paraId="66C0570A" w14:textId="7CA0398C" w:rsidR="008B6DAF" w:rsidRDefault="008B6DAF" w:rsidP="008B6DAF">
      <w:pPr>
        <w:spacing w:line="360" w:lineRule="auto"/>
        <w:jc w:val="center"/>
        <w:rPr>
          <w:rFonts w:ascii="Arial" w:hAnsi="Arial" w:cs="Arial"/>
          <w:sz w:val="22"/>
          <w:szCs w:val="22"/>
        </w:rPr>
      </w:pPr>
      <w:r w:rsidRPr="00734952">
        <w:rPr>
          <w:noProof/>
        </w:rPr>
        <w:lastRenderedPageBreak/>
        <w:drawing>
          <wp:inline distT="0" distB="0" distL="0" distR="0" wp14:anchorId="29CCB383" wp14:editId="1838CB26">
            <wp:extent cx="5359651" cy="3001405"/>
            <wp:effectExtent l="0" t="0" r="0" b="0"/>
            <wp:docPr id="1" name="chart" descr="Data chart" titl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395229" cy="3021329"/>
                    </a:xfrm>
                    <a:prstGeom prst="rect">
                      <a:avLst/>
                    </a:prstGeom>
                  </pic:spPr>
                </pic:pic>
              </a:graphicData>
            </a:graphic>
          </wp:inline>
        </w:drawing>
      </w:r>
    </w:p>
    <w:p w14:paraId="31AA2C25" w14:textId="77777777" w:rsidR="008B6DAF" w:rsidRDefault="008B6DAF" w:rsidP="008B6DAF">
      <w:pPr>
        <w:spacing w:line="360" w:lineRule="auto"/>
        <w:rPr>
          <w:rFonts w:ascii="Arial" w:hAnsi="Arial" w:cs="Arial"/>
          <w:sz w:val="22"/>
          <w:szCs w:val="22"/>
        </w:rPr>
      </w:pPr>
    </w:p>
    <w:p w14:paraId="5D1B42F0" w14:textId="09D1ED4C" w:rsidR="008B6DAF" w:rsidRPr="008B6DAF" w:rsidRDefault="008B6DAF" w:rsidP="008B6DAF">
      <w:pPr>
        <w:spacing w:line="360" w:lineRule="auto"/>
        <w:jc w:val="center"/>
        <w:rPr>
          <w:rFonts w:ascii="Arial" w:hAnsi="Arial" w:cs="Arial"/>
          <w:i/>
          <w:iCs/>
          <w:sz w:val="22"/>
          <w:szCs w:val="22"/>
        </w:rPr>
      </w:pPr>
      <w:r w:rsidRPr="00281F6D">
        <w:rPr>
          <w:rFonts w:ascii="Arial" w:hAnsi="Arial" w:cs="Arial"/>
          <w:i/>
          <w:iCs/>
          <w:sz w:val="22"/>
          <w:szCs w:val="22"/>
        </w:rPr>
        <w:t xml:space="preserve">Figure 1: </w:t>
      </w:r>
      <w:r w:rsidR="00281F6D">
        <w:rPr>
          <w:rFonts w:ascii="Arial" w:hAnsi="Arial" w:cs="Arial"/>
          <w:i/>
          <w:iCs/>
          <w:sz w:val="22"/>
          <w:szCs w:val="22"/>
        </w:rPr>
        <w:t>The UK’s a</w:t>
      </w:r>
      <w:r w:rsidRPr="00281F6D">
        <w:rPr>
          <w:rFonts w:ascii="Arial" w:hAnsi="Arial" w:cs="Arial"/>
          <w:i/>
          <w:iCs/>
          <w:sz w:val="22"/>
          <w:szCs w:val="22"/>
        </w:rPr>
        <w:t xml:space="preserve">verage diagnosis delay by hormonal </w:t>
      </w:r>
      <w:r w:rsidR="00281F6D">
        <w:rPr>
          <w:rFonts w:ascii="Arial" w:hAnsi="Arial" w:cs="Arial"/>
          <w:i/>
          <w:iCs/>
          <w:sz w:val="22"/>
          <w:szCs w:val="22"/>
        </w:rPr>
        <w:t xml:space="preserve">disorder </w:t>
      </w:r>
      <w:r w:rsidRPr="00281F6D">
        <w:rPr>
          <w:rFonts w:ascii="Arial" w:hAnsi="Arial" w:cs="Arial"/>
          <w:i/>
          <w:iCs/>
          <w:sz w:val="22"/>
          <w:szCs w:val="22"/>
        </w:rPr>
        <w:t>(Endometriosis UK, 2023; British Thyroid Foundation, 2022; RCOG, 2022)</w:t>
      </w:r>
    </w:p>
    <w:p w14:paraId="3927AE93" w14:textId="77777777" w:rsidR="008B6DAF" w:rsidRDefault="008B6DAF" w:rsidP="008B6DAF">
      <w:pPr>
        <w:spacing w:line="360" w:lineRule="auto"/>
        <w:rPr>
          <w:rFonts w:ascii="Arial" w:hAnsi="Arial" w:cs="Arial"/>
          <w:sz w:val="22"/>
          <w:szCs w:val="22"/>
        </w:rPr>
      </w:pPr>
    </w:p>
    <w:p w14:paraId="148AD7E4" w14:textId="77777777" w:rsidR="008B6DAF" w:rsidRDefault="008B6DAF" w:rsidP="008B6DAF">
      <w:pPr>
        <w:spacing w:line="360" w:lineRule="auto"/>
        <w:rPr>
          <w:rFonts w:ascii="Arial" w:hAnsi="Arial" w:cs="Arial"/>
          <w:sz w:val="22"/>
          <w:szCs w:val="22"/>
        </w:rPr>
      </w:pPr>
    </w:p>
    <w:p w14:paraId="35B3BD67" w14:textId="533280C6" w:rsidR="008B6DAF" w:rsidRDefault="008B6DAF" w:rsidP="008B6DAF">
      <w:pPr>
        <w:spacing w:line="360" w:lineRule="auto"/>
        <w:jc w:val="center"/>
        <w:rPr>
          <w:rFonts w:ascii="Arial" w:hAnsi="Arial" w:cs="Arial"/>
          <w:sz w:val="22"/>
          <w:szCs w:val="22"/>
        </w:rPr>
      </w:pPr>
      <w:r w:rsidRPr="00734952">
        <w:rPr>
          <w:noProof/>
        </w:rPr>
        <w:drawing>
          <wp:inline distT="0" distB="0" distL="0" distR="0" wp14:anchorId="5383167A" wp14:editId="7EB537B4">
            <wp:extent cx="5368705" cy="3006475"/>
            <wp:effectExtent l="0" t="0" r="3810" b="3810"/>
            <wp:docPr id="160880868" name="chart" descr="Data chart" titl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92231" cy="3019650"/>
                    </a:xfrm>
                    <a:prstGeom prst="rect">
                      <a:avLst/>
                    </a:prstGeom>
                  </pic:spPr>
                </pic:pic>
              </a:graphicData>
            </a:graphic>
          </wp:inline>
        </w:drawing>
      </w:r>
    </w:p>
    <w:p w14:paraId="4FBC4A71" w14:textId="77777777" w:rsidR="008B6DAF" w:rsidRDefault="008B6DAF" w:rsidP="008B6DAF">
      <w:pPr>
        <w:spacing w:line="360" w:lineRule="auto"/>
        <w:rPr>
          <w:rFonts w:ascii="Arial" w:hAnsi="Arial" w:cs="Arial"/>
          <w:sz w:val="22"/>
          <w:szCs w:val="22"/>
        </w:rPr>
      </w:pPr>
    </w:p>
    <w:p w14:paraId="58143A97" w14:textId="651F0485" w:rsidR="008B6DAF" w:rsidRDefault="008B6DAF" w:rsidP="008B6DAF">
      <w:pPr>
        <w:spacing w:line="360" w:lineRule="auto"/>
        <w:jc w:val="center"/>
        <w:rPr>
          <w:rFonts w:ascii="Arial" w:hAnsi="Arial" w:cs="Arial"/>
          <w:i/>
          <w:iCs/>
          <w:sz w:val="22"/>
          <w:szCs w:val="22"/>
        </w:rPr>
      </w:pPr>
      <w:r w:rsidRPr="00281F6D">
        <w:rPr>
          <w:rFonts w:ascii="Arial" w:hAnsi="Arial" w:cs="Arial"/>
          <w:i/>
          <w:iCs/>
          <w:sz w:val="22"/>
          <w:szCs w:val="22"/>
        </w:rPr>
        <w:t xml:space="preserve">Figure 2: </w:t>
      </w:r>
      <w:r w:rsidR="00281F6D">
        <w:rPr>
          <w:rFonts w:ascii="Arial" w:hAnsi="Arial" w:cs="Arial"/>
          <w:i/>
          <w:iCs/>
          <w:sz w:val="22"/>
          <w:szCs w:val="22"/>
        </w:rPr>
        <w:t>The proportion</w:t>
      </w:r>
      <w:r w:rsidRPr="00281F6D">
        <w:rPr>
          <w:rFonts w:ascii="Arial" w:hAnsi="Arial" w:cs="Arial"/>
          <w:i/>
          <w:iCs/>
          <w:sz w:val="22"/>
          <w:szCs w:val="22"/>
        </w:rPr>
        <w:t xml:space="preserve"> of women </w:t>
      </w:r>
      <w:r w:rsidR="00281F6D">
        <w:rPr>
          <w:rFonts w:ascii="Arial" w:hAnsi="Arial" w:cs="Arial"/>
          <w:i/>
          <w:iCs/>
          <w:sz w:val="22"/>
          <w:szCs w:val="22"/>
        </w:rPr>
        <w:t xml:space="preserve">who were </w:t>
      </w:r>
      <w:r w:rsidRPr="00281F6D">
        <w:rPr>
          <w:rFonts w:ascii="Arial" w:hAnsi="Arial" w:cs="Arial"/>
          <w:i/>
          <w:iCs/>
          <w:sz w:val="22"/>
          <w:szCs w:val="22"/>
        </w:rPr>
        <w:t xml:space="preserve">misdiagnosed before </w:t>
      </w:r>
      <w:r w:rsidR="00281F6D">
        <w:rPr>
          <w:rFonts w:ascii="Arial" w:hAnsi="Arial" w:cs="Arial"/>
          <w:i/>
          <w:iCs/>
          <w:sz w:val="22"/>
          <w:szCs w:val="22"/>
        </w:rPr>
        <w:t>being properly</w:t>
      </w:r>
      <w:r w:rsidRPr="00281F6D">
        <w:rPr>
          <w:rFonts w:ascii="Arial" w:hAnsi="Arial" w:cs="Arial"/>
          <w:i/>
          <w:iCs/>
          <w:sz w:val="22"/>
          <w:szCs w:val="22"/>
        </w:rPr>
        <w:t xml:space="preserve"> diagnos</w:t>
      </w:r>
      <w:r w:rsidR="00281F6D">
        <w:rPr>
          <w:rFonts w:ascii="Arial" w:hAnsi="Arial" w:cs="Arial"/>
          <w:i/>
          <w:iCs/>
          <w:sz w:val="22"/>
          <w:szCs w:val="22"/>
        </w:rPr>
        <w:t>ed</w:t>
      </w:r>
      <w:r w:rsidRPr="00281F6D">
        <w:rPr>
          <w:rFonts w:ascii="Arial" w:hAnsi="Arial" w:cs="Arial"/>
          <w:i/>
          <w:iCs/>
          <w:sz w:val="22"/>
          <w:szCs w:val="22"/>
        </w:rPr>
        <w:t xml:space="preserve"> (Endometriosis UK, 2023; Whitney et al., 2021; RCOG, 2022)</w:t>
      </w:r>
    </w:p>
    <w:p w14:paraId="56B99F2E" w14:textId="77777777" w:rsidR="008B6DAF" w:rsidRPr="008B6DAF" w:rsidRDefault="008B6DAF" w:rsidP="008B6DAF">
      <w:pPr>
        <w:spacing w:line="360" w:lineRule="auto"/>
        <w:jc w:val="center"/>
        <w:rPr>
          <w:rFonts w:ascii="Arial" w:hAnsi="Arial" w:cs="Arial"/>
          <w:i/>
          <w:iCs/>
          <w:sz w:val="22"/>
          <w:szCs w:val="22"/>
        </w:rPr>
      </w:pPr>
    </w:p>
    <w:p w14:paraId="14033525" w14:textId="5D696A3D" w:rsidR="00281F6D" w:rsidRDefault="008B6DAF" w:rsidP="008B6DAF">
      <w:pPr>
        <w:spacing w:line="360" w:lineRule="auto"/>
        <w:rPr>
          <w:rFonts w:ascii="Arial" w:hAnsi="Arial" w:cs="Arial"/>
          <w:sz w:val="22"/>
          <w:szCs w:val="22"/>
        </w:rPr>
      </w:pPr>
      <w:r w:rsidRPr="00281F6D">
        <w:rPr>
          <w:rFonts w:ascii="Arial" w:hAnsi="Arial" w:cs="Arial"/>
          <w:sz w:val="22"/>
          <w:szCs w:val="22"/>
        </w:rPr>
        <w:t>The third source is</w:t>
      </w:r>
      <w:r w:rsidR="00281F6D" w:rsidRPr="00281F6D">
        <w:rPr>
          <w:rFonts w:ascii="Arial" w:hAnsi="Arial" w:cs="Arial"/>
          <w:sz w:val="22"/>
          <w:szCs w:val="22"/>
        </w:rPr>
        <w:t xml:space="preserve"> “Women’s Voices: Enhancing Women’s Healthcare Experience”</w:t>
      </w:r>
      <w:r w:rsidR="00281F6D">
        <w:rPr>
          <w:rFonts w:ascii="Arial" w:hAnsi="Arial" w:cs="Arial"/>
          <w:sz w:val="22"/>
          <w:szCs w:val="22"/>
        </w:rPr>
        <w:t xml:space="preserve">, </w:t>
      </w:r>
      <w:r w:rsidRPr="00281F6D">
        <w:rPr>
          <w:rFonts w:ascii="Arial" w:hAnsi="Arial" w:cs="Arial"/>
          <w:sz w:val="22"/>
          <w:szCs w:val="22"/>
        </w:rPr>
        <w:t>a report</w:t>
      </w:r>
      <w:r w:rsidR="00281F6D" w:rsidRPr="00281F6D">
        <w:rPr>
          <w:rFonts w:ascii="Arial" w:hAnsi="Arial" w:cs="Arial"/>
          <w:sz w:val="22"/>
          <w:szCs w:val="22"/>
        </w:rPr>
        <w:t xml:space="preserve"> published in 2022 by</w:t>
      </w:r>
      <w:r w:rsidRPr="00281F6D">
        <w:rPr>
          <w:rFonts w:ascii="Arial" w:hAnsi="Arial" w:cs="Arial"/>
          <w:sz w:val="22"/>
          <w:szCs w:val="22"/>
        </w:rPr>
        <w:t xml:space="preserve"> the Royal College of Obstetricians and Gynaecologists (RCOG, 2022). </w:t>
      </w:r>
      <w:r w:rsidR="00281F6D">
        <w:rPr>
          <w:rFonts w:ascii="Arial" w:hAnsi="Arial" w:cs="Arial"/>
          <w:sz w:val="22"/>
          <w:szCs w:val="22"/>
        </w:rPr>
        <w:t>Using information from clinical audits, patient questionnaires, and policy evaluations, this study examines how gender affects clinical decision-making.</w:t>
      </w:r>
    </w:p>
    <w:p w14:paraId="1883F2B5" w14:textId="6573514F" w:rsidR="008B6DAF" w:rsidRDefault="008B6DAF" w:rsidP="008B6DAF">
      <w:pPr>
        <w:spacing w:line="360" w:lineRule="auto"/>
        <w:rPr>
          <w:rFonts w:ascii="Arial" w:hAnsi="Arial" w:cs="Arial"/>
          <w:sz w:val="22"/>
          <w:szCs w:val="22"/>
        </w:rPr>
      </w:pPr>
      <w:r>
        <w:rPr>
          <w:rFonts w:ascii="Arial" w:hAnsi="Arial" w:cs="Arial"/>
          <w:sz w:val="22"/>
          <w:szCs w:val="22"/>
        </w:rPr>
        <w:t xml:space="preserve"> It found that rather than investigating hormonal factors, 47% of women experiencing perimenopausal symptoms were initially sent to mental health services. It is highly significant, credible, and up to date. One downside is its wide-ranging nature, resulting in hormonal misdiagnosis being mentioned briefly instead of thoroughly. Figure 3 shows the wider effects of misdiagnosis on the lives of women. </w:t>
      </w:r>
    </w:p>
    <w:p w14:paraId="1CE54015" w14:textId="77777777" w:rsidR="008B6DAF" w:rsidRDefault="008B6DAF" w:rsidP="008B6DAF">
      <w:pPr>
        <w:spacing w:line="360" w:lineRule="auto"/>
        <w:rPr>
          <w:rFonts w:ascii="Arial" w:hAnsi="Arial" w:cs="Arial"/>
          <w:sz w:val="22"/>
          <w:szCs w:val="22"/>
        </w:rPr>
      </w:pPr>
    </w:p>
    <w:p w14:paraId="7D606505" w14:textId="77777777" w:rsidR="008B6DAF" w:rsidRDefault="008B6DAF" w:rsidP="008B6DAF">
      <w:pPr>
        <w:spacing w:line="360" w:lineRule="auto"/>
        <w:rPr>
          <w:rFonts w:ascii="Arial" w:hAnsi="Arial" w:cs="Arial"/>
          <w:sz w:val="22"/>
          <w:szCs w:val="22"/>
        </w:rPr>
      </w:pPr>
    </w:p>
    <w:p w14:paraId="7AE60B5D" w14:textId="78552090" w:rsidR="008B6DAF" w:rsidRDefault="008B6DAF" w:rsidP="008B6DAF">
      <w:pPr>
        <w:spacing w:line="360" w:lineRule="auto"/>
        <w:jc w:val="center"/>
        <w:rPr>
          <w:rFonts w:ascii="Arial" w:hAnsi="Arial" w:cs="Arial"/>
          <w:sz w:val="22"/>
          <w:szCs w:val="22"/>
        </w:rPr>
      </w:pPr>
      <w:r w:rsidRPr="00734952">
        <w:rPr>
          <w:noProof/>
        </w:rPr>
        <w:drawing>
          <wp:inline distT="0" distB="0" distL="0" distR="0" wp14:anchorId="74CF33C3" wp14:editId="03DE6F77">
            <wp:extent cx="4590107" cy="2570460"/>
            <wp:effectExtent l="0" t="0" r="0" b="0"/>
            <wp:docPr id="1012429213" name="chart" descr="Data chart" titl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614972" cy="2584384"/>
                    </a:xfrm>
                    <a:prstGeom prst="rect">
                      <a:avLst/>
                    </a:prstGeom>
                  </pic:spPr>
                </pic:pic>
              </a:graphicData>
            </a:graphic>
          </wp:inline>
        </w:drawing>
      </w:r>
    </w:p>
    <w:p w14:paraId="153A6EBE" w14:textId="77777777" w:rsidR="008B6DAF" w:rsidRDefault="008B6DAF" w:rsidP="008B6DAF">
      <w:pPr>
        <w:spacing w:line="360" w:lineRule="auto"/>
        <w:rPr>
          <w:rFonts w:ascii="Arial" w:hAnsi="Arial" w:cs="Arial"/>
          <w:sz w:val="22"/>
          <w:szCs w:val="22"/>
        </w:rPr>
      </w:pPr>
    </w:p>
    <w:p w14:paraId="6F6C465B" w14:textId="7EAA8174" w:rsidR="008B6DAF" w:rsidRPr="00281F6D" w:rsidRDefault="008B6DAF" w:rsidP="008B6DAF">
      <w:pPr>
        <w:spacing w:line="360" w:lineRule="auto"/>
        <w:jc w:val="center"/>
        <w:rPr>
          <w:rFonts w:ascii="Arial" w:hAnsi="Arial" w:cs="Arial"/>
          <w:i/>
          <w:iCs/>
          <w:sz w:val="22"/>
          <w:szCs w:val="22"/>
        </w:rPr>
      </w:pPr>
      <w:r w:rsidRPr="00281F6D">
        <w:rPr>
          <w:rFonts w:ascii="Arial" w:hAnsi="Arial" w:cs="Arial"/>
          <w:i/>
          <w:iCs/>
          <w:sz w:val="22"/>
          <w:szCs w:val="22"/>
        </w:rPr>
        <w:t xml:space="preserve">Figure 3: </w:t>
      </w:r>
      <w:r w:rsidR="00281F6D" w:rsidRPr="00281F6D">
        <w:rPr>
          <w:rFonts w:ascii="Arial" w:hAnsi="Arial" w:cs="Arial"/>
          <w:i/>
          <w:iCs/>
          <w:sz w:val="22"/>
          <w:szCs w:val="22"/>
        </w:rPr>
        <w:t>M</w:t>
      </w:r>
      <w:r w:rsidRPr="00281F6D">
        <w:rPr>
          <w:rFonts w:ascii="Arial" w:hAnsi="Arial" w:cs="Arial"/>
          <w:i/>
          <w:iCs/>
          <w:sz w:val="22"/>
          <w:szCs w:val="22"/>
        </w:rPr>
        <w:t>isdiagnosi</w:t>
      </w:r>
      <w:r w:rsidR="00281F6D" w:rsidRPr="00281F6D">
        <w:rPr>
          <w:rFonts w:ascii="Arial" w:hAnsi="Arial" w:cs="Arial"/>
          <w:i/>
          <w:iCs/>
          <w:sz w:val="22"/>
          <w:szCs w:val="22"/>
        </w:rPr>
        <w:t>s effect</w:t>
      </w:r>
      <w:r w:rsidRPr="00281F6D">
        <w:rPr>
          <w:rFonts w:ascii="Arial" w:hAnsi="Arial" w:cs="Arial"/>
          <w:i/>
          <w:iCs/>
          <w:sz w:val="22"/>
          <w:szCs w:val="22"/>
        </w:rPr>
        <w:t xml:space="preserve">s on </w:t>
      </w:r>
      <w:r w:rsidR="00281F6D" w:rsidRPr="00281F6D">
        <w:rPr>
          <w:rFonts w:ascii="Arial" w:hAnsi="Arial" w:cs="Arial"/>
          <w:i/>
          <w:iCs/>
          <w:sz w:val="22"/>
          <w:szCs w:val="22"/>
        </w:rPr>
        <w:t xml:space="preserve">UK </w:t>
      </w:r>
      <w:r w:rsidRPr="00281F6D">
        <w:rPr>
          <w:rFonts w:ascii="Arial" w:hAnsi="Arial" w:cs="Arial"/>
          <w:i/>
          <w:iCs/>
          <w:sz w:val="22"/>
          <w:szCs w:val="22"/>
        </w:rPr>
        <w:t>women’s li</w:t>
      </w:r>
      <w:r w:rsidR="00281F6D" w:rsidRPr="00281F6D">
        <w:rPr>
          <w:rFonts w:ascii="Arial" w:hAnsi="Arial" w:cs="Arial"/>
          <w:i/>
          <w:iCs/>
          <w:sz w:val="22"/>
          <w:szCs w:val="22"/>
        </w:rPr>
        <w:t>fe</w:t>
      </w:r>
      <w:r w:rsidRPr="00281F6D">
        <w:rPr>
          <w:rFonts w:ascii="Arial" w:hAnsi="Arial" w:cs="Arial"/>
          <w:i/>
          <w:iCs/>
          <w:sz w:val="22"/>
          <w:szCs w:val="22"/>
        </w:rPr>
        <w:t xml:space="preserve"> (Wellbeing of Women, 2023; Endometriosis UK, 2023)</w:t>
      </w:r>
    </w:p>
    <w:p w14:paraId="17BAB115" w14:textId="77777777" w:rsidR="008B6DAF" w:rsidRPr="00281F6D" w:rsidRDefault="008B6DAF" w:rsidP="008B6DAF">
      <w:pPr>
        <w:spacing w:line="360" w:lineRule="auto"/>
        <w:jc w:val="center"/>
        <w:rPr>
          <w:rFonts w:ascii="Arial" w:hAnsi="Arial" w:cs="Arial"/>
          <w:i/>
          <w:iCs/>
          <w:sz w:val="22"/>
          <w:szCs w:val="22"/>
          <w:highlight w:val="yellow"/>
        </w:rPr>
      </w:pPr>
    </w:p>
    <w:p w14:paraId="117E5CA8" w14:textId="20855B9A" w:rsidR="008B6DAF" w:rsidRDefault="00281F6D" w:rsidP="008B6DAF">
      <w:pPr>
        <w:spacing w:line="360" w:lineRule="auto"/>
        <w:rPr>
          <w:rFonts w:ascii="Arial" w:hAnsi="Arial" w:cs="Arial"/>
          <w:sz w:val="22"/>
          <w:szCs w:val="22"/>
        </w:rPr>
      </w:pPr>
      <w:r w:rsidRPr="00281F6D">
        <w:rPr>
          <w:rFonts w:ascii="Arial" w:hAnsi="Arial" w:cs="Arial"/>
          <w:sz w:val="22"/>
          <w:szCs w:val="22"/>
        </w:rPr>
        <w:t>S</w:t>
      </w:r>
      <w:r>
        <w:rPr>
          <w:rFonts w:ascii="Arial" w:hAnsi="Arial" w:cs="Arial"/>
          <w:sz w:val="22"/>
          <w:szCs w:val="22"/>
        </w:rPr>
        <w:t xml:space="preserve">ignificantly underrepresented in all three sources are women from Black, Asian and minority ethnic (BAME) backgrounds, who many have additional difficulties receiving a diagnosis </w:t>
      </w:r>
      <w:r w:rsidRPr="00281F6D">
        <w:rPr>
          <w:rFonts w:ascii="Arial" w:hAnsi="Arial" w:cs="Arial"/>
          <w:sz w:val="22"/>
          <w:szCs w:val="22"/>
        </w:rPr>
        <w:t>(RCOG, 2022).</w:t>
      </w:r>
      <w:r>
        <w:rPr>
          <w:rFonts w:ascii="Arial" w:hAnsi="Arial" w:cs="Arial"/>
          <w:sz w:val="22"/>
          <w:szCs w:val="22"/>
        </w:rPr>
        <w:t xml:space="preserve"> </w:t>
      </w:r>
      <w:r>
        <w:rPr>
          <w:rFonts w:ascii="Arial" w:hAnsi="Arial" w:cs="Arial"/>
          <w:sz w:val="22"/>
          <w:szCs w:val="22"/>
          <w:highlight w:val="yellow"/>
        </w:rPr>
        <w:br/>
      </w:r>
      <w:r w:rsidR="008B6DAF" w:rsidRPr="00281F6D">
        <w:rPr>
          <w:rFonts w:ascii="Arial" w:hAnsi="Arial" w:cs="Arial"/>
          <w:sz w:val="22"/>
          <w:szCs w:val="22"/>
        </w:rPr>
        <w:t xml:space="preserve">Women from Black, Asian, and minority ethnic (BAME) backgrounds, who might face extra challenges is getting diagnosed, are notably lacking in representation across all three sources (RCOG, 2022). </w:t>
      </w:r>
      <w:r>
        <w:rPr>
          <w:rFonts w:ascii="Arial" w:hAnsi="Arial" w:cs="Arial"/>
          <w:sz w:val="22"/>
          <w:szCs w:val="22"/>
        </w:rPr>
        <w:t>Future studies</w:t>
      </w:r>
      <w:r w:rsidR="008B6DAF" w:rsidRPr="00281F6D">
        <w:rPr>
          <w:rFonts w:ascii="Arial" w:hAnsi="Arial" w:cs="Arial"/>
          <w:sz w:val="22"/>
          <w:szCs w:val="22"/>
        </w:rPr>
        <w:t xml:space="preserve"> need to </w:t>
      </w:r>
      <w:r>
        <w:rPr>
          <w:rFonts w:ascii="Arial" w:hAnsi="Arial" w:cs="Arial"/>
          <w:sz w:val="22"/>
          <w:szCs w:val="22"/>
        </w:rPr>
        <w:t xml:space="preserve">look at this in </w:t>
      </w:r>
      <w:proofErr w:type="gramStart"/>
      <w:r>
        <w:rPr>
          <w:rFonts w:ascii="Arial" w:hAnsi="Arial" w:cs="Arial"/>
          <w:sz w:val="22"/>
          <w:szCs w:val="22"/>
        </w:rPr>
        <w:t>great detail</w:t>
      </w:r>
      <w:proofErr w:type="gramEnd"/>
      <w:r>
        <w:rPr>
          <w:rFonts w:ascii="Arial" w:hAnsi="Arial" w:cs="Arial"/>
          <w:sz w:val="22"/>
          <w:szCs w:val="22"/>
        </w:rPr>
        <w:t xml:space="preserve">. </w:t>
      </w:r>
    </w:p>
    <w:p w14:paraId="74CF202D" w14:textId="77777777" w:rsidR="008B6DAF" w:rsidRDefault="008B6DAF" w:rsidP="008B6DAF">
      <w:pPr>
        <w:spacing w:line="360" w:lineRule="auto"/>
        <w:rPr>
          <w:rFonts w:ascii="Arial" w:hAnsi="Arial" w:cs="Arial"/>
          <w:sz w:val="22"/>
          <w:szCs w:val="22"/>
        </w:rPr>
      </w:pPr>
    </w:p>
    <w:p w14:paraId="2F73C898" w14:textId="3CDBBFAA" w:rsidR="008B6DAF" w:rsidRPr="008B6DAF" w:rsidRDefault="008B6DAF" w:rsidP="008B6DAF">
      <w:pPr>
        <w:pStyle w:val="ListParagraph"/>
        <w:numPr>
          <w:ilvl w:val="1"/>
          <w:numId w:val="1"/>
        </w:numPr>
        <w:spacing w:line="360" w:lineRule="auto"/>
        <w:rPr>
          <w:rFonts w:ascii="Arial" w:hAnsi="Arial" w:cs="Arial"/>
          <w:b/>
          <w:bCs/>
          <w:sz w:val="22"/>
          <w:szCs w:val="22"/>
        </w:rPr>
      </w:pPr>
      <w:r w:rsidRPr="008B6DAF">
        <w:rPr>
          <w:rFonts w:ascii="Arial" w:hAnsi="Arial" w:cs="Arial"/>
          <w:b/>
          <w:bCs/>
          <w:sz w:val="22"/>
          <w:szCs w:val="22"/>
        </w:rPr>
        <w:t>Research Methodologies</w:t>
      </w:r>
    </w:p>
    <w:p w14:paraId="1F7DEC37" w14:textId="782286CC" w:rsidR="008B6DAF" w:rsidRDefault="008B6DAF" w:rsidP="008B6DAF">
      <w:pPr>
        <w:spacing w:line="360" w:lineRule="auto"/>
        <w:rPr>
          <w:rFonts w:ascii="Arial" w:hAnsi="Arial" w:cs="Arial"/>
          <w:sz w:val="22"/>
          <w:szCs w:val="22"/>
        </w:rPr>
      </w:pPr>
      <w:r>
        <w:rPr>
          <w:rFonts w:ascii="Arial" w:hAnsi="Arial" w:cs="Arial"/>
          <w:sz w:val="22"/>
          <w:szCs w:val="22"/>
        </w:rPr>
        <w:t>Research methodology refers to the technique used the gather and analyse data in order to address a research inquiry. Bryman (2016) identifies three major categories: qualitative, quantitative, and mixed-methods.</w:t>
      </w:r>
    </w:p>
    <w:p w14:paraId="3BBBED92" w14:textId="13BCF4D4" w:rsidR="008B6DAF" w:rsidRPr="00281F6D" w:rsidRDefault="008B6DAF" w:rsidP="008B6DAF">
      <w:pPr>
        <w:spacing w:line="360" w:lineRule="auto"/>
        <w:rPr>
          <w:rFonts w:ascii="Arial" w:hAnsi="Arial" w:cs="Arial"/>
          <w:sz w:val="22"/>
          <w:szCs w:val="22"/>
          <w:highlight w:val="yellow"/>
        </w:rPr>
      </w:pPr>
      <w:r>
        <w:rPr>
          <w:rFonts w:ascii="Arial" w:hAnsi="Arial" w:cs="Arial"/>
          <w:sz w:val="22"/>
          <w:szCs w:val="22"/>
        </w:rPr>
        <w:t xml:space="preserve">Quantitative research utilizes statistics and numbers to assess events and identify trends, for example, quantitative information could be gathered from a survey that inquired how many experienced a wait of over five years for a diagnosis. Qualitative research uses methods such as focus groups and interviews to explore in greater detail individuals’ viewpoints and experiences. </w:t>
      </w:r>
      <w:r w:rsidR="00281F6D" w:rsidRPr="00281F6D">
        <w:rPr>
          <w:rFonts w:ascii="Arial" w:hAnsi="Arial" w:cs="Arial"/>
          <w:sz w:val="22"/>
          <w:szCs w:val="22"/>
        </w:rPr>
        <w:t>M</w:t>
      </w:r>
      <w:r w:rsidRPr="00281F6D">
        <w:rPr>
          <w:rFonts w:ascii="Arial" w:hAnsi="Arial" w:cs="Arial"/>
          <w:sz w:val="22"/>
          <w:szCs w:val="22"/>
        </w:rPr>
        <w:t xml:space="preserve">ixed-methods research </w:t>
      </w:r>
      <w:r w:rsidR="00281F6D" w:rsidRPr="00281F6D">
        <w:rPr>
          <w:rFonts w:ascii="Arial" w:hAnsi="Arial" w:cs="Arial"/>
          <w:sz w:val="22"/>
          <w:szCs w:val="22"/>
        </w:rPr>
        <w:t>provides a more in-depth understanding of the problem</w:t>
      </w:r>
      <w:r w:rsidRPr="00281F6D">
        <w:rPr>
          <w:rFonts w:ascii="Arial" w:hAnsi="Arial" w:cs="Arial"/>
          <w:sz w:val="22"/>
          <w:szCs w:val="22"/>
        </w:rPr>
        <w:t xml:space="preserve"> (Creswell and Creswell, 2018).</w:t>
      </w:r>
    </w:p>
    <w:p w14:paraId="5052637F" w14:textId="15A81499" w:rsidR="008B6DAF" w:rsidRDefault="00281F6D" w:rsidP="008B6DAF">
      <w:pPr>
        <w:spacing w:line="360" w:lineRule="auto"/>
        <w:rPr>
          <w:rFonts w:ascii="Arial" w:hAnsi="Arial" w:cs="Arial"/>
          <w:sz w:val="22"/>
          <w:szCs w:val="22"/>
        </w:rPr>
      </w:pPr>
      <w:r w:rsidRPr="00281F6D">
        <w:rPr>
          <w:rFonts w:ascii="Arial" w:hAnsi="Arial" w:cs="Arial"/>
          <w:sz w:val="22"/>
          <w:szCs w:val="22"/>
        </w:rPr>
        <w:t>A</w:t>
      </w:r>
      <w:r>
        <w:rPr>
          <w:rFonts w:ascii="Arial" w:hAnsi="Arial" w:cs="Arial"/>
          <w:sz w:val="22"/>
          <w:szCs w:val="22"/>
        </w:rPr>
        <w:t xml:space="preserve"> mixed-methods technique would be the best choice for this study. Both quantitative data on the commonness of misdiagnosis and qualitative perspectives from women who have personally experienced it are needed for the study question. The materials examined in Task 1.2 demonstrate this combination: Endometriosis UK (2023) used substantial survey data, whereas Whiteley et al. (2021) carried out in-depth interviews. If a variety of techniques were used to cross-check and verify results from both data forms, the study would be more thorough and reliable. </w:t>
      </w:r>
    </w:p>
    <w:p w14:paraId="48AFF36F" w14:textId="77777777" w:rsidR="00281F6D" w:rsidRDefault="00281F6D" w:rsidP="008B6DAF">
      <w:pPr>
        <w:spacing w:line="360" w:lineRule="auto"/>
        <w:rPr>
          <w:rFonts w:ascii="Arial" w:hAnsi="Arial" w:cs="Arial"/>
          <w:sz w:val="22"/>
          <w:szCs w:val="22"/>
        </w:rPr>
      </w:pPr>
    </w:p>
    <w:p w14:paraId="709AD002" w14:textId="298FA39C" w:rsidR="008B6DAF" w:rsidRPr="008B6DAF" w:rsidRDefault="008B6DAF" w:rsidP="008B6DAF">
      <w:pPr>
        <w:pStyle w:val="ListParagraph"/>
        <w:numPr>
          <w:ilvl w:val="1"/>
          <w:numId w:val="1"/>
        </w:numPr>
        <w:spacing w:line="360" w:lineRule="auto"/>
        <w:rPr>
          <w:rFonts w:ascii="Arial" w:hAnsi="Arial" w:cs="Arial"/>
          <w:b/>
          <w:bCs/>
          <w:sz w:val="22"/>
          <w:szCs w:val="22"/>
        </w:rPr>
      </w:pPr>
      <w:r w:rsidRPr="008B6DAF">
        <w:rPr>
          <w:rFonts w:ascii="Arial" w:hAnsi="Arial" w:cs="Arial"/>
          <w:b/>
          <w:bCs/>
          <w:sz w:val="22"/>
          <w:szCs w:val="22"/>
        </w:rPr>
        <w:t>Data Collection</w:t>
      </w:r>
    </w:p>
    <w:p w14:paraId="5D9B4AC1" w14:textId="61ADE700" w:rsidR="008B6DAF" w:rsidRDefault="008B6DAF" w:rsidP="008B6DAF">
      <w:pPr>
        <w:spacing w:line="360" w:lineRule="auto"/>
        <w:rPr>
          <w:rFonts w:ascii="Arial" w:hAnsi="Arial" w:cs="Arial"/>
          <w:sz w:val="22"/>
          <w:szCs w:val="22"/>
        </w:rPr>
      </w:pPr>
      <w:r>
        <w:rPr>
          <w:rFonts w:ascii="Arial" w:hAnsi="Arial" w:cs="Arial"/>
          <w:sz w:val="22"/>
          <w:szCs w:val="22"/>
        </w:rPr>
        <w:t xml:space="preserve">The method of gathering information to answer a research question is referred to as data collection. The two main categories are primary and secondary data. The researcher collects primary data directly using techniques such as interviews and surveys. Secondary data, such as NHS reports, academic journals, or charity documents, is pre-existing information gathered by someone else (Bryman, 2016). </w:t>
      </w:r>
    </w:p>
    <w:p w14:paraId="2408E892" w14:textId="50453F0C" w:rsidR="008B6DAF" w:rsidRDefault="008B6DAF" w:rsidP="008B6DAF">
      <w:pPr>
        <w:spacing w:line="360" w:lineRule="auto"/>
        <w:rPr>
          <w:rFonts w:ascii="Arial" w:hAnsi="Arial" w:cs="Arial"/>
          <w:sz w:val="22"/>
          <w:szCs w:val="22"/>
        </w:rPr>
      </w:pPr>
      <w:r>
        <w:rPr>
          <w:rFonts w:ascii="Arial" w:hAnsi="Arial" w:cs="Arial"/>
          <w:sz w:val="22"/>
          <w:szCs w:val="22"/>
        </w:rPr>
        <w:t xml:space="preserve">This research will utilize both types of data. Semi-structured interviews with women experiencing a delayed hormonal diagnosis, along with short questionnaires distributed to general practitioners to collect clinical perspectives, would be employed to obtain primary data. Interviews are well-suited for this topic as they allow women to convey their experiences in their own terms (Creswell and Creswell, 2018). </w:t>
      </w:r>
      <w:r w:rsidRPr="00281F6D">
        <w:rPr>
          <w:rFonts w:ascii="Arial" w:hAnsi="Arial" w:cs="Arial"/>
          <w:sz w:val="22"/>
          <w:szCs w:val="22"/>
        </w:rPr>
        <w:t xml:space="preserve">Secondary data would originate from sources </w:t>
      </w:r>
      <w:r w:rsidR="00281F6D">
        <w:rPr>
          <w:rFonts w:ascii="Arial" w:hAnsi="Arial" w:cs="Arial"/>
          <w:sz w:val="22"/>
          <w:szCs w:val="22"/>
        </w:rPr>
        <w:t>including</w:t>
      </w:r>
      <w:r w:rsidRPr="00281F6D">
        <w:rPr>
          <w:rFonts w:ascii="Arial" w:hAnsi="Arial" w:cs="Arial"/>
          <w:sz w:val="22"/>
          <w:szCs w:val="22"/>
        </w:rPr>
        <w:t xml:space="preserve"> published </w:t>
      </w:r>
      <w:r w:rsidR="00281F6D">
        <w:rPr>
          <w:rFonts w:ascii="Arial" w:hAnsi="Arial" w:cs="Arial"/>
          <w:sz w:val="22"/>
          <w:szCs w:val="22"/>
        </w:rPr>
        <w:t>research</w:t>
      </w:r>
      <w:r w:rsidRPr="00281F6D">
        <w:rPr>
          <w:rFonts w:ascii="Arial" w:hAnsi="Arial" w:cs="Arial"/>
          <w:sz w:val="22"/>
          <w:szCs w:val="22"/>
        </w:rPr>
        <w:t xml:space="preserve">, NHS Digital statistics, and the reports </w:t>
      </w:r>
      <w:r w:rsidR="00281F6D">
        <w:rPr>
          <w:rFonts w:ascii="Arial" w:hAnsi="Arial" w:cs="Arial"/>
          <w:sz w:val="22"/>
          <w:szCs w:val="22"/>
        </w:rPr>
        <w:t>analysed</w:t>
      </w:r>
      <w:r w:rsidRPr="00281F6D">
        <w:rPr>
          <w:rFonts w:ascii="Arial" w:hAnsi="Arial" w:cs="Arial"/>
          <w:sz w:val="22"/>
          <w:szCs w:val="22"/>
        </w:rPr>
        <w:t xml:space="preserve"> in </w:t>
      </w:r>
      <w:r w:rsidR="00EA29B5">
        <w:rPr>
          <w:rFonts w:ascii="Arial" w:hAnsi="Arial" w:cs="Arial"/>
          <w:sz w:val="22"/>
          <w:szCs w:val="22"/>
        </w:rPr>
        <w:t>section</w:t>
      </w:r>
      <w:r w:rsidRPr="00281F6D">
        <w:rPr>
          <w:rFonts w:ascii="Arial" w:hAnsi="Arial" w:cs="Arial"/>
          <w:sz w:val="22"/>
          <w:szCs w:val="22"/>
        </w:rPr>
        <w:t xml:space="preserve"> 1.2.</w:t>
      </w:r>
    </w:p>
    <w:p w14:paraId="2805128F" w14:textId="516EB630" w:rsidR="00281F6D" w:rsidRPr="00281F6D" w:rsidRDefault="00281F6D" w:rsidP="008B6DAF">
      <w:pPr>
        <w:spacing w:line="360" w:lineRule="auto"/>
        <w:rPr>
          <w:rFonts w:ascii="Arial" w:hAnsi="Arial" w:cs="Arial"/>
          <w:sz w:val="22"/>
          <w:szCs w:val="22"/>
          <w:highlight w:val="yellow"/>
        </w:rPr>
      </w:pPr>
      <w:r>
        <w:rPr>
          <w:rFonts w:ascii="Arial" w:hAnsi="Arial" w:cs="Arial"/>
          <w:sz w:val="22"/>
          <w:szCs w:val="22"/>
        </w:rPr>
        <w:lastRenderedPageBreak/>
        <w:t xml:space="preserve">There are several benefits to using primary data, including current, reliable data that is directly related to the research question. However, ethical consent is required, data collection takes time, and individuals might not always recall events correctly (Bowling, 2014). Secondary data may not necessarily align with the specific importance of the research, despite being more readily available and less expensive. Combining the two forms of data helps the overall findings and reduces drawbacks of depending only one source. </w:t>
      </w:r>
    </w:p>
    <w:p w14:paraId="36F4291B" w14:textId="77777777" w:rsidR="008B6DAF" w:rsidRPr="008B6DAF" w:rsidRDefault="008B6DAF" w:rsidP="008B6DAF">
      <w:pPr>
        <w:spacing w:line="360" w:lineRule="auto"/>
        <w:rPr>
          <w:rFonts w:ascii="Arial" w:hAnsi="Arial" w:cs="Arial"/>
          <w:sz w:val="22"/>
          <w:szCs w:val="22"/>
        </w:rPr>
      </w:pPr>
    </w:p>
    <w:p w14:paraId="7888E977" w14:textId="5507BE91" w:rsidR="008B6DAF" w:rsidRDefault="008B6DAF" w:rsidP="008B6DAF">
      <w:pPr>
        <w:spacing w:line="360" w:lineRule="auto"/>
        <w:rPr>
          <w:rFonts w:ascii="Arial" w:hAnsi="Arial" w:cs="Arial"/>
          <w:b/>
          <w:bCs/>
          <w:sz w:val="22"/>
          <w:szCs w:val="22"/>
        </w:rPr>
      </w:pPr>
      <w:r>
        <w:rPr>
          <w:rFonts w:ascii="Arial" w:hAnsi="Arial" w:cs="Arial"/>
          <w:b/>
          <w:bCs/>
          <w:sz w:val="22"/>
          <w:szCs w:val="22"/>
        </w:rPr>
        <w:t>Conclusion</w:t>
      </w:r>
    </w:p>
    <w:p w14:paraId="17C06282" w14:textId="64852D5F" w:rsidR="008B6DAF" w:rsidRDefault="008B6DAF" w:rsidP="008B6DAF">
      <w:pPr>
        <w:spacing w:line="360" w:lineRule="auto"/>
        <w:rPr>
          <w:rFonts w:ascii="Arial" w:hAnsi="Arial" w:cs="Arial"/>
          <w:sz w:val="22"/>
          <w:szCs w:val="22"/>
        </w:rPr>
      </w:pPr>
      <w:r>
        <w:rPr>
          <w:rFonts w:ascii="Arial" w:hAnsi="Arial" w:cs="Arial"/>
          <w:sz w:val="22"/>
          <w:szCs w:val="22"/>
        </w:rPr>
        <w:t xml:space="preserve">This research has shown that a major and widespread problem in health and social care in the UK is the incorrect diagnosis of hormonal imbalances in women. Studies show that women typically wait around </w:t>
      </w:r>
      <w:r w:rsidR="00A42EED">
        <w:rPr>
          <w:rFonts w:ascii="Arial" w:hAnsi="Arial" w:cs="Arial"/>
          <w:sz w:val="22"/>
          <w:szCs w:val="22"/>
        </w:rPr>
        <w:t>8</w:t>
      </w:r>
      <w:r>
        <w:rPr>
          <w:rFonts w:ascii="Arial" w:hAnsi="Arial" w:cs="Arial"/>
          <w:sz w:val="22"/>
          <w:szCs w:val="22"/>
        </w:rPr>
        <w:t xml:space="preserve"> years for an endometriosis diagnosis</w:t>
      </w:r>
      <w:r w:rsidR="00A42EED">
        <w:rPr>
          <w:rFonts w:ascii="Arial" w:hAnsi="Arial" w:cs="Arial"/>
          <w:sz w:val="22"/>
          <w:szCs w:val="22"/>
        </w:rPr>
        <w:t>, 3.2 years for hypothyroidism, 2.5 years for PCOS, and 2.1 years for perimenopause</w:t>
      </w:r>
      <w:r>
        <w:rPr>
          <w:rFonts w:ascii="Arial" w:hAnsi="Arial" w:cs="Arial"/>
          <w:sz w:val="22"/>
          <w:szCs w:val="22"/>
        </w:rPr>
        <w:t>,</w:t>
      </w:r>
      <w:r w:rsidR="00A42EED">
        <w:rPr>
          <w:rFonts w:ascii="Arial" w:hAnsi="Arial" w:cs="Arial"/>
          <w:sz w:val="22"/>
          <w:szCs w:val="22"/>
        </w:rPr>
        <w:t xml:space="preserve"> and</w:t>
      </w:r>
      <w:r>
        <w:rPr>
          <w:rFonts w:ascii="Arial" w:hAnsi="Arial" w:cs="Arial"/>
          <w:sz w:val="22"/>
          <w:szCs w:val="22"/>
        </w:rPr>
        <w:t xml:space="preserve"> over </w:t>
      </w:r>
      <w:r w:rsidR="00A42EED">
        <w:rPr>
          <w:rFonts w:ascii="Arial" w:hAnsi="Arial" w:cs="Arial"/>
          <w:sz w:val="22"/>
          <w:szCs w:val="22"/>
        </w:rPr>
        <w:t>50%</w:t>
      </w:r>
      <w:r>
        <w:rPr>
          <w:rFonts w:ascii="Arial" w:hAnsi="Arial" w:cs="Arial"/>
          <w:sz w:val="22"/>
          <w:szCs w:val="22"/>
        </w:rPr>
        <w:t xml:space="preserve"> receive incorrect </w:t>
      </w:r>
      <w:r w:rsidR="00A42EED">
        <w:rPr>
          <w:rFonts w:ascii="Arial" w:hAnsi="Arial" w:cs="Arial"/>
          <w:sz w:val="22"/>
          <w:szCs w:val="22"/>
        </w:rPr>
        <w:t>diagnosis,</w:t>
      </w:r>
      <w:r>
        <w:rPr>
          <w:rFonts w:ascii="Arial" w:hAnsi="Arial" w:cs="Arial"/>
          <w:sz w:val="22"/>
          <w:szCs w:val="22"/>
        </w:rPr>
        <w:t xml:space="preserve"> and many indicate a negative impact on their mental health and overall quality of life. Three trustworthy sources were evaluated, and each pointed to systemic and clinical shortcomings. </w:t>
      </w:r>
      <w:r w:rsidR="00281F6D">
        <w:rPr>
          <w:rFonts w:ascii="Arial" w:hAnsi="Arial" w:cs="Arial"/>
          <w:sz w:val="22"/>
          <w:szCs w:val="22"/>
        </w:rPr>
        <w:t xml:space="preserve">A mixed-methods strategy applying both primary and secondary data was found to be the best way to investigate this issue in further detail. Further research is required, especially regarding the experiences of women from BAME backgrounds, to make sure that all women receive an accurate and timely diagnosis. </w:t>
      </w:r>
      <w:r>
        <w:rPr>
          <w:rFonts w:ascii="Arial" w:hAnsi="Arial" w:cs="Arial"/>
          <w:sz w:val="22"/>
          <w:szCs w:val="22"/>
        </w:rPr>
        <w:t xml:space="preserve"> </w:t>
      </w:r>
    </w:p>
    <w:p w14:paraId="0994CD3F" w14:textId="77777777" w:rsidR="008B6DAF" w:rsidRDefault="008B6DAF" w:rsidP="008B6DAF">
      <w:pPr>
        <w:spacing w:line="360" w:lineRule="auto"/>
        <w:rPr>
          <w:rFonts w:ascii="Arial" w:hAnsi="Arial" w:cs="Arial"/>
          <w:sz w:val="22"/>
          <w:szCs w:val="22"/>
        </w:rPr>
      </w:pPr>
    </w:p>
    <w:p w14:paraId="77A7FDE7" w14:textId="77777777" w:rsidR="008B6DAF" w:rsidRDefault="008B6DAF" w:rsidP="008B6DAF">
      <w:pPr>
        <w:spacing w:line="360" w:lineRule="auto"/>
        <w:rPr>
          <w:rFonts w:ascii="Arial" w:hAnsi="Arial" w:cs="Arial"/>
          <w:sz w:val="22"/>
          <w:szCs w:val="22"/>
        </w:rPr>
      </w:pPr>
    </w:p>
    <w:p w14:paraId="46D43534" w14:textId="77777777" w:rsidR="008B6DAF" w:rsidRDefault="008B6DAF" w:rsidP="008B6DAF">
      <w:pPr>
        <w:spacing w:line="360" w:lineRule="auto"/>
        <w:rPr>
          <w:rFonts w:ascii="Arial" w:hAnsi="Arial" w:cs="Arial"/>
          <w:sz w:val="22"/>
          <w:szCs w:val="22"/>
        </w:rPr>
      </w:pPr>
    </w:p>
    <w:p w14:paraId="54B67FFF" w14:textId="77777777" w:rsidR="008B6DAF" w:rsidRDefault="008B6DAF" w:rsidP="008B6DAF">
      <w:pPr>
        <w:spacing w:line="360" w:lineRule="auto"/>
        <w:rPr>
          <w:rFonts w:ascii="Arial" w:hAnsi="Arial" w:cs="Arial"/>
          <w:sz w:val="22"/>
          <w:szCs w:val="22"/>
        </w:rPr>
      </w:pPr>
    </w:p>
    <w:p w14:paraId="1185DC15" w14:textId="77777777" w:rsidR="008B6DAF" w:rsidRDefault="008B6DAF" w:rsidP="008B6DAF">
      <w:pPr>
        <w:spacing w:line="360" w:lineRule="auto"/>
        <w:rPr>
          <w:rFonts w:ascii="Arial" w:hAnsi="Arial" w:cs="Arial"/>
          <w:sz w:val="22"/>
          <w:szCs w:val="22"/>
        </w:rPr>
      </w:pPr>
    </w:p>
    <w:p w14:paraId="030474B1" w14:textId="77777777" w:rsidR="008B6DAF" w:rsidRDefault="008B6DAF" w:rsidP="008B6DAF">
      <w:pPr>
        <w:spacing w:line="360" w:lineRule="auto"/>
        <w:rPr>
          <w:rFonts w:ascii="Arial" w:hAnsi="Arial" w:cs="Arial"/>
          <w:sz w:val="22"/>
          <w:szCs w:val="22"/>
        </w:rPr>
      </w:pPr>
    </w:p>
    <w:p w14:paraId="7FD82365" w14:textId="77777777" w:rsidR="008B6DAF" w:rsidRDefault="008B6DAF" w:rsidP="008B6DAF">
      <w:pPr>
        <w:spacing w:line="360" w:lineRule="auto"/>
        <w:rPr>
          <w:rFonts w:ascii="Arial" w:hAnsi="Arial" w:cs="Arial"/>
          <w:sz w:val="22"/>
          <w:szCs w:val="22"/>
        </w:rPr>
      </w:pPr>
    </w:p>
    <w:p w14:paraId="2EEA2FCA" w14:textId="77777777" w:rsidR="008B6DAF" w:rsidRDefault="008B6DAF" w:rsidP="008B6DAF">
      <w:pPr>
        <w:spacing w:line="360" w:lineRule="auto"/>
        <w:rPr>
          <w:rFonts w:ascii="Arial" w:hAnsi="Arial" w:cs="Arial"/>
          <w:sz w:val="22"/>
          <w:szCs w:val="22"/>
        </w:rPr>
      </w:pPr>
    </w:p>
    <w:p w14:paraId="2B1F6F90" w14:textId="77777777" w:rsidR="008B6DAF" w:rsidRDefault="008B6DAF" w:rsidP="008B6DAF">
      <w:pPr>
        <w:spacing w:line="360" w:lineRule="auto"/>
        <w:rPr>
          <w:rFonts w:ascii="Arial" w:hAnsi="Arial" w:cs="Arial"/>
          <w:sz w:val="22"/>
          <w:szCs w:val="22"/>
        </w:rPr>
      </w:pPr>
    </w:p>
    <w:p w14:paraId="72538050" w14:textId="77777777" w:rsidR="008B6DAF" w:rsidRDefault="008B6DAF" w:rsidP="008B6DAF">
      <w:pPr>
        <w:spacing w:line="360" w:lineRule="auto"/>
        <w:rPr>
          <w:rFonts w:ascii="Arial" w:hAnsi="Arial" w:cs="Arial"/>
          <w:sz w:val="22"/>
          <w:szCs w:val="22"/>
        </w:rPr>
      </w:pPr>
    </w:p>
    <w:p w14:paraId="108EE03E" w14:textId="77777777" w:rsidR="008B6DAF" w:rsidRDefault="008B6DAF" w:rsidP="008B6DAF">
      <w:pPr>
        <w:spacing w:line="360" w:lineRule="auto"/>
        <w:rPr>
          <w:rFonts w:ascii="Arial" w:hAnsi="Arial" w:cs="Arial"/>
          <w:sz w:val="22"/>
          <w:szCs w:val="22"/>
        </w:rPr>
      </w:pPr>
    </w:p>
    <w:p w14:paraId="4DEE8739" w14:textId="77777777" w:rsidR="00281F6D" w:rsidRDefault="00281F6D" w:rsidP="008B6DAF">
      <w:pPr>
        <w:spacing w:line="360" w:lineRule="auto"/>
        <w:rPr>
          <w:rFonts w:ascii="Arial" w:hAnsi="Arial" w:cs="Arial"/>
          <w:sz w:val="22"/>
          <w:szCs w:val="22"/>
        </w:rPr>
      </w:pPr>
    </w:p>
    <w:p w14:paraId="3003EDEA" w14:textId="77777777" w:rsidR="00281F6D" w:rsidRDefault="00281F6D" w:rsidP="008B6DAF">
      <w:pPr>
        <w:spacing w:line="360" w:lineRule="auto"/>
        <w:rPr>
          <w:rFonts w:ascii="Arial" w:hAnsi="Arial" w:cs="Arial"/>
          <w:sz w:val="22"/>
          <w:szCs w:val="22"/>
        </w:rPr>
      </w:pPr>
    </w:p>
    <w:p w14:paraId="02F5699E" w14:textId="1CCF4B51" w:rsidR="008B6DAF" w:rsidRDefault="008B6DAF" w:rsidP="008B6DAF">
      <w:pPr>
        <w:spacing w:line="360" w:lineRule="auto"/>
        <w:rPr>
          <w:rFonts w:ascii="Arial" w:hAnsi="Arial" w:cs="Arial"/>
          <w:sz w:val="22"/>
          <w:szCs w:val="22"/>
        </w:rPr>
      </w:pPr>
      <w:r>
        <w:rPr>
          <w:rFonts w:ascii="Arial" w:hAnsi="Arial" w:cs="Arial"/>
          <w:b/>
          <w:bCs/>
          <w:sz w:val="22"/>
          <w:szCs w:val="22"/>
        </w:rPr>
        <w:t>Reference List</w:t>
      </w:r>
    </w:p>
    <w:p w14:paraId="44C45CCE" w14:textId="49B9605A" w:rsidR="008B6DAF" w:rsidRPr="008B6DAF" w:rsidRDefault="008B6DAF" w:rsidP="008B6DAF">
      <w:pPr>
        <w:spacing w:line="360" w:lineRule="auto"/>
        <w:rPr>
          <w:rFonts w:ascii="Arial" w:hAnsi="Arial" w:cs="Arial"/>
          <w:sz w:val="22"/>
          <w:szCs w:val="22"/>
        </w:rPr>
      </w:pPr>
      <w:proofErr w:type="spellStart"/>
      <w:r w:rsidRPr="008B6DAF">
        <w:rPr>
          <w:rFonts w:ascii="Arial" w:hAnsi="Arial" w:cs="Arial"/>
          <w:sz w:val="22"/>
          <w:szCs w:val="22"/>
        </w:rPr>
        <w:t>Blackeslee</w:t>
      </w:r>
      <w:proofErr w:type="spellEnd"/>
      <w:r w:rsidRPr="008B6DAF">
        <w:rPr>
          <w:rFonts w:ascii="Arial" w:hAnsi="Arial" w:cs="Arial"/>
          <w:sz w:val="22"/>
          <w:szCs w:val="22"/>
        </w:rPr>
        <w:t xml:space="preserve">, S. (2004) The CRAPP Test. LOEX Quarterly, 31(3), pp. 4-5. </w:t>
      </w:r>
    </w:p>
    <w:p w14:paraId="0307A8B1" w14:textId="5D65E4C1"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Bowling, A. (2014) Research Methods in Health: Investigating Health and Health Services. 4</w:t>
      </w:r>
      <w:r w:rsidRPr="008B6DAF">
        <w:rPr>
          <w:rFonts w:ascii="Arial" w:hAnsi="Arial" w:cs="Arial"/>
          <w:sz w:val="22"/>
          <w:szCs w:val="22"/>
          <w:vertAlign w:val="superscript"/>
        </w:rPr>
        <w:t>th</w:t>
      </w:r>
      <w:r w:rsidRPr="008B6DAF">
        <w:rPr>
          <w:rFonts w:ascii="Arial" w:hAnsi="Arial" w:cs="Arial"/>
          <w:sz w:val="22"/>
          <w:szCs w:val="22"/>
        </w:rPr>
        <w:t xml:space="preserve"> </w:t>
      </w:r>
      <w:proofErr w:type="spellStart"/>
      <w:r w:rsidRPr="008B6DAF">
        <w:rPr>
          <w:rFonts w:ascii="Arial" w:hAnsi="Arial" w:cs="Arial"/>
          <w:sz w:val="22"/>
          <w:szCs w:val="22"/>
        </w:rPr>
        <w:t>edn</w:t>
      </w:r>
      <w:proofErr w:type="spellEnd"/>
      <w:r w:rsidRPr="008B6DAF">
        <w:rPr>
          <w:rFonts w:ascii="Arial" w:hAnsi="Arial" w:cs="Arial"/>
          <w:sz w:val="22"/>
          <w:szCs w:val="22"/>
        </w:rPr>
        <w:t xml:space="preserve">. Maidenhead: Open University Press. </w:t>
      </w:r>
    </w:p>
    <w:p w14:paraId="5FEA113F" w14:textId="57DF4A8B"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 xml:space="preserve">British Thyroid Foundation (2002) Thyroid Disease and Women. Available at: </w:t>
      </w:r>
      <w:hyperlink r:id="rId10" w:history="1">
        <w:r w:rsidRPr="008B6DAF">
          <w:rPr>
            <w:rStyle w:val="Hyperlink"/>
            <w:rFonts w:ascii="Arial" w:hAnsi="Arial" w:cs="Arial"/>
            <w:sz w:val="22"/>
            <w:szCs w:val="22"/>
          </w:rPr>
          <w:t>https://www.btf-thyroid.org</w:t>
        </w:r>
      </w:hyperlink>
      <w:r w:rsidRPr="008B6DAF">
        <w:rPr>
          <w:rFonts w:ascii="Arial" w:hAnsi="Arial" w:cs="Arial"/>
          <w:sz w:val="22"/>
          <w:szCs w:val="22"/>
        </w:rPr>
        <w:t xml:space="preserve"> (Accessed: 1 March 2025). </w:t>
      </w:r>
    </w:p>
    <w:p w14:paraId="0DCB80A9" w14:textId="2C3B91D6"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Bryman, A. (2016) Social Research Methods. 5</w:t>
      </w:r>
      <w:r w:rsidRPr="008B6DAF">
        <w:rPr>
          <w:rFonts w:ascii="Arial" w:hAnsi="Arial" w:cs="Arial"/>
          <w:sz w:val="22"/>
          <w:szCs w:val="22"/>
          <w:vertAlign w:val="superscript"/>
        </w:rPr>
        <w:t>th</w:t>
      </w:r>
      <w:r w:rsidRPr="008B6DAF">
        <w:rPr>
          <w:rFonts w:ascii="Arial" w:hAnsi="Arial" w:cs="Arial"/>
          <w:sz w:val="22"/>
          <w:szCs w:val="22"/>
        </w:rPr>
        <w:t xml:space="preserve"> </w:t>
      </w:r>
      <w:proofErr w:type="spellStart"/>
      <w:r w:rsidRPr="008B6DAF">
        <w:rPr>
          <w:rFonts w:ascii="Arial" w:hAnsi="Arial" w:cs="Arial"/>
          <w:sz w:val="22"/>
          <w:szCs w:val="22"/>
        </w:rPr>
        <w:t>edn</w:t>
      </w:r>
      <w:proofErr w:type="spellEnd"/>
      <w:r w:rsidRPr="008B6DAF">
        <w:rPr>
          <w:rFonts w:ascii="Arial" w:hAnsi="Arial" w:cs="Arial"/>
          <w:sz w:val="22"/>
          <w:szCs w:val="22"/>
        </w:rPr>
        <w:t xml:space="preserve">. Oxford: Oxford University Press. </w:t>
      </w:r>
    </w:p>
    <w:p w14:paraId="32A222B9" w14:textId="04569956"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Creswell, J.W. and Creswell, J.D. (2018) Research Design: Qualitative, Quantitative, and Mixed Methods Approaches. 5</w:t>
      </w:r>
      <w:r w:rsidRPr="008B6DAF">
        <w:rPr>
          <w:rFonts w:ascii="Arial" w:hAnsi="Arial" w:cs="Arial"/>
          <w:sz w:val="22"/>
          <w:szCs w:val="22"/>
          <w:vertAlign w:val="superscript"/>
        </w:rPr>
        <w:t>th</w:t>
      </w:r>
      <w:r w:rsidRPr="008B6DAF">
        <w:rPr>
          <w:rFonts w:ascii="Arial" w:hAnsi="Arial" w:cs="Arial"/>
          <w:sz w:val="22"/>
          <w:szCs w:val="22"/>
        </w:rPr>
        <w:t xml:space="preserve"> </w:t>
      </w:r>
      <w:proofErr w:type="spellStart"/>
      <w:r w:rsidRPr="008B6DAF">
        <w:rPr>
          <w:rFonts w:ascii="Arial" w:hAnsi="Arial" w:cs="Arial"/>
          <w:sz w:val="22"/>
          <w:szCs w:val="22"/>
        </w:rPr>
        <w:t>edn</w:t>
      </w:r>
      <w:proofErr w:type="spellEnd"/>
      <w:r w:rsidRPr="008B6DAF">
        <w:rPr>
          <w:rFonts w:ascii="Arial" w:hAnsi="Arial" w:cs="Arial"/>
          <w:sz w:val="22"/>
          <w:szCs w:val="22"/>
        </w:rPr>
        <w:t xml:space="preserve">. London: SAGE Publications. </w:t>
      </w:r>
    </w:p>
    <w:p w14:paraId="4FD6E49C" w14:textId="09451C83"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 xml:space="preserve">Endometriosis UK (2023) Endometriosis in the UK: Time for Change. London: Endometriosis UK. Available at: </w:t>
      </w:r>
      <w:hyperlink r:id="rId11" w:history="1">
        <w:r w:rsidRPr="008B6DAF">
          <w:rPr>
            <w:rStyle w:val="Hyperlink"/>
            <w:rFonts w:ascii="Arial" w:hAnsi="Arial" w:cs="Arial"/>
            <w:sz w:val="22"/>
            <w:szCs w:val="22"/>
          </w:rPr>
          <w:t>https://www.endometriosis-uk.org</w:t>
        </w:r>
      </w:hyperlink>
      <w:r w:rsidRPr="008B6DAF">
        <w:rPr>
          <w:rFonts w:ascii="Arial" w:hAnsi="Arial" w:cs="Arial"/>
          <w:sz w:val="22"/>
          <w:szCs w:val="22"/>
        </w:rPr>
        <w:t xml:space="preserve"> (Accessed: 1 March 2025). </w:t>
      </w:r>
    </w:p>
    <w:p w14:paraId="4B7C578B" w14:textId="3B637DC5"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 xml:space="preserve">NHS England (2019) The NHS Long Term Plan. London: NSH England. Available at: </w:t>
      </w:r>
      <w:hyperlink r:id="rId12" w:history="1">
        <w:r w:rsidRPr="008B6DAF">
          <w:rPr>
            <w:rStyle w:val="Hyperlink"/>
            <w:rFonts w:ascii="Arial" w:hAnsi="Arial" w:cs="Arial"/>
            <w:sz w:val="22"/>
            <w:szCs w:val="22"/>
          </w:rPr>
          <w:t>https://www.longtermplan.nhs.uk</w:t>
        </w:r>
      </w:hyperlink>
      <w:r w:rsidRPr="008B6DAF">
        <w:rPr>
          <w:rFonts w:ascii="Arial" w:hAnsi="Arial" w:cs="Arial"/>
          <w:sz w:val="22"/>
          <w:szCs w:val="22"/>
        </w:rPr>
        <w:t xml:space="preserve"> (Accessed: 1 March 2025)</w:t>
      </w:r>
    </w:p>
    <w:p w14:paraId="7194DEF0" w14:textId="72DCC089"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 xml:space="preserve">Royal College of Obstetricians and Gynaecologists (2002) Women’s Voices: Improving Women’s Experience of healthcare. London: RCOG. Available at: </w:t>
      </w:r>
      <w:hyperlink r:id="rId13" w:history="1">
        <w:r w:rsidRPr="008B6DAF">
          <w:rPr>
            <w:rStyle w:val="Hyperlink"/>
            <w:rFonts w:ascii="Arial" w:hAnsi="Arial" w:cs="Arial"/>
            <w:sz w:val="22"/>
            <w:szCs w:val="22"/>
          </w:rPr>
          <w:t>https://www.rcog.org.uk</w:t>
        </w:r>
      </w:hyperlink>
      <w:r w:rsidRPr="008B6DAF">
        <w:rPr>
          <w:rFonts w:ascii="Arial" w:hAnsi="Arial" w:cs="Arial"/>
          <w:sz w:val="22"/>
          <w:szCs w:val="22"/>
        </w:rPr>
        <w:t xml:space="preserve"> (Accessed: 1 Marh 2025). </w:t>
      </w:r>
    </w:p>
    <w:p w14:paraId="774F62F8" w14:textId="19D33D09"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 xml:space="preserve">Wellbeing of Women (2023) Women’s health Survey: Patient Experiences Across the UK. London: Wellbeing of Women. Available at: </w:t>
      </w:r>
      <w:hyperlink r:id="rId14" w:history="1">
        <w:r w:rsidRPr="008B6DAF">
          <w:rPr>
            <w:rStyle w:val="Hyperlink"/>
            <w:rFonts w:ascii="Arial" w:hAnsi="Arial" w:cs="Arial"/>
            <w:sz w:val="22"/>
            <w:szCs w:val="22"/>
          </w:rPr>
          <w:t>https://www/wellbeingofwomen.org.uk</w:t>
        </w:r>
      </w:hyperlink>
      <w:r w:rsidRPr="008B6DAF">
        <w:rPr>
          <w:rFonts w:ascii="Arial" w:hAnsi="Arial" w:cs="Arial"/>
          <w:sz w:val="22"/>
          <w:szCs w:val="22"/>
        </w:rPr>
        <w:t xml:space="preserve"> (Accessed: 1 March 2025). </w:t>
      </w:r>
    </w:p>
    <w:p w14:paraId="3B94C665" w14:textId="77777777" w:rsidR="008B6DAF" w:rsidRPr="008B6DAF" w:rsidRDefault="008B6DAF" w:rsidP="008B6DAF">
      <w:pPr>
        <w:spacing w:line="360" w:lineRule="auto"/>
        <w:rPr>
          <w:rFonts w:ascii="Arial" w:hAnsi="Arial" w:cs="Arial"/>
          <w:sz w:val="22"/>
          <w:szCs w:val="22"/>
        </w:rPr>
      </w:pPr>
      <w:r w:rsidRPr="008B6DAF">
        <w:rPr>
          <w:rFonts w:ascii="Arial" w:hAnsi="Arial" w:cs="Arial"/>
          <w:sz w:val="22"/>
          <w:szCs w:val="22"/>
        </w:rPr>
        <w:t xml:space="preserve">Whiteley, C., Mooney, R. and Bhatt, S. (2021) ‘Patient Experiences of Diagnosis and Management of Polycystic Ovary Syndrome in Primary Care’, British journal of General Practice, 71(712), pp. e872-e879. </w:t>
      </w:r>
    </w:p>
    <w:p w14:paraId="4253627E" w14:textId="77777777" w:rsidR="008B6DAF" w:rsidRPr="008B6DAF" w:rsidRDefault="008B6DAF" w:rsidP="008B6DAF">
      <w:pPr>
        <w:spacing w:line="360" w:lineRule="auto"/>
        <w:rPr>
          <w:rFonts w:ascii="Arial" w:hAnsi="Arial" w:cs="Arial"/>
          <w:sz w:val="22"/>
          <w:szCs w:val="22"/>
        </w:rPr>
      </w:pPr>
    </w:p>
    <w:p w14:paraId="542EB66F" w14:textId="77777777" w:rsidR="008B6DAF" w:rsidRPr="008B6DAF" w:rsidRDefault="008B6DAF" w:rsidP="008B6DAF">
      <w:pPr>
        <w:spacing w:line="360" w:lineRule="auto"/>
        <w:rPr>
          <w:rFonts w:ascii="Arial" w:hAnsi="Arial" w:cs="Arial"/>
          <w:sz w:val="22"/>
          <w:szCs w:val="22"/>
        </w:rPr>
      </w:pPr>
    </w:p>
    <w:sectPr w:rsidR="008B6DAF" w:rsidRPr="008B6DAF">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3BFA6" w14:textId="77777777" w:rsidR="001F46A2" w:rsidRDefault="001F46A2" w:rsidP="008B6DAF">
      <w:pPr>
        <w:spacing w:after="0" w:line="240" w:lineRule="auto"/>
      </w:pPr>
      <w:r>
        <w:separator/>
      </w:r>
    </w:p>
  </w:endnote>
  <w:endnote w:type="continuationSeparator" w:id="0">
    <w:p w14:paraId="2A20D141" w14:textId="77777777" w:rsidR="001F46A2" w:rsidRDefault="001F46A2" w:rsidP="008B6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1860612"/>
      <w:docPartObj>
        <w:docPartGallery w:val="Page Numbers (Bottom of Page)"/>
        <w:docPartUnique/>
      </w:docPartObj>
    </w:sdtPr>
    <w:sdtContent>
      <w:p w14:paraId="3E9F5118" w14:textId="17FCD8DE" w:rsidR="008B6DAF" w:rsidRDefault="008B6DAF" w:rsidP="006D6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EDF366" w14:textId="77777777" w:rsidR="008B6DAF" w:rsidRDefault="008B6DAF" w:rsidP="008B6D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9429363"/>
      <w:docPartObj>
        <w:docPartGallery w:val="Page Numbers (Bottom of Page)"/>
        <w:docPartUnique/>
      </w:docPartObj>
    </w:sdtPr>
    <w:sdtContent>
      <w:p w14:paraId="32551EA9" w14:textId="530ED0F0" w:rsidR="008B6DAF" w:rsidRDefault="008B6DAF" w:rsidP="006D6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CCEAB6" w14:textId="77777777" w:rsidR="008B6DAF" w:rsidRDefault="008B6DAF" w:rsidP="008B6D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1F0B6" w14:textId="77777777" w:rsidR="001F46A2" w:rsidRDefault="001F46A2" w:rsidP="008B6DAF">
      <w:pPr>
        <w:spacing w:after="0" w:line="240" w:lineRule="auto"/>
      </w:pPr>
      <w:r>
        <w:separator/>
      </w:r>
    </w:p>
  </w:footnote>
  <w:footnote w:type="continuationSeparator" w:id="0">
    <w:p w14:paraId="75E020D4" w14:textId="77777777" w:rsidR="001F46A2" w:rsidRDefault="001F46A2" w:rsidP="008B6D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A43EA2"/>
    <w:multiLevelType w:val="multilevel"/>
    <w:tmpl w:val="244869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35420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AF"/>
    <w:rsid w:val="000A603B"/>
    <w:rsid w:val="0016112F"/>
    <w:rsid w:val="001F46A2"/>
    <w:rsid w:val="00281F6D"/>
    <w:rsid w:val="002C4FD4"/>
    <w:rsid w:val="003E3937"/>
    <w:rsid w:val="00445A00"/>
    <w:rsid w:val="004C6189"/>
    <w:rsid w:val="006C682D"/>
    <w:rsid w:val="007E4818"/>
    <w:rsid w:val="008B6DAF"/>
    <w:rsid w:val="00A42EED"/>
    <w:rsid w:val="00B569A8"/>
    <w:rsid w:val="00EA29B5"/>
    <w:rsid w:val="00F02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A3016A"/>
  <w15:chartTrackingRefBased/>
  <w15:docId w15:val="{C4029133-4105-D348-BE3B-1BAE2C23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D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6D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D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D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D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D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D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D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D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D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D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D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D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D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DAF"/>
    <w:rPr>
      <w:rFonts w:eastAsiaTheme="majorEastAsia" w:cstheme="majorBidi"/>
      <w:color w:val="272727" w:themeColor="text1" w:themeTint="D8"/>
    </w:rPr>
  </w:style>
  <w:style w:type="paragraph" w:styleId="Title">
    <w:name w:val="Title"/>
    <w:basedOn w:val="Normal"/>
    <w:next w:val="Normal"/>
    <w:link w:val="TitleChar"/>
    <w:uiPriority w:val="10"/>
    <w:qFormat/>
    <w:rsid w:val="008B6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DAF"/>
    <w:pPr>
      <w:spacing w:before="160"/>
      <w:jc w:val="center"/>
    </w:pPr>
    <w:rPr>
      <w:i/>
      <w:iCs/>
      <w:color w:val="404040" w:themeColor="text1" w:themeTint="BF"/>
    </w:rPr>
  </w:style>
  <w:style w:type="character" w:customStyle="1" w:styleId="QuoteChar">
    <w:name w:val="Quote Char"/>
    <w:basedOn w:val="DefaultParagraphFont"/>
    <w:link w:val="Quote"/>
    <w:uiPriority w:val="29"/>
    <w:rsid w:val="008B6DAF"/>
    <w:rPr>
      <w:i/>
      <w:iCs/>
      <w:color w:val="404040" w:themeColor="text1" w:themeTint="BF"/>
    </w:rPr>
  </w:style>
  <w:style w:type="paragraph" w:styleId="ListParagraph">
    <w:name w:val="List Paragraph"/>
    <w:basedOn w:val="Normal"/>
    <w:uiPriority w:val="34"/>
    <w:qFormat/>
    <w:rsid w:val="008B6DAF"/>
    <w:pPr>
      <w:ind w:left="720"/>
      <w:contextualSpacing/>
    </w:pPr>
  </w:style>
  <w:style w:type="character" w:styleId="IntenseEmphasis">
    <w:name w:val="Intense Emphasis"/>
    <w:basedOn w:val="DefaultParagraphFont"/>
    <w:uiPriority w:val="21"/>
    <w:qFormat/>
    <w:rsid w:val="008B6DAF"/>
    <w:rPr>
      <w:i/>
      <w:iCs/>
      <w:color w:val="0F4761" w:themeColor="accent1" w:themeShade="BF"/>
    </w:rPr>
  </w:style>
  <w:style w:type="paragraph" w:styleId="IntenseQuote">
    <w:name w:val="Intense Quote"/>
    <w:basedOn w:val="Normal"/>
    <w:next w:val="Normal"/>
    <w:link w:val="IntenseQuoteChar"/>
    <w:uiPriority w:val="30"/>
    <w:qFormat/>
    <w:rsid w:val="008B6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DAF"/>
    <w:rPr>
      <w:i/>
      <w:iCs/>
      <w:color w:val="0F4761" w:themeColor="accent1" w:themeShade="BF"/>
    </w:rPr>
  </w:style>
  <w:style w:type="character" w:styleId="IntenseReference">
    <w:name w:val="Intense Reference"/>
    <w:basedOn w:val="DefaultParagraphFont"/>
    <w:uiPriority w:val="32"/>
    <w:qFormat/>
    <w:rsid w:val="008B6DAF"/>
    <w:rPr>
      <w:b/>
      <w:bCs/>
      <w:smallCaps/>
      <w:color w:val="0F4761" w:themeColor="accent1" w:themeShade="BF"/>
      <w:spacing w:val="5"/>
    </w:rPr>
  </w:style>
  <w:style w:type="character" w:styleId="Hyperlink">
    <w:name w:val="Hyperlink"/>
    <w:uiPriority w:val="99"/>
    <w:unhideWhenUsed/>
    <w:rsid w:val="008B6DAF"/>
    <w:rPr>
      <w:color w:val="0563C1"/>
      <w:u w:val="single"/>
    </w:rPr>
  </w:style>
  <w:style w:type="paragraph" w:styleId="Footer">
    <w:name w:val="footer"/>
    <w:basedOn w:val="Normal"/>
    <w:link w:val="FooterChar"/>
    <w:uiPriority w:val="99"/>
    <w:unhideWhenUsed/>
    <w:rsid w:val="008B6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DAF"/>
  </w:style>
  <w:style w:type="character" w:styleId="PageNumber">
    <w:name w:val="page number"/>
    <w:basedOn w:val="DefaultParagraphFont"/>
    <w:uiPriority w:val="99"/>
    <w:semiHidden/>
    <w:unhideWhenUsed/>
    <w:rsid w:val="008B6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cog.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ngtermplan.nhs.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dometriosis-uk.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tf-thyroid.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ellbeingofwome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2040</Words>
  <Characters>9874</Characters>
  <Application>Microsoft Office Word</Application>
  <DocSecurity>0</DocSecurity>
  <Lines>411</Lines>
  <Paragraphs>283</Paragraphs>
  <ScaleCrop>false</ScaleCrop>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Sumar (2529022)</dc:creator>
  <cp:keywords/>
  <dc:description/>
  <cp:lastModifiedBy>Naznin Sumar (2529022)</cp:lastModifiedBy>
  <cp:revision>2</cp:revision>
  <dcterms:created xsi:type="dcterms:W3CDTF">2026-03-19T23:31:00Z</dcterms:created>
  <dcterms:modified xsi:type="dcterms:W3CDTF">2026-03-19T23:31:00Z</dcterms:modified>
</cp:coreProperties>
</file>