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31C883" w14:textId="77777777" w:rsidR="00CD2461" w:rsidRDefault="00CD2461" w:rsidP="00CD2461">
      <w:pPr>
        <w:spacing w:line="360" w:lineRule="auto"/>
        <w:jc w:val="both"/>
        <w:rPr>
          <w:rFonts w:ascii="Arial" w:hAnsi="Arial" w:cs="Arial"/>
          <w:b/>
          <w:bCs/>
          <w:sz w:val="24"/>
          <w:szCs w:val="24"/>
        </w:rPr>
      </w:pPr>
    </w:p>
    <w:p w14:paraId="48E617D1" w14:textId="77777777" w:rsidR="00CD2461" w:rsidRDefault="00CD2461" w:rsidP="00CD2461">
      <w:pPr>
        <w:pStyle w:val="Heading2"/>
        <w:jc w:val="center"/>
      </w:pPr>
      <w:r w:rsidRPr="00D957F0">
        <w:rPr>
          <w:noProof/>
        </w:rPr>
        <w:drawing>
          <wp:inline distT="0" distB="0" distL="0" distR="0" wp14:anchorId="1338CC4B" wp14:editId="05021FD5">
            <wp:extent cx="4050029" cy="1641090"/>
            <wp:effectExtent l="0" t="0" r="8255" b="0"/>
            <wp:docPr id="1873998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998543" name=""/>
                    <pic:cNvPicPr/>
                  </pic:nvPicPr>
                  <pic:blipFill>
                    <a:blip r:embed="rId6"/>
                    <a:stretch>
                      <a:fillRect/>
                    </a:stretch>
                  </pic:blipFill>
                  <pic:spPr>
                    <a:xfrm>
                      <a:off x="0" y="0"/>
                      <a:ext cx="4062454" cy="1646125"/>
                    </a:xfrm>
                    <a:prstGeom prst="rect">
                      <a:avLst/>
                    </a:prstGeom>
                  </pic:spPr>
                </pic:pic>
              </a:graphicData>
            </a:graphic>
          </wp:inline>
        </w:drawing>
      </w:r>
    </w:p>
    <w:p w14:paraId="3E2C78AE" w14:textId="77777777" w:rsidR="00CD2461" w:rsidRDefault="00CD2461" w:rsidP="00CD2461">
      <w:pPr>
        <w:pStyle w:val="Heading2"/>
      </w:pPr>
    </w:p>
    <w:p w14:paraId="4B1E7730" w14:textId="77777777" w:rsidR="00CD2461" w:rsidRDefault="00CD2461" w:rsidP="00CD2461">
      <w:pPr>
        <w:pStyle w:val="Heading2"/>
      </w:pPr>
    </w:p>
    <w:p w14:paraId="6ACF4D51" w14:textId="77777777" w:rsidR="00CD2461" w:rsidRPr="00D957F0" w:rsidRDefault="00CD2461" w:rsidP="00CD2461">
      <w:pPr>
        <w:jc w:val="center"/>
        <w:rPr>
          <w:rFonts w:ascii="Arial" w:hAnsi="Arial" w:cs="Arial"/>
          <w:b/>
          <w:bCs/>
          <w:i/>
          <w:iCs/>
          <w:sz w:val="36"/>
          <w:szCs w:val="36"/>
          <w:u w:val="single"/>
        </w:rPr>
      </w:pPr>
      <w:r w:rsidRPr="00D957F0">
        <w:rPr>
          <w:rFonts w:ascii="Arial" w:hAnsi="Arial" w:cs="Arial"/>
          <w:b/>
          <w:bCs/>
          <w:i/>
          <w:iCs/>
          <w:sz w:val="36"/>
          <w:szCs w:val="36"/>
          <w:u w:val="single"/>
        </w:rPr>
        <w:t>Sustainable hospitality &amp; tourism management</w:t>
      </w:r>
    </w:p>
    <w:p w14:paraId="2DD6174F" w14:textId="77777777" w:rsidR="00CD2461" w:rsidRDefault="00CD2461" w:rsidP="00CD2461">
      <w:pPr>
        <w:rPr>
          <w:rFonts w:ascii="Arial" w:hAnsi="Arial" w:cs="Arial"/>
        </w:rPr>
      </w:pPr>
    </w:p>
    <w:p w14:paraId="09490759" w14:textId="77777777" w:rsidR="00CD2461" w:rsidRDefault="00CD2461" w:rsidP="00CD2461">
      <w:pPr>
        <w:jc w:val="center"/>
        <w:rPr>
          <w:rFonts w:ascii="Arial" w:hAnsi="Arial" w:cs="Arial"/>
        </w:rPr>
      </w:pPr>
      <w:r>
        <w:rPr>
          <w:rFonts w:ascii="Arial" w:hAnsi="Arial" w:cs="Arial"/>
        </w:rPr>
        <w:t>Component 1</w:t>
      </w:r>
    </w:p>
    <w:p w14:paraId="51AB860C" w14:textId="77777777" w:rsidR="00CD2461" w:rsidRDefault="00CD2461" w:rsidP="00CD2461">
      <w:pPr>
        <w:jc w:val="center"/>
        <w:rPr>
          <w:rFonts w:ascii="Arial" w:hAnsi="Arial" w:cs="Arial"/>
        </w:rPr>
      </w:pPr>
    </w:p>
    <w:p w14:paraId="3C425459" w14:textId="77777777" w:rsidR="00CD2461" w:rsidRDefault="00CD2461" w:rsidP="00CD2461">
      <w:pPr>
        <w:jc w:val="center"/>
        <w:rPr>
          <w:rFonts w:ascii="Arial" w:hAnsi="Arial" w:cs="Arial"/>
        </w:rPr>
      </w:pPr>
      <w:r>
        <w:rPr>
          <w:rFonts w:ascii="Arial" w:hAnsi="Arial" w:cs="Arial"/>
        </w:rPr>
        <w:t>Essay</w:t>
      </w:r>
    </w:p>
    <w:p w14:paraId="57AAB9F0" w14:textId="77777777" w:rsidR="00CD2461" w:rsidRPr="00D957F0" w:rsidRDefault="00CD2461" w:rsidP="00CD2461">
      <w:pPr>
        <w:rPr>
          <w:rFonts w:ascii="Arial" w:hAnsi="Arial" w:cs="Arial"/>
        </w:rPr>
      </w:pPr>
    </w:p>
    <w:p w14:paraId="4BAC23B3" w14:textId="77777777" w:rsidR="00CD2461" w:rsidRPr="00D957F0" w:rsidRDefault="00CD2461" w:rsidP="00CD2461">
      <w:pPr>
        <w:pStyle w:val="Heading2"/>
        <w:jc w:val="center"/>
        <w:rPr>
          <w:rFonts w:ascii="Arial" w:hAnsi="Arial" w:cs="Arial"/>
        </w:rPr>
      </w:pPr>
      <w:r w:rsidRPr="00D957F0">
        <w:rPr>
          <w:rFonts w:ascii="Arial" w:hAnsi="Arial" w:cs="Arial"/>
        </w:rPr>
        <w:t>Submitted by</w:t>
      </w:r>
    </w:p>
    <w:p w14:paraId="25E25901" w14:textId="77777777" w:rsidR="00CD2461" w:rsidRPr="00D957F0" w:rsidRDefault="00CD2461" w:rsidP="00CD2461">
      <w:pPr>
        <w:jc w:val="center"/>
        <w:rPr>
          <w:rFonts w:ascii="Arial" w:hAnsi="Arial" w:cs="Arial"/>
        </w:rPr>
      </w:pPr>
    </w:p>
    <w:p w14:paraId="154DAB6F" w14:textId="77777777" w:rsidR="00AD0A27" w:rsidRDefault="00AD0A27" w:rsidP="00AD0A27">
      <w:pPr>
        <w:rPr>
          <w:rFonts w:ascii="Times New Roman" w:hAnsi="Times New Roman" w:cs="Times New Roman"/>
        </w:rPr>
      </w:pPr>
      <w:r>
        <w:rPr>
          <w:rFonts w:ascii="Times New Roman" w:hAnsi="Times New Roman" w:cs="Times New Roman"/>
        </w:rPr>
        <w:t>Marina Boeva</w:t>
      </w:r>
    </w:p>
    <w:p w14:paraId="5FB681B0" w14:textId="77777777" w:rsidR="00AD0A27" w:rsidRPr="005858EE" w:rsidRDefault="00AD0A27" w:rsidP="00AD0A27">
      <w:pPr>
        <w:rPr>
          <w:rFonts w:ascii="Times New Roman" w:hAnsi="Times New Roman" w:cs="Times New Roman"/>
        </w:rPr>
      </w:pPr>
      <w:r>
        <w:rPr>
          <w:rFonts w:ascii="Times New Roman" w:hAnsi="Times New Roman" w:cs="Times New Roman"/>
        </w:rPr>
        <w:t xml:space="preserve">Student </w:t>
      </w:r>
      <w:proofErr w:type="gramStart"/>
      <w:r>
        <w:rPr>
          <w:rFonts w:ascii="Times New Roman" w:hAnsi="Times New Roman" w:cs="Times New Roman"/>
        </w:rPr>
        <w:t>ID :</w:t>
      </w:r>
      <w:proofErr w:type="gramEnd"/>
      <w:r>
        <w:rPr>
          <w:rFonts w:ascii="Times New Roman" w:hAnsi="Times New Roman" w:cs="Times New Roman"/>
        </w:rPr>
        <w:t xml:space="preserve"> 2246384</w:t>
      </w:r>
    </w:p>
    <w:p w14:paraId="779A17E6" w14:textId="77777777" w:rsidR="00AD0A27" w:rsidRDefault="00AD0A27" w:rsidP="00AD0A27">
      <w:pPr>
        <w:rPr>
          <w:rFonts w:ascii="Times New Roman" w:hAnsi="Times New Roman" w:cs="Times New Roman"/>
        </w:rPr>
      </w:pPr>
      <w:r>
        <w:rPr>
          <w:rFonts w:ascii="Times New Roman" w:hAnsi="Times New Roman" w:cs="Times New Roman"/>
        </w:rPr>
        <w:t xml:space="preserve">The module </w:t>
      </w:r>
      <w:proofErr w:type="gramStart"/>
      <w:r>
        <w:rPr>
          <w:rFonts w:ascii="Times New Roman" w:hAnsi="Times New Roman" w:cs="Times New Roman"/>
        </w:rPr>
        <w:t>title :</w:t>
      </w:r>
      <w:proofErr w:type="gramEnd"/>
      <w:r>
        <w:rPr>
          <w:rFonts w:ascii="Times New Roman" w:hAnsi="Times New Roman" w:cs="Times New Roman"/>
        </w:rPr>
        <w:t xml:space="preserve"> Sustainable Hospitality and Tourism BMIH5006</w:t>
      </w:r>
    </w:p>
    <w:p w14:paraId="6D93C006" w14:textId="77777777" w:rsidR="00AD0A27" w:rsidRDefault="00AD0A27" w:rsidP="00AD0A27">
      <w:pPr>
        <w:pStyle w:val="Heading5"/>
        <w:spacing w:before="0"/>
        <w:rPr>
          <w:rFonts w:ascii="Segoe UI" w:hAnsi="Segoe UI" w:cs="Segoe UI"/>
          <w:color w:val="1D2125"/>
        </w:rPr>
      </w:pPr>
      <w:proofErr w:type="gramStart"/>
      <w:r>
        <w:rPr>
          <w:rFonts w:ascii="Times New Roman" w:hAnsi="Times New Roman" w:cs="Times New Roman"/>
        </w:rPr>
        <w:t>Tutor :</w:t>
      </w:r>
      <w:proofErr w:type="gramEnd"/>
      <w:r>
        <w:rPr>
          <w:rFonts w:ascii="Times New Roman" w:hAnsi="Times New Roman" w:cs="Times New Roman"/>
        </w:rPr>
        <w:t xml:space="preserve"> Kathryn Roberts</w:t>
      </w:r>
    </w:p>
    <w:p w14:paraId="583A8E8E" w14:textId="2545DC0D" w:rsidR="00AD0A27" w:rsidRDefault="00AD0A27" w:rsidP="00AD0A27">
      <w:pPr>
        <w:rPr>
          <w:rFonts w:ascii="Times New Roman" w:hAnsi="Times New Roman" w:cs="Times New Roman"/>
        </w:rPr>
      </w:pPr>
      <w:r>
        <w:rPr>
          <w:rFonts w:ascii="Times New Roman" w:hAnsi="Times New Roman" w:cs="Times New Roman"/>
        </w:rPr>
        <w:t>Word count , ex 28</w:t>
      </w:r>
      <w:r w:rsidR="00436965">
        <w:rPr>
          <w:rFonts w:ascii="Times New Roman" w:hAnsi="Times New Roman" w:cs="Times New Roman"/>
        </w:rPr>
        <w:t>06</w:t>
      </w:r>
    </w:p>
    <w:p w14:paraId="597BB879" w14:textId="77777777" w:rsidR="00AD0A27" w:rsidRDefault="00AD0A27" w:rsidP="00AD0A27">
      <w:pPr>
        <w:rPr>
          <w:rFonts w:ascii="Times New Roman" w:hAnsi="Times New Roman" w:cs="Times New Roman"/>
        </w:rPr>
      </w:pPr>
      <w:r>
        <w:rPr>
          <w:rFonts w:ascii="Times New Roman" w:hAnsi="Times New Roman" w:cs="Times New Roman"/>
        </w:rPr>
        <w:t>References &amp; In-text citations</w:t>
      </w:r>
    </w:p>
    <w:p w14:paraId="39345C25" w14:textId="77777777" w:rsidR="00AD0A27" w:rsidRDefault="00AD0A27" w:rsidP="00CD2461">
      <w:pPr>
        <w:rPr>
          <w:rFonts w:ascii="Arial" w:hAnsi="Arial" w:cs="Arial"/>
          <w:b/>
          <w:bCs/>
          <w:sz w:val="24"/>
          <w:szCs w:val="24"/>
        </w:rPr>
      </w:pPr>
    </w:p>
    <w:p w14:paraId="6231244D" w14:textId="77777777" w:rsidR="00AD0A27" w:rsidRDefault="00AD0A27" w:rsidP="00CD2461">
      <w:pPr>
        <w:rPr>
          <w:rFonts w:ascii="Arial" w:hAnsi="Arial" w:cs="Arial"/>
          <w:b/>
          <w:bCs/>
          <w:sz w:val="24"/>
          <w:szCs w:val="24"/>
        </w:rPr>
      </w:pPr>
    </w:p>
    <w:p w14:paraId="124A8095" w14:textId="77777777" w:rsidR="00AD0A27" w:rsidRDefault="00AD0A27" w:rsidP="00AD0A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color w:val="000000"/>
          <w:kern w:val="0"/>
        </w:rPr>
      </w:pPr>
      <w:r>
        <w:rPr>
          <w:rFonts w:ascii="Helvetica" w:hAnsi="Helvetica" w:cs="Helvetica"/>
          <w:color w:val="000000"/>
          <w:kern w:val="0"/>
        </w:rPr>
        <w:t>I confirm that I have not presented any AI generated text as my own work. I confirm I</w:t>
      </w:r>
    </w:p>
    <w:p w14:paraId="4F33891A" w14:textId="77777777" w:rsidR="00AD0A27" w:rsidRDefault="00AD0A27" w:rsidP="00AD0A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color w:val="000000"/>
          <w:kern w:val="0"/>
        </w:rPr>
      </w:pPr>
      <w:r>
        <w:rPr>
          <w:rFonts w:ascii="Helvetica" w:hAnsi="Helvetica" w:cs="Helvetica"/>
          <w:color w:val="000000"/>
          <w:kern w:val="0"/>
        </w:rPr>
        <w:t>have copies of my drafts, notes, and other resources I used before, and after the use of</w:t>
      </w:r>
    </w:p>
    <w:p w14:paraId="071F9466" w14:textId="77777777" w:rsidR="00AD0A27" w:rsidRDefault="00AD0A27" w:rsidP="00AD0A27">
      <w:pPr>
        <w:rPr>
          <w:rFonts w:ascii="Helvetica" w:hAnsi="Helvetica" w:cs="Helvetica"/>
          <w:color w:val="000000"/>
          <w:kern w:val="0"/>
        </w:rPr>
      </w:pPr>
      <w:r>
        <w:rPr>
          <w:rFonts w:ascii="Helvetica" w:hAnsi="Helvetica" w:cs="Helvetica"/>
          <w:color w:val="000000"/>
          <w:kern w:val="0"/>
        </w:rPr>
        <w:t>AI tools which I may be asked to provide in evidence.</w:t>
      </w:r>
    </w:p>
    <w:p w14:paraId="1DFC2C70" w14:textId="28BFD3E8" w:rsidR="00CD2461" w:rsidRDefault="00CD2461" w:rsidP="00CD2461">
      <w:pPr>
        <w:rPr>
          <w:rFonts w:ascii="Arial" w:hAnsi="Arial" w:cs="Arial"/>
          <w:b/>
          <w:bCs/>
          <w:sz w:val="24"/>
          <w:szCs w:val="24"/>
        </w:rPr>
      </w:pPr>
      <w:r>
        <w:rPr>
          <w:rFonts w:ascii="Arial" w:hAnsi="Arial" w:cs="Arial"/>
          <w:b/>
          <w:bCs/>
          <w:sz w:val="24"/>
          <w:szCs w:val="24"/>
        </w:rPr>
        <w:br w:type="page"/>
      </w:r>
    </w:p>
    <w:p w14:paraId="6E418C17" w14:textId="77777777" w:rsidR="00CD2461" w:rsidRPr="00367AE6" w:rsidRDefault="00CD2461" w:rsidP="00CD2461">
      <w:pPr>
        <w:spacing w:line="360" w:lineRule="auto"/>
        <w:jc w:val="both"/>
        <w:rPr>
          <w:rFonts w:ascii="Arial" w:hAnsi="Arial" w:cs="Arial"/>
          <w:sz w:val="24"/>
          <w:szCs w:val="24"/>
          <w:lang w:val="en-US"/>
        </w:rPr>
      </w:pPr>
      <w:r w:rsidRPr="00367AE6">
        <w:rPr>
          <w:rFonts w:ascii="Arial" w:hAnsi="Arial" w:cs="Arial"/>
          <w:sz w:val="24"/>
          <w:szCs w:val="24"/>
        </w:rPr>
        <w:lastRenderedPageBreak/>
        <w:t>The hospitality industry is viewing a substantial turn towards sustainability</w:t>
      </w:r>
      <w:r>
        <w:rPr>
          <w:rFonts w:ascii="Arial" w:hAnsi="Arial" w:cs="Arial"/>
          <w:sz w:val="24"/>
          <w:szCs w:val="24"/>
        </w:rPr>
        <w:t xml:space="preserve"> </w:t>
      </w:r>
      <w:r w:rsidRPr="008C5D65">
        <w:rPr>
          <w:rFonts w:ascii="Arial" w:hAnsi="Arial" w:cs="Arial"/>
          <w:sz w:val="24"/>
          <w:szCs w:val="24"/>
          <w:lang w:val="en-US"/>
        </w:rPr>
        <w:t>(Rasel, 2024)</w:t>
      </w:r>
      <w:r w:rsidRPr="00367AE6">
        <w:rPr>
          <w:rFonts w:ascii="Arial" w:hAnsi="Arial" w:cs="Arial"/>
          <w:sz w:val="24"/>
          <w:szCs w:val="24"/>
        </w:rPr>
        <w:t xml:space="preserve">. Sustainable hotel practices include initiatives that benefit current generations without causing significant harm to future generations (Khalil </w:t>
      </w:r>
      <w:r w:rsidRPr="00B67CC3">
        <w:rPr>
          <w:rFonts w:ascii="Arial" w:hAnsi="Arial" w:cs="Arial"/>
          <w:i/>
          <w:iCs/>
          <w:sz w:val="24"/>
          <w:szCs w:val="24"/>
        </w:rPr>
        <w:t>et al</w:t>
      </w:r>
      <w:r w:rsidRPr="00367AE6">
        <w:rPr>
          <w:rFonts w:ascii="Arial" w:hAnsi="Arial" w:cs="Arial"/>
          <w:sz w:val="24"/>
          <w:szCs w:val="24"/>
        </w:rPr>
        <w:t>., 2024). In other words, sustainable hotel practices reduce the detrimental impact on the environment by implementing different initiatives and ensuring the well-being of society.  This initiative includes energy efficiency, waste management, water consumption.  Moreover, it is not only about a broader scale of practices that decrease the environmental footprint and promote sustainability. The Green House</w:t>
      </w:r>
      <w:r>
        <w:rPr>
          <w:rFonts w:ascii="Arial" w:hAnsi="Arial" w:cs="Arial"/>
          <w:sz w:val="24"/>
          <w:szCs w:val="24"/>
        </w:rPr>
        <w:t xml:space="preserve"> Hotel</w:t>
      </w:r>
      <w:r w:rsidRPr="00367AE6">
        <w:rPr>
          <w:rFonts w:ascii="Arial" w:hAnsi="Arial" w:cs="Arial"/>
          <w:sz w:val="24"/>
          <w:szCs w:val="24"/>
        </w:rPr>
        <w:t xml:space="preserve"> is an example of a hotel that is committed to sustainable practices</w:t>
      </w:r>
      <w:r>
        <w:rPr>
          <w:rFonts w:ascii="Arial" w:hAnsi="Arial" w:cs="Arial"/>
          <w:sz w:val="24"/>
          <w:szCs w:val="24"/>
        </w:rPr>
        <w:t xml:space="preserve"> and in 2019, it was named in top 10 of world’s most eco-friendly hotels by Expedia </w:t>
      </w:r>
      <w:r w:rsidRPr="007D534C">
        <w:rPr>
          <w:rFonts w:ascii="Arial" w:hAnsi="Arial" w:cs="Arial"/>
          <w:sz w:val="24"/>
          <w:szCs w:val="24"/>
          <w:lang w:val="en-US"/>
        </w:rPr>
        <w:t>(The Green House, 2019)</w:t>
      </w:r>
      <w:r w:rsidRPr="00367AE6">
        <w:rPr>
          <w:rFonts w:ascii="Arial" w:hAnsi="Arial" w:cs="Arial"/>
          <w:sz w:val="24"/>
          <w:szCs w:val="24"/>
        </w:rPr>
        <w:t>. It is situated in Bournemouth, UK, and is the popular greenest hostel in the UK</w:t>
      </w:r>
      <w:r>
        <w:rPr>
          <w:rFonts w:ascii="Arial" w:hAnsi="Arial" w:cs="Arial"/>
          <w:sz w:val="24"/>
          <w:szCs w:val="24"/>
        </w:rPr>
        <w:t xml:space="preserve"> </w:t>
      </w:r>
      <w:r w:rsidRPr="00EA0523">
        <w:rPr>
          <w:rFonts w:ascii="Arial" w:hAnsi="Arial" w:cs="Arial"/>
          <w:sz w:val="24"/>
          <w:szCs w:val="24"/>
          <w:lang w:val="en-US"/>
        </w:rPr>
        <w:t>(Cousins, 2022)</w:t>
      </w:r>
      <w:r w:rsidRPr="00367AE6">
        <w:rPr>
          <w:rFonts w:ascii="Arial" w:hAnsi="Arial" w:cs="Arial"/>
          <w:sz w:val="24"/>
          <w:szCs w:val="24"/>
        </w:rPr>
        <w:t xml:space="preserve">. This boutique hotel has taken certain eco-friendly initiatives, such as sustainably sourced foods, and renewable energy, and focusing on decreasing the overall carbon footprint </w:t>
      </w:r>
      <w:r w:rsidRPr="00367AE6">
        <w:rPr>
          <w:rFonts w:ascii="Arial" w:hAnsi="Arial" w:cs="Arial"/>
          <w:sz w:val="24"/>
          <w:szCs w:val="24"/>
          <w:lang w:val="en-US"/>
        </w:rPr>
        <w:t>(The Green House, 2023)</w:t>
      </w:r>
      <w:r w:rsidRPr="00367AE6">
        <w:rPr>
          <w:rFonts w:ascii="Arial" w:hAnsi="Arial" w:cs="Arial"/>
          <w:sz w:val="24"/>
          <w:szCs w:val="24"/>
        </w:rPr>
        <w:t xml:space="preserve">. However, some gaps and challenges still exist for fully implementing sustainable initiatives. This essay will explore the gaps in the initiative of </w:t>
      </w:r>
      <w:r>
        <w:rPr>
          <w:rFonts w:ascii="Arial" w:hAnsi="Arial" w:cs="Arial"/>
          <w:sz w:val="24"/>
          <w:szCs w:val="24"/>
        </w:rPr>
        <w:t>T</w:t>
      </w:r>
      <w:r w:rsidRPr="00367AE6">
        <w:rPr>
          <w:rFonts w:ascii="Arial" w:hAnsi="Arial" w:cs="Arial"/>
          <w:sz w:val="24"/>
          <w:szCs w:val="24"/>
        </w:rPr>
        <w:t>he Green House</w:t>
      </w:r>
      <w:r>
        <w:rPr>
          <w:rFonts w:ascii="Arial" w:hAnsi="Arial" w:cs="Arial"/>
          <w:sz w:val="24"/>
          <w:szCs w:val="24"/>
        </w:rPr>
        <w:t xml:space="preserve"> Hotel</w:t>
      </w:r>
      <w:r w:rsidRPr="00367AE6">
        <w:rPr>
          <w:rFonts w:ascii="Arial" w:hAnsi="Arial" w:cs="Arial"/>
          <w:sz w:val="24"/>
          <w:szCs w:val="24"/>
        </w:rPr>
        <w:t xml:space="preserve"> and suggest feasible solutions for </w:t>
      </w:r>
      <w:r>
        <w:rPr>
          <w:rFonts w:ascii="Arial" w:hAnsi="Arial" w:cs="Arial"/>
          <w:sz w:val="24"/>
          <w:szCs w:val="24"/>
        </w:rPr>
        <w:t>T</w:t>
      </w:r>
      <w:r w:rsidRPr="00367AE6">
        <w:rPr>
          <w:rFonts w:ascii="Arial" w:hAnsi="Arial" w:cs="Arial"/>
          <w:sz w:val="24"/>
          <w:szCs w:val="24"/>
        </w:rPr>
        <w:t>he Green House</w:t>
      </w:r>
      <w:r>
        <w:rPr>
          <w:rFonts w:ascii="Arial" w:hAnsi="Arial" w:cs="Arial"/>
          <w:sz w:val="24"/>
          <w:szCs w:val="24"/>
        </w:rPr>
        <w:t xml:space="preserve"> Hotel</w:t>
      </w:r>
      <w:r w:rsidRPr="00367AE6">
        <w:rPr>
          <w:rFonts w:ascii="Arial" w:hAnsi="Arial" w:cs="Arial"/>
          <w:sz w:val="24"/>
          <w:szCs w:val="24"/>
        </w:rPr>
        <w:t xml:space="preserve">. Moreover, an evaluation will also be presented on the advantages of the sustainable approaches. The benefits will be focused on the hotel as well as the environment. By addressing this, Green House can position itself as a sustainability leader in the industry. By this, the hotel can make its position stronger in the hospitality sector and enhance its brand image.  </w:t>
      </w:r>
    </w:p>
    <w:p w14:paraId="63A85287" w14:textId="77777777" w:rsidR="00CD2461" w:rsidRPr="00367AE6" w:rsidRDefault="00CD2461" w:rsidP="00CD2461">
      <w:pPr>
        <w:spacing w:line="360" w:lineRule="auto"/>
        <w:jc w:val="both"/>
        <w:rPr>
          <w:rFonts w:ascii="Arial" w:hAnsi="Arial" w:cs="Arial"/>
          <w:sz w:val="24"/>
          <w:szCs w:val="24"/>
        </w:rPr>
      </w:pPr>
      <w:r w:rsidRPr="00367AE6">
        <w:rPr>
          <w:rFonts w:ascii="Arial" w:hAnsi="Arial" w:cs="Arial"/>
          <w:sz w:val="24"/>
          <w:szCs w:val="24"/>
        </w:rPr>
        <w:t xml:space="preserve">One of the major gaps in </w:t>
      </w:r>
      <w:r>
        <w:rPr>
          <w:rFonts w:ascii="Arial" w:hAnsi="Arial" w:cs="Arial"/>
          <w:sz w:val="24"/>
          <w:szCs w:val="24"/>
        </w:rPr>
        <w:t>T</w:t>
      </w:r>
      <w:r w:rsidRPr="00367AE6">
        <w:rPr>
          <w:rFonts w:ascii="Arial" w:hAnsi="Arial" w:cs="Arial"/>
          <w:sz w:val="24"/>
          <w:szCs w:val="24"/>
        </w:rPr>
        <w:t>he Green House</w:t>
      </w:r>
      <w:r>
        <w:rPr>
          <w:rFonts w:ascii="Arial" w:hAnsi="Arial" w:cs="Arial"/>
          <w:sz w:val="24"/>
          <w:szCs w:val="24"/>
        </w:rPr>
        <w:t xml:space="preserve"> Hotel</w:t>
      </w:r>
      <w:r w:rsidRPr="00367AE6">
        <w:rPr>
          <w:rFonts w:ascii="Arial" w:hAnsi="Arial" w:cs="Arial"/>
          <w:sz w:val="24"/>
          <w:szCs w:val="24"/>
        </w:rPr>
        <w:t>’s sustainable approaches is the absence of a completely incorporated circular supply chain. A circular supply chain is defined as using materials or goods as long as possible instead of discarding them as waste immediately (</w:t>
      </w:r>
      <w:proofErr w:type="spellStart"/>
      <w:r w:rsidRPr="00367AE6">
        <w:rPr>
          <w:rFonts w:ascii="Arial" w:hAnsi="Arial" w:cs="Arial"/>
          <w:sz w:val="24"/>
          <w:szCs w:val="24"/>
        </w:rPr>
        <w:t>Taddei</w:t>
      </w:r>
      <w:proofErr w:type="spellEnd"/>
      <w:r w:rsidRPr="00367AE6">
        <w:rPr>
          <w:rFonts w:ascii="Arial" w:hAnsi="Arial" w:cs="Arial"/>
          <w:sz w:val="24"/>
          <w:szCs w:val="24"/>
        </w:rPr>
        <w:t xml:space="preserve"> </w:t>
      </w:r>
      <w:r w:rsidRPr="00B67CC3">
        <w:rPr>
          <w:rFonts w:ascii="Arial" w:hAnsi="Arial" w:cs="Arial"/>
          <w:i/>
          <w:iCs/>
          <w:sz w:val="24"/>
          <w:szCs w:val="24"/>
        </w:rPr>
        <w:t>et al.,</w:t>
      </w:r>
      <w:r w:rsidRPr="00367AE6">
        <w:rPr>
          <w:rFonts w:ascii="Arial" w:hAnsi="Arial" w:cs="Arial"/>
          <w:sz w:val="24"/>
          <w:szCs w:val="24"/>
        </w:rPr>
        <w:t xml:space="preserve">2022). As mentioned above the hotel has effectively implemented steps like waste reduction, energy efficiency, certain recycling initiatives, and locally sourced products. However, it failed to implement the continuous practices of reusing, refurbishing, and recycling supplies in a closed-loop system which is the fundamental concept of circular economy. The circular economy helps to reduce the environmental footprint of the hotel (Hazen </w:t>
      </w:r>
      <w:r w:rsidRPr="00B67CC3">
        <w:rPr>
          <w:rFonts w:ascii="Arial" w:hAnsi="Arial" w:cs="Arial"/>
          <w:i/>
          <w:iCs/>
          <w:sz w:val="24"/>
          <w:szCs w:val="24"/>
        </w:rPr>
        <w:t>et al.,</w:t>
      </w:r>
      <w:r w:rsidRPr="00367AE6">
        <w:rPr>
          <w:rFonts w:ascii="Arial" w:hAnsi="Arial" w:cs="Arial"/>
          <w:sz w:val="24"/>
          <w:szCs w:val="24"/>
        </w:rPr>
        <w:t xml:space="preserve">2021). When materials or products like furniture, and packaging are let go as waste without reusing or recycling, it increases the dependence on new raw materials. It hinders the process of reaching environmental </w:t>
      </w:r>
      <w:r w:rsidRPr="00367AE6">
        <w:rPr>
          <w:rFonts w:ascii="Arial" w:hAnsi="Arial" w:cs="Arial"/>
          <w:sz w:val="24"/>
          <w:szCs w:val="24"/>
        </w:rPr>
        <w:lastRenderedPageBreak/>
        <w:t>sustainability. According to the Ellen MacArthur Foundation</w:t>
      </w:r>
      <w:r>
        <w:rPr>
          <w:rFonts w:ascii="Arial" w:hAnsi="Arial" w:cs="Arial"/>
          <w:sz w:val="24"/>
          <w:szCs w:val="24"/>
        </w:rPr>
        <w:t xml:space="preserve"> </w:t>
      </w:r>
      <w:r w:rsidRPr="00367AE6">
        <w:rPr>
          <w:rFonts w:ascii="Arial" w:hAnsi="Arial" w:cs="Arial"/>
          <w:sz w:val="24"/>
          <w:szCs w:val="24"/>
        </w:rPr>
        <w:t xml:space="preserve">which is popular for advocating for a circular economy state that, the supply chain of consumer goods companies is responsible for more than 80% of emissions. Thus, to handle this situation the circular economy can play a significant role by decreasing waste materials, circulating products, and reviving nature. As a result, the companies will be able to decrease the emissions of greenhouse gas and the cost (Ellen MacArthur Foundation, 2023). Additionally, only 7.2% of used materials are recycled back to economics, resulting in climate, biodiversity, and pollution crises (UNDP, 2023). Furthermore, the Triple Bottom Line (TBL) sustainability framework includes three dimensions to measure the success of companies’ performance instead of one bottom line: profit, people, and planet (Goh </w:t>
      </w:r>
      <w:r w:rsidRPr="00E803A0">
        <w:rPr>
          <w:rFonts w:ascii="Arial" w:hAnsi="Arial" w:cs="Arial"/>
          <w:i/>
          <w:iCs/>
          <w:sz w:val="24"/>
          <w:szCs w:val="24"/>
        </w:rPr>
        <w:t>et al</w:t>
      </w:r>
      <w:r w:rsidRPr="00367AE6">
        <w:rPr>
          <w:rFonts w:ascii="Arial" w:hAnsi="Arial" w:cs="Arial"/>
          <w:sz w:val="24"/>
          <w:szCs w:val="24"/>
        </w:rPr>
        <w:t xml:space="preserve">., 2020). According to this framework, companies should also focus on social and environmental effects along with profitability. If the business wants to achieve true sustainability, companies must balance these three dimensions. Thus, </w:t>
      </w:r>
      <w:r>
        <w:rPr>
          <w:rFonts w:ascii="Arial" w:hAnsi="Arial" w:cs="Arial"/>
          <w:sz w:val="24"/>
          <w:szCs w:val="24"/>
        </w:rPr>
        <w:t>T</w:t>
      </w:r>
      <w:r w:rsidRPr="00367AE6">
        <w:rPr>
          <w:rFonts w:ascii="Arial" w:hAnsi="Arial" w:cs="Arial"/>
          <w:sz w:val="24"/>
          <w:szCs w:val="24"/>
        </w:rPr>
        <w:t xml:space="preserve">he Green House Hotel must fully execute a circular supply chain and proceed from a linear method to a more sustainable restorative model. </w:t>
      </w:r>
    </w:p>
    <w:p w14:paraId="4B72EEC4" w14:textId="77777777" w:rsidR="00CD2461" w:rsidRPr="00367AE6" w:rsidRDefault="00CD2461" w:rsidP="00CD2461">
      <w:pPr>
        <w:spacing w:line="360" w:lineRule="auto"/>
        <w:jc w:val="both"/>
        <w:rPr>
          <w:rFonts w:ascii="Arial" w:hAnsi="Arial" w:cs="Arial"/>
          <w:sz w:val="24"/>
          <w:szCs w:val="24"/>
        </w:rPr>
      </w:pPr>
      <w:r w:rsidRPr="00367AE6">
        <w:rPr>
          <w:rFonts w:ascii="Arial" w:hAnsi="Arial" w:cs="Arial"/>
          <w:sz w:val="24"/>
          <w:szCs w:val="24"/>
        </w:rPr>
        <w:t xml:space="preserve">The proposed green practice initiative for </w:t>
      </w:r>
      <w:r>
        <w:rPr>
          <w:rFonts w:ascii="Arial" w:hAnsi="Arial" w:cs="Arial"/>
          <w:sz w:val="24"/>
          <w:szCs w:val="24"/>
        </w:rPr>
        <w:t>T</w:t>
      </w:r>
      <w:r w:rsidRPr="00367AE6">
        <w:rPr>
          <w:rFonts w:ascii="Arial" w:hAnsi="Arial" w:cs="Arial"/>
          <w:sz w:val="24"/>
          <w:szCs w:val="24"/>
        </w:rPr>
        <w:t>he Green House Hotel is to fully apply a circular supply chain. In 2018, the hospitality and food sector were responsible for 1.1 million tonnes, or 12%, of all food waste worth £3.2 billion in the UK (</w:t>
      </w:r>
      <w:proofErr w:type="spellStart"/>
      <w:r w:rsidRPr="00367AE6">
        <w:rPr>
          <w:rFonts w:ascii="Arial" w:hAnsi="Arial" w:cs="Arial"/>
          <w:sz w:val="24"/>
          <w:szCs w:val="24"/>
        </w:rPr>
        <w:t>Despoudi</w:t>
      </w:r>
      <w:proofErr w:type="spellEnd"/>
      <w:r w:rsidRPr="00367AE6">
        <w:rPr>
          <w:rFonts w:ascii="Arial" w:hAnsi="Arial" w:cs="Arial"/>
          <w:sz w:val="24"/>
          <w:szCs w:val="24"/>
        </w:rPr>
        <w:t xml:space="preserve"> </w:t>
      </w:r>
      <w:r w:rsidRPr="00E803A0">
        <w:rPr>
          <w:rFonts w:ascii="Arial" w:hAnsi="Arial" w:cs="Arial"/>
          <w:i/>
          <w:iCs/>
          <w:sz w:val="24"/>
          <w:szCs w:val="24"/>
        </w:rPr>
        <w:t>et al.,</w:t>
      </w:r>
      <w:r w:rsidRPr="00367AE6">
        <w:rPr>
          <w:rFonts w:ascii="Arial" w:hAnsi="Arial" w:cs="Arial"/>
          <w:sz w:val="24"/>
          <w:szCs w:val="24"/>
        </w:rPr>
        <w:t xml:space="preserve">2021). According to other data, yearly 2 million tonnes of waste is produced by the UK's hospitality industry (Steph </w:t>
      </w:r>
      <w:proofErr w:type="spellStart"/>
      <w:r w:rsidRPr="00367AE6">
        <w:rPr>
          <w:rFonts w:ascii="Arial" w:hAnsi="Arial" w:cs="Arial"/>
          <w:sz w:val="24"/>
          <w:szCs w:val="24"/>
        </w:rPr>
        <w:t>Hazlegreaves</w:t>
      </w:r>
      <w:proofErr w:type="spellEnd"/>
      <w:r w:rsidRPr="00367AE6">
        <w:rPr>
          <w:rFonts w:ascii="Arial" w:hAnsi="Arial" w:cs="Arial"/>
          <w:sz w:val="24"/>
          <w:szCs w:val="24"/>
        </w:rPr>
        <w:t>, 2018).</w:t>
      </w:r>
      <w:r w:rsidRPr="00367AE6">
        <w:rPr>
          <w:rFonts w:ascii="Arial" w:hAnsi="Arial" w:cs="Arial"/>
          <w:b/>
          <w:bCs/>
          <w:sz w:val="24"/>
          <w:szCs w:val="24"/>
        </w:rPr>
        <w:t xml:space="preserve"> </w:t>
      </w:r>
      <w:r w:rsidRPr="00367AE6">
        <w:rPr>
          <w:rFonts w:ascii="Arial" w:hAnsi="Arial" w:cs="Arial"/>
          <w:sz w:val="24"/>
          <w:szCs w:val="24"/>
        </w:rPr>
        <w:t xml:space="preserve">Even though the hotel already upcycled its furniture, recycled waste oil into fuels, and composted coffee beans in the community veg garden. Yet these initiatives are continuous, and a circular supply chain focuses on the continuous reuse or recycling of resources. In this proposed model, instead of throwing away resources, the goods or materials will be continuously reused, recycled, or refurbished. Therefore, by creating this closed-loop system, the hotel will be able to reduce waste generation and decrease its reliance on raw materials (Kara </w:t>
      </w:r>
      <w:r w:rsidRPr="00E803A0">
        <w:rPr>
          <w:rFonts w:ascii="Arial" w:hAnsi="Arial" w:cs="Arial"/>
          <w:i/>
          <w:iCs/>
          <w:sz w:val="24"/>
          <w:szCs w:val="24"/>
        </w:rPr>
        <w:t>et al</w:t>
      </w:r>
      <w:r w:rsidRPr="00367AE6">
        <w:rPr>
          <w:rFonts w:ascii="Arial" w:hAnsi="Arial" w:cs="Arial"/>
          <w:sz w:val="24"/>
          <w:szCs w:val="24"/>
        </w:rPr>
        <w:t xml:space="preserve">.,2022). Overall, it will help the hotel to improve its sustainability activities. To fully apply the suggested initiative, the hotel needs to perform an audit of all the resources. It will help hotels find materials or objects such as carpets, furniture, packaging, and dining accessories for reuse, recycling, or repurposing. Then, the hotel can form alliances or partnerships with suppliers for recycling or repurposing. A partnership with a recycling </w:t>
      </w:r>
      <w:r w:rsidRPr="00367AE6">
        <w:rPr>
          <w:rFonts w:ascii="Arial" w:hAnsi="Arial" w:cs="Arial"/>
          <w:sz w:val="24"/>
          <w:szCs w:val="24"/>
        </w:rPr>
        <w:lastRenderedPageBreak/>
        <w:t xml:space="preserve">company will result in a more streamlined operational process (Kurniawan </w:t>
      </w:r>
      <w:r w:rsidRPr="004C6CFB">
        <w:rPr>
          <w:rFonts w:ascii="Arial" w:hAnsi="Arial" w:cs="Arial"/>
          <w:i/>
          <w:iCs/>
          <w:sz w:val="24"/>
          <w:szCs w:val="24"/>
        </w:rPr>
        <w:t>et al</w:t>
      </w:r>
      <w:r w:rsidRPr="00367AE6">
        <w:rPr>
          <w:rFonts w:ascii="Arial" w:hAnsi="Arial" w:cs="Arial"/>
          <w:sz w:val="24"/>
          <w:szCs w:val="24"/>
        </w:rPr>
        <w:t xml:space="preserve">.,2022). Additionally, recycling and upcycling programs will help convert waste into new products. Thus, the hotel needs to expand its in-house upcycling to upcycle furniture. Furthermore, to reduce food waste further, the hotel needs to repurpose its food waste by using biodigesters to transform food waste into energy (Rabbani and Uyar, 2022). This energy can be used in the operations of the hotel and increase energy efficiency. Lastly, the hotel needs to employ an efficient tracking system to evaluate the effectiveness of the applied circular practices. It can be measured by setting different metrics like decreased waste production and decreased procurements expenses. </w:t>
      </w:r>
    </w:p>
    <w:p w14:paraId="133EBA5C" w14:textId="77777777" w:rsidR="00CD2461" w:rsidRPr="00367AE6" w:rsidRDefault="00CD2461" w:rsidP="00CD2461">
      <w:pPr>
        <w:spacing w:line="360" w:lineRule="auto"/>
        <w:jc w:val="both"/>
        <w:rPr>
          <w:rFonts w:ascii="Arial" w:hAnsi="Arial" w:cs="Arial"/>
          <w:sz w:val="24"/>
          <w:szCs w:val="24"/>
        </w:rPr>
      </w:pPr>
      <w:r w:rsidRPr="00367AE6">
        <w:rPr>
          <w:rFonts w:ascii="Arial" w:hAnsi="Arial" w:cs="Arial"/>
          <w:sz w:val="24"/>
          <w:szCs w:val="24"/>
        </w:rPr>
        <w:t xml:space="preserve">By adopting sustainable practices, </w:t>
      </w:r>
      <w:r>
        <w:rPr>
          <w:rFonts w:ascii="Arial" w:hAnsi="Arial" w:cs="Arial"/>
          <w:sz w:val="24"/>
          <w:szCs w:val="24"/>
        </w:rPr>
        <w:t>T</w:t>
      </w:r>
      <w:r w:rsidRPr="00367AE6">
        <w:rPr>
          <w:rFonts w:ascii="Arial" w:hAnsi="Arial" w:cs="Arial"/>
          <w:sz w:val="24"/>
          <w:szCs w:val="24"/>
        </w:rPr>
        <w:t xml:space="preserve">he Green House Hotel has aligned with the United Nations Sustainable Development Goals (SDG). But compared to the other hotels it lacked in different areas. Its competitor Scandic Hotels has entirely integrated circular practices. Through these efforts the company aims to meet SDG 12.3 </w:t>
      </w:r>
      <w:r>
        <w:rPr>
          <w:rFonts w:ascii="Arial" w:hAnsi="Arial" w:cs="Arial"/>
          <w:sz w:val="24"/>
          <w:szCs w:val="24"/>
        </w:rPr>
        <w:t xml:space="preserve">by </w:t>
      </w:r>
      <w:r w:rsidRPr="00367AE6">
        <w:rPr>
          <w:rFonts w:ascii="Arial" w:hAnsi="Arial" w:cs="Arial"/>
          <w:sz w:val="24"/>
          <w:szCs w:val="24"/>
        </w:rPr>
        <w:t xml:space="preserve">2030 and goal 12.5 </w:t>
      </w:r>
      <w:r>
        <w:rPr>
          <w:rFonts w:ascii="Arial" w:hAnsi="Arial" w:cs="Arial"/>
          <w:sz w:val="24"/>
          <w:szCs w:val="24"/>
        </w:rPr>
        <w:t>for</w:t>
      </w:r>
      <w:r w:rsidRPr="00367AE6">
        <w:rPr>
          <w:rFonts w:ascii="Arial" w:hAnsi="Arial" w:cs="Arial"/>
          <w:sz w:val="24"/>
          <w:szCs w:val="24"/>
        </w:rPr>
        <w:t xml:space="preserve"> substantially reduce (United Nations, 2024). To meet these goals the company has implemented a “Food Waste Policy” that includes careful planning and strategies and KPIs (Scandic, 2023). </w:t>
      </w:r>
    </w:p>
    <w:p w14:paraId="68801723" w14:textId="77777777" w:rsidR="00CD2461" w:rsidRPr="00367AE6" w:rsidRDefault="00CD2461" w:rsidP="00CD2461">
      <w:pPr>
        <w:spacing w:line="360" w:lineRule="auto"/>
        <w:jc w:val="both"/>
        <w:rPr>
          <w:rFonts w:ascii="Arial" w:hAnsi="Arial" w:cs="Arial"/>
          <w:sz w:val="24"/>
          <w:szCs w:val="24"/>
        </w:rPr>
      </w:pPr>
      <w:r w:rsidRPr="00367AE6">
        <w:rPr>
          <w:rFonts w:ascii="Arial" w:hAnsi="Arial" w:cs="Arial"/>
          <w:sz w:val="24"/>
          <w:szCs w:val="24"/>
        </w:rPr>
        <w:t xml:space="preserve">Adopting a continuous circular supply chain for The Green House Hotel has several advantages. Fully implementing a circular supply chain will improve the hotel's sustainability performance significantly. A circular supply chain will make the circulation of products and materials effective because it assists the better flow of information </w:t>
      </w:r>
      <w:r w:rsidRPr="00BC370F">
        <w:rPr>
          <w:rFonts w:ascii="Arial" w:hAnsi="Arial" w:cs="Arial"/>
          <w:sz w:val="24"/>
          <w:szCs w:val="24"/>
        </w:rPr>
        <w:t>(Wang, Burke and Zhang, 2022)</w:t>
      </w:r>
      <w:r w:rsidRPr="00367AE6">
        <w:rPr>
          <w:rFonts w:ascii="Arial" w:hAnsi="Arial" w:cs="Arial"/>
          <w:sz w:val="24"/>
          <w:szCs w:val="24"/>
        </w:rPr>
        <w:t xml:space="preserve">. According to different studies, through circular design and recycling, 80% of the value of electronic products can be regained (Rene </w:t>
      </w:r>
      <w:r w:rsidRPr="004C6CFB">
        <w:rPr>
          <w:rFonts w:ascii="Arial" w:hAnsi="Arial" w:cs="Arial"/>
          <w:i/>
          <w:iCs/>
          <w:sz w:val="24"/>
          <w:szCs w:val="24"/>
        </w:rPr>
        <w:t>et al</w:t>
      </w:r>
      <w:r w:rsidRPr="00367AE6">
        <w:rPr>
          <w:rFonts w:ascii="Arial" w:hAnsi="Arial" w:cs="Arial"/>
          <w:sz w:val="24"/>
          <w:szCs w:val="24"/>
        </w:rPr>
        <w:t>.,2021). Another study shows that circular supply can reduce greenhouse gas emissions by 40%-50% and a potential market of over $1 trillion globally (</w:t>
      </w:r>
      <w:proofErr w:type="spellStart"/>
      <w:r w:rsidRPr="00367AE6">
        <w:rPr>
          <w:rFonts w:ascii="Arial" w:hAnsi="Arial" w:cs="Arial"/>
          <w:sz w:val="24"/>
          <w:szCs w:val="24"/>
        </w:rPr>
        <w:t>Vallinder</w:t>
      </w:r>
      <w:proofErr w:type="spellEnd"/>
      <w:r w:rsidRPr="00367AE6">
        <w:rPr>
          <w:rFonts w:ascii="Arial" w:hAnsi="Arial" w:cs="Arial"/>
          <w:sz w:val="24"/>
          <w:szCs w:val="24"/>
        </w:rPr>
        <w:t xml:space="preserve"> </w:t>
      </w:r>
      <w:r w:rsidRPr="004C6CFB">
        <w:rPr>
          <w:rFonts w:ascii="Arial" w:hAnsi="Arial" w:cs="Arial"/>
          <w:i/>
          <w:iCs/>
          <w:sz w:val="24"/>
          <w:szCs w:val="24"/>
        </w:rPr>
        <w:t>et al</w:t>
      </w:r>
      <w:r w:rsidRPr="00367AE6">
        <w:rPr>
          <w:rFonts w:ascii="Arial" w:hAnsi="Arial" w:cs="Arial"/>
          <w:sz w:val="24"/>
          <w:szCs w:val="24"/>
        </w:rPr>
        <w:t xml:space="preserve">., 2022). Circular supply also </w:t>
      </w:r>
      <w:proofErr w:type="gramStart"/>
      <w:r w:rsidRPr="00367AE6">
        <w:rPr>
          <w:rFonts w:ascii="Arial" w:hAnsi="Arial" w:cs="Arial"/>
          <w:sz w:val="24"/>
          <w:szCs w:val="24"/>
        </w:rPr>
        <w:t>has the ability to</w:t>
      </w:r>
      <w:proofErr w:type="gramEnd"/>
      <w:r w:rsidRPr="00367AE6">
        <w:rPr>
          <w:rFonts w:ascii="Arial" w:hAnsi="Arial" w:cs="Arial"/>
          <w:sz w:val="24"/>
          <w:szCs w:val="24"/>
        </w:rPr>
        <w:t xml:space="preserve"> create job opportunities in recycling and remanufacturing industries. Therefore, by implementing a circular supply, the hotel can increase the efficiency of the resources. It will decrease the dependency on raw materials </w:t>
      </w:r>
      <w:proofErr w:type="gramStart"/>
      <w:r w:rsidRPr="00367AE6">
        <w:rPr>
          <w:rFonts w:ascii="Arial" w:hAnsi="Arial" w:cs="Arial"/>
          <w:sz w:val="24"/>
          <w:szCs w:val="24"/>
        </w:rPr>
        <w:t>and also</w:t>
      </w:r>
      <w:proofErr w:type="gramEnd"/>
      <w:r w:rsidRPr="00367AE6">
        <w:rPr>
          <w:rFonts w:ascii="Arial" w:hAnsi="Arial" w:cs="Arial"/>
          <w:sz w:val="24"/>
          <w:szCs w:val="24"/>
        </w:rPr>
        <w:t xml:space="preserve"> decrease the operation expenses. Furthermore, by adopting a circular supply chain waste production can significantly decrease. According to data, 10% of the UK’s total waste comes from food services (Malik </w:t>
      </w:r>
      <w:r w:rsidRPr="004C6CFB">
        <w:rPr>
          <w:rFonts w:ascii="Arial" w:hAnsi="Arial" w:cs="Arial"/>
          <w:i/>
          <w:iCs/>
          <w:sz w:val="24"/>
          <w:szCs w:val="24"/>
        </w:rPr>
        <w:t>et al</w:t>
      </w:r>
      <w:r w:rsidRPr="00367AE6">
        <w:rPr>
          <w:rFonts w:ascii="Arial" w:hAnsi="Arial" w:cs="Arial"/>
          <w:sz w:val="24"/>
          <w:szCs w:val="24"/>
        </w:rPr>
        <w:t xml:space="preserve">.,2024). </w:t>
      </w:r>
    </w:p>
    <w:p w14:paraId="15049101" w14:textId="77777777" w:rsidR="00CD2461" w:rsidRPr="00367AE6" w:rsidRDefault="00CD2461" w:rsidP="00CD2461">
      <w:pPr>
        <w:spacing w:line="360" w:lineRule="auto"/>
        <w:jc w:val="both"/>
        <w:rPr>
          <w:rFonts w:ascii="Arial" w:hAnsi="Arial" w:cs="Arial"/>
          <w:sz w:val="24"/>
          <w:szCs w:val="24"/>
        </w:rPr>
      </w:pPr>
      <w:r w:rsidRPr="00367AE6">
        <w:rPr>
          <w:rFonts w:ascii="Arial" w:hAnsi="Arial" w:cs="Arial"/>
          <w:sz w:val="24"/>
          <w:szCs w:val="24"/>
        </w:rPr>
        <w:lastRenderedPageBreak/>
        <w:t xml:space="preserve">Moreover, 87% of the waste generated by the hospitality industry goes to landfills in the UK (Juvan </w:t>
      </w:r>
      <w:r w:rsidRPr="004C6CFB">
        <w:rPr>
          <w:rFonts w:ascii="Arial" w:hAnsi="Arial" w:cs="Arial"/>
          <w:i/>
          <w:iCs/>
          <w:sz w:val="24"/>
          <w:szCs w:val="24"/>
        </w:rPr>
        <w:t>et al</w:t>
      </w:r>
      <w:r w:rsidRPr="00367AE6">
        <w:rPr>
          <w:rFonts w:ascii="Arial" w:hAnsi="Arial" w:cs="Arial"/>
          <w:sz w:val="24"/>
          <w:szCs w:val="24"/>
        </w:rPr>
        <w:t>., 2023). Thus, by the recycling or repurposing process hotels can the amount of waste that goes into landfills. It will contribute the reducing the environmental footprint that is correlated with waste discarding. Additionally, fully implementing a circular supply chain will also position the hotel as a sustainable hotel in the industry. Thus, enhancing the eco-conscious brand image of the hotel. At present time sustainability is the most preferred attribute in the hotel choice decisions made by consumers (Verma and Chandra, 2018). According to a study, 2% of consumers in Great Britain would be willing to pay more than 50% more for sustainable hotels (</w:t>
      </w:r>
      <w:r w:rsidRPr="00367AE6">
        <w:rPr>
          <w:rFonts w:ascii="Arial" w:hAnsi="Arial" w:cs="Arial"/>
          <w:sz w:val="24"/>
          <w:szCs w:val="24"/>
          <w:lang w:val="en-US"/>
        </w:rPr>
        <w:t>Statista</w:t>
      </w:r>
      <w:r>
        <w:rPr>
          <w:rFonts w:ascii="Arial" w:hAnsi="Arial" w:cs="Arial"/>
          <w:sz w:val="24"/>
          <w:szCs w:val="24"/>
          <w:lang w:val="en-US"/>
        </w:rPr>
        <w:t xml:space="preserve">, </w:t>
      </w:r>
      <w:r w:rsidRPr="00367AE6">
        <w:rPr>
          <w:rFonts w:ascii="Arial" w:hAnsi="Arial" w:cs="Arial"/>
          <w:sz w:val="24"/>
          <w:szCs w:val="24"/>
          <w:lang w:val="en-US"/>
        </w:rPr>
        <w:t>2024)</w:t>
      </w:r>
      <w:r w:rsidRPr="00367AE6">
        <w:rPr>
          <w:rFonts w:ascii="Arial" w:hAnsi="Arial" w:cs="Arial"/>
          <w:sz w:val="24"/>
          <w:szCs w:val="24"/>
        </w:rPr>
        <w:t xml:space="preserve">. From 2029 to 2024, eco-friendly hotels grew over the past two years to 38 percent </w:t>
      </w:r>
      <w:r>
        <w:rPr>
          <w:rFonts w:ascii="Arial" w:hAnsi="Arial" w:cs="Arial"/>
          <w:sz w:val="24"/>
          <w:szCs w:val="24"/>
        </w:rPr>
        <w:t>for minimizing</w:t>
      </w:r>
      <w:r w:rsidRPr="00367AE6">
        <w:rPr>
          <w:rFonts w:ascii="Arial" w:hAnsi="Arial" w:cs="Arial"/>
          <w:sz w:val="24"/>
          <w:szCs w:val="24"/>
        </w:rPr>
        <w:t xml:space="preserve"> environmental impact (Statista, 2024). Thus, sustainable practices can improve customer loyalty and increase the higher occupancy rates. </w:t>
      </w:r>
    </w:p>
    <w:p w14:paraId="6B3B8D6E" w14:textId="77777777" w:rsidR="00CD2461" w:rsidRPr="00367AE6" w:rsidRDefault="00CD2461" w:rsidP="00CD2461">
      <w:pPr>
        <w:spacing w:line="360" w:lineRule="auto"/>
        <w:jc w:val="both"/>
        <w:rPr>
          <w:rFonts w:ascii="Arial" w:hAnsi="Arial" w:cs="Arial"/>
          <w:sz w:val="24"/>
          <w:szCs w:val="24"/>
        </w:rPr>
      </w:pPr>
      <w:r w:rsidRPr="00367AE6">
        <w:rPr>
          <w:rFonts w:ascii="Arial" w:hAnsi="Arial" w:cs="Arial"/>
          <w:sz w:val="24"/>
          <w:szCs w:val="24"/>
        </w:rPr>
        <w:t xml:space="preserve">However, there are some challenges to implementing a circular supply chain at </w:t>
      </w:r>
      <w:r>
        <w:rPr>
          <w:rFonts w:ascii="Arial" w:hAnsi="Arial" w:cs="Arial"/>
          <w:sz w:val="24"/>
          <w:szCs w:val="24"/>
        </w:rPr>
        <w:t>T</w:t>
      </w:r>
      <w:r w:rsidRPr="00367AE6">
        <w:rPr>
          <w:rFonts w:ascii="Arial" w:hAnsi="Arial" w:cs="Arial"/>
          <w:sz w:val="24"/>
          <w:szCs w:val="24"/>
        </w:rPr>
        <w:t>he Green House Hotel. For fully implementing this process infrastructure needs to be upgraded, and training will be required for staff and needs to form strategic partnerships with suppliers. Waste segregation and refurbishing capabilities need a significant amount of initial investment (</w:t>
      </w:r>
      <w:proofErr w:type="spellStart"/>
      <w:r w:rsidRPr="00367AE6">
        <w:rPr>
          <w:rFonts w:ascii="Arial" w:hAnsi="Arial" w:cs="Arial"/>
          <w:sz w:val="24"/>
          <w:szCs w:val="24"/>
        </w:rPr>
        <w:t>Salmenperä</w:t>
      </w:r>
      <w:proofErr w:type="spellEnd"/>
      <w:r w:rsidRPr="00367AE6">
        <w:rPr>
          <w:rFonts w:ascii="Arial" w:hAnsi="Arial" w:cs="Arial"/>
          <w:sz w:val="24"/>
          <w:szCs w:val="24"/>
        </w:rPr>
        <w:t xml:space="preserve"> </w:t>
      </w:r>
      <w:r w:rsidRPr="00A000E1">
        <w:rPr>
          <w:rFonts w:ascii="Arial" w:hAnsi="Arial" w:cs="Arial"/>
          <w:i/>
          <w:iCs/>
          <w:sz w:val="24"/>
          <w:szCs w:val="24"/>
        </w:rPr>
        <w:t>et al</w:t>
      </w:r>
      <w:r w:rsidRPr="00367AE6">
        <w:rPr>
          <w:rFonts w:ascii="Arial" w:hAnsi="Arial" w:cs="Arial"/>
          <w:sz w:val="24"/>
          <w:szCs w:val="24"/>
        </w:rPr>
        <w:t>.,2021). Even though, these expenditures can be compensated by long-term savings from a decreased procurement budget waste disposal cost. Furthermore, to shift fully to a circular supply chain hotels need to modify their daily operations. To effectively apply sustainable initiatives requires staff training (</w:t>
      </w:r>
      <w:proofErr w:type="spellStart"/>
      <w:r w:rsidRPr="00367AE6">
        <w:rPr>
          <w:rFonts w:ascii="Arial" w:hAnsi="Arial" w:cs="Arial"/>
          <w:sz w:val="24"/>
          <w:szCs w:val="24"/>
        </w:rPr>
        <w:t>Bilderback</w:t>
      </w:r>
      <w:proofErr w:type="spellEnd"/>
      <w:r w:rsidRPr="00367AE6">
        <w:rPr>
          <w:rFonts w:ascii="Arial" w:hAnsi="Arial" w:cs="Arial"/>
          <w:sz w:val="24"/>
          <w:szCs w:val="24"/>
        </w:rPr>
        <w:t>, 2024). Effective training will equip them with knowledge of sustainability, and circular practices, and make them adaptable to changes.</w:t>
      </w:r>
    </w:p>
    <w:p w14:paraId="66ADAC65" w14:textId="77777777" w:rsidR="00CD2461" w:rsidRPr="00367AE6" w:rsidRDefault="00CD2461" w:rsidP="00CD2461">
      <w:pPr>
        <w:spacing w:line="360" w:lineRule="auto"/>
        <w:jc w:val="both"/>
        <w:rPr>
          <w:rFonts w:ascii="Arial" w:hAnsi="Arial" w:cs="Arial"/>
          <w:sz w:val="24"/>
          <w:szCs w:val="24"/>
        </w:rPr>
      </w:pPr>
      <w:r w:rsidRPr="00367AE6">
        <w:rPr>
          <w:rFonts w:ascii="Arial" w:hAnsi="Arial" w:cs="Arial"/>
          <w:sz w:val="24"/>
          <w:szCs w:val="24"/>
        </w:rPr>
        <w:t>The suggested Circular supply chain strategy is practical for The Green House Hotel because the size of the hotel is small and has a boutique nature. It will be comparatively easy for agile implementation as compared to bigger hotels. Yet, careful planning is essential to effectively implement the changes (</w:t>
      </w:r>
      <w:proofErr w:type="spellStart"/>
      <w:r w:rsidRPr="00367AE6">
        <w:rPr>
          <w:rFonts w:ascii="Arial" w:hAnsi="Arial" w:cs="Arial"/>
          <w:sz w:val="24"/>
          <w:szCs w:val="24"/>
        </w:rPr>
        <w:t>Brugmann</w:t>
      </w:r>
      <w:proofErr w:type="spellEnd"/>
      <w:r w:rsidRPr="00367AE6">
        <w:rPr>
          <w:rFonts w:ascii="Arial" w:hAnsi="Arial" w:cs="Arial"/>
          <w:sz w:val="24"/>
          <w:szCs w:val="24"/>
        </w:rPr>
        <w:t xml:space="preserve">, 2021). The hotel has already implemented several initiatives, and it can be extended further with the suggested initiatives. Moreover, the hotel </w:t>
      </w:r>
      <w:proofErr w:type="gramStart"/>
      <w:r w:rsidRPr="00367AE6">
        <w:rPr>
          <w:rFonts w:ascii="Arial" w:hAnsi="Arial" w:cs="Arial"/>
          <w:sz w:val="24"/>
          <w:szCs w:val="24"/>
        </w:rPr>
        <w:t>is located in</w:t>
      </w:r>
      <w:proofErr w:type="gramEnd"/>
      <w:r w:rsidRPr="00367AE6">
        <w:rPr>
          <w:rFonts w:ascii="Arial" w:hAnsi="Arial" w:cs="Arial"/>
          <w:sz w:val="24"/>
          <w:szCs w:val="24"/>
        </w:rPr>
        <w:t xml:space="preserve"> Bournemouth where sourcing products, goods, foods, and recycling partnerships will be comparatively easy and feasible. </w:t>
      </w:r>
    </w:p>
    <w:p w14:paraId="2FBB8D36" w14:textId="77777777" w:rsidR="00CD2461" w:rsidRPr="00367AE6" w:rsidRDefault="00CD2461" w:rsidP="00CD2461">
      <w:pPr>
        <w:spacing w:line="360" w:lineRule="auto"/>
        <w:jc w:val="both"/>
        <w:rPr>
          <w:rFonts w:ascii="Arial" w:hAnsi="Arial" w:cs="Arial"/>
          <w:sz w:val="24"/>
          <w:szCs w:val="24"/>
        </w:rPr>
      </w:pPr>
      <w:r w:rsidRPr="00367AE6">
        <w:rPr>
          <w:rFonts w:ascii="Arial" w:hAnsi="Arial" w:cs="Arial"/>
          <w:sz w:val="24"/>
          <w:szCs w:val="24"/>
        </w:rPr>
        <w:lastRenderedPageBreak/>
        <w:t xml:space="preserve">There are both short-term and long-term effects of applying a circular supply economy in </w:t>
      </w:r>
      <w:r>
        <w:rPr>
          <w:rFonts w:ascii="Arial" w:hAnsi="Arial" w:cs="Arial"/>
          <w:sz w:val="24"/>
          <w:szCs w:val="24"/>
        </w:rPr>
        <w:t>T</w:t>
      </w:r>
      <w:r w:rsidRPr="00367AE6">
        <w:rPr>
          <w:rFonts w:ascii="Arial" w:hAnsi="Arial" w:cs="Arial"/>
          <w:sz w:val="24"/>
          <w:szCs w:val="24"/>
        </w:rPr>
        <w:t xml:space="preserve">he Green House </w:t>
      </w:r>
      <w:r>
        <w:rPr>
          <w:rFonts w:ascii="Arial" w:hAnsi="Arial" w:cs="Arial"/>
          <w:sz w:val="24"/>
          <w:szCs w:val="24"/>
        </w:rPr>
        <w:t>H</w:t>
      </w:r>
      <w:r w:rsidRPr="00367AE6">
        <w:rPr>
          <w:rFonts w:ascii="Arial" w:hAnsi="Arial" w:cs="Arial"/>
          <w:sz w:val="24"/>
          <w:szCs w:val="24"/>
        </w:rPr>
        <w:t xml:space="preserve">otel. As significant investment and changes in daily operations are needed, brief disruptions in operation can happen initially. Moreover, the brand image of the company can improve, and an eco-friendly brand perception can be built among the guests (Hashish </w:t>
      </w:r>
      <w:r w:rsidRPr="00A000E1">
        <w:rPr>
          <w:rFonts w:ascii="Arial" w:hAnsi="Arial" w:cs="Arial"/>
          <w:i/>
          <w:iCs/>
          <w:sz w:val="24"/>
          <w:szCs w:val="24"/>
        </w:rPr>
        <w:t>et al.,</w:t>
      </w:r>
      <w:r w:rsidRPr="00367AE6">
        <w:rPr>
          <w:rFonts w:ascii="Arial" w:hAnsi="Arial" w:cs="Arial"/>
          <w:sz w:val="24"/>
          <w:szCs w:val="24"/>
        </w:rPr>
        <w:t>2022). The long-term impact of the sustainability effort will be resource efficiency and a decrease in operation costs. The hotel can also gain a competitive advantage and dominate the green hospitality industry through consistent sustainability efforts. Furthermore, the proposed initiative along with the previous sustainable activity of the hotel increases the Corporate Social Responsibility (CSR) strategy. It can be explained by Carroll’s CSR pyramid, a framework that categorises CSR into four categories, such as economic, legal, ethical, and philanthropic responsibilities (</w:t>
      </w:r>
      <w:proofErr w:type="spellStart"/>
      <w:r w:rsidRPr="00367AE6">
        <w:rPr>
          <w:rFonts w:ascii="Arial" w:hAnsi="Arial" w:cs="Arial"/>
          <w:sz w:val="24"/>
          <w:szCs w:val="24"/>
        </w:rPr>
        <w:t>Talonen</w:t>
      </w:r>
      <w:proofErr w:type="spellEnd"/>
      <w:r w:rsidRPr="00367AE6">
        <w:rPr>
          <w:rFonts w:ascii="Arial" w:hAnsi="Arial" w:cs="Arial"/>
          <w:sz w:val="24"/>
          <w:szCs w:val="24"/>
        </w:rPr>
        <w:t xml:space="preserve"> </w:t>
      </w:r>
      <w:r w:rsidRPr="00A000E1">
        <w:rPr>
          <w:rFonts w:ascii="Arial" w:hAnsi="Arial" w:cs="Arial"/>
          <w:i/>
          <w:iCs/>
          <w:sz w:val="24"/>
          <w:szCs w:val="24"/>
        </w:rPr>
        <w:t>et al.,</w:t>
      </w:r>
      <w:r w:rsidRPr="00367AE6">
        <w:rPr>
          <w:rFonts w:ascii="Arial" w:hAnsi="Arial" w:cs="Arial"/>
          <w:sz w:val="24"/>
          <w:szCs w:val="24"/>
        </w:rPr>
        <w:t xml:space="preserve">2021). Carroll’s CSR pyramid helps businesses balance these components effectively. The proposed initiative helps to lower the operational expenses that meet the economic responsibility. Then, when the hotel shows commitment to environmental sustainability and chooses it over convenience demonstrates ethical responsibility. Lastly, the hotel will meet its philanthropic responsibility by initiating upcycling programs and donating refurbished products to the communities. </w:t>
      </w:r>
    </w:p>
    <w:p w14:paraId="49252762" w14:textId="77777777" w:rsidR="00CD2461" w:rsidRDefault="00CD2461" w:rsidP="00CD2461">
      <w:pPr>
        <w:spacing w:line="360" w:lineRule="auto"/>
        <w:jc w:val="both"/>
        <w:rPr>
          <w:rFonts w:ascii="Arial" w:hAnsi="Arial" w:cs="Arial"/>
          <w:sz w:val="24"/>
          <w:szCs w:val="24"/>
        </w:rPr>
      </w:pPr>
      <w:r w:rsidRPr="00367AE6">
        <w:rPr>
          <w:rFonts w:ascii="Arial" w:hAnsi="Arial" w:cs="Arial"/>
          <w:sz w:val="24"/>
          <w:szCs w:val="24"/>
        </w:rPr>
        <w:t xml:space="preserve">To conclude, </w:t>
      </w:r>
      <w:r>
        <w:rPr>
          <w:rFonts w:ascii="Arial" w:hAnsi="Arial" w:cs="Arial"/>
          <w:sz w:val="24"/>
          <w:szCs w:val="24"/>
        </w:rPr>
        <w:t>T</w:t>
      </w:r>
      <w:r w:rsidRPr="00367AE6">
        <w:rPr>
          <w:rFonts w:ascii="Arial" w:hAnsi="Arial" w:cs="Arial"/>
          <w:sz w:val="24"/>
          <w:szCs w:val="24"/>
        </w:rPr>
        <w:t xml:space="preserve">he Green House Hotel is committed to sustainability and implemented several initiatives to ensure environmental sustainability. However, there are several gaps in the sustainable efforts of </w:t>
      </w:r>
      <w:r>
        <w:rPr>
          <w:rFonts w:ascii="Arial" w:hAnsi="Arial" w:cs="Arial"/>
          <w:sz w:val="24"/>
          <w:szCs w:val="24"/>
        </w:rPr>
        <w:t>T</w:t>
      </w:r>
      <w:r w:rsidRPr="00367AE6">
        <w:rPr>
          <w:rFonts w:ascii="Arial" w:hAnsi="Arial" w:cs="Arial"/>
          <w:sz w:val="24"/>
          <w:szCs w:val="24"/>
        </w:rPr>
        <w:t xml:space="preserve">he Green House Hotel and this essay has proposed a way to improve the sustainability efforts. By implementing the continuous circular supply chain, the hotel can decrease operation costs, increase resource efficiency, and enhance sustainable performance. Even though, fully implementing sustainable efforts requires a significant amount of investment and disrupts the day-to-day operation temporarily. Nevertheless, if implemented successfully the company can enhance its brand image ag shape the perception of the guests. Even the hotel will be aligned with SDG 12 which is “Responsible Production and Consumption”. Therefore, </w:t>
      </w:r>
      <w:r>
        <w:rPr>
          <w:rFonts w:ascii="Arial" w:hAnsi="Arial" w:cs="Arial"/>
          <w:sz w:val="24"/>
          <w:szCs w:val="24"/>
        </w:rPr>
        <w:t>T</w:t>
      </w:r>
      <w:r w:rsidRPr="00367AE6">
        <w:rPr>
          <w:rFonts w:ascii="Arial" w:hAnsi="Arial" w:cs="Arial"/>
          <w:sz w:val="24"/>
          <w:szCs w:val="24"/>
        </w:rPr>
        <w:t xml:space="preserve">he Green House Hotel can take the opportunity to strengthen its sustainability commitment by implementing circular supply chain initiatives and gain a competitive advantage in the green hospitality industry. </w:t>
      </w:r>
      <w:r w:rsidRPr="00367AE6">
        <w:rPr>
          <w:rFonts w:ascii="Arial" w:hAnsi="Arial" w:cs="Arial"/>
          <w:sz w:val="24"/>
          <w:szCs w:val="24"/>
        </w:rPr>
        <w:br/>
      </w:r>
    </w:p>
    <w:p w14:paraId="3164C17B" w14:textId="704CB142" w:rsidR="00CD2461" w:rsidRPr="002903B5" w:rsidRDefault="00CD2461" w:rsidP="00367DFE">
      <w:pPr>
        <w:spacing w:line="360" w:lineRule="auto"/>
        <w:rPr>
          <w:rFonts w:ascii="Arial" w:hAnsi="Arial" w:cs="Arial"/>
          <w:sz w:val="24"/>
          <w:szCs w:val="24"/>
        </w:rPr>
      </w:pPr>
      <w:bookmarkStart w:id="0" w:name="_Toc188644078"/>
      <w:r w:rsidRPr="002903B5">
        <w:rPr>
          <w:rFonts w:ascii="Arial" w:hAnsi="Arial" w:cs="Arial"/>
          <w:sz w:val="24"/>
          <w:szCs w:val="24"/>
        </w:rPr>
        <w:lastRenderedPageBreak/>
        <w:t>Reference</w:t>
      </w:r>
      <w:bookmarkEnd w:id="0"/>
      <w:r w:rsidR="008C7448">
        <w:rPr>
          <w:rFonts w:ascii="Arial" w:hAnsi="Arial" w:cs="Arial"/>
          <w:sz w:val="24"/>
          <w:szCs w:val="24"/>
        </w:rPr>
        <w:t xml:space="preserve"> List</w:t>
      </w:r>
    </w:p>
    <w:p w14:paraId="015F4E39" w14:textId="77777777" w:rsidR="00CD2461" w:rsidRPr="00701295" w:rsidRDefault="00CD2461" w:rsidP="00CD2461">
      <w:pPr>
        <w:spacing w:line="360" w:lineRule="auto"/>
        <w:jc w:val="both"/>
        <w:rPr>
          <w:rFonts w:ascii="Arial" w:hAnsi="Arial" w:cs="Arial"/>
          <w:sz w:val="24"/>
          <w:szCs w:val="24"/>
          <w:lang w:val="en-US"/>
        </w:rPr>
      </w:pPr>
      <w:proofErr w:type="spellStart"/>
      <w:r w:rsidRPr="00701295">
        <w:rPr>
          <w:rFonts w:ascii="Arial" w:hAnsi="Arial" w:cs="Arial"/>
          <w:sz w:val="24"/>
          <w:szCs w:val="24"/>
          <w:lang w:val="en-US"/>
        </w:rPr>
        <w:t>Bilderback</w:t>
      </w:r>
      <w:proofErr w:type="spellEnd"/>
      <w:r w:rsidRPr="00701295">
        <w:rPr>
          <w:rFonts w:ascii="Arial" w:hAnsi="Arial" w:cs="Arial"/>
          <w:sz w:val="24"/>
          <w:szCs w:val="24"/>
          <w:lang w:val="en-US"/>
        </w:rPr>
        <w:t>, S. (2023). Integrating Training for Organizational sustainability: the Application of Sustainable Development Goals Globally. </w:t>
      </w:r>
      <w:r w:rsidRPr="00701295">
        <w:rPr>
          <w:rFonts w:ascii="Arial" w:hAnsi="Arial" w:cs="Arial"/>
          <w:i/>
          <w:iCs/>
          <w:sz w:val="24"/>
          <w:szCs w:val="24"/>
          <w:lang w:val="en-US"/>
        </w:rPr>
        <w:t>European Journal of Training and Development</w:t>
      </w:r>
      <w:r w:rsidRPr="00701295">
        <w:rPr>
          <w:rFonts w:ascii="Arial" w:hAnsi="Arial" w:cs="Arial"/>
          <w:sz w:val="24"/>
          <w:szCs w:val="24"/>
          <w:lang w:val="en-US"/>
        </w:rPr>
        <w:t>, 48(7/8), pp.730–748.</w:t>
      </w:r>
      <w:r>
        <w:rPr>
          <w:rFonts w:ascii="Arial" w:hAnsi="Arial" w:cs="Arial"/>
          <w:sz w:val="24"/>
          <w:szCs w:val="24"/>
          <w:lang w:val="en-US"/>
        </w:rPr>
        <w:t xml:space="preserve"> </w:t>
      </w:r>
      <w:r w:rsidRPr="005339DA">
        <w:rPr>
          <w:rFonts w:ascii="Arial" w:hAnsi="Arial" w:cs="Arial"/>
          <w:sz w:val="24"/>
          <w:szCs w:val="24"/>
          <w:lang w:val="en-US"/>
        </w:rPr>
        <w:t>Available at:</w:t>
      </w:r>
      <w:r>
        <w:rPr>
          <w:rFonts w:ascii="Arial" w:hAnsi="Arial" w:cs="Arial"/>
          <w:sz w:val="24"/>
          <w:szCs w:val="24"/>
          <w:lang w:val="en-US"/>
        </w:rPr>
        <w:t xml:space="preserve"> </w:t>
      </w:r>
      <w:hyperlink r:id="rId7" w:history="1">
        <w:r w:rsidRPr="00353E15">
          <w:rPr>
            <w:rStyle w:val="Hyperlink"/>
            <w:rFonts w:ascii="Arial" w:hAnsi="Arial" w:cs="Arial"/>
            <w:sz w:val="24"/>
            <w:szCs w:val="24"/>
          </w:rPr>
          <w:t>https://doi.org/10.1108/EJTD-01-2023-0005</w:t>
        </w:r>
      </w:hyperlink>
    </w:p>
    <w:p w14:paraId="40489F92" w14:textId="77777777" w:rsidR="00CD2461" w:rsidRDefault="00CD2461" w:rsidP="00CD2461">
      <w:pPr>
        <w:spacing w:line="360" w:lineRule="auto"/>
        <w:jc w:val="both"/>
        <w:rPr>
          <w:rFonts w:ascii="Arial" w:hAnsi="Arial" w:cs="Arial"/>
          <w:sz w:val="24"/>
          <w:szCs w:val="24"/>
          <w:lang w:val="en-US"/>
        </w:rPr>
      </w:pPr>
      <w:proofErr w:type="spellStart"/>
      <w:r w:rsidRPr="001C7E7F">
        <w:rPr>
          <w:rFonts w:ascii="Arial" w:hAnsi="Arial" w:cs="Arial"/>
          <w:sz w:val="24"/>
          <w:szCs w:val="24"/>
          <w:lang w:val="en-US"/>
        </w:rPr>
        <w:t>Brugmann</w:t>
      </w:r>
      <w:proofErr w:type="spellEnd"/>
      <w:r w:rsidRPr="001C7E7F">
        <w:rPr>
          <w:rFonts w:ascii="Arial" w:hAnsi="Arial" w:cs="Arial"/>
          <w:sz w:val="24"/>
          <w:szCs w:val="24"/>
          <w:lang w:val="en-US"/>
        </w:rPr>
        <w:t>, J. (2021). Is There Method in our Measurement? The Use of Indicators in Local Sustainable Development Planning. </w:t>
      </w:r>
      <w:r w:rsidRPr="001C7E7F">
        <w:rPr>
          <w:rFonts w:ascii="Arial" w:hAnsi="Arial" w:cs="Arial"/>
          <w:i/>
          <w:iCs/>
          <w:sz w:val="24"/>
          <w:szCs w:val="24"/>
          <w:lang w:val="en-US"/>
        </w:rPr>
        <w:t>Routledge eBooks</w:t>
      </w:r>
      <w:r w:rsidRPr="001C7E7F">
        <w:rPr>
          <w:rFonts w:ascii="Arial" w:hAnsi="Arial" w:cs="Arial"/>
          <w:sz w:val="24"/>
          <w:szCs w:val="24"/>
          <w:lang w:val="en-US"/>
        </w:rPr>
        <w:t xml:space="preserve">, pp.394–410. </w:t>
      </w:r>
      <w:r w:rsidRPr="005339DA">
        <w:rPr>
          <w:rFonts w:ascii="Arial" w:hAnsi="Arial" w:cs="Arial"/>
          <w:sz w:val="24"/>
          <w:szCs w:val="24"/>
          <w:lang w:val="en-US"/>
        </w:rPr>
        <w:t>Available at:</w:t>
      </w:r>
      <w:r>
        <w:rPr>
          <w:rFonts w:ascii="Arial" w:hAnsi="Arial" w:cs="Arial"/>
          <w:sz w:val="24"/>
          <w:szCs w:val="24"/>
          <w:lang w:val="en-US"/>
        </w:rPr>
        <w:t xml:space="preserve"> </w:t>
      </w:r>
      <w:hyperlink r:id="rId8" w:history="1">
        <w:r w:rsidRPr="001C7E7F">
          <w:rPr>
            <w:rStyle w:val="Hyperlink"/>
            <w:rFonts w:ascii="Arial" w:hAnsi="Arial" w:cs="Arial"/>
            <w:sz w:val="24"/>
            <w:szCs w:val="24"/>
            <w:lang w:val="en-US"/>
          </w:rPr>
          <w:t>https://doi.org/10.4324/9781315800462-22</w:t>
        </w:r>
      </w:hyperlink>
      <w:r w:rsidRPr="001C7E7F">
        <w:rPr>
          <w:rFonts w:ascii="Arial" w:hAnsi="Arial" w:cs="Arial"/>
          <w:sz w:val="24"/>
          <w:szCs w:val="24"/>
          <w:lang w:val="en-US"/>
        </w:rPr>
        <w:t>.</w:t>
      </w:r>
    </w:p>
    <w:p w14:paraId="3D1E8D17" w14:textId="77777777" w:rsidR="00CD2461" w:rsidRPr="005339DA" w:rsidRDefault="00CD2461" w:rsidP="00CD2461">
      <w:pPr>
        <w:spacing w:line="360" w:lineRule="auto"/>
        <w:jc w:val="both"/>
        <w:rPr>
          <w:rFonts w:ascii="Arial" w:hAnsi="Arial" w:cs="Arial"/>
          <w:sz w:val="24"/>
          <w:szCs w:val="24"/>
          <w:lang w:val="en-US"/>
        </w:rPr>
      </w:pPr>
      <w:r w:rsidRPr="005339DA">
        <w:rPr>
          <w:rFonts w:ascii="Arial" w:hAnsi="Arial" w:cs="Arial"/>
          <w:sz w:val="24"/>
          <w:szCs w:val="24"/>
          <w:lang w:val="en-US"/>
        </w:rPr>
        <w:t xml:space="preserve">Cousins, F. (2022). </w:t>
      </w:r>
      <w:r w:rsidRPr="005339DA">
        <w:rPr>
          <w:rFonts w:ascii="Arial" w:hAnsi="Arial" w:cs="Arial"/>
          <w:i/>
          <w:iCs/>
          <w:sz w:val="24"/>
          <w:szCs w:val="24"/>
          <w:lang w:val="en-US"/>
        </w:rPr>
        <w:t xml:space="preserve">Bournemouth hotel claims to be UK’s most </w:t>
      </w:r>
      <w:proofErr w:type="spellStart"/>
      <w:r w:rsidRPr="005339DA">
        <w:rPr>
          <w:rFonts w:ascii="Arial" w:hAnsi="Arial" w:cs="Arial"/>
          <w:i/>
          <w:iCs/>
          <w:sz w:val="24"/>
          <w:szCs w:val="24"/>
          <w:lang w:val="en-US"/>
        </w:rPr>
        <w:t>eco friendly</w:t>
      </w:r>
      <w:proofErr w:type="spellEnd"/>
      <w:r w:rsidRPr="005339DA">
        <w:rPr>
          <w:rFonts w:ascii="Arial" w:hAnsi="Arial" w:cs="Arial"/>
          <w:i/>
          <w:iCs/>
          <w:sz w:val="24"/>
          <w:szCs w:val="24"/>
          <w:lang w:val="en-US"/>
        </w:rPr>
        <w:t xml:space="preserve"> place to stay - Sustainable Hotel News</w:t>
      </w:r>
      <w:r w:rsidRPr="005339DA">
        <w:rPr>
          <w:rFonts w:ascii="Arial" w:hAnsi="Arial" w:cs="Arial"/>
          <w:sz w:val="24"/>
          <w:szCs w:val="24"/>
          <w:lang w:val="en-US"/>
        </w:rPr>
        <w:t xml:space="preserve">. [online] Sustainable Hotel News. Available at: </w:t>
      </w:r>
      <w:hyperlink r:id="rId9" w:history="1">
        <w:r w:rsidRPr="005339DA">
          <w:rPr>
            <w:rStyle w:val="Hyperlink"/>
            <w:rFonts w:ascii="Arial" w:hAnsi="Arial" w:cs="Arial"/>
            <w:sz w:val="24"/>
            <w:szCs w:val="24"/>
            <w:lang w:val="en-US"/>
          </w:rPr>
          <w:t>https://sustainablehotelnews.com/bournemouth-hotel-claims-to-be-uks-most-eco-friendly-place-to-stay/</w:t>
        </w:r>
      </w:hyperlink>
      <w:r>
        <w:rPr>
          <w:rFonts w:ascii="Arial" w:hAnsi="Arial" w:cs="Arial"/>
          <w:sz w:val="24"/>
          <w:szCs w:val="24"/>
          <w:lang w:val="en-US"/>
        </w:rPr>
        <w:t xml:space="preserve"> (</w:t>
      </w:r>
      <w:r w:rsidRPr="005339DA">
        <w:rPr>
          <w:rFonts w:ascii="Arial" w:hAnsi="Arial" w:cs="Arial"/>
          <w:sz w:val="24"/>
          <w:szCs w:val="24"/>
          <w:lang w:val="en-US"/>
        </w:rPr>
        <w:t>Accessed 31 Jan. 2025</w:t>
      </w:r>
      <w:r>
        <w:rPr>
          <w:rFonts w:ascii="Arial" w:hAnsi="Arial" w:cs="Arial"/>
          <w:sz w:val="24"/>
          <w:szCs w:val="24"/>
          <w:lang w:val="en-US"/>
        </w:rPr>
        <w:t>)</w:t>
      </w:r>
      <w:r w:rsidRPr="005339DA">
        <w:rPr>
          <w:rFonts w:ascii="Arial" w:hAnsi="Arial" w:cs="Arial"/>
          <w:sz w:val="24"/>
          <w:szCs w:val="24"/>
          <w:lang w:val="en-US"/>
        </w:rPr>
        <w:t>.</w:t>
      </w:r>
    </w:p>
    <w:p w14:paraId="5817839F" w14:textId="77777777" w:rsidR="00CD2461" w:rsidRDefault="00CD2461" w:rsidP="00CD2461">
      <w:pPr>
        <w:spacing w:line="360" w:lineRule="auto"/>
        <w:jc w:val="both"/>
        <w:rPr>
          <w:rFonts w:ascii="Arial" w:hAnsi="Arial" w:cs="Arial"/>
          <w:sz w:val="24"/>
          <w:szCs w:val="24"/>
          <w:lang w:val="en-US"/>
        </w:rPr>
      </w:pPr>
      <w:proofErr w:type="spellStart"/>
      <w:r w:rsidRPr="00B02A14">
        <w:rPr>
          <w:rFonts w:ascii="Arial" w:hAnsi="Arial" w:cs="Arial"/>
          <w:sz w:val="24"/>
          <w:szCs w:val="24"/>
          <w:lang w:val="en-US"/>
        </w:rPr>
        <w:t>Despoudi</w:t>
      </w:r>
      <w:proofErr w:type="spellEnd"/>
      <w:r w:rsidRPr="00B02A14">
        <w:rPr>
          <w:rFonts w:ascii="Arial" w:hAnsi="Arial" w:cs="Arial"/>
          <w:sz w:val="24"/>
          <w:szCs w:val="24"/>
          <w:lang w:val="en-US"/>
        </w:rPr>
        <w:t xml:space="preserve">, S., </w:t>
      </w:r>
      <w:proofErr w:type="spellStart"/>
      <w:r w:rsidRPr="00B02A14">
        <w:rPr>
          <w:rFonts w:ascii="Arial" w:hAnsi="Arial" w:cs="Arial"/>
          <w:sz w:val="24"/>
          <w:szCs w:val="24"/>
          <w:lang w:val="en-US"/>
        </w:rPr>
        <w:t>Bucatariu</w:t>
      </w:r>
      <w:proofErr w:type="spellEnd"/>
      <w:r w:rsidRPr="00B02A14">
        <w:rPr>
          <w:rFonts w:ascii="Arial" w:hAnsi="Arial" w:cs="Arial"/>
          <w:sz w:val="24"/>
          <w:szCs w:val="24"/>
          <w:lang w:val="en-US"/>
        </w:rPr>
        <w:t xml:space="preserve">, C., </w:t>
      </w:r>
      <w:proofErr w:type="spellStart"/>
      <w:r w:rsidRPr="00B02A14">
        <w:rPr>
          <w:rFonts w:ascii="Arial" w:hAnsi="Arial" w:cs="Arial"/>
          <w:sz w:val="24"/>
          <w:szCs w:val="24"/>
          <w:lang w:val="en-US"/>
        </w:rPr>
        <w:t>Otles</w:t>
      </w:r>
      <w:proofErr w:type="spellEnd"/>
      <w:r w:rsidRPr="00B02A14">
        <w:rPr>
          <w:rFonts w:ascii="Arial" w:hAnsi="Arial" w:cs="Arial"/>
          <w:sz w:val="24"/>
          <w:szCs w:val="24"/>
          <w:lang w:val="en-US"/>
        </w:rPr>
        <w:t xml:space="preserve">, S. and </w:t>
      </w:r>
      <w:proofErr w:type="spellStart"/>
      <w:r w:rsidRPr="00B02A14">
        <w:rPr>
          <w:rFonts w:ascii="Arial" w:hAnsi="Arial" w:cs="Arial"/>
          <w:sz w:val="24"/>
          <w:szCs w:val="24"/>
          <w:lang w:val="en-US"/>
        </w:rPr>
        <w:t>Kartal</w:t>
      </w:r>
      <w:proofErr w:type="spellEnd"/>
      <w:r w:rsidRPr="00B02A14">
        <w:rPr>
          <w:rFonts w:ascii="Arial" w:hAnsi="Arial" w:cs="Arial"/>
          <w:sz w:val="24"/>
          <w:szCs w:val="24"/>
          <w:lang w:val="en-US"/>
        </w:rPr>
        <w:t>, C. (2021). Food waste management, valorization, and sustainability in the food industry. </w:t>
      </w:r>
      <w:r w:rsidRPr="00B02A14">
        <w:rPr>
          <w:rFonts w:ascii="Arial" w:hAnsi="Arial" w:cs="Arial"/>
          <w:i/>
          <w:iCs/>
          <w:sz w:val="24"/>
          <w:szCs w:val="24"/>
          <w:lang w:val="en-US"/>
        </w:rPr>
        <w:t>Food Waste Recovery</w:t>
      </w:r>
      <w:r w:rsidRPr="00B02A14">
        <w:rPr>
          <w:rFonts w:ascii="Arial" w:hAnsi="Arial" w:cs="Arial"/>
          <w:sz w:val="24"/>
          <w:szCs w:val="24"/>
          <w:lang w:val="en-US"/>
        </w:rPr>
        <w:t xml:space="preserve">, [online] pp.3–19. </w:t>
      </w:r>
      <w:r w:rsidRPr="005339DA">
        <w:rPr>
          <w:rFonts w:ascii="Arial" w:hAnsi="Arial" w:cs="Arial"/>
          <w:sz w:val="24"/>
          <w:szCs w:val="24"/>
          <w:lang w:val="en-US"/>
        </w:rPr>
        <w:t>Available at:</w:t>
      </w:r>
      <w:r>
        <w:rPr>
          <w:rFonts w:ascii="Arial" w:hAnsi="Arial" w:cs="Arial"/>
          <w:sz w:val="24"/>
          <w:szCs w:val="24"/>
          <w:lang w:val="en-US"/>
        </w:rPr>
        <w:t xml:space="preserve"> </w:t>
      </w:r>
      <w:hyperlink r:id="rId10" w:history="1">
        <w:r w:rsidRPr="00B02A14">
          <w:rPr>
            <w:rStyle w:val="Hyperlink"/>
            <w:rFonts w:ascii="Arial" w:hAnsi="Arial" w:cs="Arial"/>
            <w:sz w:val="24"/>
            <w:szCs w:val="24"/>
            <w:lang w:val="en-US"/>
          </w:rPr>
          <w:t>https://doi.org/10.1016/B978-0-12-820563-1.00008-1</w:t>
        </w:r>
      </w:hyperlink>
      <w:r w:rsidRPr="00B02A14">
        <w:rPr>
          <w:rFonts w:ascii="Arial" w:hAnsi="Arial" w:cs="Arial"/>
          <w:sz w:val="24"/>
          <w:szCs w:val="24"/>
          <w:lang w:val="en-US"/>
        </w:rPr>
        <w:t>.</w:t>
      </w:r>
    </w:p>
    <w:p w14:paraId="1921438E" w14:textId="77777777" w:rsidR="00CD2461" w:rsidRDefault="00CD2461" w:rsidP="00CD2461">
      <w:pPr>
        <w:spacing w:line="360" w:lineRule="auto"/>
        <w:jc w:val="both"/>
        <w:rPr>
          <w:rFonts w:ascii="Arial" w:hAnsi="Arial" w:cs="Arial"/>
          <w:sz w:val="24"/>
          <w:szCs w:val="24"/>
          <w:lang w:val="en-US"/>
        </w:rPr>
      </w:pPr>
      <w:r w:rsidRPr="00367AE6">
        <w:rPr>
          <w:rFonts w:ascii="Arial" w:hAnsi="Arial" w:cs="Arial"/>
          <w:sz w:val="24"/>
          <w:szCs w:val="24"/>
          <w:lang w:val="en-US"/>
        </w:rPr>
        <w:t xml:space="preserve">Ellen MacArthur Foundation (2023). </w:t>
      </w:r>
      <w:r w:rsidRPr="00367AE6">
        <w:rPr>
          <w:rFonts w:ascii="Arial" w:hAnsi="Arial" w:cs="Arial"/>
          <w:i/>
          <w:iCs/>
          <w:sz w:val="24"/>
          <w:szCs w:val="24"/>
          <w:lang w:val="en-US"/>
        </w:rPr>
        <w:t>Circular supply chains</w:t>
      </w:r>
      <w:r w:rsidRPr="00367AE6">
        <w:rPr>
          <w:rFonts w:ascii="Arial" w:hAnsi="Arial" w:cs="Arial"/>
          <w:sz w:val="24"/>
          <w:szCs w:val="24"/>
          <w:lang w:val="en-US"/>
        </w:rPr>
        <w:t xml:space="preserve">. [online] www.ellenmacarthurfoundation.org. Available at: </w:t>
      </w:r>
      <w:hyperlink r:id="rId11" w:history="1">
        <w:r w:rsidRPr="00367AE6">
          <w:rPr>
            <w:rStyle w:val="Hyperlink"/>
            <w:rFonts w:ascii="Arial" w:hAnsi="Arial" w:cs="Arial"/>
            <w:sz w:val="24"/>
            <w:szCs w:val="24"/>
            <w:lang w:val="en-US"/>
          </w:rPr>
          <w:t>https://www.ellenmacarthurfoundation.org/circular-supply-chains</w:t>
        </w:r>
      </w:hyperlink>
      <w:r w:rsidRPr="00367AE6">
        <w:rPr>
          <w:rFonts w:ascii="Arial" w:hAnsi="Arial" w:cs="Arial"/>
          <w:sz w:val="24"/>
          <w:szCs w:val="24"/>
          <w:lang w:val="en-US"/>
        </w:rPr>
        <w:t xml:space="preserve"> </w:t>
      </w:r>
      <w:r>
        <w:rPr>
          <w:rFonts w:ascii="Arial" w:hAnsi="Arial" w:cs="Arial"/>
          <w:sz w:val="24"/>
          <w:szCs w:val="24"/>
          <w:lang w:val="en-US"/>
        </w:rPr>
        <w:t>(</w:t>
      </w:r>
      <w:r w:rsidRPr="00367AE6">
        <w:rPr>
          <w:rFonts w:ascii="Arial" w:hAnsi="Arial" w:cs="Arial"/>
          <w:sz w:val="24"/>
          <w:szCs w:val="24"/>
          <w:lang w:val="en-US"/>
        </w:rPr>
        <w:t>Accessed 21 Jan. 2025</w:t>
      </w:r>
      <w:r>
        <w:rPr>
          <w:rFonts w:ascii="Arial" w:hAnsi="Arial" w:cs="Arial"/>
          <w:sz w:val="24"/>
          <w:szCs w:val="24"/>
          <w:lang w:val="en-US"/>
        </w:rPr>
        <w:t>)</w:t>
      </w:r>
      <w:r w:rsidRPr="00367AE6">
        <w:rPr>
          <w:rFonts w:ascii="Arial" w:hAnsi="Arial" w:cs="Arial"/>
          <w:sz w:val="24"/>
          <w:szCs w:val="24"/>
          <w:lang w:val="en-US"/>
        </w:rPr>
        <w:t>.</w:t>
      </w:r>
    </w:p>
    <w:p w14:paraId="2C295B6E" w14:textId="77777777" w:rsidR="00CD2461" w:rsidRDefault="00CD2461" w:rsidP="00CD2461">
      <w:pPr>
        <w:spacing w:line="360" w:lineRule="auto"/>
        <w:jc w:val="both"/>
        <w:rPr>
          <w:rFonts w:ascii="Arial" w:hAnsi="Arial" w:cs="Arial"/>
          <w:sz w:val="24"/>
          <w:szCs w:val="24"/>
          <w:lang w:val="en-US"/>
        </w:rPr>
      </w:pPr>
      <w:r w:rsidRPr="008138C0">
        <w:rPr>
          <w:rFonts w:ascii="Arial" w:hAnsi="Arial" w:cs="Arial"/>
          <w:sz w:val="24"/>
          <w:szCs w:val="24"/>
          <w:lang w:val="en-US"/>
        </w:rPr>
        <w:t>Goh, C.S., Chong, H.-Y., Jack, L. and Mohd Faris, A.F. (2020). Revisiting triple bottom line within the context of sustainable construction: A systematic review. </w:t>
      </w:r>
      <w:r w:rsidRPr="008138C0">
        <w:rPr>
          <w:rFonts w:ascii="Arial" w:hAnsi="Arial" w:cs="Arial"/>
          <w:i/>
          <w:iCs/>
          <w:sz w:val="24"/>
          <w:szCs w:val="24"/>
          <w:lang w:val="en-US"/>
        </w:rPr>
        <w:t>Journal of Cleaner Production</w:t>
      </w:r>
      <w:r w:rsidRPr="008138C0">
        <w:rPr>
          <w:rFonts w:ascii="Arial" w:hAnsi="Arial" w:cs="Arial"/>
          <w:sz w:val="24"/>
          <w:szCs w:val="24"/>
          <w:lang w:val="en-US"/>
        </w:rPr>
        <w:t xml:space="preserve">, [online] 252(1), p.119884. </w:t>
      </w:r>
      <w:r w:rsidRPr="005339DA">
        <w:rPr>
          <w:rFonts w:ascii="Arial" w:hAnsi="Arial" w:cs="Arial"/>
          <w:sz w:val="24"/>
          <w:szCs w:val="24"/>
          <w:lang w:val="en-US"/>
        </w:rPr>
        <w:t>Available at:</w:t>
      </w:r>
      <w:r>
        <w:rPr>
          <w:rFonts w:ascii="Arial" w:hAnsi="Arial" w:cs="Arial"/>
          <w:sz w:val="24"/>
          <w:szCs w:val="24"/>
          <w:lang w:val="en-US"/>
        </w:rPr>
        <w:t xml:space="preserve"> </w:t>
      </w:r>
      <w:hyperlink r:id="rId12" w:history="1">
        <w:r w:rsidRPr="008138C0">
          <w:rPr>
            <w:rStyle w:val="Hyperlink"/>
            <w:rFonts w:ascii="Arial" w:hAnsi="Arial" w:cs="Arial"/>
            <w:sz w:val="24"/>
            <w:szCs w:val="24"/>
            <w:lang w:val="en-US"/>
          </w:rPr>
          <w:t>https://doi.org/10.1016/j.jclepro.2019.119884</w:t>
        </w:r>
      </w:hyperlink>
      <w:r w:rsidRPr="008138C0">
        <w:rPr>
          <w:rFonts w:ascii="Arial" w:hAnsi="Arial" w:cs="Arial"/>
          <w:sz w:val="24"/>
          <w:szCs w:val="24"/>
          <w:lang w:val="en-US"/>
        </w:rPr>
        <w:t>.</w:t>
      </w:r>
    </w:p>
    <w:p w14:paraId="49A55151" w14:textId="77777777" w:rsidR="00CD2461" w:rsidRDefault="00CD2461" w:rsidP="00CD2461">
      <w:pPr>
        <w:spacing w:line="360" w:lineRule="auto"/>
        <w:jc w:val="both"/>
        <w:rPr>
          <w:rFonts w:ascii="Arial" w:hAnsi="Arial" w:cs="Arial"/>
          <w:sz w:val="24"/>
          <w:szCs w:val="24"/>
          <w:lang w:val="en-US"/>
        </w:rPr>
      </w:pPr>
      <w:r w:rsidRPr="00A408F7">
        <w:rPr>
          <w:rFonts w:ascii="Arial" w:hAnsi="Arial" w:cs="Arial"/>
          <w:sz w:val="24"/>
          <w:szCs w:val="24"/>
          <w:lang w:val="en-US"/>
        </w:rPr>
        <w:t xml:space="preserve">Hashish, M.E.-S., Abdou, A.H., Mohamed, S.A.K., </w:t>
      </w:r>
      <w:proofErr w:type="spellStart"/>
      <w:r w:rsidRPr="00A408F7">
        <w:rPr>
          <w:rFonts w:ascii="Arial" w:hAnsi="Arial" w:cs="Arial"/>
          <w:sz w:val="24"/>
          <w:szCs w:val="24"/>
          <w:lang w:val="en-US"/>
        </w:rPr>
        <w:t>Elenain</w:t>
      </w:r>
      <w:proofErr w:type="spellEnd"/>
      <w:r w:rsidRPr="00A408F7">
        <w:rPr>
          <w:rFonts w:ascii="Arial" w:hAnsi="Arial" w:cs="Arial"/>
          <w:sz w:val="24"/>
          <w:szCs w:val="24"/>
          <w:lang w:val="en-US"/>
        </w:rPr>
        <w:t>, A.S.A. and Salama, W. (2022). The Nexus between Green Perceived Quality, Green Satisfaction, Green Trust, and Customers’ Green Behavioral Intentions in Eco-Friendly Hotels: A Structural Equation Modeling Approach. </w:t>
      </w:r>
      <w:r w:rsidRPr="00A408F7">
        <w:rPr>
          <w:rFonts w:ascii="Arial" w:hAnsi="Arial" w:cs="Arial"/>
          <w:i/>
          <w:iCs/>
          <w:sz w:val="24"/>
          <w:szCs w:val="24"/>
          <w:lang w:val="en-US"/>
        </w:rPr>
        <w:t>International Journal of Environmental Research and Public Health</w:t>
      </w:r>
      <w:r w:rsidRPr="00A408F7">
        <w:rPr>
          <w:rFonts w:ascii="Arial" w:hAnsi="Arial" w:cs="Arial"/>
          <w:sz w:val="24"/>
          <w:szCs w:val="24"/>
          <w:lang w:val="en-US"/>
        </w:rPr>
        <w:t xml:space="preserve">, 19(23), p.16195. </w:t>
      </w:r>
      <w:r w:rsidRPr="005339DA">
        <w:rPr>
          <w:rFonts w:ascii="Arial" w:hAnsi="Arial" w:cs="Arial"/>
          <w:sz w:val="24"/>
          <w:szCs w:val="24"/>
          <w:lang w:val="en-US"/>
        </w:rPr>
        <w:t>Available at:</w:t>
      </w:r>
      <w:r>
        <w:rPr>
          <w:rFonts w:ascii="Arial" w:hAnsi="Arial" w:cs="Arial"/>
          <w:sz w:val="24"/>
          <w:szCs w:val="24"/>
          <w:lang w:val="en-US"/>
        </w:rPr>
        <w:t xml:space="preserve"> </w:t>
      </w:r>
      <w:hyperlink r:id="rId13" w:history="1">
        <w:r w:rsidRPr="00A408F7">
          <w:rPr>
            <w:rStyle w:val="Hyperlink"/>
            <w:rFonts w:ascii="Arial" w:hAnsi="Arial" w:cs="Arial"/>
            <w:sz w:val="24"/>
            <w:szCs w:val="24"/>
            <w:lang w:val="en-US"/>
          </w:rPr>
          <w:t>https://doi.org/10.3390/ijerph192316195</w:t>
        </w:r>
      </w:hyperlink>
      <w:r w:rsidRPr="00A408F7">
        <w:rPr>
          <w:rFonts w:ascii="Arial" w:hAnsi="Arial" w:cs="Arial"/>
          <w:sz w:val="24"/>
          <w:szCs w:val="24"/>
          <w:lang w:val="en-US"/>
        </w:rPr>
        <w:t>.</w:t>
      </w:r>
    </w:p>
    <w:p w14:paraId="662D7FC4" w14:textId="77777777" w:rsidR="00CD2461" w:rsidRPr="00A408F7" w:rsidRDefault="00CD2461" w:rsidP="00CD2461">
      <w:pPr>
        <w:spacing w:line="360" w:lineRule="auto"/>
        <w:jc w:val="both"/>
        <w:rPr>
          <w:rFonts w:ascii="Arial" w:hAnsi="Arial" w:cs="Arial"/>
          <w:sz w:val="24"/>
          <w:szCs w:val="24"/>
          <w:lang w:val="en-US"/>
        </w:rPr>
      </w:pPr>
    </w:p>
    <w:p w14:paraId="7A8B7F41" w14:textId="77777777" w:rsidR="00CD2461" w:rsidRDefault="00CD2461" w:rsidP="00CD2461">
      <w:pPr>
        <w:spacing w:line="360" w:lineRule="auto"/>
        <w:jc w:val="both"/>
        <w:rPr>
          <w:rFonts w:ascii="Arial" w:hAnsi="Arial" w:cs="Arial"/>
          <w:sz w:val="24"/>
          <w:szCs w:val="24"/>
          <w:lang w:val="en-US"/>
        </w:rPr>
      </w:pPr>
      <w:r w:rsidRPr="00A14308">
        <w:rPr>
          <w:rFonts w:ascii="Arial" w:hAnsi="Arial" w:cs="Arial"/>
          <w:sz w:val="24"/>
          <w:szCs w:val="24"/>
          <w:lang w:val="en-US"/>
        </w:rPr>
        <w:t xml:space="preserve">Hazen, B.T., Russo, I., </w:t>
      </w:r>
      <w:proofErr w:type="spellStart"/>
      <w:r w:rsidRPr="00A14308">
        <w:rPr>
          <w:rFonts w:ascii="Arial" w:hAnsi="Arial" w:cs="Arial"/>
          <w:sz w:val="24"/>
          <w:szCs w:val="24"/>
          <w:lang w:val="en-US"/>
        </w:rPr>
        <w:t>Confente</w:t>
      </w:r>
      <w:proofErr w:type="spellEnd"/>
      <w:r w:rsidRPr="00A14308">
        <w:rPr>
          <w:rFonts w:ascii="Arial" w:hAnsi="Arial" w:cs="Arial"/>
          <w:sz w:val="24"/>
          <w:szCs w:val="24"/>
          <w:lang w:val="en-US"/>
        </w:rPr>
        <w:t xml:space="preserve">, I. and </w:t>
      </w:r>
      <w:proofErr w:type="spellStart"/>
      <w:r w:rsidRPr="00A14308">
        <w:rPr>
          <w:rFonts w:ascii="Arial" w:hAnsi="Arial" w:cs="Arial"/>
          <w:sz w:val="24"/>
          <w:szCs w:val="24"/>
          <w:lang w:val="en-US"/>
        </w:rPr>
        <w:t>Pellathy</w:t>
      </w:r>
      <w:proofErr w:type="spellEnd"/>
      <w:r w:rsidRPr="00A14308">
        <w:rPr>
          <w:rFonts w:ascii="Arial" w:hAnsi="Arial" w:cs="Arial"/>
          <w:sz w:val="24"/>
          <w:szCs w:val="24"/>
          <w:lang w:val="en-US"/>
        </w:rPr>
        <w:t>, D. (2020). Supply chain management for circular economy: conceptual framework and research agenda. </w:t>
      </w:r>
      <w:r w:rsidRPr="00A14308">
        <w:rPr>
          <w:rFonts w:ascii="Arial" w:hAnsi="Arial" w:cs="Arial"/>
          <w:i/>
          <w:iCs/>
          <w:sz w:val="24"/>
          <w:szCs w:val="24"/>
          <w:lang w:val="en-US"/>
        </w:rPr>
        <w:t>International Journal of Logistics Management, The</w:t>
      </w:r>
      <w:r w:rsidRPr="00A14308">
        <w:rPr>
          <w:rFonts w:ascii="Arial" w:hAnsi="Arial" w:cs="Arial"/>
          <w:sz w:val="24"/>
          <w:szCs w:val="24"/>
          <w:lang w:val="en-US"/>
        </w:rPr>
        <w:t xml:space="preserve">, 32(2). </w:t>
      </w:r>
      <w:r w:rsidRPr="00C85C92">
        <w:rPr>
          <w:rFonts w:ascii="Arial" w:hAnsi="Arial" w:cs="Arial"/>
          <w:sz w:val="24"/>
          <w:szCs w:val="24"/>
        </w:rPr>
        <w:t xml:space="preserve">Available at: </w:t>
      </w:r>
      <w:hyperlink r:id="rId14" w:history="1">
        <w:r w:rsidRPr="00A14308">
          <w:rPr>
            <w:rStyle w:val="Hyperlink"/>
            <w:rFonts w:ascii="Arial" w:hAnsi="Arial" w:cs="Arial"/>
            <w:sz w:val="24"/>
            <w:szCs w:val="24"/>
            <w:lang w:val="en-US"/>
          </w:rPr>
          <w:t>https://doi.org/10.1108/ijlm-12-2019-0332</w:t>
        </w:r>
      </w:hyperlink>
      <w:r w:rsidRPr="00A14308">
        <w:rPr>
          <w:rFonts w:ascii="Arial" w:hAnsi="Arial" w:cs="Arial"/>
          <w:sz w:val="24"/>
          <w:szCs w:val="24"/>
          <w:lang w:val="en-US"/>
        </w:rPr>
        <w:t>.</w:t>
      </w:r>
    </w:p>
    <w:p w14:paraId="549DE6E2" w14:textId="77777777" w:rsidR="00CD2461" w:rsidRDefault="00CD2461" w:rsidP="00CD2461">
      <w:pPr>
        <w:spacing w:line="360" w:lineRule="auto"/>
        <w:jc w:val="both"/>
        <w:rPr>
          <w:rFonts w:ascii="Arial" w:hAnsi="Arial" w:cs="Arial"/>
          <w:sz w:val="24"/>
          <w:szCs w:val="24"/>
          <w:lang w:val="en-US"/>
        </w:rPr>
      </w:pPr>
      <w:r w:rsidRPr="003835BA">
        <w:rPr>
          <w:rFonts w:ascii="Arial" w:hAnsi="Arial" w:cs="Arial"/>
          <w:sz w:val="24"/>
          <w:szCs w:val="24"/>
          <w:lang w:val="en-US"/>
        </w:rPr>
        <w:t xml:space="preserve">Juvan, E., </w:t>
      </w:r>
      <w:proofErr w:type="spellStart"/>
      <w:r w:rsidRPr="003835BA">
        <w:rPr>
          <w:rFonts w:ascii="Arial" w:hAnsi="Arial" w:cs="Arial"/>
          <w:sz w:val="24"/>
          <w:szCs w:val="24"/>
          <w:lang w:val="en-US"/>
        </w:rPr>
        <w:t>Grün</w:t>
      </w:r>
      <w:proofErr w:type="spellEnd"/>
      <w:r w:rsidRPr="003835BA">
        <w:rPr>
          <w:rFonts w:ascii="Arial" w:hAnsi="Arial" w:cs="Arial"/>
          <w:sz w:val="24"/>
          <w:szCs w:val="24"/>
          <w:lang w:val="en-US"/>
        </w:rPr>
        <w:t xml:space="preserve">, B. and </w:t>
      </w:r>
      <w:proofErr w:type="spellStart"/>
      <w:r w:rsidRPr="003835BA">
        <w:rPr>
          <w:rFonts w:ascii="Arial" w:hAnsi="Arial" w:cs="Arial"/>
          <w:sz w:val="24"/>
          <w:szCs w:val="24"/>
          <w:lang w:val="en-US"/>
        </w:rPr>
        <w:t>Dolnicar</w:t>
      </w:r>
      <w:proofErr w:type="spellEnd"/>
      <w:r w:rsidRPr="003835BA">
        <w:rPr>
          <w:rFonts w:ascii="Arial" w:hAnsi="Arial" w:cs="Arial"/>
          <w:sz w:val="24"/>
          <w:szCs w:val="24"/>
          <w:lang w:val="en-US"/>
        </w:rPr>
        <w:t>, S. (2023). Waste production patterns in hotels and restaurants: An intra-sectoral segmentation approach. </w:t>
      </w:r>
      <w:r w:rsidRPr="003835BA">
        <w:rPr>
          <w:rFonts w:ascii="Arial" w:hAnsi="Arial" w:cs="Arial"/>
          <w:i/>
          <w:iCs/>
          <w:sz w:val="24"/>
          <w:szCs w:val="24"/>
          <w:lang w:val="en-US"/>
        </w:rPr>
        <w:t>Annals of Tourism Research Empirical Insights</w:t>
      </w:r>
      <w:r w:rsidRPr="003835BA">
        <w:rPr>
          <w:rFonts w:ascii="Arial" w:hAnsi="Arial" w:cs="Arial"/>
          <w:sz w:val="24"/>
          <w:szCs w:val="24"/>
          <w:lang w:val="en-US"/>
        </w:rPr>
        <w:t>, [online] 4(1), p.100090.</w:t>
      </w:r>
      <w:r>
        <w:rPr>
          <w:rFonts w:ascii="Arial" w:hAnsi="Arial" w:cs="Arial"/>
          <w:sz w:val="24"/>
          <w:szCs w:val="24"/>
          <w:lang w:val="en-US"/>
        </w:rPr>
        <w:t xml:space="preserve"> </w:t>
      </w:r>
      <w:r w:rsidRPr="00C85C92">
        <w:rPr>
          <w:rFonts w:ascii="Arial" w:hAnsi="Arial" w:cs="Arial"/>
          <w:sz w:val="24"/>
          <w:szCs w:val="24"/>
        </w:rPr>
        <w:t xml:space="preserve">Available at: </w:t>
      </w:r>
      <w:hyperlink r:id="rId15" w:history="1">
        <w:r w:rsidRPr="003835BA">
          <w:rPr>
            <w:rStyle w:val="Hyperlink"/>
            <w:rFonts w:ascii="Arial" w:hAnsi="Arial" w:cs="Arial"/>
            <w:sz w:val="24"/>
            <w:szCs w:val="24"/>
            <w:lang w:val="en-US"/>
          </w:rPr>
          <w:t>https://doi.org/10.1016/j.annale.2023.100090</w:t>
        </w:r>
      </w:hyperlink>
      <w:r w:rsidRPr="003835BA">
        <w:rPr>
          <w:rFonts w:ascii="Arial" w:hAnsi="Arial" w:cs="Arial"/>
          <w:sz w:val="24"/>
          <w:szCs w:val="24"/>
          <w:lang w:val="en-US"/>
        </w:rPr>
        <w:t>.</w:t>
      </w:r>
    </w:p>
    <w:p w14:paraId="48AF591F" w14:textId="77777777" w:rsidR="00CD2461" w:rsidRDefault="00CD2461" w:rsidP="00CD2461">
      <w:pPr>
        <w:spacing w:line="360" w:lineRule="auto"/>
        <w:jc w:val="both"/>
        <w:rPr>
          <w:rFonts w:ascii="Arial" w:hAnsi="Arial" w:cs="Arial"/>
          <w:sz w:val="24"/>
          <w:szCs w:val="24"/>
          <w:lang w:val="en-US"/>
        </w:rPr>
      </w:pPr>
      <w:r w:rsidRPr="00A678FB">
        <w:rPr>
          <w:rFonts w:ascii="Arial" w:hAnsi="Arial" w:cs="Arial"/>
          <w:sz w:val="24"/>
          <w:szCs w:val="24"/>
          <w:lang w:val="en-US"/>
        </w:rPr>
        <w:t xml:space="preserve">Kara, S., Hauschild, M., Sutherland, J. and </w:t>
      </w:r>
      <w:proofErr w:type="spellStart"/>
      <w:r w:rsidRPr="00A678FB">
        <w:rPr>
          <w:rFonts w:ascii="Arial" w:hAnsi="Arial" w:cs="Arial"/>
          <w:sz w:val="24"/>
          <w:szCs w:val="24"/>
          <w:lang w:val="en-US"/>
        </w:rPr>
        <w:t>McAloone</w:t>
      </w:r>
      <w:proofErr w:type="spellEnd"/>
      <w:r w:rsidRPr="00A678FB">
        <w:rPr>
          <w:rFonts w:ascii="Arial" w:hAnsi="Arial" w:cs="Arial"/>
          <w:sz w:val="24"/>
          <w:szCs w:val="24"/>
          <w:lang w:val="en-US"/>
        </w:rPr>
        <w:t>, T. (2022). Closed-loop systems to circular economy: A pathway to environmental sustainability? </w:t>
      </w:r>
      <w:r w:rsidRPr="00A678FB">
        <w:rPr>
          <w:rFonts w:ascii="Arial" w:hAnsi="Arial" w:cs="Arial"/>
          <w:i/>
          <w:iCs/>
          <w:sz w:val="24"/>
          <w:szCs w:val="24"/>
          <w:lang w:val="en-US"/>
        </w:rPr>
        <w:t>CIRP Annals</w:t>
      </w:r>
      <w:r w:rsidRPr="00A678FB">
        <w:rPr>
          <w:rFonts w:ascii="Arial" w:hAnsi="Arial" w:cs="Arial"/>
          <w:sz w:val="24"/>
          <w:szCs w:val="24"/>
          <w:lang w:val="en-US"/>
        </w:rPr>
        <w:t xml:space="preserve">, [online] 71(2), pp.505–528. </w:t>
      </w:r>
      <w:r w:rsidRPr="00C85C92">
        <w:rPr>
          <w:rFonts w:ascii="Arial" w:hAnsi="Arial" w:cs="Arial"/>
          <w:sz w:val="24"/>
          <w:szCs w:val="24"/>
        </w:rPr>
        <w:t xml:space="preserve">Available at: </w:t>
      </w:r>
      <w:hyperlink r:id="rId16" w:history="1">
        <w:r w:rsidRPr="00A678FB">
          <w:rPr>
            <w:rStyle w:val="Hyperlink"/>
            <w:rFonts w:ascii="Arial" w:hAnsi="Arial" w:cs="Arial"/>
            <w:sz w:val="24"/>
            <w:szCs w:val="24"/>
            <w:lang w:val="en-US"/>
          </w:rPr>
          <w:t>https://doi.org/10.1016/j.cirp.2022.05.008</w:t>
        </w:r>
      </w:hyperlink>
      <w:r w:rsidRPr="00A678FB">
        <w:rPr>
          <w:rFonts w:ascii="Arial" w:hAnsi="Arial" w:cs="Arial"/>
          <w:sz w:val="24"/>
          <w:szCs w:val="24"/>
          <w:lang w:val="en-US"/>
        </w:rPr>
        <w:t>.</w:t>
      </w:r>
    </w:p>
    <w:p w14:paraId="09FADF1E" w14:textId="77777777" w:rsidR="00CD2461" w:rsidRDefault="00CD2461" w:rsidP="00CD2461">
      <w:pPr>
        <w:spacing w:line="360" w:lineRule="auto"/>
        <w:jc w:val="both"/>
        <w:rPr>
          <w:rFonts w:ascii="Arial" w:hAnsi="Arial" w:cs="Arial"/>
          <w:sz w:val="24"/>
          <w:szCs w:val="24"/>
          <w:lang w:val="en-US"/>
        </w:rPr>
      </w:pPr>
      <w:r w:rsidRPr="000950BA">
        <w:rPr>
          <w:rFonts w:ascii="Arial" w:hAnsi="Arial" w:cs="Arial"/>
          <w:sz w:val="24"/>
          <w:szCs w:val="24"/>
          <w:lang w:val="en-US"/>
        </w:rPr>
        <w:t xml:space="preserve">Khalil, N., Che Abdullah, S.N., </w:t>
      </w:r>
      <w:proofErr w:type="spellStart"/>
      <w:r w:rsidRPr="000950BA">
        <w:rPr>
          <w:rFonts w:ascii="Arial" w:hAnsi="Arial" w:cs="Arial"/>
          <w:sz w:val="24"/>
          <w:szCs w:val="24"/>
          <w:lang w:val="en-US"/>
        </w:rPr>
        <w:t>Haron</w:t>
      </w:r>
      <w:proofErr w:type="spellEnd"/>
      <w:r w:rsidRPr="000950BA">
        <w:rPr>
          <w:rFonts w:ascii="Arial" w:hAnsi="Arial" w:cs="Arial"/>
          <w:sz w:val="24"/>
          <w:szCs w:val="24"/>
          <w:lang w:val="en-US"/>
        </w:rPr>
        <w:t>, S.N. and Hamid, M.Y. (2022). A review of green practices and initiatives from stakeholder’s perspectives towards sustainable hotel operations and performance impact. </w:t>
      </w:r>
      <w:r w:rsidRPr="000950BA">
        <w:rPr>
          <w:rFonts w:ascii="Arial" w:hAnsi="Arial" w:cs="Arial"/>
          <w:i/>
          <w:iCs/>
          <w:sz w:val="24"/>
          <w:szCs w:val="24"/>
          <w:lang w:val="en-US"/>
        </w:rPr>
        <w:t>Journal of Facilities Management</w:t>
      </w:r>
      <w:r w:rsidRPr="000950BA">
        <w:rPr>
          <w:rFonts w:ascii="Arial" w:hAnsi="Arial" w:cs="Arial"/>
          <w:sz w:val="24"/>
          <w:szCs w:val="24"/>
          <w:lang w:val="en-US"/>
        </w:rPr>
        <w:t xml:space="preserve">, [online] 22(4). </w:t>
      </w:r>
      <w:r w:rsidRPr="00C85C92">
        <w:rPr>
          <w:rFonts w:ascii="Arial" w:hAnsi="Arial" w:cs="Arial"/>
          <w:sz w:val="24"/>
          <w:szCs w:val="24"/>
        </w:rPr>
        <w:t xml:space="preserve">Available at: </w:t>
      </w:r>
      <w:hyperlink r:id="rId17" w:history="1">
        <w:r w:rsidRPr="000950BA">
          <w:rPr>
            <w:rStyle w:val="Hyperlink"/>
            <w:rFonts w:ascii="Arial" w:hAnsi="Arial" w:cs="Arial"/>
            <w:sz w:val="24"/>
            <w:szCs w:val="24"/>
            <w:lang w:val="en-US"/>
          </w:rPr>
          <w:t>https://doi.org/10.1108/jfm-03-2022-0025</w:t>
        </w:r>
      </w:hyperlink>
      <w:r w:rsidRPr="000950BA">
        <w:rPr>
          <w:rFonts w:ascii="Arial" w:hAnsi="Arial" w:cs="Arial"/>
          <w:sz w:val="24"/>
          <w:szCs w:val="24"/>
          <w:lang w:val="en-US"/>
        </w:rPr>
        <w:t>.</w:t>
      </w:r>
    </w:p>
    <w:p w14:paraId="784E481A" w14:textId="77777777" w:rsidR="00CD2461" w:rsidRDefault="00CD2461" w:rsidP="00CD2461">
      <w:pPr>
        <w:spacing w:line="360" w:lineRule="auto"/>
        <w:jc w:val="both"/>
        <w:rPr>
          <w:rFonts w:ascii="Arial" w:hAnsi="Arial" w:cs="Arial"/>
          <w:sz w:val="24"/>
          <w:szCs w:val="24"/>
          <w:lang w:val="en-US"/>
        </w:rPr>
      </w:pPr>
      <w:r w:rsidRPr="0034202C">
        <w:rPr>
          <w:rFonts w:ascii="Arial" w:hAnsi="Arial" w:cs="Arial"/>
          <w:sz w:val="24"/>
          <w:szCs w:val="24"/>
          <w:lang w:val="en-US"/>
        </w:rPr>
        <w:t xml:space="preserve">Kurniawan, T.A., </w:t>
      </w:r>
      <w:proofErr w:type="spellStart"/>
      <w:r w:rsidRPr="0034202C">
        <w:rPr>
          <w:rFonts w:ascii="Arial" w:hAnsi="Arial" w:cs="Arial"/>
          <w:sz w:val="24"/>
          <w:szCs w:val="24"/>
          <w:lang w:val="en-US"/>
        </w:rPr>
        <w:t>Maiurova</w:t>
      </w:r>
      <w:proofErr w:type="spellEnd"/>
      <w:r w:rsidRPr="0034202C">
        <w:rPr>
          <w:rFonts w:ascii="Arial" w:hAnsi="Arial" w:cs="Arial"/>
          <w:sz w:val="24"/>
          <w:szCs w:val="24"/>
          <w:lang w:val="en-US"/>
        </w:rPr>
        <w:t xml:space="preserve">, A., </w:t>
      </w:r>
      <w:proofErr w:type="spellStart"/>
      <w:r w:rsidRPr="0034202C">
        <w:rPr>
          <w:rFonts w:ascii="Arial" w:hAnsi="Arial" w:cs="Arial"/>
          <w:sz w:val="24"/>
          <w:szCs w:val="24"/>
          <w:lang w:val="en-US"/>
        </w:rPr>
        <w:t>Kustikova</w:t>
      </w:r>
      <w:proofErr w:type="spellEnd"/>
      <w:r w:rsidRPr="0034202C">
        <w:rPr>
          <w:rFonts w:ascii="Arial" w:hAnsi="Arial" w:cs="Arial"/>
          <w:sz w:val="24"/>
          <w:szCs w:val="24"/>
          <w:lang w:val="en-US"/>
        </w:rPr>
        <w:t xml:space="preserve">, M., </w:t>
      </w:r>
      <w:proofErr w:type="spellStart"/>
      <w:r w:rsidRPr="0034202C">
        <w:rPr>
          <w:rFonts w:ascii="Arial" w:hAnsi="Arial" w:cs="Arial"/>
          <w:sz w:val="24"/>
          <w:szCs w:val="24"/>
          <w:lang w:val="en-US"/>
        </w:rPr>
        <w:t>Bykovskaia</w:t>
      </w:r>
      <w:proofErr w:type="spellEnd"/>
      <w:r w:rsidRPr="0034202C">
        <w:rPr>
          <w:rFonts w:ascii="Arial" w:hAnsi="Arial" w:cs="Arial"/>
          <w:sz w:val="24"/>
          <w:szCs w:val="24"/>
          <w:lang w:val="en-US"/>
        </w:rPr>
        <w:t>, E., Othman, M.H.D. and Goh, H.H. (2022). Accelerating sustainability transition in St. Petersburg (Russia) through digitalization-based circular economy in waste recycling industry: A strategy to promote carbon neutrality in era of Industry 4.0. </w:t>
      </w:r>
      <w:r w:rsidRPr="0034202C">
        <w:rPr>
          <w:rFonts w:ascii="Arial" w:hAnsi="Arial" w:cs="Arial"/>
          <w:i/>
          <w:iCs/>
          <w:sz w:val="24"/>
          <w:szCs w:val="24"/>
          <w:lang w:val="en-US"/>
        </w:rPr>
        <w:t>Journal of Cleaner Production</w:t>
      </w:r>
      <w:r w:rsidRPr="0034202C">
        <w:rPr>
          <w:rFonts w:ascii="Arial" w:hAnsi="Arial" w:cs="Arial"/>
          <w:sz w:val="24"/>
          <w:szCs w:val="24"/>
          <w:lang w:val="en-US"/>
        </w:rPr>
        <w:t xml:space="preserve">, 363, p.132452. </w:t>
      </w:r>
      <w:r w:rsidRPr="00C85C92">
        <w:rPr>
          <w:rFonts w:ascii="Arial" w:hAnsi="Arial" w:cs="Arial"/>
          <w:sz w:val="24"/>
          <w:szCs w:val="24"/>
        </w:rPr>
        <w:t xml:space="preserve">Available at: </w:t>
      </w:r>
      <w:hyperlink r:id="rId18" w:history="1">
        <w:r w:rsidRPr="0034202C">
          <w:rPr>
            <w:rStyle w:val="Hyperlink"/>
            <w:rFonts w:ascii="Arial" w:hAnsi="Arial" w:cs="Arial"/>
            <w:sz w:val="24"/>
            <w:szCs w:val="24"/>
            <w:lang w:val="en-US"/>
          </w:rPr>
          <w:t>https://doi.org/10.1016/j.jclepro.2022.132452</w:t>
        </w:r>
      </w:hyperlink>
      <w:r w:rsidRPr="0034202C">
        <w:rPr>
          <w:rFonts w:ascii="Arial" w:hAnsi="Arial" w:cs="Arial"/>
          <w:sz w:val="24"/>
          <w:szCs w:val="24"/>
          <w:lang w:val="en-US"/>
        </w:rPr>
        <w:t>.</w:t>
      </w:r>
    </w:p>
    <w:p w14:paraId="6E311536" w14:textId="77777777" w:rsidR="00CD2461" w:rsidRPr="00367AE6" w:rsidRDefault="00CD2461" w:rsidP="00CD2461">
      <w:pPr>
        <w:spacing w:line="360" w:lineRule="auto"/>
        <w:jc w:val="both"/>
        <w:rPr>
          <w:rFonts w:ascii="Arial" w:hAnsi="Arial" w:cs="Arial"/>
          <w:sz w:val="24"/>
          <w:szCs w:val="24"/>
          <w:lang w:val="en-US"/>
        </w:rPr>
      </w:pPr>
      <w:r w:rsidRPr="00367AE6">
        <w:rPr>
          <w:rFonts w:ascii="Arial" w:hAnsi="Arial" w:cs="Arial"/>
          <w:sz w:val="24"/>
          <w:szCs w:val="24"/>
          <w:lang w:val="en-US"/>
        </w:rPr>
        <w:t>Malik, X., Smith, L., Stewart, I. and Burnett, N. (2024). </w:t>
      </w:r>
      <w:r w:rsidRPr="00367AE6">
        <w:rPr>
          <w:rFonts w:ascii="Arial" w:hAnsi="Arial" w:cs="Arial"/>
          <w:i/>
          <w:iCs/>
          <w:sz w:val="24"/>
          <w:szCs w:val="24"/>
          <w:lang w:val="en-US"/>
        </w:rPr>
        <w:t>Food waste in the UK</w:t>
      </w:r>
      <w:r w:rsidRPr="00367AE6">
        <w:rPr>
          <w:rFonts w:ascii="Arial" w:hAnsi="Arial" w:cs="Arial"/>
          <w:sz w:val="24"/>
          <w:szCs w:val="24"/>
          <w:lang w:val="en-US"/>
        </w:rPr>
        <w:t xml:space="preserve">. [online] Parliament.uk. Available at: </w:t>
      </w:r>
      <w:hyperlink r:id="rId19" w:history="1">
        <w:r w:rsidRPr="00367AE6">
          <w:rPr>
            <w:rStyle w:val="Hyperlink"/>
            <w:rFonts w:ascii="Arial" w:hAnsi="Arial" w:cs="Arial"/>
            <w:sz w:val="24"/>
            <w:szCs w:val="24"/>
            <w:lang w:val="en-US"/>
          </w:rPr>
          <w:t>https://researchbriefings.files.parliament.uk/documents/CBP-7552/CBP-7552.pdf</w:t>
        </w:r>
      </w:hyperlink>
      <w:r w:rsidRPr="00367AE6">
        <w:rPr>
          <w:rFonts w:ascii="Arial" w:hAnsi="Arial" w:cs="Arial"/>
          <w:sz w:val="24"/>
          <w:szCs w:val="24"/>
          <w:lang w:val="en-US"/>
        </w:rPr>
        <w:t xml:space="preserve"> </w:t>
      </w:r>
      <w:r>
        <w:rPr>
          <w:rFonts w:ascii="Arial" w:hAnsi="Arial" w:cs="Arial"/>
          <w:sz w:val="24"/>
          <w:szCs w:val="24"/>
          <w:lang w:val="en-US"/>
        </w:rPr>
        <w:t>(</w:t>
      </w:r>
      <w:r w:rsidRPr="00367AE6">
        <w:rPr>
          <w:rFonts w:ascii="Arial" w:hAnsi="Arial" w:cs="Arial"/>
          <w:sz w:val="24"/>
          <w:szCs w:val="24"/>
          <w:lang w:val="en-US"/>
        </w:rPr>
        <w:t>Accessed 23 Jan. 2025</w:t>
      </w:r>
      <w:r>
        <w:rPr>
          <w:rFonts w:ascii="Arial" w:hAnsi="Arial" w:cs="Arial"/>
          <w:sz w:val="24"/>
          <w:szCs w:val="24"/>
          <w:lang w:val="en-US"/>
        </w:rPr>
        <w:t>)</w:t>
      </w:r>
      <w:r w:rsidRPr="00367AE6">
        <w:rPr>
          <w:rFonts w:ascii="Arial" w:hAnsi="Arial" w:cs="Arial"/>
          <w:sz w:val="24"/>
          <w:szCs w:val="24"/>
          <w:lang w:val="en-US"/>
        </w:rPr>
        <w:t>.</w:t>
      </w:r>
    </w:p>
    <w:p w14:paraId="6C07BDEA" w14:textId="77777777" w:rsidR="00CD2461" w:rsidRDefault="00CD2461" w:rsidP="00CD2461">
      <w:pPr>
        <w:spacing w:line="360" w:lineRule="auto"/>
        <w:jc w:val="both"/>
        <w:rPr>
          <w:rFonts w:ascii="Arial" w:hAnsi="Arial" w:cs="Arial"/>
          <w:sz w:val="24"/>
          <w:szCs w:val="24"/>
        </w:rPr>
      </w:pPr>
      <w:r w:rsidRPr="00367AE6">
        <w:rPr>
          <w:rFonts w:ascii="Arial" w:hAnsi="Arial" w:cs="Arial"/>
          <w:sz w:val="24"/>
          <w:szCs w:val="24"/>
        </w:rPr>
        <w:t>Rabbani, M.</w:t>
      </w:r>
      <w:r>
        <w:rPr>
          <w:rFonts w:ascii="Arial" w:hAnsi="Arial" w:cs="Arial"/>
          <w:sz w:val="24"/>
          <w:szCs w:val="24"/>
        </w:rPr>
        <w:t xml:space="preserve"> </w:t>
      </w:r>
      <w:r w:rsidRPr="00367AE6">
        <w:rPr>
          <w:rFonts w:ascii="Arial" w:hAnsi="Arial" w:cs="Arial"/>
          <w:sz w:val="24"/>
          <w:szCs w:val="24"/>
        </w:rPr>
        <w:t>A. and Uyar, T.</w:t>
      </w:r>
      <w:r>
        <w:rPr>
          <w:rFonts w:ascii="Arial" w:hAnsi="Arial" w:cs="Arial"/>
          <w:sz w:val="24"/>
          <w:szCs w:val="24"/>
        </w:rPr>
        <w:t xml:space="preserve"> </w:t>
      </w:r>
      <w:r w:rsidRPr="00367AE6">
        <w:rPr>
          <w:rFonts w:ascii="Arial" w:hAnsi="Arial" w:cs="Arial"/>
          <w:sz w:val="24"/>
          <w:szCs w:val="24"/>
        </w:rPr>
        <w:t>S., (2022). Bioenergy Production by Anaerobic Digestion. In </w:t>
      </w:r>
      <w:r w:rsidRPr="00367AE6">
        <w:rPr>
          <w:rFonts w:ascii="Arial" w:hAnsi="Arial" w:cs="Arial"/>
          <w:i/>
          <w:iCs/>
          <w:sz w:val="24"/>
          <w:szCs w:val="24"/>
        </w:rPr>
        <w:t>Renewable Energy Based Solutions</w:t>
      </w:r>
      <w:r w:rsidRPr="00367AE6">
        <w:rPr>
          <w:rFonts w:ascii="Arial" w:hAnsi="Arial" w:cs="Arial"/>
          <w:sz w:val="24"/>
          <w:szCs w:val="24"/>
        </w:rPr>
        <w:t> (pp. 395-424). Cham: Springer International Publishing.</w:t>
      </w:r>
      <w:r>
        <w:rPr>
          <w:rFonts w:ascii="Arial" w:hAnsi="Arial" w:cs="Arial"/>
          <w:sz w:val="24"/>
          <w:szCs w:val="24"/>
        </w:rPr>
        <w:t xml:space="preserve"> </w:t>
      </w:r>
      <w:r w:rsidRPr="00C85C92">
        <w:rPr>
          <w:rFonts w:ascii="Arial" w:hAnsi="Arial" w:cs="Arial"/>
          <w:sz w:val="24"/>
          <w:szCs w:val="24"/>
        </w:rPr>
        <w:t xml:space="preserve">Available at: </w:t>
      </w:r>
      <w:hyperlink r:id="rId20" w:history="1">
        <w:r w:rsidRPr="00353E15">
          <w:rPr>
            <w:rStyle w:val="Hyperlink"/>
            <w:rFonts w:ascii="Arial" w:hAnsi="Arial" w:cs="Arial"/>
            <w:sz w:val="24"/>
            <w:szCs w:val="24"/>
          </w:rPr>
          <w:t>https://doi.org/10.1007/978-3-031-05125-8_17</w:t>
        </w:r>
      </w:hyperlink>
      <w:r>
        <w:rPr>
          <w:rFonts w:ascii="Arial" w:hAnsi="Arial" w:cs="Arial"/>
          <w:sz w:val="24"/>
          <w:szCs w:val="24"/>
        </w:rPr>
        <w:t>.</w:t>
      </w:r>
    </w:p>
    <w:p w14:paraId="000D993F" w14:textId="77777777" w:rsidR="00CD2461" w:rsidRDefault="00CD2461" w:rsidP="00CD2461">
      <w:pPr>
        <w:spacing w:line="360" w:lineRule="auto"/>
        <w:jc w:val="both"/>
        <w:rPr>
          <w:rFonts w:ascii="Arial" w:hAnsi="Arial" w:cs="Arial"/>
          <w:sz w:val="24"/>
          <w:szCs w:val="24"/>
          <w:lang w:val="en-US"/>
        </w:rPr>
      </w:pPr>
      <w:r w:rsidRPr="00711D4F">
        <w:rPr>
          <w:rFonts w:ascii="Arial" w:hAnsi="Arial" w:cs="Arial"/>
          <w:sz w:val="24"/>
          <w:szCs w:val="24"/>
          <w:lang w:val="en-US"/>
        </w:rPr>
        <w:lastRenderedPageBreak/>
        <w:t xml:space="preserve">Rasel, M.A.B. (2024). Navigating Sustainability </w:t>
      </w:r>
      <w:proofErr w:type="gramStart"/>
      <w:r w:rsidRPr="00711D4F">
        <w:rPr>
          <w:rFonts w:ascii="Arial" w:hAnsi="Arial" w:cs="Arial"/>
          <w:sz w:val="24"/>
          <w:szCs w:val="24"/>
          <w:lang w:val="en-US"/>
        </w:rPr>
        <w:t>In</w:t>
      </w:r>
      <w:proofErr w:type="gramEnd"/>
      <w:r w:rsidRPr="00711D4F">
        <w:rPr>
          <w:rFonts w:ascii="Arial" w:hAnsi="Arial" w:cs="Arial"/>
          <w:sz w:val="24"/>
          <w:szCs w:val="24"/>
          <w:lang w:val="en-US"/>
        </w:rPr>
        <w:t xml:space="preserve"> the Tourism and Hospitality Industry: Transformation Under the Influence of Climatic Challenges. </w:t>
      </w:r>
      <w:proofErr w:type="spellStart"/>
      <w:r w:rsidRPr="00711D4F">
        <w:rPr>
          <w:rFonts w:ascii="Arial" w:hAnsi="Arial" w:cs="Arial"/>
          <w:i/>
          <w:iCs/>
          <w:sz w:val="24"/>
          <w:szCs w:val="24"/>
          <w:lang w:val="en-US"/>
        </w:rPr>
        <w:t>SocioEconomic</w:t>
      </w:r>
      <w:proofErr w:type="spellEnd"/>
      <w:r w:rsidRPr="00711D4F">
        <w:rPr>
          <w:rFonts w:ascii="Arial" w:hAnsi="Arial" w:cs="Arial"/>
          <w:i/>
          <w:iCs/>
          <w:sz w:val="24"/>
          <w:szCs w:val="24"/>
          <w:lang w:val="en-US"/>
        </w:rPr>
        <w:t xml:space="preserve"> Challenges</w:t>
      </w:r>
      <w:r w:rsidRPr="00711D4F">
        <w:rPr>
          <w:rFonts w:ascii="Arial" w:hAnsi="Arial" w:cs="Arial"/>
          <w:sz w:val="24"/>
          <w:szCs w:val="24"/>
          <w:lang w:val="en-US"/>
        </w:rPr>
        <w:t xml:space="preserve">, [online] 8(4), pp.112–120. </w:t>
      </w:r>
      <w:r w:rsidRPr="000B5A9C">
        <w:rPr>
          <w:rFonts w:ascii="Arial" w:hAnsi="Arial" w:cs="Arial"/>
          <w:sz w:val="24"/>
          <w:szCs w:val="24"/>
        </w:rPr>
        <w:t xml:space="preserve">Available at: </w:t>
      </w:r>
      <w:hyperlink r:id="rId21" w:history="1">
        <w:r w:rsidRPr="00353E15">
          <w:rPr>
            <w:rStyle w:val="Hyperlink"/>
            <w:rFonts w:ascii="Arial" w:hAnsi="Arial" w:cs="Arial"/>
            <w:sz w:val="24"/>
            <w:szCs w:val="24"/>
            <w:lang w:val="en-US"/>
          </w:rPr>
          <w:t>https://doi.org/10.61093/sec.8(4).112-120.2024</w:t>
        </w:r>
      </w:hyperlink>
    </w:p>
    <w:p w14:paraId="24BCB445" w14:textId="77777777" w:rsidR="00CD2461" w:rsidRDefault="00CD2461" w:rsidP="00CD2461">
      <w:pPr>
        <w:spacing w:line="360" w:lineRule="auto"/>
        <w:jc w:val="both"/>
        <w:rPr>
          <w:rFonts w:ascii="Arial" w:hAnsi="Arial" w:cs="Arial"/>
          <w:sz w:val="24"/>
          <w:szCs w:val="24"/>
          <w:lang w:val="en-US"/>
        </w:rPr>
      </w:pPr>
      <w:r w:rsidRPr="006B4CE1">
        <w:rPr>
          <w:rFonts w:ascii="Arial" w:hAnsi="Arial" w:cs="Arial"/>
          <w:sz w:val="24"/>
          <w:szCs w:val="24"/>
        </w:rPr>
        <w:t xml:space="preserve">Rene, E.R., </w:t>
      </w:r>
      <w:proofErr w:type="spellStart"/>
      <w:r w:rsidRPr="006B4CE1">
        <w:rPr>
          <w:rFonts w:ascii="Arial" w:hAnsi="Arial" w:cs="Arial"/>
          <w:sz w:val="24"/>
          <w:szCs w:val="24"/>
        </w:rPr>
        <w:t>Sethurajan</w:t>
      </w:r>
      <w:proofErr w:type="spellEnd"/>
      <w:r w:rsidRPr="006B4CE1">
        <w:rPr>
          <w:rFonts w:ascii="Arial" w:hAnsi="Arial" w:cs="Arial"/>
          <w:sz w:val="24"/>
          <w:szCs w:val="24"/>
        </w:rPr>
        <w:t xml:space="preserve">, M., </w:t>
      </w:r>
      <w:proofErr w:type="spellStart"/>
      <w:r w:rsidRPr="006B4CE1">
        <w:rPr>
          <w:rFonts w:ascii="Arial" w:hAnsi="Arial" w:cs="Arial"/>
          <w:sz w:val="24"/>
          <w:szCs w:val="24"/>
        </w:rPr>
        <w:t>Ponnusamy</w:t>
      </w:r>
      <w:proofErr w:type="spellEnd"/>
      <w:r w:rsidRPr="006B4CE1">
        <w:rPr>
          <w:rFonts w:ascii="Arial" w:hAnsi="Arial" w:cs="Arial"/>
          <w:sz w:val="24"/>
          <w:szCs w:val="24"/>
        </w:rPr>
        <w:t xml:space="preserve">, V.K., Kumar, G., Dung, T.N.B., </w:t>
      </w:r>
      <w:proofErr w:type="spellStart"/>
      <w:r w:rsidRPr="006B4CE1">
        <w:rPr>
          <w:rFonts w:ascii="Arial" w:hAnsi="Arial" w:cs="Arial"/>
          <w:sz w:val="24"/>
          <w:szCs w:val="24"/>
        </w:rPr>
        <w:t>Brindhadevi</w:t>
      </w:r>
      <w:proofErr w:type="spellEnd"/>
      <w:r w:rsidRPr="006B4CE1">
        <w:rPr>
          <w:rFonts w:ascii="Arial" w:hAnsi="Arial" w:cs="Arial"/>
          <w:sz w:val="24"/>
          <w:szCs w:val="24"/>
        </w:rPr>
        <w:t xml:space="preserve">, K. and </w:t>
      </w:r>
      <w:proofErr w:type="spellStart"/>
      <w:r w:rsidRPr="006B4CE1">
        <w:rPr>
          <w:rFonts w:ascii="Arial" w:hAnsi="Arial" w:cs="Arial"/>
          <w:sz w:val="24"/>
          <w:szCs w:val="24"/>
        </w:rPr>
        <w:t>Pugazhendhi</w:t>
      </w:r>
      <w:proofErr w:type="spellEnd"/>
      <w:r w:rsidRPr="006B4CE1">
        <w:rPr>
          <w:rFonts w:ascii="Arial" w:hAnsi="Arial" w:cs="Arial"/>
          <w:sz w:val="24"/>
          <w:szCs w:val="24"/>
        </w:rPr>
        <w:t>, A., 2021. Electronic waste generation, recycling and resource recovery: Technological perspectives and trends. </w:t>
      </w:r>
      <w:r w:rsidRPr="006B4CE1">
        <w:rPr>
          <w:rFonts w:ascii="Arial" w:hAnsi="Arial" w:cs="Arial"/>
          <w:i/>
          <w:iCs/>
          <w:sz w:val="24"/>
          <w:szCs w:val="24"/>
        </w:rPr>
        <w:t>Journal of Hazardous Materials</w:t>
      </w:r>
      <w:r w:rsidRPr="006B4CE1">
        <w:rPr>
          <w:rFonts w:ascii="Arial" w:hAnsi="Arial" w:cs="Arial"/>
          <w:sz w:val="24"/>
          <w:szCs w:val="24"/>
        </w:rPr>
        <w:t>, </w:t>
      </w:r>
      <w:r w:rsidRPr="006B4CE1">
        <w:rPr>
          <w:rFonts w:ascii="Arial" w:hAnsi="Arial" w:cs="Arial"/>
          <w:i/>
          <w:iCs/>
          <w:sz w:val="24"/>
          <w:szCs w:val="24"/>
        </w:rPr>
        <w:t>416</w:t>
      </w:r>
      <w:r w:rsidRPr="006B4CE1">
        <w:rPr>
          <w:rFonts w:ascii="Arial" w:hAnsi="Arial" w:cs="Arial"/>
          <w:sz w:val="24"/>
          <w:szCs w:val="24"/>
        </w:rPr>
        <w:t>, p.125664.</w:t>
      </w:r>
      <w:r>
        <w:rPr>
          <w:rFonts w:ascii="Arial" w:hAnsi="Arial" w:cs="Arial"/>
          <w:sz w:val="24"/>
          <w:szCs w:val="24"/>
        </w:rPr>
        <w:t xml:space="preserve"> </w:t>
      </w:r>
      <w:r w:rsidRPr="000B5A9C">
        <w:rPr>
          <w:rFonts w:ascii="Arial" w:hAnsi="Arial" w:cs="Arial"/>
          <w:sz w:val="24"/>
          <w:szCs w:val="24"/>
        </w:rPr>
        <w:t xml:space="preserve">Available at: </w:t>
      </w:r>
      <w:hyperlink r:id="rId22" w:history="1">
        <w:r w:rsidRPr="00B54D26">
          <w:rPr>
            <w:rStyle w:val="Hyperlink"/>
            <w:rFonts w:ascii="Arial" w:hAnsi="Arial" w:cs="Arial"/>
            <w:sz w:val="24"/>
            <w:szCs w:val="24"/>
            <w:lang w:val="en-US"/>
          </w:rPr>
          <w:t>https://doi.org/10.1016/j.jhazmat.2021.125664</w:t>
        </w:r>
      </w:hyperlink>
      <w:r w:rsidRPr="00B54D26">
        <w:rPr>
          <w:rFonts w:ascii="Arial" w:hAnsi="Arial" w:cs="Arial"/>
          <w:sz w:val="24"/>
          <w:szCs w:val="24"/>
          <w:lang w:val="en-US"/>
        </w:rPr>
        <w:t>.</w:t>
      </w:r>
    </w:p>
    <w:p w14:paraId="765C7F40" w14:textId="77777777" w:rsidR="00CD2461" w:rsidRDefault="00CD2461" w:rsidP="00CD2461">
      <w:pPr>
        <w:spacing w:line="360" w:lineRule="auto"/>
        <w:jc w:val="both"/>
        <w:rPr>
          <w:rFonts w:ascii="Arial" w:hAnsi="Arial" w:cs="Arial"/>
          <w:sz w:val="24"/>
          <w:szCs w:val="24"/>
          <w:lang w:val="en-US"/>
        </w:rPr>
      </w:pPr>
      <w:proofErr w:type="spellStart"/>
      <w:r w:rsidRPr="002040FC">
        <w:rPr>
          <w:rFonts w:ascii="Arial" w:hAnsi="Arial" w:cs="Arial"/>
          <w:sz w:val="24"/>
          <w:szCs w:val="24"/>
          <w:lang w:val="en-US"/>
        </w:rPr>
        <w:t>Salmenperä</w:t>
      </w:r>
      <w:proofErr w:type="spellEnd"/>
      <w:r w:rsidRPr="002040FC">
        <w:rPr>
          <w:rFonts w:ascii="Arial" w:hAnsi="Arial" w:cs="Arial"/>
          <w:sz w:val="24"/>
          <w:szCs w:val="24"/>
          <w:lang w:val="en-US"/>
        </w:rPr>
        <w:t xml:space="preserve">, H., </w:t>
      </w:r>
      <w:proofErr w:type="spellStart"/>
      <w:r w:rsidRPr="002040FC">
        <w:rPr>
          <w:rFonts w:ascii="Arial" w:hAnsi="Arial" w:cs="Arial"/>
          <w:sz w:val="24"/>
          <w:szCs w:val="24"/>
          <w:lang w:val="en-US"/>
        </w:rPr>
        <w:t>Pitkänen</w:t>
      </w:r>
      <w:proofErr w:type="spellEnd"/>
      <w:r w:rsidRPr="002040FC">
        <w:rPr>
          <w:rFonts w:ascii="Arial" w:hAnsi="Arial" w:cs="Arial"/>
          <w:sz w:val="24"/>
          <w:szCs w:val="24"/>
          <w:lang w:val="en-US"/>
        </w:rPr>
        <w:t xml:space="preserve">, K., </w:t>
      </w:r>
      <w:proofErr w:type="spellStart"/>
      <w:r w:rsidRPr="002040FC">
        <w:rPr>
          <w:rFonts w:ascii="Arial" w:hAnsi="Arial" w:cs="Arial"/>
          <w:sz w:val="24"/>
          <w:szCs w:val="24"/>
          <w:lang w:val="en-US"/>
        </w:rPr>
        <w:t>Kautto</w:t>
      </w:r>
      <w:proofErr w:type="spellEnd"/>
      <w:r w:rsidRPr="002040FC">
        <w:rPr>
          <w:rFonts w:ascii="Arial" w:hAnsi="Arial" w:cs="Arial"/>
          <w:sz w:val="24"/>
          <w:szCs w:val="24"/>
          <w:lang w:val="en-US"/>
        </w:rPr>
        <w:t xml:space="preserve">, P. and </w:t>
      </w:r>
      <w:proofErr w:type="spellStart"/>
      <w:r w:rsidRPr="002040FC">
        <w:rPr>
          <w:rFonts w:ascii="Arial" w:hAnsi="Arial" w:cs="Arial"/>
          <w:sz w:val="24"/>
          <w:szCs w:val="24"/>
          <w:lang w:val="en-US"/>
        </w:rPr>
        <w:t>Saikku</w:t>
      </w:r>
      <w:proofErr w:type="spellEnd"/>
      <w:r w:rsidRPr="002040FC">
        <w:rPr>
          <w:rFonts w:ascii="Arial" w:hAnsi="Arial" w:cs="Arial"/>
          <w:sz w:val="24"/>
          <w:szCs w:val="24"/>
          <w:lang w:val="en-US"/>
        </w:rPr>
        <w:t>, L. (2021). Critical factors for enhancing the circular economy in waste management. </w:t>
      </w:r>
      <w:r w:rsidRPr="002040FC">
        <w:rPr>
          <w:rFonts w:ascii="Arial" w:hAnsi="Arial" w:cs="Arial"/>
          <w:i/>
          <w:iCs/>
          <w:sz w:val="24"/>
          <w:szCs w:val="24"/>
          <w:lang w:val="en-US"/>
        </w:rPr>
        <w:t>Journal of Cleaner Production</w:t>
      </w:r>
      <w:r w:rsidRPr="002040FC">
        <w:rPr>
          <w:rFonts w:ascii="Arial" w:hAnsi="Arial" w:cs="Arial"/>
          <w:sz w:val="24"/>
          <w:szCs w:val="24"/>
          <w:lang w:val="en-US"/>
        </w:rPr>
        <w:t xml:space="preserve">, 280(1), p.124339. </w:t>
      </w:r>
      <w:r w:rsidRPr="000B5A9C">
        <w:rPr>
          <w:rFonts w:ascii="Arial" w:hAnsi="Arial" w:cs="Arial"/>
          <w:sz w:val="24"/>
          <w:szCs w:val="24"/>
        </w:rPr>
        <w:t>Available at:</w:t>
      </w:r>
      <w:r>
        <w:rPr>
          <w:rFonts w:ascii="Arial" w:hAnsi="Arial" w:cs="Arial"/>
          <w:sz w:val="24"/>
          <w:szCs w:val="24"/>
        </w:rPr>
        <w:t xml:space="preserve"> </w:t>
      </w:r>
      <w:hyperlink r:id="rId23" w:history="1">
        <w:r w:rsidRPr="002040FC">
          <w:rPr>
            <w:rStyle w:val="Hyperlink"/>
            <w:rFonts w:ascii="Arial" w:hAnsi="Arial" w:cs="Arial"/>
            <w:sz w:val="24"/>
            <w:szCs w:val="24"/>
            <w:lang w:val="en-US"/>
          </w:rPr>
          <w:t>https://doi.org/10.1016/j.jclepro.2020.124339</w:t>
        </w:r>
      </w:hyperlink>
      <w:r w:rsidRPr="002040FC">
        <w:rPr>
          <w:rFonts w:ascii="Arial" w:hAnsi="Arial" w:cs="Arial"/>
          <w:sz w:val="24"/>
          <w:szCs w:val="24"/>
          <w:lang w:val="en-US"/>
        </w:rPr>
        <w:t>.</w:t>
      </w:r>
    </w:p>
    <w:p w14:paraId="558AACF7" w14:textId="77777777" w:rsidR="00CD2461" w:rsidRPr="00367AE6" w:rsidRDefault="00CD2461" w:rsidP="00CD2461">
      <w:pPr>
        <w:spacing w:line="360" w:lineRule="auto"/>
        <w:jc w:val="both"/>
        <w:rPr>
          <w:rFonts w:ascii="Arial" w:hAnsi="Arial" w:cs="Arial"/>
          <w:sz w:val="24"/>
          <w:szCs w:val="24"/>
          <w:lang w:val="en-US"/>
        </w:rPr>
      </w:pPr>
      <w:r w:rsidRPr="00367AE6">
        <w:rPr>
          <w:rFonts w:ascii="Arial" w:hAnsi="Arial" w:cs="Arial"/>
          <w:sz w:val="24"/>
          <w:szCs w:val="24"/>
          <w:lang w:val="en-US"/>
        </w:rPr>
        <w:t xml:space="preserve">Scandic (2023). </w:t>
      </w:r>
      <w:r w:rsidRPr="00367AE6">
        <w:rPr>
          <w:rFonts w:ascii="Arial" w:hAnsi="Arial" w:cs="Arial"/>
          <w:i/>
          <w:iCs/>
          <w:sz w:val="24"/>
          <w:szCs w:val="24"/>
          <w:lang w:val="en-US"/>
        </w:rPr>
        <w:t>Food waste policy | Scandic Hotels Group AB</w:t>
      </w:r>
      <w:r w:rsidRPr="00367AE6">
        <w:rPr>
          <w:rFonts w:ascii="Arial" w:hAnsi="Arial" w:cs="Arial"/>
          <w:sz w:val="24"/>
          <w:szCs w:val="24"/>
          <w:lang w:val="en-US"/>
        </w:rPr>
        <w:t xml:space="preserve">. [online] Scandichotelsgroup.com. Available at: </w:t>
      </w:r>
      <w:hyperlink r:id="rId24" w:history="1">
        <w:r w:rsidRPr="00367AE6">
          <w:rPr>
            <w:rStyle w:val="Hyperlink"/>
            <w:rFonts w:ascii="Arial" w:hAnsi="Arial" w:cs="Arial"/>
            <w:sz w:val="24"/>
            <w:szCs w:val="24"/>
            <w:lang w:val="en-US"/>
          </w:rPr>
          <w:t>https://www.scandichotelsgroup.com/sustainability/governance-and-reports/food-waste-policy/</w:t>
        </w:r>
      </w:hyperlink>
      <w:r w:rsidRPr="00367AE6">
        <w:rPr>
          <w:rFonts w:ascii="Arial" w:hAnsi="Arial" w:cs="Arial"/>
          <w:sz w:val="24"/>
          <w:szCs w:val="24"/>
          <w:lang w:val="en-US"/>
        </w:rPr>
        <w:t xml:space="preserve"> </w:t>
      </w:r>
      <w:r>
        <w:rPr>
          <w:rFonts w:ascii="Arial" w:hAnsi="Arial" w:cs="Arial"/>
          <w:sz w:val="24"/>
          <w:szCs w:val="24"/>
          <w:lang w:val="en-US"/>
        </w:rPr>
        <w:t>(</w:t>
      </w:r>
      <w:r w:rsidRPr="00367AE6">
        <w:rPr>
          <w:rFonts w:ascii="Arial" w:hAnsi="Arial" w:cs="Arial"/>
          <w:sz w:val="24"/>
          <w:szCs w:val="24"/>
          <w:lang w:val="en-US"/>
        </w:rPr>
        <w:t>Accessed 23 Jan. 2025</w:t>
      </w:r>
      <w:r>
        <w:rPr>
          <w:rFonts w:ascii="Arial" w:hAnsi="Arial" w:cs="Arial"/>
          <w:sz w:val="24"/>
          <w:szCs w:val="24"/>
          <w:lang w:val="en-US"/>
        </w:rPr>
        <w:t>)</w:t>
      </w:r>
      <w:r w:rsidRPr="00367AE6">
        <w:rPr>
          <w:rFonts w:ascii="Arial" w:hAnsi="Arial" w:cs="Arial"/>
          <w:sz w:val="24"/>
          <w:szCs w:val="24"/>
          <w:lang w:val="en-US"/>
        </w:rPr>
        <w:t>.</w:t>
      </w:r>
    </w:p>
    <w:p w14:paraId="441A5D2B" w14:textId="77777777" w:rsidR="00CD2461" w:rsidRPr="00367AE6" w:rsidRDefault="00CD2461" w:rsidP="00CD2461">
      <w:pPr>
        <w:spacing w:line="360" w:lineRule="auto"/>
        <w:jc w:val="both"/>
        <w:rPr>
          <w:rFonts w:ascii="Arial" w:hAnsi="Arial" w:cs="Arial"/>
          <w:sz w:val="24"/>
          <w:szCs w:val="24"/>
          <w:lang w:val="en-US"/>
        </w:rPr>
      </w:pPr>
      <w:r w:rsidRPr="00367AE6">
        <w:rPr>
          <w:rFonts w:ascii="Arial" w:hAnsi="Arial" w:cs="Arial"/>
          <w:sz w:val="24"/>
          <w:szCs w:val="24"/>
          <w:lang w:val="en-US"/>
        </w:rPr>
        <w:t>Statista (2024). </w:t>
      </w:r>
      <w:r w:rsidRPr="00367AE6">
        <w:rPr>
          <w:rFonts w:ascii="Arial" w:hAnsi="Arial" w:cs="Arial"/>
          <w:i/>
          <w:iCs/>
          <w:sz w:val="24"/>
          <w:szCs w:val="24"/>
          <w:lang w:val="en-US"/>
        </w:rPr>
        <w:t>Share of travelers choosing eco-friendly hotels UK 2022</w:t>
      </w:r>
      <w:r w:rsidRPr="00367AE6">
        <w:rPr>
          <w:rFonts w:ascii="Arial" w:hAnsi="Arial" w:cs="Arial"/>
          <w:sz w:val="24"/>
          <w:szCs w:val="24"/>
          <w:lang w:val="en-US"/>
        </w:rPr>
        <w:t xml:space="preserve">. [online] Statista. Available at: </w:t>
      </w:r>
      <w:hyperlink r:id="rId25" w:history="1">
        <w:r w:rsidRPr="00367AE6">
          <w:rPr>
            <w:rStyle w:val="Hyperlink"/>
            <w:rFonts w:ascii="Arial" w:hAnsi="Arial" w:cs="Arial"/>
            <w:sz w:val="24"/>
            <w:szCs w:val="24"/>
            <w:lang w:val="en-US"/>
          </w:rPr>
          <w:t>https://www.statista.com/statistics/1340780/travelers-choosing-ecofriendly-hotels-uk/</w:t>
        </w:r>
      </w:hyperlink>
      <w:r w:rsidRPr="00367AE6">
        <w:rPr>
          <w:rFonts w:ascii="Arial" w:hAnsi="Arial" w:cs="Arial"/>
          <w:sz w:val="24"/>
          <w:szCs w:val="24"/>
          <w:lang w:val="en-US"/>
        </w:rPr>
        <w:t xml:space="preserve"> </w:t>
      </w:r>
      <w:r>
        <w:rPr>
          <w:rFonts w:ascii="Arial" w:hAnsi="Arial" w:cs="Arial"/>
          <w:sz w:val="24"/>
          <w:szCs w:val="24"/>
          <w:lang w:val="en-US"/>
        </w:rPr>
        <w:t>(</w:t>
      </w:r>
      <w:r w:rsidRPr="00367AE6">
        <w:rPr>
          <w:rFonts w:ascii="Arial" w:hAnsi="Arial" w:cs="Arial"/>
          <w:sz w:val="24"/>
          <w:szCs w:val="24"/>
          <w:lang w:val="en-US"/>
        </w:rPr>
        <w:t>Accessed 23 Jan. 2025</w:t>
      </w:r>
      <w:r>
        <w:rPr>
          <w:rFonts w:ascii="Arial" w:hAnsi="Arial" w:cs="Arial"/>
          <w:sz w:val="24"/>
          <w:szCs w:val="24"/>
          <w:lang w:val="en-US"/>
        </w:rPr>
        <w:t>)</w:t>
      </w:r>
      <w:r w:rsidRPr="00367AE6">
        <w:rPr>
          <w:rFonts w:ascii="Arial" w:hAnsi="Arial" w:cs="Arial"/>
          <w:sz w:val="24"/>
          <w:szCs w:val="24"/>
          <w:lang w:val="en-US"/>
        </w:rPr>
        <w:t>.</w:t>
      </w:r>
    </w:p>
    <w:p w14:paraId="42750181" w14:textId="77777777" w:rsidR="00CD2461" w:rsidRPr="00367AE6" w:rsidRDefault="00CD2461" w:rsidP="00CD2461">
      <w:pPr>
        <w:spacing w:line="360" w:lineRule="auto"/>
        <w:jc w:val="both"/>
        <w:rPr>
          <w:rFonts w:ascii="Arial" w:hAnsi="Arial" w:cs="Arial"/>
          <w:sz w:val="24"/>
          <w:szCs w:val="24"/>
          <w:lang w:val="en-US"/>
        </w:rPr>
      </w:pPr>
      <w:r w:rsidRPr="00367AE6">
        <w:rPr>
          <w:rFonts w:ascii="Arial" w:hAnsi="Arial" w:cs="Arial"/>
          <w:sz w:val="24"/>
          <w:szCs w:val="24"/>
          <w:lang w:val="en-US"/>
        </w:rPr>
        <w:t>Statista. (2024). </w:t>
      </w:r>
      <w:r w:rsidRPr="00367AE6">
        <w:rPr>
          <w:rFonts w:ascii="Arial" w:hAnsi="Arial" w:cs="Arial"/>
          <w:i/>
          <w:iCs/>
          <w:sz w:val="24"/>
          <w:szCs w:val="24"/>
          <w:lang w:val="en-US"/>
        </w:rPr>
        <w:t>Paying more for sustainable hotels Great Britain 2024 | Statista</w:t>
      </w:r>
      <w:r w:rsidRPr="00367AE6">
        <w:rPr>
          <w:rFonts w:ascii="Arial" w:hAnsi="Arial" w:cs="Arial"/>
          <w:sz w:val="24"/>
          <w:szCs w:val="24"/>
          <w:lang w:val="en-US"/>
        </w:rPr>
        <w:t xml:space="preserve">. [online] Available at: </w:t>
      </w:r>
      <w:hyperlink r:id="rId26" w:history="1">
        <w:r w:rsidRPr="00367AE6">
          <w:rPr>
            <w:rStyle w:val="Hyperlink"/>
            <w:rFonts w:ascii="Arial" w:hAnsi="Arial" w:cs="Arial"/>
            <w:sz w:val="24"/>
            <w:szCs w:val="24"/>
            <w:lang w:val="en-US"/>
          </w:rPr>
          <w:t>https://www.statista.com/statistics/1482159/willingness-pay-sustainable-hotels-great-britain/</w:t>
        </w:r>
      </w:hyperlink>
      <w:r w:rsidRPr="00367AE6">
        <w:rPr>
          <w:rFonts w:ascii="Arial" w:hAnsi="Arial" w:cs="Arial"/>
          <w:sz w:val="24"/>
          <w:szCs w:val="24"/>
          <w:lang w:val="en-US"/>
        </w:rPr>
        <w:t xml:space="preserve"> </w:t>
      </w:r>
      <w:r>
        <w:rPr>
          <w:rFonts w:ascii="Arial" w:hAnsi="Arial" w:cs="Arial"/>
          <w:sz w:val="24"/>
          <w:szCs w:val="24"/>
          <w:lang w:val="en-US"/>
        </w:rPr>
        <w:t>(</w:t>
      </w:r>
      <w:r w:rsidRPr="00367AE6">
        <w:rPr>
          <w:rFonts w:ascii="Arial" w:hAnsi="Arial" w:cs="Arial"/>
          <w:sz w:val="24"/>
          <w:szCs w:val="24"/>
          <w:lang w:val="en-US"/>
        </w:rPr>
        <w:t>Accessed 23 Jan. 2025</w:t>
      </w:r>
      <w:r>
        <w:rPr>
          <w:rFonts w:ascii="Arial" w:hAnsi="Arial" w:cs="Arial"/>
          <w:sz w:val="24"/>
          <w:szCs w:val="24"/>
          <w:lang w:val="en-US"/>
        </w:rPr>
        <w:t>)</w:t>
      </w:r>
      <w:r w:rsidRPr="00367AE6">
        <w:rPr>
          <w:rFonts w:ascii="Arial" w:hAnsi="Arial" w:cs="Arial"/>
          <w:sz w:val="24"/>
          <w:szCs w:val="24"/>
          <w:lang w:val="en-US"/>
        </w:rPr>
        <w:t>.</w:t>
      </w:r>
    </w:p>
    <w:p w14:paraId="1DC78543" w14:textId="77777777" w:rsidR="00CD2461" w:rsidRPr="00367AE6" w:rsidRDefault="00CD2461" w:rsidP="00CD2461">
      <w:pPr>
        <w:spacing w:line="360" w:lineRule="auto"/>
        <w:jc w:val="both"/>
        <w:rPr>
          <w:rFonts w:ascii="Arial" w:hAnsi="Arial" w:cs="Arial"/>
          <w:sz w:val="24"/>
          <w:szCs w:val="24"/>
          <w:lang w:val="en-US"/>
        </w:rPr>
      </w:pPr>
      <w:r w:rsidRPr="00367AE6">
        <w:rPr>
          <w:rFonts w:ascii="Arial" w:hAnsi="Arial" w:cs="Arial"/>
          <w:sz w:val="24"/>
          <w:szCs w:val="24"/>
          <w:lang w:val="en-US"/>
        </w:rPr>
        <w:t>Steph H</w:t>
      </w:r>
      <w:r>
        <w:rPr>
          <w:rFonts w:ascii="Arial" w:hAnsi="Arial" w:cs="Arial"/>
          <w:sz w:val="24"/>
          <w:szCs w:val="24"/>
          <w:lang w:val="en-US"/>
        </w:rPr>
        <w:t xml:space="preserve">., </w:t>
      </w:r>
      <w:r w:rsidRPr="00367AE6">
        <w:rPr>
          <w:rFonts w:ascii="Arial" w:hAnsi="Arial" w:cs="Arial"/>
          <w:sz w:val="24"/>
          <w:szCs w:val="24"/>
          <w:lang w:val="en-US"/>
        </w:rPr>
        <w:t>(2018). </w:t>
      </w:r>
      <w:r w:rsidRPr="00367AE6">
        <w:rPr>
          <w:rFonts w:ascii="Arial" w:hAnsi="Arial" w:cs="Arial"/>
          <w:i/>
          <w:iCs/>
          <w:sz w:val="24"/>
          <w:szCs w:val="24"/>
          <w:lang w:val="en-US"/>
        </w:rPr>
        <w:t>The hospitality industry’s relationship with waste</w:t>
      </w:r>
      <w:r w:rsidRPr="00367AE6">
        <w:rPr>
          <w:rFonts w:ascii="Arial" w:hAnsi="Arial" w:cs="Arial"/>
          <w:sz w:val="24"/>
          <w:szCs w:val="24"/>
          <w:lang w:val="en-US"/>
        </w:rPr>
        <w:t xml:space="preserve">. [online] Open Access Government. Available at: </w:t>
      </w:r>
      <w:hyperlink r:id="rId27" w:history="1">
        <w:r w:rsidRPr="00367AE6">
          <w:rPr>
            <w:rStyle w:val="Hyperlink"/>
            <w:rFonts w:ascii="Arial" w:hAnsi="Arial" w:cs="Arial"/>
            <w:sz w:val="24"/>
            <w:szCs w:val="24"/>
            <w:lang w:val="en-US"/>
          </w:rPr>
          <w:t>https://www.openaccessgovernment.org/hospitality-industry-waste/51174/</w:t>
        </w:r>
      </w:hyperlink>
      <w:r w:rsidRPr="00367AE6">
        <w:rPr>
          <w:rFonts w:ascii="Arial" w:hAnsi="Arial" w:cs="Arial"/>
          <w:sz w:val="24"/>
          <w:szCs w:val="24"/>
          <w:lang w:val="en-US"/>
        </w:rPr>
        <w:t xml:space="preserve"> </w:t>
      </w:r>
      <w:r>
        <w:rPr>
          <w:rFonts w:ascii="Arial" w:hAnsi="Arial" w:cs="Arial"/>
          <w:sz w:val="24"/>
          <w:szCs w:val="24"/>
          <w:lang w:val="en-US"/>
        </w:rPr>
        <w:t>(</w:t>
      </w:r>
      <w:r w:rsidRPr="00367AE6">
        <w:rPr>
          <w:rFonts w:ascii="Arial" w:hAnsi="Arial" w:cs="Arial"/>
          <w:sz w:val="24"/>
          <w:szCs w:val="24"/>
          <w:lang w:val="en-US"/>
        </w:rPr>
        <w:t>Accessed 21 Jan. 2025</w:t>
      </w:r>
      <w:r>
        <w:rPr>
          <w:rFonts w:ascii="Arial" w:hAnsi="Arial" w:cs="Arial"/>
          <w:sz w:val="24"/>
          <w:szCs w:val="24"/>
          <w:lang w:val="en-US"/>
        </w:rPr>
        <w:t>)</w:t>
      </w:r>
      <w:r w:rsidRPr="00367AE6">
        <w:rPr>
          <w:rFonts w:ascii="Arial" w:hAnsi="Arial" w:cs="Arial"/>
          <w:sz w:val="24"/>
          <w:szCs w:val="24"/>
          <w:lang w:val="en-US"/>
        </w:rPr>
        <w:t>.</w:t>
      </w:r>
    </w:p>
    <w:p w14:paraId="0A501530" w14:textId="77777777" w:rsidR="00CD2461" w:rsidRDefault="00CD2461" w:rsidP="00CD2461">
      <w:pPr>
        <w:spacing w:line="360" w:lineRule="auto"/>
        <w:jc w:val="both"/>
        <w:rPr>
          <w:rFonts w:ascii="Arial" w:hAnsi="Arial" w:cs="Arial"/>
          <w:sz w:val="24"/>
          <w:szCs w:val="24"/>
          <w:lang w:val="en-US"/>
        </w:rPr>
      </w:pPr>
      <w:proofErr w:type="spellStart"/>
      <w:r w:rsidRPr="00842938">
        <w:rPr>
          <w:rFonts w:ascii="Arial" w:hAnsi="Arial" w:cs="Arial"/>
          <w:sz w:val="24"/>
          <w:szCs w:val="24"/>
          <w:lang w:val="en-US"/>
        </w:rPr>
        <w:t>Taddei</w:t>
      </w:r>
      <w:proofErr w:type="spellEnd"/>
      <w:r w:rsidRPr="00842938">
        <w:rPr>
          <w:rFonts w:ascii="Arial" w:hAnsi="Arial" w:cs="Arial"/>
          <w:sz w:val="24"/>
          <w:szCs w:val="24"/>
          <w:lang w:val="en-US"/>
        </w:rPr>
        <w:t xml:space="preserve">, E., </w:t>
      </w:r>
      <w:proofErr w:type="spellStart"/>
      <w:r w:rsidRPr="00842938">
        <w:rPr>
          <w:rFonts w:ascii="Arial" w:hAnsi="Arial" w:cs="Arial"/>
          <w:sz w:val="24"/>
          <w:szCs w:val="24"/>
          <w:lang w:val="en-US"/>
        </w:rPr>
        <w:t>Sassanelli</w:t>
      </w:r>
      <w:proofErr w:type="spellEnd"/>
      <w:r w:rsidRPr="00842938">
        <w:rPr>
          <w:rFonts w:ascii="Arial" w:hAnsi="Arial" w:cs="Arial"/>
          <w:sz w:val="24"/>
          <w:szCs w:val="24"/>
          <w:lang w:val="en-US"/>
        </w:rPr>
        <w:t>, C., Rosa, P. and Terzi, S. (2022). Circular supply chains in the era of industry 4.0: A systematic literature review. </w:t>
      </w:r>
      <w:r w:rsidRPr="00842938">
        <w:rPr>
          <w:rFonts w:ascii="Arial" w:hAnsi="Arial" w:cs="Arial"/>
          <w:i/>
          <w:iCs/>
          <w:sz w:val="24"/>
          <w:szCs w:val="24"/>
          <w:lang w:val="en-US"/>
        </w:rPr>
        <w:t>Computers &amp; Industrial Engineering</w:t>
      </w:r>
      <w:r w:rsidRPr="00842938">
        <w:rPr>
          <w:rFonts w:ascii="Arial" w:hAnsi="Arial" w:cs="Arial"/>
          <w:sz w:val="24"/>
          <w:szCs w:val="24"/>
          <w:lang w:val="en-US"/>
        </w:rPr>
        <w:t xml:space="preserve">, 170, p.108268. </w:t>
      </w:r>
      <w:r w:rsidRPr="003035F1">
        <w:rPr>
          <w:rFonts w:ascii="Arial" w:hAnsi="Arial" w:cs="Arial"/>
          <w:sz w:val="24"/>
          <w:szCs w:val="24"/>
          <w:lang w:val="en-US"/>
        </w:rPr>
        <w:t xml:space="preserve">Available at: </w:t>
      </w:r>
      <w:hyperlink r:id="rId28" w:history="1">
        <w:r w:rsidRPr="00842938">
          <w:rPr>
            <w:rStyle w:val="Hyperlink"/>
            <w:rFonts w:ascii="Arial" w:hAnsi="Arial" w:cs="Arial"/>
            <w:sz w:val="24"/>
            <w:szCs w:val="24"/>
            <w:lang w:val="en-US"/>
          </w:rPr>
          <w:t>https://doi.org/10.1016/j.cie.2022.108268</w:t>
        </w:r>
      </w:hyperlink>
      <w:r w:rsidRPr="00842938">
        <w:rPr>
          <w:rFonts w:ascii="Arial" w:hAnsi="Arial" w:cs="Arial"/>
          <w:sz w:val="24"/>
          <w:szCs w:val="24"/>
          <w:lang w:val="en-US"/>
        </w:rPr>
        <w:t>.</w:t>
      </w:r>
    </w:p>
    <w:p w14:paraId="3D498E9B" w14:textId="77777777" w:rsidR="00CD2461" w:rsidRDefault="00CD2461" w:rsidP="00CD2461">
      <w:pPr>
        <w:spacing w:line="360" w:lineRule="auto"/>
        <w:jc w:val="both"/>
        <w:rPr>
          <w:rFonts w:ascii="Arial" w:hAnsi="Arial" w:cs="Arial"/>
          <w:sz w:val="24"/>
          <w:szCs w:val="24"/>
          <w:lang w:val="en-US"/>
        </w:rPr>
      </w:pPr>
      <w:proofErr w:type="spellStart"/>
      <w:r w:rsidRPr="003035F1">
        <w:rPr>
          <w:rFonts w:ascii="Arial" w:hAnsi="Arial" w:cs="Arial"/>
          <w:sz w:val="24"/>
          <w:szCs w:val="24"/>
          <w:lang w:val="en-US"/>
        </w:rPr>
        <w:t>Talonen</w:t>
      </w:r>
      <w:proofErr w:type="spellEnd"/>
      <w:r w:rsidRPr="003035F1">
        <w:rPr>
          <w:rFonts w:ascii="Arial" w:hAnsi="Arial" w:cs="Arial"/>
          <w:sz w:val="24"/>
          <w:szCs w:val="24"/>
          <w:lang w:val="en-US"/>
        </w:rPr>
        <w:t xml:space="preserve">, A., Jussila, I., Tuominen, P. and </w:t>
      </w:r>
      <w:proofErr w:type="spellStart"/>
      <w:r w:rsidRPr="003035F1">
        <w:rPr>
          <w:rFonts w:ascii="Arial" w:hAnsi="Arial" w:cs="Arial"/>
          <w:sz w:val="24"/>
          <w:szCs w:val="24"/>
          <w:lang w:val="en-US"/>
        </w:rPr>
        <w:t>Ruuskanen</w:t>
      </w:r>
      <w:proofErr w:type="spellEnd"/>
      <w:r w:rsidRPr="003035F1">
        <w:rPr>
          <w:rFonts w:ascii="Arial" w:hAnsi="Arial" w:cs="Arial"/>
          <w:sz w:val="24"/>
          <w:szCs w:val="24"/>
          <w:lang w:val="en-US"/>
        </w:rPr>
        <w:t xml:space="preserve">, O.-P. (2021). Refining the Economic Dimension of Carroll’s CSR Pyramid by Taking Organization Form into </w:t>
      </w:r>
      <w:r w:rsidRPr="003035F1">
        <w:rPr>
          <w:rFonts w:ascii="Arial" w:hAnsi="Arial" w:cs="Arial"/>
          <w:sz w:val="24"/>
          <w:szCs w:val="24"/>
          <w:lang w:val="en-US"/>
        </w:rPr>
        <w:lastRenderedPageBreak/>
        <w:t>Account. </w:t>
      </w:r>
      <w:r w:rsidRPr="003035F1">
        <w:rPr>
          <w:rFonts w:ascii="Arial" w:hAnsi="Arial" w:cs="Arial"/>
          <w:i/>
          <w:iCs/>
          <w:sz w:val="24"/>
          <w:szCs w:val="24"/>
          <w:lang w:val="en-US"/>
        </w:rPr>
        <w:t>Electronic Journal of Business Ethics and Organization Studies</w:t>
      </w:r>
      <w:r w:rsidRPr="003035F1">
        <w:rPr>
          <w:rFonts w:ascii="Arial" w:hAnsi="Arial" w:cs="Arial"/>
          <w:sz w:val="24"/>
          <w:szCs w:val="24"/>
          <w:lang w:val="en-US"/>
        </w:rPr>
        <w:t xml:space="preserve">, [online] 26(1). Available at: </w:t>
      </w:r>
      <w:hyperlink r:id="rId29" w:history="1">
        <w:r w:rsidRPr="003035F1">
          <w:rPr>
            <w:rStyle w:val="Hyperlink"/>
            <w:rFonts w:ascii="Arial" w:hAnsi="Arial" w:cs="Arial"/>
            <w:sz w:val="24"/>
            <w:szCs w:val="24"/>
            <w:lang w:val="en-US"/>
          </w:rPr>
          <w:t>https://jyx.jyu.fi/handle/123456789/76391</w:t>
        </w:r>
      </w:hyperlink>
      <w:r w:rsidRPr="003035F1">
        <w:rPr>
          <w:rFonts w:ascii="Arial" w:hAnsi="Arial" w:cs="Arial"/>
          <w:sz w:val="24"/>
          <w:szCs w:val="24"/>
          <w:lang w:val="en-US"/>
        </w:rPr>
        <w:t>.</w:t>
      </w:r>
    </w:p>
    <w:p w14:paraId="49F0A4AD" w14:textId="77777777" w:rsidR="00CD2461" w:rsidRDefault="00CD2461" w:rsidP="00CD2461">
      <w:pPr>
        <w:spacing w:line="360" w:lineRule="auto"/>
        <w:jc w:val="both"/>
        <w:rPr>
          <w:rFonts w:ascii="Arial" w:hAnsi="Arial" w:cs="Arial"/>
          <w:sz w:val="24"/>
          <w:szCs w:val="24"/>
          <w:lang w:val="en-US"/>
        </w:rPr>
      </w:pPr>
      <w:r w:rsidRPr="00520115">
        <w:rPr>
          <w:rFonts w:ascii="Arial" w:hAnsi="Arial" w:cs="Arial"/>
          <w:sz w:val="24"/>
          <w:szCs w:val="24"/>
          <w:lang w:val="en-US"/>
        </w:rPr>
        <w:t xml:space="preserve">The Green House. (2019). </w:t>
      </w:r>
      <w:r w:rsidRPr="00520115">
        <w:rPr>
          <w:rFonts w:ascii="Arial" w:hAnsi="Arial" w:cs="Arial"/>
          <w:i/>
          <w:iCs/>
          <w:sz w:val="24"/>
          <w:szCs w:val="24"/>
          <w:lang w:val="en-US"/>
        </w:rPr>
        <w:t>The Green House Hotel Named in World’s Top Ten Eco-Friendly Hotels (And the UK’s Number One!) -</w:t>
      </w:r>
      <w:r w:rsidRPr="00520115">
        <w:rPr>
          <w:rFonts w:ascii="Arial" w:hAnsi="Arial" w:cs="Arial"/>
          <w:sz w:val="24"/>
          <w:szCs w:val="24"/>
          <w:lang w:val="en-US"/>
        </w:rPr>
        <w:t xml:space="preserve">. [online] Available at: </w:t>
      </w:r>
      <w:hyperlink r:id="rId30" w:history="1">
        <w:r w:rsidRPr="00520115">
          <w:rPr>
            <w:rStyle w:val="Hyperlink"/>
            <w:rFonts w:ascii="Arial" w:hAnsi="Arial" w:cs="Arial"/>
            <w:sz w:val="24"/>
            <w:szCs w:val="24"/>
            <w:lang w:val="en-US"/>
          </w:rPr>
          <w:t>https://www.thegreenhousehotel.co.uk/the-green-house-hotel-named-in-worlds-top-ten-eco-friendly-hotels/</w:t>
        </w:r>
      </w:hyperlink>
      <w:r>
        <w:rPr>
          <w:rFonts w:ascii="Arial" w:hAnsi="Arial" w:cs="Arial"/>
          <w:sz w:val="24"/>
          <w:szCs w:val="24"/>
          <w:lang w:val="en-US"/>
        </w:rPr>
        <w:t xml:space="preserve"> (</w:t>
      </w:r>
      <w:r w:rsidRPr="00367AE6">
        <w:rPr>
          <w:rFonts w:ascii="Arial" w:hAnsi="Arial" w:cs="Arial"/>
          <w:sz w:val="24"/>
          <w:szCs w:val="24"/>
          <w:lang w:val="en-US"/>
        </w:rPr>
        <w:t xml:space="preserve">Accessed </w:t>
      </w:r>
      <w:r>
        <w:rPr>
          <w:rFonts w:ascii="Arial" w:hAnsi="Arial" w:cs="Arial"/>
          <w:sz w:val="24"/>
          <w:szCs w:val="24"/>
          <w:lang w:val="en-US"/>
        </w:rPr>
        <w:t xml:space="preserve">31 </w:t>
      </w:r>
      <w:r w:rsidRPr="00367AE6">
        <w:rPr>
          <w:rFonts w:ascii="Arial" w:hAnsi="Arial" w:cs="Arial"/>
          <w:sz w:val="24"/>
          <w:szCs w:val="24"/>
          <w:lang w:val="en-US"/>
        </w:rPr>
        <w:t>Jan. 2025</w:t>
      </w:r>
      <w:r>
        <w:rPr>
          <w:rFonts w:ascii="Arial" w:hAnsi="Arial" w:cs="Arial"/>
          <w:sz w:val="24"/>
          <w:szCs w:val="24"/>
          <w:lang w:val="en-US"/>
        </w:rPr>
        <w:t>)</w:t>
      </w:r>
      <w:r w:rsidRPr="00367AE6">
        <w:rPr>
          <w:rFonts w:ascii="Arial" w:hAnsi="Arial" w:cs="Arial"/>
          <w:sz w:val="24"/>
          <w:szCs w:val="24"/>
          <w:lang w:val="en-US"/>
        </w:rPr>
        <w:t>.</w:t>
      </w:r>
    </w:p>
    <w:p w14:paraId="2FEA6EEB" w14:textId="77777777" w:rsidR="00CD2461" w:rsidRDefault="00CD2461" w:rsidP="00CD2461">
      <w:pPr>
        <w:spacing w:line="360" w:lineRule="auto"/>
        <w:jc w:val="both"/>
        <w:rPr>
          <w:rFonts w:ascii="Arial" w:hAnsi="Arial" w:cs="Arial"/>
          <w:sz w:val="24"/>
          <w:szCs w:val="24"/>
          <w:lang w:val="en-US"/>
        </w:rPr>
      </w:pPr>
      <w:r w:rsidRPr="00367AE6">
        <w:rPr>
          <w:rFonts w:ascii="Arial" w:hAnsi="Arial" w:cs="Arial"/>
          <w:sz w:val="24"/>
          <w:szCs w:val="24"/>
          <w:lang w:val="en-US"/>
        </w:rPr>
        <w:t xml:space="preserve">The Green House (2023). </w:t>
      </w:r>
      <w:r w:rsidRPr="00367AE6">
        <w:rPr>
          <w:rFonts w:ascii="Arial" w:hAnsi="Arial" w:cs="Arial"/>
          <w:i/>
          <w:iCs/>
          <w:sz w:val="24"/>
          <w:szCs w:val="24"/>
          <w:lang w:val="en-US"/>
        </w:rPr>
        <w:t>Eco Hotel Bournemouth | Environmentally Friendly Hotel Bournemouth</w:t>
      </w:r>
      <w:r w:rsidRPr="00367AE6">
        <w:rPr>
          <w:rFonts w:ascii="Arial" w:hAnsi="Arial" w:cs="Arial"/>
          <w:sz w:val="24"/>
          <w:szCs w:val="24"/>
          <w:lang w:val="en-US"/>
        </w:rPr>
        <w:t xml:space="preserve">. [online] Green House. Available at: </w:t>
      </w:r>
      <w:hyperlink r:id="rId31" w:history="1">
        <w:r w:rsidRPr="00367AE6">
          <w:rPr>
            <w:rStyle w:val="Hyperlink"/>
            <w:rFonts w:ascii="Arial" w:hAnsi="Arial" w:cs="Arial"/>
            <w:sz w:val="24"/>
            <w:szCs w:val="24"/>
            <w:lang w:val="en-US"/>
          </w:rPr>
          <w:t>https://www.thegreenhousehotel.co.uk/environment/</w:t>
        </w:r>
      </w:hyperlink>
      <w:r w:rsidRPr="00367AE6">
        <w:rPr>
          <w:rFonts w:ascii="Arial" w:hAnsi="Arial" w:cs="Arial"/>
          <w:sz w:val="24"/>
          <w:szCs w:val="24"/>
          <w:lang w:val="en-US"/>
        </w:rPr>
        <w:t xml:space="preserve"> </w:t>
      </w:r>
      <w:r>
        <w:rPr>
          <w:rFonts w:ascii="Arial" w:hAnsi="Arial" w:cs="Arial"/>
          <w:sz w:val="24"/>
          <w:szCs w:val="24"/>
          <w:lang w:val="en-US"/>
        </w:rPr>
        <w:t>(</w:t>
      </w:r>
      <w:r w:rsidRPr="00367AE6">
        <w:rPr>
          <w:rFonts w:ascii="Arial" w:hAnsi="Arial" w:cs="Arial"/>
          <w:sz w:val="24"/>
          <w:szCs w:val="24"/>
          <w:lang w:val="en-US"/>
        </w:rPr>
        <w:t>Accessed 23 Jan. 2025</w:t>
      </w:r>
      <w:r>
        <w:rPr>
          <w:rFonts w:ascii="Arial" w:hAnsi="Arial" w:cs="Arial"/>
          <w:sz w:val="24"/>
          <w:szCs w:val="24"/>
          <w:lang w:val="en-US"/>
        </w:rPr>
        <w:t>)</w:t>
      </w:r>
      <w:r w:rsidRPr="00367AE6">
        <w:rPr>
          <w:rFonts w:ascii="Arial" w:hAnsi="Arial" w:cs="Arial"/>
          <w:sz w:val="24"/>
          <w:szCs w:val="24"/>
          <w:lang w:val="en-US"/>
        </w:rPr>
        <w:t>.</w:t>
      </w:r>
    </w:p>
    <w:p w14:paraId="4FAE00B1" w14:textId="77777777" w:rsidR="00CD2461" w:rsidRPr="00367AE6" w:rsidRDefault="00CD2461" w:rsidP="00CD2461">
      <w:pPr>
        <w:spacing w:line="360" w:lineRule="auto"/>
        <w:jc w:val="both"/>
        <w:rPr>
          <w:rFonts w:ascii="Arial" w:hAnsi="Arial" w:cs="Arial"/>
          <w:sz w:val="24"/>
          <w:szCs w:val="24"/>
          <w:lang w:val="en-US"/>
        </w:rPr>
      </w:pPr>
      <w:r w:rsidRPr="00367AE6">
        <w:rPr>
          <w:rFonts w:ascii="Arial" w:hAnsi="Arial" w:cs="Arial"/>
          <w:sz w:val="24"/>
          <w:szCs w:val="24"/>
          <w:lang w:val="en-US"/>
        </w:rPr>
        <w:t>UNDP (2023). </w:t>
      </w:r>
      <w:r w:rsidRPr="00367AE6">
        <w:rPr>
          <w:rFonts w:ascii="Arial" w:hAnsi="Arial" w:cs="Arial"/>
          <w:i/>
          <w:iCs/>
          <w:sz w:val="24"/>
          <w:szCs w:val="24"/>
          <w:lang w:val="en-US"/>
        </w:rPr>
        <w:t>What Is Circular Economy and Why Does It matter?</w:t>
      </w:r>
      <w:r w:rsidRPr="00367AE6">
        <w:rPr>
          <w:rFonts w:ascii="Arial" w:hAnsi="Arial" w:cs="Arial"/>
          <w:sz w:val="24"/>
          <w:szCs w:val="24"/>
          <w:lang w:val="en-US"/>
        </w:rPr>
        <w:t xml:space="preserve"> [online] UNDP Climate Promise. Available at: </w:t>
      </w:r>
      <w:hyperlink r:id="rId32" w:history="1">
        <w:r w:rsidRPr="00367AE6">
          <w:rPr>
            <w:rStyle w:val="Hyperlink"/>
            <w:rFonts w:ascii="Arial" w:hAnsi="Arial" w:cs="Arial"/>
            <w:sz w:val="24"/>
            <w:szCs w:val="24"/>
            <w:lang w:val="en-US"/>
          </w:rPr>
          <w:t>https://climatepromise.undp.org/news-and-stories/what-is-circular-economy-and-how-it-helps-fight-climate-change</w:t>
        </w:r>
      </w:hyperlink>
      <w:r w:rsidRPr="00367AE6">
        <w:rPr>
          <w:rFonts w:ascii="Arial" w:hAnsi="Arial" w:cs="Arial"/>
          <w:sz w:val="24"/>
          <w:szCs w:val="24"/>
          <w:lang w:val="en-US"/>
        </w:rPr>
        <w:t xml:space="preserve">. </w:t>
      </w:r>
      <w:r>
        <w:rPr>
          <w:rFonts w:ascii="Arial" w:hAnsi="Arial" w:cs="Arial"/>
          <w:sz w:val="24"/>
          <w:szCs w:val="24"/>
          <w:lang w:val="en-US"/>
        </w:rPr>
        <w:t>(</w:t>
      </w:r>
      <w:r w:rsidRPr="00367AE6">
        <w:rPr>
          <w:rFonts w:ascii="Arial" w:hAnsi="Arial" w:cs="Arial"/>
          <w:sz w:val="24"/>
          <w:szCs w:val="24"/>
          <w:lang w:val="en-US"/>
        </w:rPr>
        <w:t>Accessed 21 Jan. 2025</w:t>
      </w:r>
      <w:r>
        <w:rPr>
          <w:rFonts w:ascii="Arial" w:hAnsi="Arial" w:cs="Arial"/>
          <w:sz w:val="24"/>
          <w:szCs w:val="24"/>
          <w:lang w:val="en-US"/>
        </w:rPr>
        <w:t>)</w:t>
      </w:r>
      <w:r w:rsidRPr="00367AE6">
        <w:rPr>
          <w:rFonts w:ascii="Arial" w:hAnsi="Arial" w:cs="Arial"/>
          <w:sz w:val="24"/>
          <w:szCs w:val="24"/>
          <w:lang w:val="en-US"/>
        </w:rPr>
        <w:t>.</w:t>
      </w:r>
    </w:p>
    <w:p w14:paraId="615D5F8A" w14:textId="77777777" w:rsidR="00CD2461" w:rsidRPr="00367AE6" w:rsidRDefault="00CD2461" w:rsidP="00CD2461">
      <w:pPr>
        <w:spacing w:line="360" w:lineRule="auto"/>
        <w:jc w:val="both"/>
        <w:rPr>
          <w:rFonts w:ascii="Arial" w:hAnsi="Arial" w:cs="Arial"/>
          <w:sz w:val="24"/>
          <w:szCs w:val="24"/>
          <w:lang w:val="en-US"/>
        </w:rPr>
      </w:pPr>
      <w:r w:rsidRPr="00367AE6">
        <w:rPr>
          <w:rFonts w:ascii="Arial" w:hAnsi="Arial" w:cs="Arial"/>
          <w:sz w:val="24"/>
          <w:szCs w:val="24"/>
          <w:lang w:val="en-US"/>
        </w:rPr>
        <w:t>United Nations (2024). </w:t>
      </w:r>
      <w:r w:rsidRPr="00367AE6">
        <w:rPr>
          <w:rFonts w:ascii="Arial" w:hAnsi="Arial" w:cs="Arial"/>
          <w:i/>
          <w:iCs/>
          <w:sz w:val="24"/>
          <w:szCs w:val="24"/>
          <w:lang w:val="en-US"/>
        </w:rPr>
        <w:t>The 17 sustainable development goals</w:t>
      </w:r>
      <w:r w:rsidRPr="00367AE6">
        <w:rPr>
          <w:rFonts w:ascii="Arial" w:hAnsi="Arial" w:cs="Arial"/>
          <w:sz w:val="24"/>
          <w:szCs w:val="24"/>
          <w:lang w:val="en-US"/>
        </w:rPr>
        <w:t xml:space="preserve">. [online] United Nations. Available at: </w:t>
      </w:r>
      <w:hyperlink r:id="rId33" w:history="1">
        <w:r w:rsidRPr="00367AE6">
          <w:rPr>
            <w:rStyle w:val="Hyperlink"/>
            <w:rFonts w:ascii="Arial" w:hAnsi="Arial" w:cs="Arial"/>
            <w:sz w:val="24"/>
            <w:szCs w:val="24"/>
            <w:lang w:val="en-US"/>
          </w:rPr>
          <w:t>https://sdgs.un.org/goals</w:t>
        </w:r>
      </w:hyperlink>
      <w:r w:rsidRPr="00367AE6">
        <w:rPr>
          <w:rFonts w:ascii="Arial" w:hAnsi="Arial" w:cs="Arial"/>
          <w:sz w:val="24"/>
          <w:szCs w:val="24"/>
          <w:lang w:val="en-US"/>
        </w:rPr>
        <w:t xml:space="preserve"> </w:t>
      </w:r>
      <w:r>
        <w:rPr>
          <w:rFonts w:ascii="Arial" w:hAnsi="Arial" w:cs="Arial"/>
          <w:sz w:val="24"/>
          <w:szCs w:val="24"/>
          <w:lang w:val="en-US"/>
        </w:rPr>
        <w:t>(</w:t>
      </w:r>
      <w:r w:rsidRPr="00367AE6">
        <w:rPr>
          <w:rFonts w:ascii="Arial" w:hAnsi="Arial" w:cs="Arial"/>
          <w:sz w:val="24"/>
          <w:szCs w:val="24"/>
          <w:lang w:val="en-US"/>
        </w:rPr>
        <w:t>Accessed 24 Jan. 2025</w:t>
      </w:r>
      <w:r>
        <w:rPr>
          <w:rFonts w:ascii="Arial" w:hAnsi="Arial" w:cs="Arial"/>
          <w:sz w:val="24"/>
          <w:szCs w:val="24"/>
          <w:lang w:val="en-US"/>
        </w:rPr>
        <w:t>)</w:t>
      </w:r>
      <w:r w:rsidRPr="00367AE6">
        <w:rPr>
          <w:rFonts w:ascii="Arial" w:hAnsi="Arial" w:cs="Arial"/>
          <w:sz w:val="24"/>
          <w:szCs w:val="24"/>
          <w:lang w:val="en-US"/>
        </w:rPr>
        <w:t>.</w:t>
      </w:r>
    </w:p>
    <w:p w14:paraId="562717C9" w14:textId="77777777" w:rsidR="00CD2461" w:rsidRPr="00367AE6" w:rsidRDefault="00CD2461" w:rsidP="00CD2461">
      <w:pPr>
        <w:spacing w:line="360" w:lineRule="auto"/>
        <w:jc w:val="both"/>
        <w:rPr>
          <w:rFonts w:ascii="Arial" w:hAnsi="Arial" w:cs="Arial"/>
          <w:sz w:val="24"/>
          <w:szCs w:val="24"/>
          <w:lang w:val="en-US"/>
        </w:rPr>
      </w:pPr>
      <w:proofErr w:type="spellStart"/>
      <w:r w:rsidRPr="00367AE6">
        <w:rPr>
          <w:rFonts w:ascii="Arial" w:hAnsi="Arial" w:cs="Arial"/>
          <w:sz w:val="24"/>
          <w:szCs w:val="24"/>
          <w:lang w:val="en-US"/>
        </w:rPr>
        <w:t>Vallinder</w:t>
      </w:r>
      <w:proofErr w:type="spellEnd"/>
      <w:r w:rsidRPr="00367AE6">
        <w:rPr>
          <w:rFonts w:ascii="Arial" w:hAnsi="Arial" w:cs="Arial"/>
          <w:sz w:val="24"/>
          <w:szCs w:val="24"/>
          <w:lang w:val="en-US"/>
        </w:rPr>
        <w:t>, A., Farbstein, E. and Julin, C. (2022). </w:t>
      </w:r>
      <w:r w:rsidRPr="00367AE6">
        <w:rPr>
          <w:rFonts w:ascii="Arial" w:hAnsi="Arial" w:cs="Arial"/>
          <w:i/>
          <w:iCs/>
          <w:sz w:val="24"/>
          <w:szCs w:val="24"/>
          <w:lang w:val="en-US"/>
        </w:rPr>
        <w:t>The circular economy &amp; carbon reduction targets</w:t>
      </w:r>
      <w:r w:rsidRPr="00367AE6">
        <w:rPr>
          <w:rFonts w:ascii="Arial" w:hAnsi="Arial" w:cs="Arial"/>
          <w:sz w:val="24"/>
          <w:szCs w:val="24"/>
          <w:lang w:val="en-US"/>
        </w:rPr>
        <w:t xml:space="preserve">. [online] Normative. Available at: </w:t>
      </w:r>
      <w:hyperlink r:id="rId34" w:history="1">
        <w:r w:rsidRPr="00367AE6">
          <w:rPr>
            <w:rStyle w:val="Hyperlink"/>
            <w:rFonts w:ascii="Arial" w:hAnsi="Arial" w:cs="Arial"/>
            <w:sz w:val="24"/>
            <w:szCs w:val="24"/>
            <w:lang w:val="en-US"/>
          </w:rPr>
          <w:t>https://normative.io/insight/circular-economy/</w:t>
        </w:r>
      </w:hyperlink>
      <w:r w:rsidRPr="00367AE6">
        <w:rPr>
          <w:rFonts w:ascii="Arial" w:hAnsi="Arial" w:cs="Arial"/>
          <w:sz w:val="24"/>
          <w:szCs w:val="24"/>
          <w:lang w:val="en-US"/>
        </w:rPr>
        <w:t xml:space="preserve"> </w:t>
      </w:r>
      <w:r>
        <w:rPr>
          <w:rFonts w:ascii="Arial" w:hAnsi="Arial" w:cs="Arial"/>
          <w:sz w:val="24"/>
          <w:szCs w:val="24"/>
          <w:lang w:val="en-US"/>
        </w:rPr>
        <w:t>(</w:t>
      </w:r>
      <w:r w:rsidRPr="00367AE6">
        <w:rPr>
          <w:rFonts w:ascii="Arial" w:hAnsi="Arial" w:cs="Arial"/>
          <w:sz w:val="24"/>
          <w:szCs w:val="24"/>
          <w:lang w:val="en-US"/>
        </w:rPr>
        <w:t>Accessed 24 Jan. 2025</w:t>
      </w:r>
      <w:r>
        <w:rPr>
          <w:rFonts w:ascii="Arial" w:hAnsi="Arial" w:cs="Arial"/>
          <w:sz w:val="24"/>
          <w:szCs w:val="24"/>
          <w:lang w:val="en-US"/>
        </w:rPr>
        <w:t>)</w:t>
      </w:r>
      <w:r w:rsidRPr="00367AE6">
        <w:rPr>
          <w:rFonts w:ascii="Arial" w:hAnsi="Arial" w:cs="Arial"/>
          <w:sz w:val="24"/>
          <w:szCs w:val="24"/>
          <w:lang w:val="en-US"/>
        </w:rPr>
        <w:t>.</w:t>
      </w:r>
    </w:p>
    <w:p w14:paraId="34C84E04" w14:textId="77777777" w:rsidR="00CD2461" w:rsidRDefault="00CD2461" w:rsidP="00CD2461">
      <w:pPr>
        <w:spacing w:line="360" w:lineRule="auto"/>
        <w:jc w:val="both"/>
        <w:rPr>
          <w:rFonts w:ascii="Arial" w:hAnsi="Arial" w:cs="Arial"/>
          <w:sz w:val="24"/>
          <w:szCs w:val="24"/>
          <w:lang w:val="en-US"/>
        </w:rPr>
      </w:pPr>
      <w:r w:rsidRPr="00CB2FCE">
        <w:rPr>
          <w:rFonts w:ascii="Arial" w:hAnsi="Arial" w:cs="Arial"/>
          <w:sz w:val="24"/>
          <w:szCs w:val="24"/>
          <w:lang w:val="en-US"/>
        </w:rPr>
        <w:t xml:space="preserve">Verma, V.K. and Chandra, B. (2017). Sustainability and customers’ hotel choice </w:t>
      </w:r>
      <w:proofErr w:type="spellStart"/>
      <w:r w:rsidRPr="00CB2FCE">
        <w:rPr>
          <w:rFonts w:ascii="Arial" w:hAnsi="Arial" w:cs="Arial"/>
          <w:sz w:val="24"/>
          <w:szCs w:val="24"/>
          <w:lang w:val="en-US"/>
        </w:rPr>
        <w:t>behaviour</w:t>
      </w:r>
      <w:proofErr w:type="spellEnd"/>
      <w:r w:rsidRPr="00CB2FCE">
        <w:rPr>
          <w:rFonts w:ascii="Arial" w:hAnsi="Arial" w:cs="Arial"/>
          <w:sz w:val="24"/>
          <w:szCs w:val="24"/>
          <w:lang w:val="en-US"/>
        </w:rPr>
        <w:t>: a choice-based conjoint analysis approach. </w:t>
      </w:r>
      <w:r w:rsidRPr="00CB2FCE">
        <w:rPr>
          <w:rFonts w:ascii="Arial" w:hAnsi="Arial" w:cs="Arial"/>
          <w:i/>
          <w:iCs/>
          <w:sz w:val="24"/>
          <w:szCs w:val="24"/>
          <w:lang w:val="en-US"/>
        </w:rPr>
        <w:t>Environment, Development and Sustainability</w:t>
      </w:r>
      <w:r w:rsidRPr="00CB2FCE">
        <w:rPr>
          <w:rFonts w:ascii="Arial" w:hAnsi="Arial" w:cs="Arial"/>
          <w:sz w:val="24"/>
          <w:szCs w:val="24"/>
          <w:lang w:val="en-US"/>
        </w:rPr>
        <w:t xml:space="preserve">, 20(3), pp.1347–1363. </w:t>
      </w:r>
      <w:r w:rsidRPr="003A129E">
        <w:rPr>
          <w:rFonts w:ascii="Arial" w:hAnsi="Arial" w:cs="Arial"/>
          <w:sz w:val="24"/>
          <w:szCs w:val="24"/>
        </w:rPr>
        <w:t xml:space="preserve">Available at: </w:t>
      </w:r>
      <w:hyperlink r:id="rId35" w:history="1">
        <w:r w:rsidRPr="00CB2FCE">
          <w:rPr>
            <w:rStyle w:val="Hyperlink"/>
            <w:rFonts w:ascii="Arial" w:hAnsi="Arial" w:cs="Arial"/>
            <w:sz w:val="24"/>
            <w:szCs w:val="24"/>
            <w:lang w:val="en-US"/>
          </w:rPr>
          <w:t>https://doi.org/10.1007/s10668-017-9944-6</w:t>
        </w:r>
      </w:hyperlink>
      <w:r w:rsidRPr="00CB2FCE">
        <w:rPr>
          <w:rFonts w:ascii="Arial" w:hAnsi="Arial" w:cs="Arial"/>
          <w:sz w:val="24"/>
          <w:szCs w:val="24"/>
          <w:lang w:val="en-US"/>
        </w:rPr>
        <w:t>.</w:t>
      </w:r>
    </w:p>
    <w:p w14:paraId="0365BAAF" w14:textId="77777777" w:rsidR="00CD2461" w:rsidRDefault="00CD2461" w:rsidP="00CD2461">
      <w:pPr>
        <w:spacing w:line="360" w:lineRule="auto"/>
        <w:jc w:val="both"/>
        <w:rPr>
          <w:rFonts w:ascii="Arial" w:hAnsi="Arial" w:cs="Arial"/>
          <w:sz w:val="24"/>
          <w:szCs w:val="24"/>
          <w:lang w:val="en-US"/>
        </w:rPr>
      </w:pPr>
      <w:r w:rsidRPr="005B6482">
        <w:rPr>
          <w:rFonts w:ascii="Arial" w:hAnsi="Arial" w:cs="Arial"/>
          <w:sz w:val="24"/>
          <w:szCs w:val="24"/>
          <w:lang w:val="en-US"/>
        </w:rPr>
        <w:t>Wang, J.X., Burke, H. and Zhang, A. (2022). Overcoming barriers to circular product design. </w:t>
      </w:r>
      <w:r w:rsidRPr="005B6482">
        <w:rPr>
          <w:rFonts w:ascii="Arial" w:hAnsi="Arial" w:cs="Arial"/>
          <w:i/>
          <w:iCs/>
          <w:sz w:val="24"/>
          <w:szCs w:val="24"/>
          <w:lang w:val="en-US"/>
        </w:rPr>
        <w:t>International Journal of Production Economics</w:t>
      </w:r>
      <w:r w:rsidRPr="005B6482">
        <w:rPr>
          <w:rFonts w:ascii="Arial" w:hAnsi="Arial" w:cs="Arial"/>
          <w:sz w:val="24"/>
          <w:szCs w:val="24"/>
          <w:lang w:val="en-US"/>
        </w:rPr>
        <w:t xml:space="preserve">, 243, p.108346. </w:t>
      </w:r>
      <w:r w:rsidRPr="003A129E">
        <w:rPr>
          <w:rFonts w:ascii="Arial" w:hAnsi="Arial" w:cs="Arial"/>
          <w:sz w:val="24"/>
          <w:szCs w:val="24"/>
        </w:rPr>
        <w:t xml:space="preserve">Available at: </w:t>
      </w:r>
      <w:hyperlink r:id="rId36" w:history="1">
        <w:r w:rsidRPr="005B6482">
          <w:rPr>
            <w:rStyle w:val="Hyperlink"/>
            <w:rFonts w:ascii="Arial" w:hAnsi="Arial" w:cs="Arial"/>
            <w:sz w:val="24"/>
            <w:szCs w:val="24"/>
            <w:lang w:val="en-US"/>
          </w:rPr>
          <w:t>https://doi.org/10.1016/j.ijpe.2021.108346</w:t>
        </w:r>
      </w:hyperlink>
      <w:r>
        <w:rPr>
          <w:rFonts w:ascii="Arial" w:hAnsi="Arial" w:cs="Arial"/>
          <w:sz w:val="24"/>
          <w:szCs w:val="24"/>
          <w:lang w:val="en-US"/>
        </w:rPr>
        <w:t>.</w:t>
      </w:r>
    </w:p>
    <w:p w14:paraId="70B78D22" w14:textId="77777777" w:rsidR="00CD2461" w:rsidRDefault="00CD2461" w:rsidP="00CD2461"/>
    <w:p w14:paraId="4CAE4F15" w14:textId="77777777" w:rsidR="00CD2461" w:rsidRDefault="00CD2461" w:rsidP="00CD2461">
      <w:pPr>
        <w:spacing w:line="360" w:lineRule="auto"/>
        <w:jc w:val="both"/>
        <w:rPr>
          <w:rFonts w:ascii="Arial" w:hAnsi="Arial" w:cs="Arial"/>
          <w:sz w:val="24"/>
          <w:szCs w:val="24"/>
          <w:lang w:val="en-US"/>
        </w:rPr>
      </w:pPr>
    </w:p>
    <w:p w14:paraId="561CAAAD" w14:textId="77777777" w:rsidR="00CD2461" w:rsidRPr="00367AE6" w:rsidRDefault="00CD2461" w:rsidP="00CD2461">
      <w:pPr>
        <w:spacing w:line="360" w:lineRule="auto"/>
        <w:jc w:val="both"/>
        <w:rPr>
          <w:rFonts w:ascii="Arial" w:hAnsi="Arial" w:cs="Arial"/>
          <w:sz w:val="24"/>
          <w:szCs w:val="24"/>
          <w:lang w:val="en-US"/>
        </w:rPr>
      </w:pPr>
    </w:p>
    <w:p w14:paraId="24CC84B8" w14:textId="77777777" w:rsidR="00CD2461" w:rsidRPr="00367AE6" w:rsidRDefault="00CD2461" w:rsidP="00CD2461">
      <w:pPr>
        <w:spacing w:line="360" w:lineRule="auto"/>
        <w:jc w:val="both"/>
        <w:rPr>
          <w:rFonts w:ascii="Arial" w:hAnsi="Arial" w:cs="Arial"/>
          <w:sz w:val="24"/>
          <w:szCs w:val="24"/>
          <w:lang w:val="en-US"/>
        </w:rPr>
      </w:pPr>
    </w:p>
    <w:p w14:paraId="550C4076" w14:textId="77777777" w:rsidR="00CD2461" w:rsidRPr="00367AE6" w:rsidRDefault="00CD2461" w:rsidP="00CD2461">
      <w:pPr>
        <w:spacing w:line="360" w:lineRule="auto"/>
        <w:jc w:val="both"/>
        <w:rPr>
          <w:rFonts w:ascii="Arial" w:hAnsi="Arial" w:cs="Arial"/>
          <w:sz w:val="24"/>
          <w:szCs w:val="24"/>
        </w:rPr>
      </w:pPr>
    </w:p>
    <w:p w14:paraId="5211E2DB" w14:textId="77777777" w:rsidR="00CD2461" w:rsidRPr="00367AE6" w:rsidRDefault="00CD2461" w:rsidP="00CD2461">
      <w:pPr>
        <w:spacing w:line="360" w:lineRule="auto"/>
        <w:jc w:val="both"/>
        <w:rPr>
          <w:rFonts w:ascii="Arial" w:hAnsi="Arial" w:cs="Arial"/>
          <w:sz w:val="24"/>
          <w:szCs w:val="24"/>
        </w:rPr>
      </w:pPr>
    </w:p>
    <w:p w14:paraId="0E838E62" w14:textId="77777777" w:rsidR="00126372" w:rsidRDefault="00126372"/>
    <w:sectPr w:rsidR="00126372">
      <w:footerReference w:type="default" r:id="rId3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9BD441" w14:textId="77777777" w:rsidR="00283090" w:rsidRDefault="00283090" w:rsidP="00F51802">
      <w:pPr>
        <w:spacing w:after="0" w:line="240" w:lineRule="auto"/>
      </w:pPr>
      <w:r>
        <w:separator/>
      </w:r>
    </w:p>
  </w:endnote>
  <w:endnote w:type="continuationSeparator" w:id="0">
    <w:p w14:paraId="2FC063AA" w14:textId="77777777" w:rsidR="00283090" w:rsidRDefault="00283090" w:rsidP="00F518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2087816"/>
      <w:docPartObj>
        <w:docPartGallery w:val="Page Numbers (Bottom of Page)"/>
        <w:docPartUnique/>
      </w:docPartObj>
    </w:sdtPr>
    <w:sdtEndPr>
      <w:rPr>
        <w:noProof/>
      </w:rPr>
    </w:sdtEndPr>
    <w:sdtContent>
      <w:p w14:paraId="5CE12CEE" w14:textId="30FBF497" w:rsidR="00F51802" w:rsidRDefault="00F5180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F49E6E" w14:textId="77777777" w:rsidR="00F51802" w:rsidRDefault="00F518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F98BBD" w14:textId="77777777" w:rsidR="00283090" w:rsidRDefault="00283090" w:rsidP="00F51802">
      <w:pPr>
        <w:spacing w:after="0" w:line="240" w:lineRule="auto"/>
      </w:pPr>
      <w:r>
        <w:separator/>
      </w:r>
    </w:p>
  </w:footnote>
  <w:footnote w:type="continuationSeparator" w:id="0">
    <w:p w14:paraId="1A587420" w14:textId="77777777" w:rsidR="00283090" w:rsidRDefault="00283090" w:rsidP="00F5180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461"/>
    <w:rsid w:val="00126372"/>
    <w:rsid w:val="00283090"/>
    <w:rsid w:val="002903B5"/>
    <w:rsid w:val="00367DFE"/>
    <w:rsid w:val="00436965"/>
    <w:rsid w:val="00486496"/>
    <w:rsid w:val="005A1334"/>
    <w:rsid w:val="00842E36"/>
    <w:rsid w:val="00875D39"/>
    <w:rsid w:val="008C7448"/>
    <w:rsid w:val="00960712"/>
    <w:rsid w:val="00A25EBF"/>
    <w:rsid w:val="00A30DB8"/>
    <w:rsid w:val="00AB5D28"/>
    <w:rsid w:val="00AD0A27"/>
    <w:rsid w:val="00CD2461"/>
    <w:rsid w:val="00EE54AD"/>
    <w:rsid w:val="00F26C62"/>
    <w:rsid w:val="00F518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0D4CF"/>
  <w15:chartTrackingRefBased/>
  <w15:docId w15:val="{80AE7728-44F3-49ED-8DA3-5652FB747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461"/>
    <w:rPr>
      <w:lang w:val="en-GB"/>
    </w:rPr>
  </w:style>
  <w:style w:type="paragraph" w:styleId="Heading1">
    <w:name w:val="heading 1"/>
    <w:basedOn w:val="Normal"/>
    <w:next w:val="Normal"/>
    <w:link w:val="Heading1Char"/>
    <w:uiPriority w:val="9"/>
    <w:qFormat/>
    <w:rsid w:val="00CD24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D24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24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24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24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24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24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24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24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2461"/>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CD2461"/>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CD2461"/>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CD2461"/>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CD2461"/>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CD2461"/>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CD2461"/>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CD2461"/>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CD2461"/>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CD24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2461"/>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CD24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2461"/>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CD2461"/>
    <w:pPr>
      <w:spacing w:before="160"/>
      <w:jc w:val="center"/>
    </w:pPr>
    <w:rPr>
      <w:i/>
      <w:iCs/>
      <w:color w:val="404040" w:themeColor="text1" w:themeTint="BF"/>
    </w:rPr>
  </w:style>
  <w:style w:type="character" w:customStyle="1" w:styleId="QuoteChar">
    <w:name w:val="Quote Char"/>
    <w:basedOn w:val="DefaultParagraphFont"/>
    <w:link w:val="Quote"/>
    <w:uiPriority w:val="29"/>
    <w:rsid w:val="00CD2461"/>
    <w:rPr>
      <w:i/>
      <w:iCs/>
      <w:color w:val="404040" w:themeColor="text1" w:themeTint="BF"/>
      <w:lang w:val="en-GB"/>
    </w:rPr>
  </w:style>
  <w:style w:type="paragraph" w:styleId="ListParagraph">
    <w:name w:val="List Paragraph"/>
    <w:basedOn w:val="Normal"/>
    <w:uiPriority w:val="34"/>
    <w:qFormat/>
    <w:rsid w:val="00CD2461"/>
    <w:pPr>
      <w:ind w:left="720"/>
      <w:contextualSpacing/>
    </w:pPr>
  </w:style>
  <w:style w:type="character" w:styleId="IntenseEmphasis">
    <w:name w:val="Intense Emphasis"/>
    <w:basedOn w:val="DefaultParagraphFont"/>
    <w:uiPriority w:val="21"/>
    <w:qFormat/>
    <w:rsid w:val="00CD2461"/>
    <w:rPr>
      <w:i/>
      <w:iCs/>
      <w:color w:val="0F4761" w:themeColor="accent1" w:themeShade="BF"/>
    </w:rPr>
  </w:style>
  <w:style w:type="paragraph" w:styleId="IntenseQuote">
    <w:name w:val="Intense Quote"/>
    <w:basedOn w:val="Normal"/>
    <w:next w:val="Normal"/>
    <w:link w:val="IntenseQuoteChar"/>
    <w:uiPriority w:val="30"/>
    <w:qFormat/>
    <w:rsid w:val="00CD24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2461"/>
    <w:rPr>
      <w:i/>
      <w:iCs/>
      <w:color w:val="0F4761" w:themeColor="accent1" w:themeShade="BF"/>
      <w:lang w:val="en-GB"/>
    </w:rPr>
  </w:style>
  <w:style w:type="character" w:styleId="IntenseReference">
    <w:name w:val="Intense Reference"/>
    <w:basedOn w:val="DefaultParagraphFont"/>
    <w:uiPriority w:val="32"/>
    <w:qFormat/>
    <w:rsid w:val="00CD2461"/>
    <w:rPr>
      <w:b/>
      <w:bCs/>
      <w:smallCaps/>
      <w:color w:val="0F4761" w:themeColor="accent1" w:themeShade="BF"/>
      <w:spacing w:val="5"/>
    </w:rPr>
  </w:style>
  <w:style w:type="character" w:styleId="Hyperlink">
    <w:name w:val="Hyperlink"/>
    <w:basedOn w:val="DefaultParagraphFont"/>
    <w:uiPriority w:val="99"/>
    <w:unhideWhenUsed/>
    <w:rsid w:val="00CD2461"/>
    <w:rPr>
      <w:color w:val="467886" w:themeColor="hyperlink"/>
      <w:u w:val="single"/>
    </w:rPr>
  </w:style>
  <w:style w:type="paragraph" w:styleId="Header">
    <w:name w:val="header"/>
    <w:basedOn w:val="Normal"/>
    <w:link w:val="HeaderChar"/>
    <w:uiPriority w:val="99"/>
    <w:unhideWhenUsed/>
    <w:rsid w:val="00F518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1802"/>
    <w:rPr>
      <w:lang w:val="en-GB"/>
    </w:rPr>
  </w:style>
  <w:style w:type="paragraph" w:styleId="Footer">
    <w:name w:val="footer"/>
    <w:basedOn w:val="Normal"/>
    <w:link w:val="FooterChar"/>
    <w:uiPriority w:val="99"/>
    <w:unhideWhenUsed/>
    <w:rsid w:val="00F518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1802"/>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90/ijerph192316195" TargetMode="External"/><Relationship Id="rId18" Type="http://schemas.openxmlformats.org/officeDocument/2006/relationships/hyperlink" Target="https://doi.org/10.1016/j.jclepro.2022.132452" TargetMode="External"/><Relationship Id="rId26" Type="http://schemas.openxmlformats.org/officeDocument/2006/relationships/hyperlink" Target="https://www.statista.com/statistics/1482159/willingness-pay-sustainable-hotels-great-britain/" TargetMode="External"/><Relationship Id="rId39" Type="http://schemas.openxmlformats.org/officeDocument/2006/relationships/theme" Target="theme/theme1.xml"/><Relationship Id="rId21" Type="http://schemas.openxmlformats.org/officeDocument/2006/relationships/hyperlink" Target="https://doi.org/10.61093/sec.8(4).112-120.2024" TargetMode="External"/><Relationship Id="rId34" Type="http://schemas.openxmlformats.org/officeDocument/2006/relationships/hyperlink" Target="https://normative.io/insight/circular-economy/" TargetMode="External"/><Relationship Id="rId7" Type="http://schemas.openxmlformats.org/officeDocument/2006/relationships/hyperlink" Target="https://doi.org/10.1108/EJTD-01-2023-0005" TargetMode="External"/><Relationship Id="rId12" Type="http://schemas.openxmlformats.org/officeDocument/2006/relationships/hyperlink" Target="https://doi.org/10.1016/j.jclepro.2019.119884" TargetMode="External"/><Relationship Id="rId17" Type="http://schemas.openxmlformats.org/officeDocument/2006/relationships/hyperlink" Target="https://doi.org/10.1108/jfm-03-2022-0025" TargetMode="External"/><Relationship Id="rId25" Type="http://schemas.openxmlformats.org/officeDocument/2006/relationships/hyperlink" Target="https://www.statista.com/statistics/1340780/travelers-choosing-ecofriendly-hotels-uk/" TargetMode="External"/><Relationship Id="rId33" Type="http://schemas.openxmlformats.org/officeDocument/2006/relationships/hyperlink" Target="https://sdgs.un.org/goals"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doi.org/10.1016/j.cirp.2022.05.008" TargetMode="External"/><Relationship Id="rId20" Type="http://schemas.openxmlformats.org/officeDocument/2006/relationships/hyperlink" Target="https://doi.org/10.1007/978-3-031-05125-8_17" TargetMode="External"/><Relationship Id="rId29" Type="http://schemas.openxmlformats.org/officeDocument/2006/relationships/hyperlink" Target="https://jyx.jyu.fi/handle/123456789/76391"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ellenmacarthurfoundation.org/circular-supply-chains" TargetMode="External"/><Relationship Id="rId24" Type="http://schemas.openxmlformats.org/officeDocument/2006/relationships/hyperlink" Target="https://www.scandichotelsgroup.com/sustainability/governance-and-reports/food-waste-policy/" TargetMode="External"/><Relationship Id="rId32" Type="http://schemas.openxmlformats.org/officeDocument/2006/relationships/hyperlink" Target="https://climatepromise.undp.org/news-and-stories/what-is-circular-economy-and-how-it-helps-fight-climate-change" TargetMode="External"/><Relationship Id="rId37"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doi.org/10.1016/j.annale.2023.100090" TargetMode="External"/><Relationship Id="rId23" Type="http://schemas.openxmlformats.org/officeDocument/2006/relationships/hyperlink" Target="https://doi.org/10.1016/j.jclepro.2020.124339" TargetMode="External"/><Relationship Id="rId28" Type="http://schemas.openxmlformats.org/officeDocument/2006/relationships/hyperlink" Target="https://doi.org/10.1016/j.cie.2022.108268" TargetMode="External"/><Relationship Id="rId36" Type="http://schemas.openxmlformats.org/officeDocument/2006/relationships/hyperlink" Target="https://doi.org/10.1016/j.ijpe.2021.108346" TargetMode="External"/><Relationship Id="rId10" Type="http://schemas.openxmlformats.org/officeDocument/2006/relationships/hyperlink" Target="https://doi.org/10.1016/B978-0-12-820563-1.00008-1" TargetMode="External"/><Relationship Id="rId19" Type="http://schemas.openxmlformats.org/officeDocument/2006/relationships/hyperlink" Target="https://researchbriefings.files.parliament.uk/documents/CBP-7552/CBP-7552.pdf" TargetMode="External"/><Relationship Id="rId31" Type="http://schemas.openxmlformats.org/officeDocument/2006/relationships/hyperlink" Target="https://www.thegreenhousehotel.co.uk/environment/" TargetMode="External"/><Relationship Id="rId4" Type="http://schemas.openxmlformats.org/officeDocument/2006/relationships/footnotes" Target="footnotes.xml"/><Relationship Id="rId9" Type="http://schemas.openxmlformats.org/officeDocument/2006/relationships/hyperlink" Target="https://sustainablehotelnews.com/bournemouth-hotel-claims-to-be-uks-most-eco-friendly-place-to-stay/" TargetMode="External"/><Relationship Id="rId14" Type="http://schemas.openxmlformats.org/officeDocument/2006/relationships/hyperlink" Target="https://doi.org/10.1108/ijlm-12-2019-0332" TargetMode="External"/><Relationship Id="rId22" Type="http://schemas.openxmlformats.org/officeDocument/2006/relationships/hyperlink" Target="https://doi.org/10.1016/j.jhazmat.2021.125664" TargetMode="External"/><Relationship Id="rId27" Type="http://schemas.openxmlformats.org/officeDocument/2006/relationships/hyperlink" Target="https://www.openaccessgovernment.org/hospitality-industry-waste/51174/" TargetMode="External"/><Relationship Id="rId30" Type="http://schemas.openxmlformats.org/officeDocument/2006/relationships/hyperlink" Target="https://www.thegreenhousehotel.co.uk/the-green-house-hotel-named-in-worlds-top-ten-eco-friendly-hotels/" TargetMode="External"/><Relationship Id="rId35" Type="http://schemas.openxmlformats.org/officeDocument/2006/relationships/hyperlink" Target="https://doi.org/10.1007/s10668-017-9944-6" TargetMode="External"/><Relationship Id="rId8" Type="http://schemas.openxmlformats.org/officeDocument/2006/relationships/hyperlink" Target="https://doi.org/10.4324/9781315800462-22"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11</Pages>
  <Words>3446</Words>
  <Characters>19646</Characters>
  <Application>Microsoft Office Word</Application>
  <DocSecurity>0</DocSecurity>
  <Lines>163</Lines>
  <Paragraphs>46</Paragraphs>
  <ScaleCrop>false</ScaleCrop>
  <Company/>
  <LinksUpToDate>false</LinksUpToDate>
  <CharactersWithSpaces>23046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Marina Viktorova Boeva (2246384)</cp:lastModifiedBy>
  <cp:revision>4</cp:revision>
  <dcterms:created xsi:type="dcterms:W3CDTF">2025-02-01T07:02:00Z</dcterms:created>
  <dcterms:modified xsi:type="dcterms:W3CDTF">2025-02-18T18:51:00Z</dcterms:modified>
</cp:coreProperties>
</file>