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E9102" w14:textId="6ADCD653" w:rsidR="00A1461C" w:rsidRDefault="00A1461C" w:rsidP="007F2F41">
      <w:pPr>
        <w:jc w:val="center"/>
      </w:pPr>
      <w:r w:rsidRPr="00783697">
        <w:rPr>
          <w:noProof/>
          <w:sz w:val="24"/>
          <w:szCs w:val="24"/>
        </w:rPr>
        <w:drawing>
          <wp:anchor distT="0" distB="0" distL="114300" distR="114300" simplePos="0" relativeHeight="251659264" behindDoc="0" locked="0" layoutInCell="1" allowOverlap="1" wp14:anchorId="602D03B6" wp14:editId="39F43589">
            <wp:simplePos x="0" y="0"/>
            <wp:positionH relativeFrom="page">
              <wp:posOffset>38100</wp:posOffset>
            </wp:positionH>
            <wp:positionV relativeFrom="paragraph">
              <wp:posOffset>2701290</wp:posOffset>
            </wp:positionV>
            <wp:extent cx="9309100" cy="3905885"/>
            <wp:effectExtent l="2739707" t="0" r="2746058" b="0"/>
            <wp:wrapSquare wrapText="bothSides"/>
            <wp:docPr id="2" name="Picture 2" descr="http://upload.wikimedia.org/wikipedia/commons/thumb/5/5b/Bayeux_Tapestry_scene23_Harold_oath_William.jpg/1280px-Bayeux_Tapestry_scene23_Harold_oath_Wil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5/5b/Bayeux_Tapestry_scene23_Harold_oath_William.jpg/1280px-Bayeux_Tapestry_scene23_Harold_oath_Willia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9309100" cy="3905885"/>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r w:rsidR="007F2F41">
        <w:rPr>
          <w:rFonts w:ascii="Arial" w:hAnsi="Arial" w:cs="Arial"/>
          <w:b/>
          <w:sz w:val="28"/>
          <w:u w:val="single"/>
        </w:rPr>
        <w:t>Commentary on Bayeux Tapestry</w:t>
      </w:r>
    </w:p>
    <w:p w14:paraId="585863E1" w14:textId="68262055" w:rsidR="00A1461C" w:rsidRPr="0098370C" w:rsidRDefault="00A1461C" w:rsidP="007F2F41">
      <w:pPr>
        <w:spacing w:line="360" w:lineRule="auto"/>
        <w:jc w:val="both"/>
        <w:rPr>
          <w:rFonts w:ascii="Arial" w:hAnsi="Arial" w:cs="Arial"/>
          <w:sz w:val="24"/>
        </w:rPr>
      </w:pPr>
      <w:r w:rsidRPr="0098370C">
        <w:rPr>
          <w:rFonts w:ascii="Arial" w:hAnsi="Arial" w:cs="Arial"/>
          <w:sz w:val="24"/>
        </w:rPr>
        <w:lastRenderedPageBreak/>
        <w:t>The Bayeux tapestry was commissioned some time before 1077 b</w:t>
      </w:r>
      <w:r w:rsidR="00E25E98" w:rsidRPr="0098370C">
        <w:rPr>
          <w:rFonts w:ascii="Arial" w:hAnsi="Arial" w:cs="Arial"/>
          <w:sz w:val="24"/>
        </w:rPr>
        <w:t>y</w:t>
      </w:r>
      <w:r w:rsidRPr="0098370C">
        <w:rPr>
          <w:rFonts w:ascii="Arial" w:hAnsi="Arial" w:cs="Arial"/>
          <w:sz w:val="24"/>
        </w:rPr>
        <w:t xml:space="preserve"> </w:t>
      </w:r>
      <w:r w:rsidR="00E25E98" w:rsidRPr="0098370C">
        <w:rPr>
          <w:rFonts w:ascii="Arial" w:hAnsi="Arial" w:cs="Arial"/>
          <w:sz w:val="24"/>
        </w:rPr>
        <w:t xml:space="preserve">the bishop of Bayeux and William the Conquerors half-brother </w:t>
      </w:r>
      <w:proofErr w:type="spellStart"/>
      <w:r w:rsidR="00E25E98" w:rsidRPr="0098370C">
        <w:rPr>
          <w:rFonts w:ascii="Arial" w:hAnsi="Arial" w:cs="Arial"/>
          <w:sz w:val="24"/>
        </w:rPr>
        <w:t>Odo</w:t>
      </w:r>
      <w:proofErr w:type="spellEnd"/>
      <w:r w:rsidR="00E25E98" w:rsidRPr="0098370C">
        <w:rPr>
          <w:rFonts w:ascii="Arial" w:hAnsi="Arial" w:cs="Arial"/>
          <w:sz w:val="24"/>
        </w:rPr>
        <w:t>.</w:t>
      </w:r>
      <w:r w:rsidR="00E25E98" w:rsidRPr="0098370C">
        <w:rPr>
          <w:rStyle w:val="FootnoteReference"/>
          <w:rFonts w:ascii="Arial" w:hAnsi="Arial" w:cs="Arial"/>
          <w:sz w:val="24"/>
        </w:rPr>
        <w:footnoteReference w:id="1"/>
      </w:r>
      <w:r w:rsidR="00141415" w:rsidRPr="0098370C">
        <w:rPr>
          <w:rFonts w:ascii="Arial" w:hAnsi="Arial" w:cs="Arial"/>
          <w:sz w:val="24"/>
        </w:rPr>
        <w:t xml:space="preserve"> It depicts the events leading up to the conquest of England and ends with the battle of Hastings.</w:t>
      </w:r>
      <w:r w:rsidR="00972812" w:rsidRPr="0098370C">
        <w:rPr>
          <w:rFonts w:ascii="Arial" w:hAnsi="Arial" w:cs="Arial"/>
          <w:sz w:val="24"/>
        </w:rPr>
        <w:t xml:space="preserve"> </w:t>
      </w:r>
      <w:r w:rsidR="005E010C" w:rsidRPr="0098370C">
        <w:rPr>
          <w:rFonts w:ascii="Arial" w:hAnsi="Arial" w:cs="Arial"/>
          <w:sz w:val="24"/>
        </w:rPr>
        <w:t>The reason for its commission is unknown though it has been speculated</w:t>
      </w:r>
      <w:r w:rsidR="00FB2DC5" w:rsidRPr="0098370C">
        <w:rPr>
          <w:rFonts w:ascii="Arial" w:hAnsi="Arial" w:cs="Arial"/>
          <w:sz w:val="24"/>
        </w:rPr>
        <w:t xml:space="preserve"> that i</w:t>
      </w:r>
      <w:r w:rsidR="00365374" w:rsidRPr="0098370C">
        <w:rPr>
          <w:rFonts w:ascii="Arial" w:hAnsi="Arial" w:cs="Arial"/>
          <w:sz w:val="24"/>
        </w:rPr>
        <w:t xml:space="preserve">t was created to be displayed at </w:t>
      </w:r>
      <w:proofErr w:type="spellStart"/>
      <w:r w:rsidR="00365374" w:rsidRPr="0098370C">
        <w:rPr>
          <w:rFonts w:ascii="Arial" w:hAnsi="Arial" w:cs="Arial"/>
          <w:sz w:val="24"/>
        </w:rPr>
        <w:t>Odo’s</w:t>
      </w:r>
      <w:proofErr w:type="spellEnd"/>
      <w:r w:rsidR="00365374" w:rsidRPr="0098370C">
        <w:rPr>
          <w:rFonts w:ascii="Arial" w:hAnsi="Arial" w:cs="Arial"/>
          <w:sz w:val="24"/>
        </w:rPr>
        <w:t xml:space="preserve"> “dedication” to his new cathedral.</w:t>
      </w:r>
      <w:r w:rsidR="00365374" w:rsidRPr="0098370C">
        <w:rPr>
          <w:rStyle w:val="FootnoteReference"/>
          <w:rFonts w:ascii="Arial" w:hAnsi="Arial" w:cs="Arial"/>
          <w:sz w:val="24"/>
        </w:rPr>
        <w:footnoteReference w:id="2"/>
      </w:r>
      <w:r w:rsidR="00365374" w:rsidRPr="0098370C">
        <w:rPr>
          <w:rFonts w:ascii="Arial" w:hAnsi="Arial" w:cs="Arial"/>
          <w:sz w:val="24"/>
        </w:rPr>
        <w:t xml:space="preserve"> Due to his other title as the Earl of Kent, it was most likely commissioned </w:t>
      </w:r>
      <w:r w:rsidR="00141415" w:rsidRPr="0098370C">
        <w:rPr>
          <w:rFonts w:ascii="Arial" w:hAnsi="Arial" w:cs="Arial"/>
          <w:sz w:val="24"/>
        </w:rPr>
        <w:t>the</w:t>
      </w:r>
      <w:r w:rsidR="00365374" w:rsidRPr="0098370C">
        <w:rPr>
          <w:rFonts w:ascii="Arial" w:hAnsi="Arial" w:cs="Arial"/>
          <w:sz w:val="24"/>
        </w:rPr>
        <w:t xml:space="preserve"> by the Earl</w:t>
      </w:r>
      <w:r w:rsidR="004F7B11" w:rsidRPr="0098370C">
        <w:rPr>
          <w:rFonts w:ascii="Arial" w:hAnsi="Arial" w:cs="Arial"/>
          <w:sz w:val="24"/>
        </w:rPr>
        <w:t xml:space="preserve">. </w:t>
      </w:r>
      <w:r w:rsidR="00141415" w:rsidRPr="0098370C">
        <w:rPr>
          <w:rFonts w:ascii="Arial" w:hAnsi="Arial" w:cs="Arial"/>
          <w:sz w:val="24"/>
        </w:rPr>
        <w:t>This part of the tapestry shows Harold Godwinson swearing an oath to support William’s claim to the throne of England upon the death of Edward the Confessor.</w:t>
      </w:r>
      <w:r w:rsidR="009D6497" w:rsidRPr="0098370C">
        <w:rPr>
          <w:rFonts w:ascii="Arial" w:hAnsi="Arial" w:cs="Arial"/>
          <w:sz w:val="24"/>
        </w:rPr>
        <w:t xml:space="preserve"> </w:t>
      </w:r>
    </w:p>
    <w:p w14:paraId="2E5B633E" w14:textId="64848B0B" w:rsidR="0088666B" w:rsidRPr="0098370C" w:rsidRDefault="009D6497" w:rsidP="007F2F41">
      <w:pPr>
        <w:spacing w:line="360" w:lineRule="auto"/>
        <w:jc w:val="both"/>
        <w:rPr>
          <w:rFonts w:ascii="Arial" w:hAnsi="Arial" w:cs="Arial"/>
          <w:sz w:val="24"/>
        </w:rPr>
      </w:pPr>
      <w:r w:rsidRPr="0098370C">
        <w:rPr>
          <w:rFonts w:ascii="Arial" w:hAnsi="Arial" w:cs="Arial"/>
          <w:sz w:val="24"/>
        </w:rPr>
        <w:t>There is some conflict among primary sources and scholars as to why Harold would have gone to Normandy or ever swear an oath to William to support hi</w:t>
      </w:r>
      <w:r w:rsidR="00AA5579" w:rsidRPr="0098370C">
        <w:rPr>
          <w:rFonts w:ascii="Arial" w:hAnsi="Arial" w:cs="Arial"/>
          <w:sz w:val="24"/>
        </w:rPr>
        <w:t>s</w:t>
      </w:r>
      <w:r w:rsidRPr="0098370C">
        <w:rPr>
          <w:rFonts w:ascii="Arial" w:hAnsi="Arial" w:cs="Arial"/>
          <w:sz w:val="24"/>
        </w:rPr>
        <w:t xml:space="preserve"> claim. </w:t>
      </w:r>
      <w:proofErr w:type="spellStart"/>
      <w:r w:rsidRPr="0098370C">
        <w:rPr>
          <w:rFonts w:ascii="Arial" w:hAnsi="Arial" w:cs="Arial"/>
          <w:sz w:val="24"/>
        </w:rPr>
        <w:t>Eadmur</w:t>
      </w:r>
      <w:proofErr w:type="spellEnd"/>
      <w:r w:rsidRPr="0098370C">
        <w:rPr>
          <w:rFonts w:ascii="Arial" w:hAnsi="Arial" w:cs="Arial"/>
          <w:sz w:val="24"/>
        </w:rPr>
        <w:t xml:space="preserve"> of Canterbury says that it was to oversee the release of his brother and nephew, who were hostages of William.</w:t>
      </w:r>
      <w:r w:rsidRPr="0098370C">
        <w:rPr>
          <w:rStyle w:val="FootnoteReference"/>
          <w:rFonts w:ascii="Arial" w:hAnsi="Arial" w:cs="Arial"/>
          <w:sz w:val="24"/>
        </w:rPr>
        <w:footnoteReference w:id="3"/>
      </w:r>
      <w:r w:rsidRPr="0098370C">
        <w:rPr>
          <w:rFonts w:ascii="Arial" w:hAnsi="Arial" w:cs="Arial"/>
          <w:sz w:val="24"/>
        </w:rPr>
        <w:t xml:space="preserve"> William of Poit</w:t>
      </w:r>
      <w:r w:rsidR="00AA5579" w:rsidRPr="0098370C">
        <w:rPr>
          <w:rFonts w:ascii="Arial" w:hAnsi="Arial" w:cs="Arial"/>
          <w:sz w:val="24"/>
        </w:rPr>
        <w:t>i</w:t>
      </w:r>
      <w:r w:rsidRPr="0098370C">
        <w:rPr>
          <w:rFonts w:ascii="Arial" w:hAnsi="Arial" w:cs="Arial"/>
          <w:sz w:val="24"/>
        </w:rPr>
        <w:t>ers confirms this and further claims that the hostages were given to William by Edward the Confessor to ensure that his wishes for William to be</w:t>
      </w:r>
      <w:r w:rsidR="00AA5579" w:rsidRPr="0098370C">
        <w:rPr>
          <w:rFonts w:ascii="Arial" w:hAnsi="Arial" w:cs="Arial"/>
          <w:sz w:val="24"/>
        </w:rPr>
        <w:t xml:space="preserve"> his heir were carried out.</w:t>
      </w:r>
      <w:r w:rsidR="00AA5579" w:rsidRPr="0098370C">
        <w:rPr>
          <w:rStyle w:val="FootnoteReference"/>
          <w:rFonts w:ascii="Arial" w:hAnsi="Arial" w:cs="Arial"/>
          <w:sz w:val="24"/>
        </w:rPr>
        <w:footnoteReference w:id="4"/>
      </w:r>
      <w:r w:rsidR="00AA5579" w:rsidRPr="0098370C">
        <w:rPr>
          <w:rFonts w:ascii="Arial" w:hAnsi="Arial" w:cs="Arial"/>
          <w:sz w:val="24"/>
        </w:rPr>
        <w:t xml:space="preserve"> If this is true then Harold would have most likely been ordered to Normandy by William not only to secure the hostages but also to confirm the Edwards desire that William be the next king</w:t>
      </w:r>
      <w:r w:rsidR="00D0725F" w:rsidRPr="0098370C">
        <w:rPr>
          <w:rFonts w:ascii="Arial" w:hAnsi="Arial" w:cs="Arial"/>
          <w:sz w:val="24"/>
        </w:rPr>
        <w:t>.</w:t>
      </w:r>
      <w:r w:rsidR="00AA5579" w:rsidRPr="0098370C">
        <w:rPr>
          <w:rStyle w:val="FootnoteReference"/>
          <w:rFonts w:ascii="Arial" w:hAnsi="Arial" w:cs="Arial"/>
          <w:sz w:val="24"/>
        </w:rPr>
        <w:footnoteReference w:id="5"/>
      </w:r>
      <w:r w:rsidR="00D0725F" w:rsidRPr="0098370C">
        <w:rPr>
          <w:rFonts w:ascii="Arial" w:hAnsi="Arial" w:cs="Arial"/>
          <w:sz w:val="24"/>
        </w:rPr>
        <w:t xml:space="preserve"> </w:t>
      </w:r>
      <w:r w:rsidR="00AA5579" w:rsidRPr="0098370C">
        <w:rPr>
          <w:rFonts w:ascii="Arial" w:hAnsi="Arial" w:cs="Arial"/>
          <w:sz w:val="24"/>
        </w:rPr>
        <w:t>This has been disputed however by some historians though</w:t>
      </w:r>
      <w:r w:rsidR="00D0725F" w:rsidRPr="0098370C">
        <w:rPr>
          <w:rFonts w:ascii="Arial" w:hAnsi="Arial" w:cs="Arial"/>
          <w:sz w:val="24"/>
        </w:rPr>
        <w:t>, such as</w:t>
      </w:r>
      <w:r w:rsidR="00AA5579" w:rsidRPr="0098370C">
        <w:rPr>
          <w:rFonts w:ascii="Arial" w:hAnsi="Arial" w:cs="Arial"/>
          <w:sz w:val="24"/>
        </w:rPr>
        <w:t xml:space="preserve"> Bates </w:t>
      </w:r>
      <w:r w:rsidR="00D0725F" w:rsidRPr="0098370C">
        <w:rPr>
          <w:rFonts w:ascii="Arial" w:hAnsi="Arial" w:cs="Arial"/>
          <w:sz w:val="24"/>
        </w:rPr>
        <w:t>who</w:t>
      </w:r>
      <w:r w:rsidR="004E0EEE" w:rsidRPr="0098370C">
        <w:rPr>
          <w:rFonts w:ascii="Arial" w:hAnsi="Arial" w:cs="Arial"/>
          <w:sz w:val="24"/>
        </w:rPr>
        <w:t xml:space="preserve"> argues that </w:t>
      </w:r>
      <w:r w:rsidR="00D0725F" w:rsidRPr="0098370C">
        <w:rPr>
          <w:rFonts w:ascii="Arial" w:hAnsi="Arial" w:cs="Arial"/>
          <w:sz w:val="24"/>
        </w:rPr>
        <w:t>Edward would not have the power to send Harold to Normandy.</w:t>
      </w:r>
      <w:r w:rsidR="00D0725F" w:rsidRPr="0098370C">
        <w:rPr>
          <w:rStyle w:val="FootnoteReference"/>
          <w:rFonts w:ascii="Arial" w:hAnsi="Arial" w:cs="Arial"/>
          <w:sz w:val="24"/>
        </w:rPr>
        <w:footnoteReference w:id="6"/>
      </w:r>
      <w:r w:rsidR="00D0725F" w:rsidRPr="0098370C">
        <w:rPr>
          <w:rFonts w:ascii="Arial" w:hAnsi="Arial" w:cs="Arial"/>
          <w:sz w:val="24"/>
        </w:rPr>
        <w:t xml:space="preserve"> Harold’s family held significant </w:t>
      </w:r>
      <w:r w:rsidR="009F1921" w:rsidRPr="0098370C">
        <w:rPr>
          <w:rFonts w:ascii="Arial" w:hAnsi="Arial" w:cs="Arial"/>
          <w:sz w:val="24"/>
        </w:rPr>
        <w:t>influence</w:t>
      </w:r>
      <w:r w:rsidR="00D0725F" w:rsidRPr="0098370C">
        <w:rPr>
          <w:rFonts w:ascii="Arial" w:hAnsi="Arial" w:cs="Arial"/>
          <w:sz w:val="24"/>
        </w:rPr>
        <w:t>, being second to the king. Bate’s suggests that this desire to reduce the Godwinson family’s power, along with Edwards time in Normandy during his exile made William a suitable candidate to be his h</w:t>
      </w:r>
      <w:r w:rsidR="009F1921" w:rsidRPr="0098370C">
        <w:rPr>
          <w:rFonts w:ascii="Arial" w:hAnsi="Arial" w:cs="Arial"/>
          <w:sz w:val="24"/>
        </w:rPr>
        <w:t>eir in 1051</w:t>
      </w:r>
      <w:r w:rsidR="00D0725F" w:rsidRPr="0098370C">
        <w:rPr>
          <w:rFonts w:ascii="Arial" w:hAnsi="Arial" w:cs="Arial"/>
          <w:sz w:val="24"/>
        </w:rPr>
        <w:t>.</w:t>
      </w:r>
      <w:r w:rsidR="009F1921" w:rsidRPr="0098370C">
        <w:rPr>
          <w:rStyle w:val="FootnoteReference"/>
          <w:rFonts w:ascii="Arial" w:hAnsi="Arial" w:cs="Arial"/>
          <w:sz w:val="24"/>
        </w:rPr>
        <w:footnoteReference w:id="7"/>
      </w:r>
      <w:r w:rsidR="009F1921" w:rsidRPr="0098370C">
        <w:rPr>
          <w:rFonts w:ascii="Arial" w:hAnsi="Arial" w:cs="Arial"/>
          <w:sz w:val="24"/>
        </w:rPr>
        <w:t xml:space="preserve"> The promise Edward made to William would have carried little weight when the Godwinson’s returned from exile in 1052, unless Harold or his father confirmed their support of Williams claim</w:t>
      </w:r>
      <w:r w:rsidR="007C2A75" w:rsidRPr="0098370C">
        <w:rPr>
          <w:rFonts w:ascii="Arial" w:hAnsi="Arial" w:cs="Arial"/>
          <w:sz w:val="24"/>
        </w:rPr>
        <w:t>.</w:t>
      </w:r>
      <w:r w:rsidR="00FA0C51" w:rsidRPr="0098370C">
        <w:rPr>
          <w:rFonts w:ascii="Arial" w:hAnsi="Arial" w:cs="Arial"/>
          <w:sz w:val="24"/>
        </w:rPr>
        <w:t xml:space="preserve"> </w:t>
      </w:r>
      <w:r w:rsidR="00D05183" w:rsidRPr="0098370C">
        <w:rPr>
          <w:rFonts w:ascii="Arial" w:hAnsi="Arial" w:cs="Arial"/>
          <w:sz w:val="24"/>
        </w:rPr>
        <w:t xml:space="preserve">William of Poitiers account must also be treated with some scepticism as </w:t>
      </w:r>
      <w:r w:rsidR="0088666B" w:rsidRPr="0098370C">
        <w:rPr>
          <w:rFonts w:ascii="Arial" w:hAnsi="Arial" w:cs="Arial"/>
          <w:sz w:val="24"/>
        </w:rPr>
        <w:t>he is a Norman source and so had a vested interest in legitimizing and justifying William the conquerors claim to throne over Harold</w:t>
      </w:r>
      <w:r w:rsidR="00C81B4A">
        <w:rPr>
          <w:rFonts w:ascii="Arial" w:hAnsi="Arial" w:cs="Arial"/>
          <w:sz w:val="24"/>
        </w:rPr>
        <w:t>’</w:t>
      </w:r>
      <w:r w:rsidR="0088666B" w:rsidRPr="0098370C">
        <w:rPr>
          <w:rFonts w:ascii="Arial" w:hAnsi="Arial" w:cs="Arial"/>
          <w:sz w:val="24"/>
        </w:rPr>
        <w:t xml:space="preserve">s. </w:t>
      </w:r>
      <w:r w:rsidR="007C2A75" w:rsidRPr="0098370C">
        <w:rPr>
          <w:rFonts w:ascii="Arial" w:hAnsi="Arial" w:cs="Arial"/>
          <w:sz w:val="24"/>
        </w:rPr>
        <w:t xml:space="preserve">Another theory though is that Harold never intended to be in Normandy for as Hagger points out, he could have been headed to </w:t>
      </w:r>
      <w:r w:rsidR="007C2A75" w:rsidRPr="0098370C">
        <w:rPr>
          <w:rFonts w:ascii="Arial" w:hAnsi="Arial" w:cs="Arial"/>
          <w:sz w:val="24"/>
        </w:rPr>
        <w:lastRenderedPageBreak/>
        <w:t>Flanders.</w:t>
      </w:r>
      <w:r w:rsidR="007C2A75" w:rsidRPr="0098370C">
        <w:rPr>
          <w:rStyle w:val="FootnoteReference"/>
          <w:rFonts w:ascii="Arial" w:hAnsi="Arial" w:cs="Arial"/>
          <w:sz w:val="24"/>
        </w:rPr>
        <w:footnoteReference w:id="8"/>
      </w:r>
      <w:r w:rsidR="007C2A75" w:rsidRPr="0098370C">
        <w:rPr>
          <w:rFonts w:ascii="Arial" w:hAnsi="Arial" w:cs="Arial"/>
          <w:sz w:val="24"/>
        </w:rPr>
        <w:t xml:space="preserve"> His brother was married to the Counts daughter and he was familiar with the court from a previous visit</w:t>
      </w:r>
      <w:r w:rsidR="0088666B" w:rsidRPr="0098370C">
        <w:rPr>
          <w:rFonts w:ascii="Arial" w:hAnsi="Arial" w:cs="Arial"/>
          <w:sz w:val="24"/>
        </w:rPr>
        <w:t>.</w:t>
      </w:r>
    </w:p>
    <w:p w14:paraId="14851AF7" w14:textId="57B8F974" w:rsidR="007C2A75" w:rsidRDefault="0088666B" w:rsidP="007F2F41">
      <w:pPr>
        <w:spacing w:line="360" w:lineRule="auto"/>
        <w:jc w:val="both"/>
        <w:rPr>
          <w:rFonts w:ascii="Arial" w:hAnsi="Arial" w:cs="Arial"/>
          <w:sz w:val="24"/>
        </w:rPr>
      </w:pPr>
      <w:r w:rsidRPr="0098370C">
        <w:rPr>
          <w:rFonts w:ascii="Arial" w:hAnsi="Arial" w:cs="Arial"/>
          <w:sz w:val="24"/>
        </w:rPr>
        <w:t xml:space="preserve"> Regardless of the reason, all sources say that Harold</w:t>
      </w:r>
      <w:r w:rsidR="007C2A75" w:rsidRPr="0098370C">
        <w:rPr>
          <w:rFonts w:ascii="Arial" w:hAnsi="Arial" w:cs="Arial"/>
          <w:sz w:val="24"/>
        </w:rPr>
        <w:t xml:space="preserve"> was shipwrecked and captured by Count Guy. Duke Wil</w:t>
      </w:r>
      <w:r w:rsidR="00FA0C51" w:rsidRPr="0098370C">
        <w:rPr>
          <w:rFonts w:ascii="Arial" w:hAnsi="Arial" w:cs="Arial"/>
          <w:sz w:val="24"/>
        </w:rPr>
        <w:t>l</w:t>
      </w:r>
      <w:r w:rsidR="007C2A75" w:rsidRPr="0098370C">
        <w:rPr>
          <w:rFonts w:ascii="Arial" w:hAnsi="Arial" w:cs="Arial"/>
          <w:sz w:val="24"/>
        </w:rPr>
        <w:t>iam then appeared to rescue Harold and swore an oath either out of duress or gratitude.</w:t>
      </w:r>
      <w:r w:rsidRPr="0098370C">
        <w:rPr>
          <w:rStyle w:val="FootnoteReference"/>
          <w:rFonts w:ascii="Arial" w:hAnsi="Arial" w:cs="Arial"/>
          <w:sz w:val="24"/>
        </w:rPr>
        <w:footnoteReference w:id="9"/>
      </w:r>
      <w:r w:rsidRPr="0098370C">
        <w:rPr>
          <w:rFonts w:ascii="Arial" w:hAnsi="Arial" w:cs="Arial"/>
          <w:sz w:val="24"/>
        </w:rPr>
        <w:t xml:space="preserve"> The reason why this scene is presented in the tapestry is to serve as legitimization and justification for Williams conquest. In Harold acknowledging and swearing to support William’s claim, when he takes the throne it presents him as an oath breaker. This supports the Norman</w:t>
      </w:r>
      <w:r w:rsidR="0098370C" w:rsidRPr="0098370C">
        <w:rPr>
          <w:rFonts w:ascii="Arial" w:hAnsi="Arial" w:cs="Arial"/>
          <w:sz w:val="24"/>
        </w:rPr>
        <w:t xml:space="preserve"> “version”</w:t>
      </w:r>
      <w:r w:rsidR="0098370C" w:rsidRPr="0098370C">
        <w:rPr>
          <w:rStyle w:val="FootnoteReference"/>
          <w:rFonts w:ascii="Arial" w:hAnsi="Arial" w:cs="Arial"/>
          <w:sz w:val="24"/>
        </w:rPr>
        <w:footnoteReference w:id="10"/>
      </w:r>
      <w:r w:rsidR="0098370C" w:rsidRPr="0098370C">
        <w:rPr>
          <w:rFonts w:ascii="Arial" w:hAnsi="Arial" w:cs="Arial"/>
          <w:sz w:val="24"/>
        </w:rPr>
        <w:t xml:space="preserve"> of events and portrays Harold as a usurper, instead of a legitimate </w:t>
      </w:r>
      <w:r w:rsidR="0098370C">
        <w:rPr>
          <w:rFonts w:ascii="Arial" w:hAnsi="Arial" w:cs="Arial"/>
          <w:sz w:val="24"/>
        </w:rPr>
        <w:t>King. That is why sources such as William and Orderic Vitalis, who call Harold such as not only were they writing propaganda for the Normans</w:t>
      </w:r>
      <w:r w:rsidR="00376E6A">
        <w:rPr>
          <w:rFonts w:ascii="Arial" w:hAnsi="Arial" w:cs="Arial"/>
          <w:sz w:val="24"/>
        </w:rPr>
        <w:t>. Furthermore, in the case of Orderic Vitalis was born around 1075 years after the events occurred and had no first hand experience of any of the Conquest.</w:t>
      </w:r>
      <w:r w:rsidR="00376E6A">
        <w:rPr>
          <w:rStyle w:val="FootnoteReference"/>
          <w:rFonts w:ascii="Arial" w:hAnsi="Arial" w:cs="Arial"/>
          <w:sz w:val="24"/>
        </w:rPr>
        <w:footnoteReference w:id="11"/>
      </w:r>
    </w:p>
    <w:p w14:paraId="6E46AC1B" w14:textId="0D1054E5" w:rsidR="00376E6A" w:rsidRDefault="00376E6A" w:rsidP="007F2F41">
      <w:pPr>
        <w:spacing w:line="360" w:lineRule="auto"/>
        <w:jc w:val="both"/>
        <w:rPr>
          <w:rFonts w:ascii="Arial" w:hAnsi="Arial" w:cs="Arial"/>
          <w:sz w:val="24"/>
        </w:rPr>
      </w:pPr>
      <w:r>
        <w:rPr>
          <w:rFonts w:ascii="Arial" w:hAnsi="Arial" w:cs="Arial"/>
          <w:sz w:val="24"/>
        </w:rPr>
        <w:t>Another aspect of this piece of the tapestry to observe is that Harold is swearing his oath over holy Christian relics. This is a vital detail to consider due to the influence and power of Christian iconography and symbolism in the Medieval period. First, that Harold is swearing his oath on such relics means that he is swearing under he eyes of God, making him not only an oath breaker but a</w:t>
      </w:r>
      <w:r w:rsidR="003575F4">
        <w:rPr>
          <w:rFonts w:ascii="Arial" w:hAnsi="Arial" w:cs="Arial"/>
          <w:sz w:val="24"/>
        </w:rPr>
        <w:t>s some sources such as Orderic argue that he completely lost the favour of the divine</w:t>
      </w:r>
      <w:r>
        <w:rPr>
          <w:rFonts w:ascii="Arial" w:hAnsi="Arial" w:cs="Arial"/>
          <w:sz w:val="24"/>
        </w:rPr>
        <w:t>.</w:t>
      </w:r>
      <w:r w:rsidR="003575F4">
        <w:rPr>
          <w:rStyle w:val="FootnoteReference"/>
          <w:rFonts w:ascii="Arial" w:hAnsi="Arial" w:cs="Arial"/>
          <w:sz w:val="24"/>
        </w:rPr>
        <w:footnoteReference w:id="12"/>
      </w:r>
      <w:r w:rsidR="003575F4">
        <w:rPr>
          <w:rFonts w:ascii="Arial" w:hAnsi="Arial" w:cs="Arial"/>
          <w:sz w:val="24"/>
        </w:rPr>
        <w:t xml:space="preserve"> </w:t>
      </w:r>
      <w:r w:rsidR="00F2203C">
        <w:rPr>
          <w:rFonts w:ascii="Arial" w:hAnsi="Arial" w:cs="Arial"/>
          <w:sz w:val="24"/>
        </w:rPr>
        <w:t>The significance of this cannot be understated as Davis points out that throughout the medieval period the concept of divine right of kings was strong.</w:t>
      </w:r>
      <w:r w:rsidR="00F2203C">
        <w:rPr>
          <w:rStyle w:val="FootnoteReference"/>
          <w:rFonts w:ascii="Arial" w:hAnsi="Arial" w:cs="Arial"/>
          <w:sz w:val="24"/>
        </w:rPr>
        <w:footnoteReference w:id="13"/>
      </w:r>
      <w:r w:rsidR="00F2203C">
        <w:rPr>
          <w:rFonts w:ascii="Arial" w:hAnsi="Arial" w:cs="Arial"/>
          <w:sz w:val="24"/>
        </w:rPr>
        <w:t xml:space="preserve"> That tapestry portrays Harold as standing not only in opposition of William but also god means that Harold’s reign was always destined to fail. However, as Bates points out what someone needed in order to become king was three things; a blood relation to the previous monarch, his positioning by previous monarch as heir, and the consent of the nobles.</w:t>
      </w:r>
      <w:r w:rsidR="00F2203C">
        <w:rPr>
          <w:rStyle w:val="FootnoteReference"/>
          <w:rFonts w:ascii="Arial" w:hAnsi="Arial" w:cs="Arial"/>
          <w:sz w:val="24"/>
        </w:rPr>
        <w:footnoteReference w:id="14"/>
      </w:r>
      <w:r w:rsidR="00F2203C">
        <w:rPr>
          <w:rFonts w:ascii="Arial" w:hAnsi="Arial" w:cs="Arial"/>
          <w:sz w:val="24"/>
        </w:rPr>
        <w:t xml:space="preserve"> </w:t>
      </w:r>
      <w:r w:rsidR="003575F4">
        <w:rPr>
          <w:rFonts w:ascii="Arial" w:hAnsi="Arial" w:cs="Arial"/>
          <w:sz w:val="24"/>
        </w:rPr>
        <w:t>Christian “paraphernalia”</w:t>
      </w:r>
      <w:r w:rsidR="00F2203C">
        <w:rPr>
          <w:rStyle w:val="FootnoteReference"/>
          <w:rFonts w:ascii="Arial" w:hAnsi="Arial" w:cs="Arial"/>
          <w:sz w:val="24"/>
        </w:rPr>
        <w:footnoteReference w:id="15"/>
      </w:r>
      <w:r w:rsidR="003575F4">
        <w:rPr>
          <w:rFonts w:ascii="Arial" w:hAnsi="Arial" w:cs="Arial"/>
          <w:sz w:val="24"/>
        </w:rPr>
        <w:t xml:space="preserve"> </w:t>
      </w:r>
      <w:r w:rsidR="00F2203C">
        <w:rPr>
          <w:rFonts w:ascii="Arial" w:hAnsi="Arial" w:cs="Arial"/>
          <w:sz w:val="24"/>
        </w:rPr>
        <w:t>surrounds</w:t>
      </w:r>
      <w:r w:rsidR="003575F4">
        <w:rPr>
          <w:rFonts w:ascii="Arial" w:hAnsi="Arial" w:cs="Arial"/>
          <w:sz w:val="24"/>
        </w:rPr>
        <w:t xml:space="preserve"> the Conquest, from its preparation, key events within, and even the </w:t>
      </w:r>
      <w:r w:rsidR="003575F4">
        <w:rPr>
          <w:rFonts w:ascii="Arial" w:hAnsi="Arial" w:cs="Arial"/>
          <w:sz w:val="24"/>
        </w:rPr>
        <w:lastRenderedPageBreak/>
        <w:t>aftermath. That this tapestry was arguably meant to be displayed in a church shows that the oath of Harold had some religious impact. In a political sense the breaking of this oath is evidence that Norman emissaries presented in Rome to Pope Alexander the second in order to receive his blessing and</w:t>
      </w:r>
      <w:r w:rsidR="00C81B4A">
        <w:rPr>
          <w:rFonts w:ascii="Arial" w:hAnsi="Arial" w:cs="Arial"/>
          <w:sz w:val="24"/>
        </w:rPr>
        <w:t xml:space="preserve"> to</w:t>
      </w:r>
      <w:r w:rsidR="003575F4">
        <w:rPr>
          <w:rFonts w:ascii="Arial" w:hAnsi="Arial" w:cs="Arial"/>
          <w:sz w:val="24"/>
        </w:rPr>
        <w:t xml:space="preserve"> </w:t>
      </w:r>
      <w:r w:rsidR="00C81B4A">
        <w:rPr>
          <w:rFonts w:ascii="Arial" w:hAnsi="Arial" w:cs="Arial"/>
          <w:sz w:val="24"/>
        </w:rPr>
        <w:t>“</w:t>
      </w:r>
      <w:r w:rsidR="003575F4">
        <w:rPr>
          <w:rFonts w:ascii="Arial" w:hAnsi="Arial" w:cs="Arial"/>
          <w:sz w:val="24"/>
        </w:rPr>
        <w:t>justify</w:t>
      </w:r>
      <w:r w:rsidR="00C81B4A">
        <w:rPr>
          <w:rFonts w:ascii="Arial" w:hAnsi="Arial" w:cs="Arial"/>
          <w:sz w:val="24"/>
        </w:rPr>
        <w:t>”</w:t>
      </w:r>
      <w:r w:rsidR="003575F4">
        <w:rPr>
          <w:rFonts w:ascii="Arial" w:hAnsi="Arial" w:cs="Arial"/>
          <w:sz w:val="24"/>
        </w:rPr>
        <w:t xml:space="preserve"> the invasion.</w:t>
      </w:r>
      <w:r w:rsidR="00C81B4A">
        <w:rPr>
          <w:rStyle w:val="FootnoteReference"/>
          <w:rFonts w:ascii="Arial" w:hAnsi="Arial" w:cs="Arial"/>
          <w:sz w:val="24"/>
        </w:rPr>
        <w:footnoteReference w:id="16"/>
      </w:r>
      <w:r w:rsidR="00C81B4A">
        <w:rPr>
          <w:rFonts w:ascii="Arial" w:hAnsi="Arial" w:cs="Arial"/>
          <w:sz w:val="24"/>
        </w:rPr>
        <w:t xml:space="preserve"> To symbolise this support for William’s invasion the Pope gave him the papal banner signifying that the Normans were acting with the blessing of the Church and by extension God.</w:t>
      </w:r>
      <w:r w:rsidR="00C81B4A">
        <w:rPr>
          <w:rStyle w:val="FootnoteReference"/>
          <w:rFonts w:ascii="Arial" w:hAnsi="Arial" w:cs="Arial"/>
          <w:sz w:val="24"/>
        </w:rPr>
        <w:footnoteReference w:id="17"/>
      </w:r>
      <w:r w:rsidR="00C81B4A">
        <w:rPr>
          <w:rFonts w:ascii="Arial" w:hAnsi="Arial" w:cs="Arial"/>
          <w:sz w:val="24"/>
        </w:rPr>
        <w:t xml:space="preserve"> Achieving papal support was a huge achievement for William as it all but ensured the legitimacy of his claim.</w:t>
      </w:r>
    </w:p>
    <w:p w14:paraId="46959AA6" w14:textId="750D882E" w:rsidR="00A76C28" w:rsidRDefault="00E061E4" w:rsidP="007F2F41">
      <w:pPr>
        <w:spacing w:line="360" w:lineRule="auto"/>
        <w:jc w:val="both"/>
        <w:rPr>
          <w:rFonts w:ascii="Arial" w:hAnsi="Arial" w:cs="Arial"/>
          <w:sz w:val="24"/>
        </w:rPr>
      </w:pPr>
      <w:r>
        <w:rPr>
          <w:rFonts w:ascii="Arial" w:hAnsi="Arial" w:cs="Arial"/>
          <w:sz w:val="24"/>
        </w:rPr>
        <w:t xml:space="preserve">The placement of the oath at Bayeux is an interesting aspect of the tapestry. As Hagger points out, all sources relating to Harold’s oath claim it to have occurred at a different location; with William placing it at </w:t>
      </w:r>
      <w:proofErr w:type="spellStart"/>
      <w:r>
        <w:rPr>
          <w:rFonts w:ascii="Arial" w:hAnsi="Arial" w:cs="Arial"/>
          <w:sz w:val="24"/>
        </w:rPr>
        <w:t>Bonnivlle</w:t>
      </w:r>
      <w:proofErr w:type="spellEnd"/>
      <w:r>
        <w:rPr>
          <w:rFonts w:ascii="Arial" w:hAnsi="Arial" w:cs="Arial"/>
          <w:sz w:val="24"/>
        </w:rPr>
        <w:t>-sur-</w:t>
      </w:r>
      <w:proofErr w:type="spellStart"/>
      <w:r>
        <w:rPr>
          <w:rFonts w:ascii="Arial" w:hAnsi="Arial" w:cs="Arial"/>
          <w:sz w:val="24"/>
        </w:rPr>
        <w:t>Touques</w:t>
      </w:r>
      <w:proofErr w:type="spellEnd"/>
      <w:r>
        <w:rPr>
          <w:rFonts w:ascii="Arial" w:hAnsi="Arial" w:cs="Arial"/>
          <w:sz w:val="24"/>
        </w:rPr>
        <w:t xml:space="preserve"> and Orderic at Rouen.</w:t>
      </w:r>
      <w:r>
        <w:rPr>
          <w:rStyle w:val="FootnoteReference"/>
          <w:rFonts w:ascii="Arial" w:hAnsi="Arial" w:cs="Arial"/>
          <w:sz w:val="24"/>
        </w:rPr>
        <w:footnoteReference w:id="18"/>
      </w:r>
      <w:r w:rsidR="007021CE">
        <w:rPr>
          <w:rStyle w:val="FootnoteReference"/>
          <w:rFonts w:ascii="Arial" w:hAnsi="Arial" w:cs="Arial"/>
          <w:sz w:val="24"/>
        </w:rPr>
        <w:footnoteReference w:id="19"/>
      </w:r>
      <w:r>
        <w:rPr>
          <w:rFonts w:ascii="Arial" w:hAnsi="Arial" w:cs="Arial"/>
          <w:sz w:val="24"/>
        </w:rPr>
        <w:t xml:space="preserve"> Though the exact location is unknown, as is the reason for its dispute. As Orderic was born later, we should consider him the least reliable in this aspect. I am more inclined to believe in William’s account </w:t>
      </w:r>
      <w:r w:rsidR="007021CE">
        <w:rPr>
          <w:rFonts w:ascii="Arial" w:hAnsi="Arial" w:cs="Arial"/>
          <w:sz w:val="24"/>
        </w:rPr>
        <w:t xml:space="preserve">as to the location of the oath. My reason for this is that </w:t>
      </w:r>
      <w:proofErr w:type="spellStart"/>
      <w:r w:rsidR="007021CE">
        <w:rPr>
          <w:rFonts w:ascii="Arial" w:hAnsi="Arial" w:cs="Arial"/>
          <w:sz w:val="24"/>
        </w:rPr>
        <w:t>Odo</w:t>
      </w:r>
      <w:proofErr w:type="spellEnd"/>
      <w:r w:rsidR="007021CE">
        <w:rPr>
          <w:rFonts w:ascii="Arial" w:hAnsi="Arial" w:cs="Arial"/>
          <w:sz w:val="24"/>
        </w:rPr>
        <w:t xml:space="preserve"> the bishop of Bayeux ordered the creation of this tapestry, and considering it is theorised to have been dedicated to his church he would have an interest in seeing that such a</w:t>
      </w:r>
      <w:r w:rsidR="00747F7A">
        <w:rPr>
          <w:rFonts w:ascii="Arial" w:hAnsi="Arial" w:cs="Arial"/>
          <w:sz w:val="24"/>
        </w:rPr>
        <w:t>n</w:t>
      </w:r>
      <w:r w:rsidR="007021CE">
        <w:rPr>
          <w:rFonts w:ascii="Arial" w:hAnsi="Arial" w:cs="Arial"/>
          <w:sz w:val="24"/>
        </w:rPr>
        <w:t xml:space="preserve"> important event took place at one of his territories. He was known to be very power hungry when it came to the Church. Any thig that could have increased his influence and position within the clergy would interest him. Holding the swearing of Harold’s oath at his religious power base weaves him into William’s Conquest and triumph from the beginning. Ultimately his ambitions though would be his undoing as he was thrown in prison by William for attempting to buy the papacy.</w:t>
      </w:r>
      <w:r w:rsidR="003C1A7B">
        <w:rPr>
          <w:rStyle w:val="FootnoteReference"/>
          <w:rFonts w:ascii="Arial" w:hAnsi="Arial" w:cs="Arial"/>
          <w:sz w:val="24"/>
        </w:rPr>
        <w:footnoteReference w:id="20"/>
      </w:r>
    </w:p>
    <w:p w14:paraId="352A4008" w14:textId="7EE49615" w:rsidR="00747F7A" w:rsidRDefault="00747F7A" w:rsidP="007F2F41">
      <w:pPr>
        <w:spacing w:line="360" w:lineRule="auto"/>
        <w:jc w:val="both"/>
        <w:rPr>
          <w:rFonts w:ascii="Arial" w:hAnsi="Arial" w:cs="Arial"/>
          <w:sz w:val="24"/>
        </w:rPr>
      </w:pPr>
      <w:r>
        <w:rPr>
          <w:rFonts w:ascii="Arial" w:hAnsi="Arial" w:cs="Arial"/>
          <w:sz w:val="24"/>
        </w:rPr>
        <w:t xml:space="preserve">The tapestry of Bayeux most likely served not only as a decorative piece, but also as a celebration of William the Conqueror’s ultimate triumph. The entry of Harold’s oath is fundamentally important to the Norman’s post conquest legitimization, as it was ammunition used to discredit Harold’s claim and render William’s invasion just and legal. Notice how William is depicted wielding a sword denoting his status as a warrior king. His actions during the invasion were supported by papal authority, and Harold’s </w:t>
      </w:r>
      <w:r>
        <w:rPr>
          <w:rFonts w:ascii="Arial" w:hAnsi="Arial" w:cs="Arial"/>
          <w:sz w:val="24"/>
        </w:rPr>
        <w:lastRenderedPageBreak/>
        <w:t xml:space="preserve">breaking his oath over Christian relics makes him a sinful usurper. What must always be considered though is the target audience of this piece, that it was made as propaganda to support William’s ascend. History is almost always written from the point of view of the victors, and it should be noted that the </w:t>
      </w:r>
      <w:r w:rsidR="007F2F41">
        <w:rPr>
          <w:rFonts w:ascii="Arial" w:hAnsi="Arial" w:cs="Arial"/>
          <w:sz w:val="24"/>
        </w:rPr>
        <w:t>‘</w:t>
      </w:r>
      <w:r>
        <w:rPr>
          <w:rFonts w:ascii="Arial" w:hAnsi="Arial" w:cs="Arial"/>
          <w:sz w:val="24"/>
        </w:rPr>
        <w:t>Anglo-S</w:t>
      </w:r>
      <w:r w:rsidR="007F2F41">
        <w:rPr>
          <w:rFonts w:ascii="Arial" w:hAnsi="Arial" w:cs="Arial"/>
          <w:sz w:val="24"/>
        </w:rPr>
        <w:t>axon Chronicle’</w:t>
      </w:r>
      <w:r>
        <w:rPr>
          <w:rFonts w:ascii="Arial" w:hAnsi="Arial" w:cs="Arial"/>
          <w:sz w:val="24"/>
        </w:rPr>
        <w:t xml:space="preserve"> </w:t>
      </w:r>
      <w:r w:rsidR="007F2F41">
        <w:rPr>
          <w:rFonts w:ascii="Arial" w:hAnsi="Arial" w:cs="Arial"/>
          <w:sz w:val="24"/>
        </w:rPr>
        <w:t xml:space="preserve">doesn’t even record Harold’s visit to Normandy. </w:t>
      </w:r>
      <w:r w:rsidR="007A6CEB">
        <w:rPr>
          <w:rFonts w:ascii="Arial" w:hAnsi="Arial" w:cs="Arial"/>
          <w:sz w:val="24"/>
        </w:rPr>
        <w:t>Also,</w:t>
      </w:r>
      <w:r w:rsidR="007F2F41">
        <w:rPr>
          <w:rFonts w:ascii="Arial" w:hAnsi="Arial" w:cs="Arial"/>
          <w:sz w:val="24"/>
        </w:rPr>
        <w:t xml:space="preserve"> some note that due to Harold’s oath being sworn under duress would in some people opinion make it hollow and that Edward supposedly named him his heir on his deathbed.</w:t>
      </w:r>
      <w:r w:rsidR="007F2F41">
        <w:rPr>
          <w:rStyle w:val="FootnoteReference"/>
          <w:rFonts w:ascii="Arial" w:hAnsi="Arial" w:cs="Arial"/>
          <w:sz w:val="24"/>
        </w:rPr>
        <w:footnoteReference w:id="21"/>
      </w:r>
    </w:p>
    <w:p w14:paraId="12E345AC" w14:textId="33F49770" w:rsidR="00C30143" w:rsidRDefault="00C30143" w:rsidP="007F2F41">
      <w:pPr>
        <w:spacing w:line="360" w:lineRule="auto"/>
        <w:jc w:val="both"/>
        <w:rPr>
          <w:rFonts w:ascii="Arial" w:hAnsi="Arial" w:cs="Arial"/>
          <w:sz w:val="24"/>
        </w:rPr>
      </w:pPr>
    </w:p>
    <w:p w14:paraId="49626B82" w14:textId="5FC324D1" w:rsidR="00C30143" w:rsidRDefault="00C30143" w:rsidP="007F2F41">
      <w:pPr>
        <w:spacing w:line="360" w:lineRule="auto"/>
        <w:jc w:val="both"/>
        <w:rPr>
          <w:rFonts w:ascii="Arial" w:hAnsi="Arial" w:cs="Arial"/>
          <w:sz w:val="24"/>
        </w:rPr>
      </w:pPr>
    </w:p>
    <w:p w14:paraId="5C684C20" w14:textId="283D5E8A" w:rsidR="00C30143" w:rsidRDefault="00C30143" w:rsidP="007F2F41">
      <w:pPr>
        <w:spacing w:line="360" w:lineRule="auto"/>
        <w:jc w:val="both"/>
        <w:rPr>
          <w:rFonts w:ascii="Arial" w:hAnsi="Arial" w:cs="Arial"/>
          <w:sz w:val="24"/>
        </w:rPr>
      </w:pPr>
    </w:p>
    <w:p w14:paraId="556091B9" w14:textId="74C34BE2" w:rsidR="00C30143" w:rsidRDefault="00C30143" w:rsidP="007F2F41">
      <w:pPr>
        <w:spacing w:line="360" w:lineRule="auto"/>
        <w:jc w:val="both"/>
        <w:rPr>
          <w:rFonts w:ascii="Arial" w:hAnsi="Arial" w:cs="Arial"/>
          <w:sz w:val="24"/>
        </w:rPr>
      </w:pPr>
    </w:p>
    <w:p w14:paraId="0343099A" w14:textId="3DD40D05" w:rsidR="00C30143" w:rsidRDefault="00C30143" w:rsidP="007F2F41">
      <w:pPr>
        <w:spacing w:line="360" w:lineRule="auto"/>
        <w:jc w:val="both"/>
        <w:rPr>
          <w:rFonts w:ascii="Arial" w:hAnsi="Arial" w:cs="Arial"/>
          <w:sz w:val="24"/>
        </w:rPr>
      </w:pPr>
    </w:p>
    <w:p w14:paraId="0B045BE1" w14:textId="41456FCD" w:rsidR="00C30143" w:rsidRDefault="00C30143" w:rsidP="007F2F41">
      <w:pPr>
        <w:spacing w:line="360" w:lineRule="auto"/>
        <w:jc w:val="both"/>
        <w:rPr>
          <w:rFonts w:ascii="Arial" w:hAnsi="Arial" w:cs="Arial"/>
          <w:sz w:val="24"/>
        </w:rPr>
      </w:pPr>
    </w:p>
    <w:p w14:paraId="1FDED3A2" w14:textId="42699E41" w:rsidR="00C30143" w:rsidRDefault="00C30143" w:rsidP="007F2F41">
      <w:pPr>
        <w:spacing w:line="360" w:lineRule="auto"/>
        <w:jc w:val="both"/>
        <w:rPr>
          <w:rFonts w:ascii="Arial" w:hAnsi="Arial" w:cs="Arial"/>
          <w:sz w:val="24"/>
        </w:rPr>
      </w:pPr>
    </w:p>
    <w:p w14:paraId="68E90A7D" w14:textId="4F44464F" w:rsidR="00C30143" w:rsidRDefault="00C30143" w:rsidP="007F2F41">
      <w:pPr>
        <w:spacing w:line="360" w:lineRule="auto"/>
        <w:jc w:val="both"/>
        <w:rPr>
          <w:rFonts w:ascii="Arial" w:hAnsi="Arial" w:cs="Arial"/>
          <w:sz w:val="24"/>
        </w:rPr>
      </w:pPr>
    </w:p>
    <w:p w14:paraId="094A29EE" w14:textId="7D375225" w:rsidR="00C30143" w:rsidRDefault="00C30143" w:rsidP="007F2F41">
      <w:pPr>
        <w:spacing w:line="360" w:lineRule="auto"/>
        <w:jc w:val="both"/>
        <w:rPr>
          <w:rFonts w:ascii="Arial" w:hAnsi="Arial" w:cs="Arial"/>
          <w:sz w:val="24"/>
        </w:rPr>
      </w:pPr>
    </w:p>
    <w:p w14:paraId="4E57489B" w14:textId="05894332" w:rsidR="00C30143" w:rsidRDefault="00C30143" w:rsidP="007F2F41">
      <w:pPr>
        <w:spacing w:line="360" w:lineRule="auto"/>
        <w:jc w:val="both"/>
        <w:rPr>
          <w:rFonts w:ascii="Arial" w:hAnsi="Arial" w:cs="Arial"/>
          <w:sz w:val="24"/>
        </w:rPr>
      </w:pPr>
    </w:p>
    <w:p w14:paraId="7DE38351" w14:textId="1C31B66F" w:rsidR="00C30143" w:rsidRDefault="00C30143" w:rsidP="007F2F41">
      <w:pPr>
        <w:spacing w:line="360" w:lineRule="auto"/>
        <w:jc w:val="both"/>
        <w:rPr>
          <w:rFonts w:ascii="Arial" w:hAnsi="Arial" w:cs="Arial"/>
          <w:sz w:val="24"/>
        </w:rPr>
      </w:pPr>
    </w:p>
    <w:p w14:paraId="3A308B7A" w14:textId="7363A846" w:rsidR="00C30143" w:rsidRDefault="00C30143" w:rsidP="007F2F41">
      <w:pPr>
        <w:spacing w:line="360" w:lineRule="auto"/>
        <w:jc w:val="both"/>
        <w:rPr>
          <w:rFonts w:ascii="Arial" w:hAnsi="Arial" w:cs="Arial"/>
          <w:sz w:val="24"/>
        </w:rPr>
      </w:pPr>
    </w:p>
    <w:p w14:paraId="513B8748" w14:textId="73C1A6C0" w:rsidR="00C30143" w:rsidRDefault="00C30143" w:rsidP="007F2F41">
      <w:pPr>
        <w:spacing w:line="360" w:lineRule="auto"/>
        <w:jc w:val="both"/>
        <w:rPr>
          <w:rFonts w:ascii="Arial" w:hAnsi="Arial" w:cs="Arial"/>
          <w:sz w:val="24"/>
        </w:rPr>
      </w:pPr>
    </w:p>
    <w:p w14:paraId="67270C88" w14:textId="6018B61D" w:rsidR="00C30143" w:rsidRDefault="00C30143" w:rsidP="007F2F41">
      <w:pPr>
        <w:spacing w:line="360" w:lineRule="auto"/>
        <w:jc w:val="both"/>
        <w:rPr>
          <w:rFonts w:ascii="Arial" w:hAnsi="Arial" w:cs="Arial"/>
          <w:sz w:val="24"/>
        </w:rPr>
      </w:pPr>
    </w:p>
    <w:p w14:paraId="2F0F6847" w14:textId="7D203B4A" w:rsidR="00C30143" w:rsidRDefault="00C30143" w:rsidP="007F2F41">
      <w:pPr>
        <w:spacing w:line="360" w:lineRule="auto"/>
        <w:jc w:val="both"/>
        <w:rPr>
          <w:rFonts w:ascii="Arial" w:hAnsi="Arial" w:cs="Arial"/>
          <w:sz w:val="24"/>
        </w:rPr>
      </w:pPr>
    </w:p>
    <w:p w14:paraId="588F7B5F" w14:textId="137CBE29" w:rsidR="00C30143" w:rsidRDefault="00C30143" w:rsidP="007F2F41">
      <w:pPr>
        <w:spacing w:line="360" w:lineRule="auto"/>
        <w:jc w:val="both"/>
        <w:rPr>
          <w:rFonts w:ascii="Arial" w:hAnsi="Arial" w:cs="Arial"/>
          <w:sz w:val="24"/>
        </w:rPr>
      </w:pPr>
    </w:p>
    <w:p w14:paraId="3397EBC9" w14:textId="663D3D08" w:rsidR="00C30143" w:rsidRDefault="00C30143" w:rsidP="007F2F41">
      <w:pPr>
        <w:spacing w:line="360" w:lineRule="auto"/>
        <w:jc w:val="both"/>
        <w:rPr>
          <w:rFonts w:ascii="Arial" w:hAnsi="Arial" w:cs="Arial"/>
          <w:sz w:val="24"/>
        </w:rPr>
      </w:pPr>
    </w:p>
    <w:p w14:paraId="5F9FAA4E" w14:textId="0B555F36" w:rsidR="00C30143" w:rsidRDefault="00C30143" w:rsidP="007F2F41">
      <w:pPr>
        <w:spacing w:line="360" w:lineRule="auto"/>
        <w:jc w:val="both"/>
        <w:rPr>
          <w:rFonts w:ascii="Arial" w:hAnsi="Arial" w:cs="Arial"/>
          <w:sz w:val="24"/>
        </w:rPr>
      </w:pPr>
    </w:p>
    <w:p w14:paraId="65324B2B" w14:textId="18B5C04C" w:rsidR="00C30143" w:rsidRDefault="00C30143" w:rsidP="007F2F41">
      <w:pPr>
        <w:spacing w:line="360" w:lineRule="auto"/>
        <w:jc w:val="both"/>
        <w:rPr>
          <w:rFonts w:ascii="Arial" w:hAnsi="Arial" w:cs="Arial"/>
          <w:b/>
          <w:sz w:val="24"/>
        </w:rPr>
      </w:pPr>
      <w:r>
        <w:rPr>
          <w:rFonts w:ascii="Arial" w:hAnsi="Arial" w:cs="Arial"/>
          <w:b/>
          <w:sz w:val="24"/>
        </w:rPr>
        <w:lastRenderedPageBreak/>
        <w:t>Bibliography</w:t>
      </w:r>
    </w:p>
    <w:p w14:paraId="0F9ED19E" w14:textId="086C1A3C" w:rsidR="00C30143" w:rsidRDefault="00C30143" w:rsidP="00C30143">
      <w:pPr>
        <w:pStyle w:val="ListParagraph"/>
        <w:numPr>
          <w:ilvl w:val="0"/>
          <w:numId w:val="1"/>
        </w:numPr>
        <w:spacing w:line="360" w:lineRule="auto"/>
        <w:jc w:val="both"/>
        <w:rPr>
          <w:rFonts w:ascii="Arial" w:hAnsi="Arial" w:cs="Arial"/>
          <w:sz w:val="24"/>
        </w:rPr>
      </w:pPr>
      <w:proofErr w:type="spellStart"/>
      <w:r w:rsidRPr="00C30143">
        <w:rPr>
          <w:rFonts w:ascii="Arial" w:hAnsi="Arial" w:cs="Arial"/>
          <w:sz w:val="24"/>
        </w:rPr>
        <w:t>Alchin</w:t>
      </w:r>
      <w:proofErr w:type="spellEnd"/>
      <w:r w:rsidRPr="00C30143">
        <w:rPr>
          <w:rFonts w:ascii="Arial" w:hAnsi="Arial" w:cs="Arial"/>
          <w:sz w:val="24"/>
        </w:rPr>
        <w:t>, Linda, "Harold's Pledge To Duke William Of Normandy", </w:t>
      </w:r>
      <w:proofErr w:type="spellStart"/>
      <w:r w:rsidRPr="00C30143">
        <w:rPr>
          <w:rFonts w:ascii="Arial" w:hAnsi="Arial" w:cs="Arial"/>
          <w:i/>
          <w:iCs/>
          <w:sz w:val="24"/>
        </w:rPr>
        <w:t>Normaninvasion.Info</w:t>
      </w:r>
      <w:proofErr w:type="spellEnd"/>
      <w:r w:rsidRPr="00C30143">
        <w:rPr>
          <w:rFonts w:ascii="Arial" w:hAnsi="Arial" w:cs="Arial"/>
          <w:sz w:val="24"/>
        </w:rPr>
        <w:t>, 2018 &lt;http://www.normaninvasion.info/harolds-pledge-to-duke-of-normandy.htm&gt; [Accessed 9 November 2018]</w:t>
      </w:r>
    </w:p>
    <w:p w14:paraId="363729DE" w14:textId="20BC44FC" w:rsidR="00C30143" w:rsidRDefault="00C30143" w:rsidP="00C30143">
      <w:pPr>
        <w:pStyle w:val="ListParagraph"/>
        <w:numPr>
          <w:ilvl w:val="0"/>
          <w:numId w:val="1"/>
        </w:numPr>
        <w:spacing w:line="360" w:lineRule="auto"/>
        <w:jc w:val="both"/>
        <w:rPr>
          <w:rFonts w:ascii="Arial" w:hAnsi="Arial" w:cs="Arial"/>
          <w:sz w:val="24"/>
        </w:rPr>
      </w:pPr>
      <w:r w:rsidRPr="00C30143">
        <w:rPr>
          <w:rFonts w:ascii="Arial" w:hAnsi="Arial" w:cs="Arial"/>
          <w:sz w:val="24"/>
        </w:rPr>
        <w:t>Bates, David, </w:t>
      </w:r>
      <w:r w:rsidRPr="00C30143">
        <w:rPr>
          <w:rFonts w:ascii="Arial" w:hAnsi="Arial" w:cs="Arial"/>
          <w:i/>
          <w:iCs/>
          <w:sz w:val="24"/>
        </w:rPr>
        <w:t>William The Conqueror</w:t>
      </w:r>
      <w:r w:rsidRPr="00C30143">
        <w:rPr>
          <w:rFonts w:ascii="Arial" w:hAnsi="Arial" w:cs="Arial"/>
          <w:sz w:val="24"/>
        </w:rPr>
        <w:t> (London: Philip, 1989), pp. 42, 58-60, 62-3, 64-5, 69, 103, 130, 140</w:t>
      </w:r>
    </w:p>
    <w:p w14:paraId="71AF3E20" w14:textId="17A7ED80" w:rsidR="00C30143" w:rsidRDefault="00C30143" w:rsidP="00C30143">
      <w:pPr>
        <w:pStyle w:val="ListParagraph"/>
        <w:numPr>
          <w:ilvl w:val="0"/>
          <w:numId w:val="1"/>
        </w:numPr>
        <w:spacing w:line="360" w:lineRule="auto"/>
        <w:jc w:val="both"/>
        <w:rPr>
          <w:rFonts w:ascii="Arial" w:hAnsi="Arial" w:cs="Arial"/>
          <w:sz w:val="24"/>
        </w:rPr>
      </w:pPr>
      <w:r w:rsidRPr="00C30143">
        <w:rPr>
          <w:rFonts w:ascii="Arial" w:hAnsi="Arial" w:cs="Arial"/>
          <w:sz w:val="24"/>
        </w:rPr>
        <w:t>Davis, H. W. Carless, </w:t>
      </w:r>
      <w:r w:rsidRPr="00C30143">
        <w:rPr>
          <w:rFonts w:ascii="Arial" w:hAnsi="Arial" w:cs="Arial"/>
          <w:i/>
          <w:iCs/>
          <w:sz w:val="24"/>
        </w:rPr>
        <w:t>England Under The Normans And Angevins, 1066-1272</w:t>
      </w:r>
      <w:r w:rsidRPr="00C30143">
        <w:rPr>
          <w:rFonts w:ascii="Arial" w:hAnsi="Arial" w:cs="Arial"/>
          <w:sz w:val="24"/>
        </w:rPr>
        <w:t xml:space="preserve">, 9th </w:t>
      </w:r>
      <w:proofErr w:type="spellStart"/>
      <w:r w:rsidRPr="00C30143">
        <w:rPr>
          <w:rFonts w:ascii="Arial" w:hAnsi="Arial" w:cs="Arial"/>
          <w:sz w:val="24"/>
        </w:rPr>
        <w:t>edn</w:t>
      </w:r>
      <w:proofErr w:type="spellEnd"/>
      <w:r w:rsidRPr="00C30143">
        <w:rPr>
          <w:rFonts w:ascii="Arial" w:hAnsi="Arial" w:cs="Arial"/>
          <w:sz w:val="24"/>
        </w:rPr>
        <w:t xml:space="preserve"> (New York, NY: Barnes &amp; Noble Digital Library, 2011), p</w:t>
      </w:r>
      <w:r>
        <w:rPr>
          <w:rFonts w:ascii="Arial" w:hAnsi="Arial" w:cs="Arial"/>
          <w:sz w:val="24"/>
        </w:rPr>
        <w:t>p</w:t>
      </w:r>
      <w:r w:rsidRPr="00C30143">
        <w:rPr>
          <w:rFonts w:ascii="Arial" w:hAnsi="Arial" w:cs="Arial"/>
          <w:sz w:val="24"/>
        </w:rPr>
        <w:t>. 5</w:t>
      </w:r>
      <w:r>
        <w:rPr>
          <w:rFonts w:ascii="Arial" w:hAnsi="Arial" w:cs="Arial"/>
          <w:sz w:val="24"/>
        </w:rPr>
        <w:t>-6</w:t>
      </w:r>
    </w:p>
    <w:p w14:paraId="204F088A" w14:textId="5E51C5E8" w:rsidR="00C30143" w:rsidRDefault="00C30143" w:rsidP="00C30143">
      <w:pPr>
        <w:pStyle w:val="ListParagraph"/>
        <w:numPr>
          <w:ilvl w:val="0"/>
          <w:numId w:val="1"/>
        </w:numPr>
        <w:spacing w:line="360" w:lineRule="auto"/>
        <w:jc w:val="both"/>
        <w:rPr>
          <w:rFonts w:ascii="Arial" w:hAnsi="Arial" w:cs="Arial"/>
          <w:sz w:val="24"/>
        </w:rPr>
      </w:pPr>
      <w:r w:rsidRPr="00C30143">
        <w:rPr>
          <w:rFonts w:ascii="Arial" w:hAnsi="Arial" w:cs="Arial"/>
          <w:sz w:val="24"/>
        </w:rPr>
        <w:t>Hagger, Mark S, </w:t>
      </w:r>
      <w:r w:rsidRPr="00C30143">
        <w:rPr>
          <w:rFonts w:ascii="Arial" w:hAnsi="Arial" w:cs="Arial"/>
          <w:i/>
          <w:iCs/>
          <w:sz w:val="24"/>
        </w:rPr>
        <w:t>William</w:t>
      </w:r>
      <w:r w:rsidRPr="00C30143">
        <w:rPr>
          <w:rFonts w:ascii="Arial" w:hAnsi="Arial" w:cs="Arial"/>
          <w:sz w:val="24"/>
        </w:rPr>
        <w:t> (London: I.B. Tauris, 2012), pp. 37, 38-9, 40-1, 52, 160</w:t>
      </w:r>
    </w:p>
    <w:p w14:paraId="02224AC6" w14:textId="694D780A" w:rsidR="00C30143" w:rsidRPr="00C30143" w:rsidRDefault="00C30143" w:rsidP="00C30143">
      <w:pPr>
        <w:pStyle w:val="ListParagraph"/>
        <w:numPr>
          <w:ilvl w:val="0"/>
          <w:numId w:val="1"/>
        </w:numPr>
        <w:spacing w:line="360" w:lineRule="auto"/>
        <w:jc w:val="both"/>
        <w:rPr>
          <w:rFonts w:ascii="Arial" w:hAnsi="Arial" w:cs="Arial"/>
          <w:sz w:val="24"/>
        </w:rPr>
      </w:pPr>
      <w:r w:rsidRPr="00C30143">
        <w:rPr>
          <w:rFonts w:ascii="Arial" w:hAnsi="Arial" w:cs="Arial"/>
          <w:sz w:val="24"/>
        </w:rPr>
        <w:t>"Key Stage 3 At Www.Johndclare.Net", </w:t>
      </w:r>
      <w:r w:rsidRPr="00C30143">
        <w:rPr>
          <w:rFonts w:ascii="Arial" w:hAnsi="Arial" w:cs="Arial"/>
          <w:i/>
          <w:iCs/>
          <w:sz w:val="24"/>
        </w:rPr>
        <w:t>Johndclare.Net</w:t>
      </w:r>
      <w:r w:rsidRPr="00C30143">
        <w:rPr>
          <w:rFonts w:ascii="Arial" w:hAnsi="Arial" w:cs="Arial"/>
          <w:sz w:val="24"/>
        </w:rPr>
        <w:t>, 2018 &lt;https://www.johndclare.net/KS3/1-1-4.htm&gt; [Accessed 9 November 2018]</w:t>
      </w:r>
    </w:p>
    <w:sectPr w:rsidR="00C30143" w:rsidRPr="00C3014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39202" w14:textId="77777777" w:rsidR="00061EFC" w:rsidRDefault="00061EFC" w:rsidP="00E25E98">
      <w:pPr>
        <w:spacing w:after="0" w:line="240" w:lineRule="auto"/>
      </w:pPr>
      <w:r>
        <w:separator/>
      </w:r>
    </w:p>
  </w:endnote>
  <w:endnote w:type="continuationSeparator" w:id="0">
    <w:p w14:paraId="6F22E5C5" w14:textId="77777777" w:rsidR="00061EFC" w:rsidRDefault="00061EFC" w:rsidP="00E25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8C7BD" w14:textId="325F92C9" w:rsidR="0098370C" w:rsidRPr="0098370C" w:rsidRDefault="0098370C">
    <w:pPr>
      <w:pStyle w:val="Footer"/>
      <w:rPr>
        <w:rFonts w:ascii="Arial" w:hAnsi="Arial" w:cs="Arial"/>
        <w:sz w:val="24"/>
      </w:rPr>
    </w:pPr>
    <w:r w:rsidRPr="0098370C">
      <w:rPr>
        <w:rFonts w:ascii="Arial" w:hAnsi="Arial" w:cs="Arial"/>
        <w:sz w:val="24"/>
      </w:rPr>
      <w:t>Word Count:</w:t>
    </w:r>
    <w:r w:rsidR="007F2F41">
      <w:rPr>
        <w:rFonts w:ascii="Arial" w:hAnsi="Arial" w:cs="Arial"/>
        <w:sz w:val="24"/>
      </w:rPr>
      <w:t xml:space="preserve"> 1,190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53E03D" w14:textId="77777777" w:rsidR="00061EFC" w:rsidRDefault="00061EFC" w:rsidP="00E25E98">
      <w:pPr>
        <w:spacing w:after="0" w:line="240" w:lineRule="auto"/>
      </w:pPr>
      <w:r>
        <w:separator/>
      </w:r>
    </w:p>
  </w:footnote>
  <w:footnote w:type="continuationSeparator" w:id="0">
    <w:p w14:paraId="40547127" w14:textId="77777777" w:rsidR="00061EFC" w:rsidRDefault="00061EFC" w:rsidP="00E25E98">
      <w:pPr>
        <w:spacing w:after="0" w:line="240" w:lineRule="auto"/>
      </w:pPr>
      <w:r>
        <w:continuationSeparator/>
      </w:r>
    </w:p>
  </w:footnote>
  <w:footnote w:id="1">
    <w:p w14:paraId="3AE52F43" w14:textId="798FA5D9" w:rsidR="00E25E98" w:rsidRDefault="00E25E98">
      <w:pPr>
        <w:pStyle w:val="FootnoteText"/>
      </w:pPr>
      <w:r>
        <w:rPr>
          <w:rStyle w:val="FootnoteReference"/>
        </w:rPr>
        <w:footnoteRef/>
      </w:r>
      <w:r>
        <w:t xml:space="preserve"> </w:t>
      </w:r>
      <w:r w:rsidR="00C30143" w:rsidRPr="00C30143">
        <w:t>David Bates, </w:t>
      </w:r>
      <w:r w:rsidR="00C30143" w:rsidRPr="00C30143">
        <w:rPr>
          <w:i/>
          <w:iCs/>
        </w:rPr>
        <w:t>William The Conqueror</w:t>
      </w:r>
      <w:r w:rsidR="00C30143" w:rsidRPr="00C30143">
        <w:t> (London: Philip, 1989), p.</w:t>
      </w:r>
      <w:r w:rsidR="00C30143">
        <w:t xml:space="preserve"> </w:t>
      </w:r>
      <w:r w:rsidR="00C30143" w:rsidRPr="00C30143">
        <w:t>69</w:t>
      </w:r>
    </w:p>
  </w:footnote>
  <w:footnote w:id="2">
    <w:p w14:paraId="052208D6" w14:textId="7FE49D69" w:rsidR="00365374" w:rsidRDefault="00365374">
      <w:pPr>
        <w:pStyle w:val="FootnoteText"/>
      </w:pPr>
      <w:r>
        <w:rPr>
          <w:rStyle w:val="FootnoteReference"/>
        </w:rPr>
        <w:footnoteRef/>
      </w:r>
      <w:r>
        <w:t xml:space="preserve"> </w:t>
      </w:r>
      <w:r w:rsidR="00C30143" w:rsidRPr="00C30143">
        <w:t>Bates, </w:t>
      </w:r>
      <w:r w:rsidR="00C30143" w:rsidRPr="00C30143">
        <w:rPr>
          <w:i/>
          <w:iCs/>
        </w:rPr>
        <w:t>William The Conqueror</w:t>
      </w:r>
      <w:r w:rsidR="00C30143" w:rsidRPr="00C30143">
        <w:t> </w:t>
      </w:r>
      <w:r w:rsidR="00C30143">
        <w:t>p. 103</w:t>
      </w:r>
    </w:p>
  </w:footnote>
  <w:footnote w:id="3">
    <w:p w14:paraId="6D4A7951" w14:textId="7B206F34" w:rsidR="009D6497" w:rsidRDefault="009D6497">
      <w:pPr>
        <w:pStyle w:val="FootnoteText"/>
      </w:pPr>
      <w:r>
        <w:rPr>
          <w:rStyle w:val="FootnoteReference"/>
        </w:rPr>
        <w:footnoteRef/>
      </w:r>
      <w:r>
        <w:t xml:space="preserve"> </w:t>
      </w:r>
      <w:r w:rsidR="00C30143" w:rsidRPr="00C30143">
        <w:t>Mark S Hagger, </w:t>
      </w:r>
      <w:r w:rsidR="00C30143" w:rsidRPr="00C30143">
        <w:rPr>
          <w:i/>
          <w:iCs/>
        </w:rPr>
        <w:t>William</w:t>
      </w:r>
      <w:r w:rsidR="00C30143" w:rsidRPr="00C30143">
        <w:t> (London: I.B. Tauris, 2012), p. 37</w:t>
      </w:r>
    </w:p>
  </w:footnote>
  <w:footnote w:id="4">
    <w:p w14:paraId="4A2C8115" w14:textId="06CCBE6F" w:rsidR="00AA5579" w:rsidRDefault="00AA5579">
      <w:pPr>
        <w:pStyle w:val="FootnoteText"/>
      </w:pPr>
      <w:r>
        <w:rPr>
          <w:rStyle w:val="FootnoteReference"/>
        </w:rPr>
        <w:footnoteRef/>
      </w:r>
      <w:r>
        <w:t xml:space="preserve"> </w:t>
      </w:r>
      <w:r w:rsidR="00C30143" w:rsidRPr="00C30143">
        <w:t>Hagger, </w:t>
      </w:r>
      <w:r w:rsidR="00C30143" w:rsidRPr="00C30143">
        <w:rPr>
          <w:i/>
          <w:iCs/>
        </w:rPr>
        <w:t>William</w:t>
      </w:r>
      <w:r w:rsidR="00C30143" w:rsidRPr="00C30143">
        <w:t> </w:t>
      </w:r>
      <w:r w:rsidR="00C30143">
        <w:t>p. 37</w:t>
      </w:r>
    </w:p>
  </w:footnote>
  <w:footnote w:id="5">
    <w:p w14:paraId="7BA00BB0" w14:textId="69AC01C4" w:rsidR="00AA5579" w:rsidRDefault="00AA5579">
      <w:pPr>
        <w:pStyle w:val="FootnoteText"/>
      </w:pPr>
      <w:r>
        <w:rPr>
          <w:rStyle w:val="FootnoteReference"/>
        </w:rPr>
        <w:footnoteRef/>
      </w:r>
      <w:r>
        <w:t xml:space="preserve"> </w:t>
      </w:r>
      <w:r w:rsidR="00C30143" w:rsidRPr="00C30143">
        <w:t>Hagger, </w:t>
      </w:r>
      <w:r w:rsidR="00C30143" w:rsidRPr="00C30143">
        <w:rPr>
          <w:i/>
          <w:iCs/>
        </w:rPr>
        <w:t>William</w:t>
      </w:r>
      <w:r w:rsidR="00C30143" w:rsidRPr="00C30143">
        <w:t> p.</w:t>
      </w:r>
      <w:r w:rsidR="00C30143">
        <w:t xml:space="preserve"> </w:t>
      </w:r>
      <w:r w:rsidR="00C30143" w:rsidRPr="00C30143">
        <w:t>37</w:t>
      </w:r>
    </w:p>
  </w:footnote>
  <w:footnote w:id="6">
    <w:p w14:paraId="73FACBB6" w14:textId="64FD3AE9" w:rsidR="00D0725F" w:rsidRDefault="00D0725F">
      <w:pPr>
        <w:pStyle w:val="FootnoteText"/>
      </w:pPr>
      <w:r>
        <w:rPr>
          <w:rStyle w:val="FootnoteReference"/>
        </w:rPr>
        <w:footnoteRef/>
      </w:r>
      <w:r>
        <w:t xml:space="preserve"> </w:t>
      </w:r>
      <w:r w:rsidR="00C30143" w:rsidRPr="00C30143">
        <w:t>Bates, </w:t>
      </w:r>
      <w:r w:rsidR="00C30143" w:rsidRPr="00C30143">
        <w:rPr>
          <w:i/>
          <w:iCs/>
        </w:rPr>
        <w:t>William The Conqueror</w:t>
      </w:r>
      <w:r w:rsidR="00C30143" w:rsidRPr="00C30143">
        <w:t> p.</w:t>
      </w:r>
      <w:r w:rsidR="00C30143">
        <w:t xml:space="preserve"> </w:t>
      </w:r>
      <w:r w:rsidR="006540DA">
        <w:t>61</w:t>
      </w:r>
    </w:p>
  </w:footnote>
  <w:footnote w:id="7">
    <w:p w14:paraId="2E6CFF53" w14:textId="31F60C3C" w:rsidR="009F1921" w:rsidRDefault="009F1921">
      <w:pPr>
        <w:pStyle w:val="FootnoteText"/>
      </w:pPr>
      <w:r>
        <w:rPr>
          <w:rStyle w:val="FootnoteReference"/>
        </w:rPr>
        <w:footnoteRef/>
      </w:r>
      <w:r>
        <w:t xml:space="preserve"> </w:t>
      </w:r>
      <w:r w:rsidR="006540DA" w:rsidRPr="006540DA">
        <w:t>Bates, </w:t>
      </w:r>
      <w:r w:rsidR="006540DA" w:rsidRPr="006540DA">
        <w:rPr>
          <w:i/>
          <w:iCs/>
        </w:rPr>
        <w:t>William The Conqueror</w:t>
      </w:r>
      <w:r w:rsidR="006540DA" w:rsidRPr="006540DA">
        <w:t> p</w:t>
      </w:r>
      <w:r w:rsidR="007A6CEB">
        <w:t>p</w:t>
      </w:r>
      <w:r w:rsidR="006540DA" w:rsidRPr="006540DA">
        <w:t xml:space="preserve">. </w:t>
      </w:r>
      <w:r w:rsidR="006540DA">
        <w:t>58-6</w:t>
      </w:r>
      <w:bookmarkStart w:id="0" w:name="_GoBack"/>
      <w:bookmarkEnd w:id="0"/>
      <w:r w:rsidR="006540DA">
        <w:t>0</w:t>
      </w:r>
    </w:p>
  </w:footnote>
  <w:footnote w:id="8">
    <w:p w14:paraId="1AC497B2" w14:textId="6E36E5EF" w:rsidR="007C2A75" w:rsidRDefault="007C2A75">
      <w:pPr>
        <w:pStyle w:val="FootnoteText"/>
      </w:pPr>
      <w:r>
        <w:rPr>
          <w:rStyle w:val="FootnoteReference"/>
        </w:rPr>
        <w:footnoteRef/>
      </w:r>
      <w:r>
        <w:t xml:space="preserve"> </w:t>
      </w:r>
      <w:r w:rsidR="006540DA" w:rsidRPr="006540DA">
        <w:t>Hagger, </w:t>
      </w:r>
      <w:r w:rsidR="006540DA" w:rsidRPr="006540DA">
        <w:rPr>
          <w:i/>
          <w:iCs/>
        </w:rPr>
        <w:t>William</w:t>
      </w:r>
      <w:r w:rsidR="006540DA" w:rsidRPr="006540DA">
        <w:t xml:space="preserve"> p. </w:t>
      </w:r>
      <w:r w:rsidR="006540DA">
        <w:t>37</w:t>
      </w:r>
    </w:p>
  </w:footnote>
  <w:footnote w:id="9">
    <w:p w14:paraId="4FDEA78C" w14:textId="2A476A8F" w:rsidR="0088666B" w:rsidRDefault="0088666B">
      <w:pPr>
        <w:pStyle w:val="FootnoteText"/>
      </w:pPr>
      <w:r>
        <w:rPr>
          <w:rStyle w:val="FootnoteReference"/>
        </w:rPr>
        <w:footnoteRef/>
      </w:r>
      <w:r>
        <w:t xml:space="preserve"> </w:t>
      </w:r>
      <w:r w:rsidR="006540DA">
        <w:t xml:space="preserve">For </w:t>
      </w:r>
      <w:proofErr w:type="spellStart"/>
      <w:r w:rsidR="006540DA">
        <w:t>Eadmer</w:t>
      </w:r>
      <w:proofErr w:type="spellEnd"/>
      <w:r w:rsidR="006540DA">
        <w:t xml:space="preserve"> and William’s accounts of oath</w:t>
      </w:r>
      <w:r w:rsidR="00902B26">
        <w:t xml:space="preserve">, </w:t>
      </w:r>
      <w:r w:rsidR="006540DA" w:rsidRPr="006540DA">
        <w:t>"Key Stage 3 At Www.Johndclare.Net", </w:t>
      </w:r>
      <w:r w:rsidR="006540DA" w:rsidRPr="006540DA">
        <w:rPr>
          <w:i/>
          <w:iCs/>
        </w:rPr>
        <w:t>Johndclare.Net</w:t>
      </w:r>
      <w:r w:rsidR="006540DA" w:rsidRPr="006540DA">
        <w:t>, 2018 &lt;https://www.johndclare.net/KS3/1-1-4.htm&gt; [Accessed 9 November 2018].</w:t>
      </w:r>
    </w:p>
  </w:footnote>
  <w:footnote w:id="10">
    <w:p w14:paraId="085F80CF" w14:textId="1CF2223D" w:rsidR="0098370C" w:rsidRDefault="0098370C">
      <w:pPr>
        <w:pStyle w:val="FootnoteText"/>
      </w:pPr>
      <w:r>
        <w:rPr>
          <w:rStyle w:val="FootnoteReference"/>
        </w:rPr>
        <w:footnoteRef/>
      </w:r>
      <w:r>
        <w:t xml:space="preserve"> </w:t>
      </w:r>
      <w:r w:rsidR="00902B26" w:rsidRPr="00902B26">
        <w:t>H. W. Carless Davis, </w:t>
      </w:r>
      <w:r w:rsidR="00902B26" w:rsidRPr="00902B26">
        <w:rPr>
          <w:i/>
          <w:iCs/>
        </w:rPr>
        <w:t>England Under The Normans And Angevins, 1066-1272</w:t>
      </w:r>
      <w:r w:rsidR="00902B26" w:rsidRPr="00902B26">
        <w:t xml:space="preserve">, 9th </w:t>
      </w:r>
      <w:proofErr w:type="spellStart"/>
      <w:r w:rsidR="00902B26" w:rsidRPr="00902B26">
        <w:t>edn</w:t>
      </w:r>
      <w:proofErr w:type="spellEnd"/>
      <w:r w:rsidR="00902B26" w:rsidRPr="00902B26">
        <w:t xml:space="preserve"> (New York, NY: Barnes &amp; Noble Digital Library, 2011), p. 5.</w:t>
      </w:r>
    </w:p>
  </w:footnote>
  <w:footnote w:id="11">
    <w:p w14:paraId="4805BC59" w14:textId="48254A09" w:rsidR="00376E6A" w:rsidRDefault="00376E6A">
      <w:pPr>
        <w:pStyle w:val="FootnoteText"/>
      </w:pPr>
      <w:r>
        <w:rPr>
          <w:rStyle w:val="FootnoteReference"/>
        </w:rPr>
        <w:footnoteRef/>
      </w:r>
      <w:r>
        <w:t xml:space="preserve"> </w:t>
      </w:r>
      <w:r w:rsidR="00902B26" w:rsidRPr="00902B26">
        <w:t>Hagger, </w:t>
      </w:r>
      <w:r w:rsidR="00902B26" w:rsidRPr="00902B26">
        <w:rPr>
          <w:i/>
          <w:iCs/>
        </w:rPr>
        <w:t>William</w:t>
      </w:r>
      <w:r w:rsidR="00902B26" w:rsidRPr="00902B26">
        <w:t xml:space="preserve"> p. </w:t>
      </w:r>
      <w:r w:rsidR="00902B26">
        <w:t>52</w:t>
      </w:r>
    </w:p>
  </w:footnote>
  <w:footnote w:id="12">
    <w:p w14:paraId="0B565A0A" w14:textId="1D378603" w:rsidR="003575F4" w:rsidRDefault="003575F4">
      <w:pPr>
        <w:pStyle w:val="FootnoteText"/>
      </w:pPr>
      <w:r>
        <w:rPr>
          <w:rStyle w:val="FootnoteReference"/>
        </w:rPr>
        <w:footnoteRef/>
      </w:r>
      <w:r>
        <w:t xml:space="preserve"> </w:t>
      </w:r>
      <w:r w:rsidR="00902B26" w:rsidRPr="00902B26">
        <w:t>Hagger, </w:t>
      </w:r>
      <w:r w:rsidR="00902B26" w:rsidRPr="00902B26">
        <w:rPr>
          <w:i/>
          <w:iCs/>
        </w:rPr>
        <w:t>William</w:t>
      </w:r>
      <w:r w:rsidR="00902B26" w:rsidRPr="00902B26">
        <w:t> p. 52</w:t>
      </w:r>
    </w:p>
  </w:footnote>
  <w:footnote w:id="13">
    <w:p w14:paraId="4127DDBA" w14:textId="02A93F82" w:rsidR="00F2203C" w:rsidRDefault="00F2203C">
      <w:pPr>
        <w:pStyle w:val="FootnoteText"/>
      </w:pPr>
      <w:r>
        <w:rPr>
          <w:rStyle w:val="FootnoteReference"/>
        </w:rPr>
        <w:footnoteRef/>
      </w:r>
      <w:r>
        <w:t xml:space="preserve"> </w:t>
      </w:r>
      <w:r w:rsidR="00902B26" w:rsidRPr="00902B26">
        <w:t>Davis, </w:t>
      </w:r>
      <w:r w:rsidR="00902B26" w:rsidRPr="00902B26">
        <w:rPr>
          <w:i/>
          <w:iCs/>
        </w:rPr>
        <w:t>England Under The Normans</w:t>
      </w:r>
      <w:r w:rsidR="00902B26">
        <w:rPr>
          <w:i/>
          <w:iCs/>
        </w:rPr>
        <w:t xml:space="preserve"> </w:t>
      </w:r>
      <w:r w:rsidR="007A6CEB">
        <w:rPr>
          <w:i/>
          <w:iCs/>
        </w:rPr>
        <w:t>p</w:t>
      </w:r>
      <w:r w:rsidR="00902B26">
        <w:rPr>
          <w:i/>
          <w:iCs/>
        </w:rPr>
        <w:t>p. 5-6</w:t>
      </w:r>
    </w:p>
  </w:footnote>
  <w:footnote w:id="14">
    <w:p w14:paraId="1EB03438" w14:textId="493CF86E" w:rsidR="00F2203C" w:rsidRDefault="00F2203C" w:rsidP="00850C8D">
      <w:pPr>
        <w:pStyle w:val="FootnoteText"/>
        <w:tabs>
          <w:tab w:val="left" w:pos="1140"/>
        </w:tabs>
      </w:pPr>
      <w:r>
        <w:rPr>
          <w:rStyle w:val="FootnoteReference"/>
        </w:rPr>
        <w:footnoteRef/>
      </w:r>
      <w:r>
        <w:t xml:space="preserve"> </w:t>
      </w:r>
      <w:r w:rsidR="00850C8D" w:rsidRPr="00850C8D">
        <w:t>Bates, </w:t>
      </w:r>
      <w:r w:rsidR="00850C8D" w:rsidRPr="00850C8D">
        <w:rPr>
          <w:i/>
          <w:iCs/>
        </w:rPr>
        <w:t>William The Conqueror</w:t>
      </w:r>
      <w:r w:rsidR="00850C8D" w:rsidRPr="00850C8D">
        <w:t> p. 61</w:t>
      </w:r>
    </w:p>
  </w:footnote>
  <w:footnote w:id="15">
    <w:p w14:paraId="3956B030" w14:textId="228F2822" w:rsidR="00F2203C" w:rsidRDefault="00F2203C">
      <w:pPr>
        <w:pStyle w:val="FootnoteText"/>
      </w:pPr>
      <w:r>
        <w:rPr>
          <w:rStyle w:val="FootnoteReference"/>
        </w:rPr>
        <w:footnoteRef/>
      </w:r>
      <w:r>
        <w:t xml:space="preserve"> </w:t>
      </w:r>
      <w:r w:rsidR="007A6CEB" w:rsidRPr="007A6CEB">
        <w:t>Bates, </w:t>
      </w:r>
      <w:r w:rsidR="007A6CEB" w:rsidRPr="007A6CEB">
        <w:rPr>
          <w:i/>
          <w:iCs/>
        </w:rPr>
        <w:t>William The Conqueror</w:t>
      </w:r>
      <w:r w:rsidR="007A6CEB" w:rsidRPr="007A6CEB">
        <w:t xml:space="preserve"> p. </w:t>
      </w:r>
      <w:r w:rsidR="007A6CEB">
        <w:t>140</w:t>
      </w:r>
    </w:p>
  </w:footnote>
  <w:footnote w:id="16">
    <w:p w14:paraId="52A978E2" w14:textId="679454D5" w:rsidR="00C81B4A" w:rsidRDefault="00C81B4A">
      <w:pPr>
        <w:pStyle w:val="FootnoteText"/>
      </w:pPr>
      <w:r>
        <w:rPr>
          <w:rStyle w:val="FootnoteReference"/>
        </w:rPr>
        <w:footnoteRef/>
      </w:r>
      <w:r>
        <w:t xml:space="preserve"> </w:t>
      </w:r>
      <w:r w:rsidR="007A6CEB" w:rsidRPr="007A6CEB">
        <w:t>Bates, </w:t>
      </w:r>
      <w:r w:rsidR="007A6CEB" w:rsidRPr="007A6CEB">
        <w:rPr>
          <w:i/>
          <w:iCs/>
        </w:rPr>
        <w:t>William The Conqueror</w:t>
      </w:r>
      <w:r w:rsidR="007A6CEB" w:rsidRPr="007A6CEB">
        <w:t xml:space="preserve"> p. </w:t>
      </w:r>
      <w:r w:rsidR="007A6CEB">
        <w:t>64-5</w:t>
      </w:r>
    </w:p>
  </w:footnote>
  <w:footnote w:id="17">
    <w:p w14:paraId="527E64CB" w14:textId="40876637" w:rsidR="00C81B4A" w:rsidRDefault="00C81B4A">
      <w:pPr>
        <w:pStyle w:val="FootnoteText"/>
      </w:pPr>
      <w:r>
        <w:rPr>
          <w:rStyle w:val="FootnoteReference"/>
        </w:rPr>
        <w:footnoteRef/>
      </w:r>
      <w:r>
        <w:t xml:space="preserve"> </w:t>
      </w:r>
      <w:r w:rsidR="007A6CEB" w:rsidRPr="007A6CEB">
        <w:t>Bates, </w:t>
      </w:r>
      <w:r w:rsidR="007A6CEB" w:rsidRPr="007A6CEB">
        <w:rPr>
          <w:i/>
          <w:iCs/>
        </w:rPr>
        <w:t>William The Conqueror</w:t>
      </w:r>
      <w:r w:rsidR="007A6CEB" w:rsidRPr="007A6CEB">
        <w:t> p</w:t>
      </w:r>
      <w:r w:rsidR="007A6CEB">
        <w:t>p</w:t>
      </w:r>
      <w:r w:rsidR="007A6CEB" w:rsidRPr="007A6CEB">
        <w:t xml:space="preserve">. </w:t>
      </w:r>
      <w:r w:rsidR="007A6CEB">
        <w:t>64-5</w:t>
      </w:r>
    </w:p>
  </w:footnote>
  <w:footnote w:id="18">
    <w:p w14:paraId="612BC527" w14:textId="1CEA747C" w:rsidR="00E061E4" w:rsidRDefault="00E061E4">
      <w:pPr>
        <w:pStyle w:val="FootnoteText"/>
      </w:pPr>
      <w:r>
        <w:rPr>
          <w:rStyle w:val="FootnoteReference"/>
        </w:rPr>
        <w:footnoteRef/>
      </w:r>
      <w:r>
        <w:t xml:space="preserve"> </w:t>
      </w:r>
      <w:r w:rsidR="007A6CEB" w:rsidRPr="007A6CEB">
        <w:t>Hagger, </w:t>
      </w:r>
      <w:r w:rsidR="007A6CEB" w:rsidRPr="007A6CEB">
        <w:rPr>
          <w:i/>
          <w:iCs/>
        </w:rPr>
        <w:t>William</w:t>
      </w:r>
      <w:r w:rsidR="007A6CEB" w:rsidRPr="007A6CEB">
        <w:t> p</w:t>
      </w:r>
      <w:r w:rsidR="007A6CEB">
        <w:t>p. 38-9</w:t>
      </w:r>
    </w:p>
  </w:footnote>
  <w:footnote w:id="19">
    <w:p w14:paraId="3CE6E3BC" w14:textId="16405E24" w:rsidR="007021CE" w:rsidRDefault="007021CE">
      <w:pPr>
        <w:pStyle w:val="FootnoteText"/>
      </w:pPr>
      <w:r>
        <w:rPr>
          <w:rStyle w:val="FootnoteReference"/>
        </w:rPr>
        <w:footnoteRef/>
      </w:r>
      <w:r>
        <w:t xml:space="preserve"> </w:t>
      </w:r>
      <w:r w:rsidR="007A6CEB">
        <w:t xml:space="preserve">For </w:t>
      </w:r>
      <w:proofErr w:type="spellStart"/>
      <w:r w:rsidR="007A6CEB">
        <w:t>Orderics</w:t>
      </w:r>
      <w:proofErr w:type="spellEnd"/>
      <w:r w:rsidR="007A6CEB">
        <w:t xml:space="preserve"> account of </w:t>
      </w:r>
      <w:proofErr w:type="spellStart"/>
      <w:r w:rsidR="007A6CEB">
        <w:t>Harlod’s</w:t>
      </w:r>
      <w:proofErr w:type="spellEnd"/>
      <w:r w:rsidR="007A6CEB">
        <w:t xml:space="preserve"> oath </w:t>
      </w:r>
      <w:r w:rsidR="007A6CEB" w:rsidRPr="007A6CEB">
        <w:t xml:space="preserve">Linda </w:t>
      </w:r>
      <w:proofErr w:type="spellStart"/>
      <w:r w:rsidR="007A6CEB" w:rsidRPr="007A6CEB">
        <w:t>Alchin</w:t>
      </w:r>
      <w:proofErr w:type="spellEnd"/>
      <w:r w:rsidR="007A6CEB" w:rsidRPr="007A6CEB">
        <w:t>, "Harold's Pledge To Duke William Of Normandy", </w:t>
      </w:r>
      <w:proofErr w:type="spellStart"/>
      <w:r w:rsidR="007A6CEB" w:rsidRPr="007A6CEB">
        <w:rPr>
          <w:i/>
          <w:iCs/>
        </w:rPr>
        <w:t>Normaninvasion.Info</w:t>
      </w:r>
      <w:proofErr w:type="spellEnd"/>
      <w:r w:rsidR="007A6CEB" w:rsidRPr="007A6CEB">
        <w:t>, 2018 &lt;http://www.normaninvasion.info/harolds-pledge-to-duke-of-normandy.htm&gt; [Accessed 9 November 2018].</w:t>
      </w:r>
    </w:p>
  </w:footnote>
  <w:footnote w:id="20">
    <w:p w14:paraId="2FF19C9F" w14:textId="3C1A7A42" w:rsidR="003C1A7B" w:rsidRDefault="003C1A7B">
      <w:pPr>
        <w:pStyle w:val="FootnoteText"/>
      </w:pPr>
      <w:r>
        <w:rPr>
          <w:rStyle w:val="FootnoteReference"/>
        </w:rPr>
        <w:footnoteRef/>
      </w:r>
      <w:r>
        <w:t xml:space="preserve"> </w:t>
      </w:r>
      <w:r w:rsidR="007A6CEB" w:rsidRPr="007A6CEB">
        <w:t>Hagger, </w:t>
      </w:r>
      <w:r w:rsidR="007A6CEB" w:rsidRPr="007A6CEB">
        <w:rPr>
          <w:i/>
          <w:iCs/>
        </w:rPr>
        <w:t>William</w:t>
      </w:r>
      <w:r w:rsidR="007A6CEB" w:rsidRPr="007A6CEB">
        <w:t xml:space="preserve"> p. </w:t>
      </w:r>
      <w:r w:rsidR="007A6CEB">
        <w:t>160</w:t>
      </w:r>
    </w:p>
  </w:footnote>
  <w:footnote w:id="21">
    <w:p w14:paraId="1AF0B5A1" w14:textId="4756CA1B" w:rsidR="007F2F41" w:rsidRDefault="007F2F41">
      <w:pPr>
        <w:pStyle w:val="FootnoteText"/>
      </w:pPr>
      <w:r>
        <w:rPr>
          <w:rStyle w:val="FootnoteReference"/>
        </w:rPr>
        <w:footnoteRef/>
      </w:r>
      <w:r>
        <w:t xml:space="preserve"> </w:t>
      </w:r>
      <w:r w:rsidR="007A6CEB" w:rsidRPr="007A6CEB">
        <w:t>Bates, </w:t>
      </w:r>
      <w:r w:rsidR="007A6CEB" w:rsidRPr="007A6CEB">
        <w:rPr>
          <w:i/>
          <w:iCs/>
        </w:rPr>
        <w:t>William The Conqueror</w:t>
      </w:r>
      <w:r w:rsidR="007A6CEB" w:rsidRPr="007A6CEB">
        <w:t> pp. 6</w:t>
      </w:r>
      <w:r w:rsidR="007A6CEB">
        <w:t>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E86C1" w14:textId="0BBF4777" w:rsidR="0098370C" w:rsidRPr="0098370C" w:rsidRDefault="0098370C">
    <w:pPr>
      <w:pStyle w:val="Header"/>
      <w:rPr>
        <w:rFonts w:ascii="Arial" w:hAnsi="Arial" w:cs="Arial"/>
        <w:sz w:val="24"/>
      </w:rPr>
    </w:pPr>
    <w:r w:rsidRPr="0098370C">
      <w:rPr>
        <w:rFonts w:ascii="Arial" w:hAnsi="Arial" w:cs="Arial"/>
        <w:sz w:val="24"/>
      </w:rP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F636D"/>
    <w:multiLevelType w:val="hybridMultilevel"/>
    <w:tmpl w:val="364E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226"/>
    <w:rsid w:val="00061EFC"/>
    <w:rsid w:val="000C7226"/>
    <w:rsid w:val="00141415"/>
    <w:rsid w:val="003575F4"/>
    <w:rsid w:val="00365374"/>
    <w:rsid w:val="00376E6A"/>
    <w:rsid w:val="003C1A7B"/>
    <w:rsid w:val="004E0EEE"/>
    <w:rsid w:val="004F7B11"/>
    <w:rsid w:val="005E010C"/>
    <w:rsid w:val="006540DA"/>
    <w:rsid w:val="007021CE"/>
    <w:rsid w:val="00747F7A"/>
    <w:rsid w:val="007A6CEB"/>
    <w:rsid w:val="007C2A75"/>
    <w:rsid w:val="007F2F41"/>
    <w:rsid w:val="00850C8D"/>
    <w:rsid w:val="0088666B"/>
    <w:rsid w:val="00902B26"/>
    <w:rsid w:val="00972812"/>
    <w:rsid w:val="0098370C"/>
    <w:rsid w:val="009D6497"/>
    <w:rsid w:val="009F1921"/>
    <w:rsid w:val="00A1461C"/>
    <w:rsid w:val="00A76C28"/>
    <w:rsid w:val="00AA5579"/>
    <w:rsid w:val="00C30143"/>
    <w:rsid w:val="00C81B4A"/>
    <w:rsid w:val="00D05183"/>
    <w:rsid w:val="00D0725F"/>
    <w:rsid w:val="00E061E4"/>
    <w:rsid w:val="00E25E98"/>
    <w:rsid w:val="00F2203C"/>
    <w:rsid w:val="00FA0C51"/>
    <w:rsid w:val="00FB2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F9FE9"/>
  <w15:chartTrackingRefBased/>
  <w15:docId w15:val="{B5ED335B-2309-4CD8-9B0B-6474D4179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25E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5E98"/>
    <w:rPr>
      <w:sz w:val="20"/>
      <w:szCs w:val="20"/>
    </w:rPr>
  </w:style>
  <w:style w:type="character" w:styleId="FootnoteReference">
    <w:name w:val="footnote reference"/>
    <w:basedOn w:val="DefaultParagraphFont"/>
    <w:uiPriority w:val="99"/>
    <w:semiHidden/>
    <w:unhideWhenUsed/>
    <w:rsid w:val="00E25E98"/>
    <w:rPr>
      <w:vertAlign w:val="superscript"/>
    </w:rPr>
  </w:style>
  <w:style w:type="paragraph" w:styleId="Header">
    <w:name w:val="header"/>
    <w:basedOn w:val="Normal"/>
    <w:link w:val="HeaderChar"/>
    <w:uiPriority w:val="99"/>
    <w:unhideWhenUsed/>
    <w:rsid w:val="00983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70C"/>
  </w:style>
  <w:style w:type="paragraph" w:styleId="Footer">
    <w:name w:val="footer"/>
    <w:basedOn w:val="Normal"/>
    <w:link w:val="FooterChar"/>
    <w:uiPriority w:val="99"/>
    <w:unhideWhenUsed/>
    <w:rsid w:val="00983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70C"/>
  </w:style>
  <w:style w:type="paragraph" w:styleId="ListParagraph">
    <w:name w:val="List Paragraph"/>
    <w:basedOn w:val="Normal"/>
    <w:uiPriority w:val="34"/>
    <w:qFormat/>
    <w:rsid w:val="00C30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176F8-3550-400E-8CA6-2B9B520BC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6</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1</cp:revision>
  <dcterms:created xsi:type="dcterms:W3CDTF">2018-11-09T09:31:00Z</dcterms:created>
  <dcterms:modified xsi:type="dcterms:W3CDTF">2018-11-09T23:07:00Z</dcterms:modified>
</cp:coreProperties>
</file>