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5F195" w14:textId="4447282F" w:rsidR="00173E57" w:rsidRDefault="00173E57">
      <w:r>
        <w:rPr>
          <w:b/>
          <w:bCs/>
          <w:noProof/>
        </w:rPr>
        <w:drawing>
          <wp:inline distT="0" distB="0" distL="0" distR="0" wp14:anchorId="78DD70F5" wp14:editId="624357B2">
            <wp:extent cx="2941320" cy="1339850"/>
            <wp:effectExtent l="0" t="0" r="0" b="0"/>
            <wp:docPr id="7721819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18194" name="Picture 1" descr="A close-up of a sign&#10;&#10;Description automatically generated"/>
                    <pic:cNvPicPr/>
                  </pic:nvPicPr>
                  <pic:blipFill rotWithShape="1">
                    <a:blip r:embed="rId8" cstate="print">
                      <a:extLst>
                        <a:ext uri="{28A0092B-C50C-407E-A947-70E740481C1C}">
                          <a14:useLocalDpi xmlns:a14="http://schemas.microsoft.com/office/drawing/2010/main" val="0"/>
                        </a:ext>
                      </a:extLst>
                    </a:blip>
                    <a:srcRect l="-1" r="1109"/>
                    <a:stretch/>
                  </pic:blipFill>
                  <pic:spPr bwMode="auto">
                    <a:xfrm>
                      <a:off x="0" y="0"/>
                      <a:ext cx="3021324" cy="1376294"/>
                    </a:xfrm>
                    <a:prstGeom prst="rect">
                      <a:avLst/>
                    </a:prstGeom>
                    <a:ln>
                      <a:noFill/>
                    </a:ln>
                    <a:extLst>
                      <a:ext uri="{53640926-AAD7-44D8-BBD7-CCE9431645EC}">
                        <a14:shadowObscured xmlns:a14="http://schemas.microsoft.com/office/drawing/2010/main"/>
                      </a:ext>
                    </a:extLst>
                  </pic:spPr>
                </pic:pic>
              </a:graphicData>
            </a:graphic>
          </wp:inline>
        </w:drawing>
      </w:r>
    </w:p>
    <w:p w14:paraId="172D6C72" w14:textId="77777777" w:rsidR="00173E57" w:rsidRPr="00810DBC" w:rsidRDefault="00173E57">
      <w:pPr>
        <w:rPr>
          <w:sz w:val="40"/>
          <w:szCs w:val="40"/>
        </w:rPr>
      </w:pPr>
    </w:p>
    <w:p w14:paraId="00076240" w14:textId="13B6439A" w:rsidR="00173E57" w:rsidRPr="00810DBC" w:rsidRDefault="009D7378" w:rsidP="00173E57">
      <w:pPr>
        <w:spacing w:line="240" w:lineRule="auto"/>
        <w:jc w:val="center"/>
        <w:rPr>
          <w:b/>
          <w:bCs/>
          <w:sz w:val="40"/>
          <w:szCs w:val="40"/>
        </w:rPr>
      </w:pPr>
      <w:r w:rsidRPr="00810DBC">
        <w:rPr>
          <w:b/>
          <w:bCs/>
          <w:sz w:val="40"/>
          <w:szCs w:val="40"/>
        </w:rPr>
        <w:t xml:space="preserve">Psychological Classifications and Provisions </w:t>
      </w:r>
      <w:r w:rsidR="00173E57" w:rsidRPr="00810DBC">
        <w:rPr>
          <w:b/>
          <w:bCs/>
          <w:sz w:val="40"/>
          <w:szCs w:val="40"/>
        </w:rPr>
        <w:t>(</w:t>
      </w:r>
      <w:r w:rsidR="000E518C" w:rsidRPr="00810DBC">
        <w:rPr>
          <w:b/>
          <w:bCs/>
          <w:sz w:val="40"/>
          <w:szCs w:val="40"/>
        </w:rPr>
        <w:t>BMHP6029</w:t>
      </w:r>
      <w:r w:rsidR="00173E57" w:rsidRPr="00810DBC">
        <w:rPr>
          <w:b/>
          <w:bCs/>
          <w:sz w:val="40"/>
          <w:szCs w:val="40"/>
        </w:rPr>
        <w:t>)</w:t>
      </w:r>
    </w:p>
    <w:p w14:paraId="3650ECAB" w14:textId="77777777" w:rsidR="00173E57" w:rsidRPr="00810DBC" w:rsidRDefault="00173E57" w:rsidP="00173E57">
      <w:pPr>
        <w:jc w:val="center"/>
        <w:rPr>
          <w:b/>
          <w:bCs/>
          <w:sz w:val="40"/>
          <w:szCs w:val="40"/>
        </w:rPr>
      </w:pPr>
      <w:r w:rsidRPr="00810DBC">
        <w:rPr>
          <w:b/>
          <w:bCs/>
          <w:sz w:val="40"/>
          <w:szCs w:val="40"/>
        </w:rPr>
        <w:t xml:space="preserve">Component 2 </w:t>
      </w:r>
    </w:p>
    <w:p w14:paraId="59943789" w14:textId="77777777" w:rsidR="00173E57" w:rsidRPr="00810DBC" w:rsidRDefault="00173E57" w:rsidP="00173E57">
      <w:pPr>
        <w:jc w:val="center"/>
        <w:rPr>
          <w:b/>
          <w:bCs/>
          <w:sz w:val="40"/>
          <w:szCs w:val="40"/>
        </w:rPr>
      </w:pPr>
      <w:r w:rsidRPr="00810DBC">
        <w:rPr>
          <w:b/>
          <w:bCs/>
          <w:sz w:val="40"/>
          <w:szCs w:val="40"/>
        </w:rPr>
        <w:t xml:space="preserve">Report </w:t>
      </w:r>
    </w:p>
    <w:p w14:paraId="26235AF6" w14:textId="77777777" w:rsidR="00173E57" w:rsidRPr="006B000A" w:rsidRDefault="00173E57" w:rsidP="00173E57">
      <w:pPr>
        <w:rPr>
          <w:b/>
          <w:bCs/>
          <w:sz w:val="32"/>
          <w:szCs w:val="32"/>
        </w:rPr>
      </w:pPr>
    </w:p>
    <w:p w14:paraId="35656131" w14:textId="77777777" w:rsidR="00173E57" w:rsidRDefault="00173E57" w:rsidP="00173E57">
      <w:pPr>
        <w:rPr>
          <w:b/>
          <w:bCs/>
          <w:sz w:val="32"/>
          <w:szCs w:val="32"/>
        </w:rPr>
      </w:pPr>
    </w:p>
    <w:p w14:paraId="0D4E55C4" w14:textId="5A004DA3" w:rsidR="00173E57" w:rsidRPr="006B000A" w:rsidRDefault="00173E57" w:rsidP="00173E57">
      <w:pPr>
        <w:rPr>
          <w:b/>
          <w:bCs/>
          <w:sz w:val="32"/>
          <w:szCs w:val="32"/>
        </w:rPr>
      </w:pPr>
      <w:r w:rsidRPr="006B000A">
        <w:rPr>
          <w:b/>
          <w:bCs/>
          <w:sz w:val="32"/>
          <w:szCs w:val="32"/>
        </w:rPr>
        <w:t xml:space="preserve">Student name: </w:t>
      </w:r>
      <w:r w:rsidR="00ED64DF">
        <w:rPr>
          <w:b/>
          <w:bCs/>
          <w:sz w:val="32"/>
          <w:szCs w:val="32"/>
        </w:rPr>
        <w:t xml:space="preserve">Riana Kasule </w:t>
      </w:r>
    </w:p>
    <w:p w14:paraId="113D0630" w14:textId="48630DD9" w:rsidR="00173E57" w:rsidRDefault="00173E57" w:rsidP="00173E57">
      <w:pPr>
        <w:rPr>
          <w:b/>
          <w:bCs/>
          <w:sz w:val="32"/>
          <w:szCs w:val="32"/>
        </w:rPr>
      </w:pPr>
      <w:r w:rsidRPr="006B000A">
        <w:rPr>
          <w:b/>
          <w:bCs/>
          <w:sz w:val="32"/>
          <w:szCs w:val="32"/>
        </w:rPr>
        <w:t xml:space="preserve">Student number: </w:t>
      </w:r>
      <w:r w:rsidR="008D544D">
        <w:rPr>
          <w:b/>
          <w:bCs/>
          <w:sz w:val="32"/>
          <w:szCs w:val="32"/>
        </w:rPr>
        <w:t>2337024</w:t>
      </w:r>
    </w:p>
    <w:p w14:paraId="6D232BF0" w14:textId="77777777" w:rsidR="00173E57" w:rsidRDefault="00173E57" w:rsidP="00173E57">
      <w:pPr>
        <w:rPr>
          <w:b/>
          <w:bCs/>
          <w:sz w:val="32"/>
          <w:szCs w:val="32"/>
        </w:rPr>
      </w:pPr>
      <w:r w:rsidRPr="006B000A">
        <w:rPr>
          <w:b/>
          <w:bCs/>
          <w:sz w:val="32"/>
          <w:szCs w:val="32"/>
        </w:rPr>
        <w:t xml:space="preserve">Submission date: </w:t>
      </w:r>
      <w:r>
        <w:rPr>
          <w:b/>
          <w:bCs/>
          <w:sz w:val="32"/>
          <w:szCs w:val="32"/>
        </w:rPr>
        <w:t>25</w:t>
      </w:r>
      <w:r w:rsidRPr="00EE5F9A">
        <w:rPr>
          <w:b/>
          <w:bCs/>
          <w:sz w:val="32"/>
          <w:szCs w:val="32"/>
          <w:vertAlign w:val="superscript"/>
        </w:rPr>
        <w:t>th</w:t>
      </w:r>
      <w:r>
        <w:rPr>
          <w:b/>
          <w:bCs/>
          <w:sz w:val="32"/>
          <w:szCs w:val="32"/>
        </w:rPr>
        <w:t xml:space="preserve"> April 2025 – 2:00pm </w:t>
      </w:r>
    </w:p>
    <w:p w14:paraId="7959817B" w14:textId="77777777" w:rsidR="00173E57" w:rsidRDefault="00173E57" w:rsidP="00173E57">
      <w:pPr>
        <w:rPr>
          <w:b/>
          <w:bCs/>
          <w:sz w:val="32"/>
          <w:szCs w:val="32"/>
        </w:rPr>
      </w:pPr>
    </w:p>
    <w:p w14:paraId="79C95014" w14:textId="77777777" w:rsidR="00173E57" w:rsidRDefault="00173E57" w:rsidP="000F7CD7">
      <w:pPr>
        <w:spacing w:line="240" w:lineRule="auto"/>
        <w:rPr>
          <w:b/>
          <w:bCs/>
          <w:sz w:val="32"/>
          <w:szCs w:val="32"/>
        </w:rPr>
      </w:pPr>
    </w:p>
    <w:p w14:paraId="34007738" w14:textId="3DBA5F91" w:rsidR="000F7CD7" w:rsidRPr="000F7CD7" w:rsidRDefault="000F7CD7" w:rsidP="000F7CD7">
      <w:pPr>
        <w:spacing w:line="240" w:lineRule="auto"/>
        <w:rPr>
          <w:rFonts w:ascii="Arial" w:hAnsi="Arial" w:cs="Arial"/>
          <w:sz w:val="22"/>
          <w:szCs w:val="22"/>
        </w:rPr>
      </w:pPr>
    </w:p>
    <w:p w14:paraId="77C2AA72" w14:textId="6816AB82" w:rsidR="000F7CD7" w:rsidRPr="000F7CD7" w:rsidRDefault="000F7CD7" w:rsidP="00987C56">
      <w:pPr>
        <w:spacing w:line="240" w:lineRule="auto"/>
        <w:rPr>
          <w:rFonts w:ascii="Arial" w:hAnsi="Arial" w:cs="Arial"/>
          <w:sz w:val="22"/>
          <w:szCs w:val="22"/>
        </w:rPr>
      </w:pPr>
      <w:r w:rsidRPr="000F7CD7">
        <w:rPr>
          <w:rFonts w:ascii="Arial" w:hAnsi="Arial" w:cs="Arial"/>
          <w:sz w:val="22"/>
          <w:szCs w:val="22"/>
        </w:rPr>
        <w:t xml:space="preserve">I acknowledge the use of Grammarly </w:t>
      </w:r>
      <w:r w:rsidR="00987C56">
        <w:rPr>
          <w:rFonts w:ascii="Arial" w:hAnsi="Arial" w:cs="Arial"/>
          <w:sz w:val="22"/>
          <w:szCs w:val="22"/>
        </w:rPr>
        <w:t>to</w:t>
      </w:r>
      <w:r w:rsidR="00271EB5">
        <w:rPr>
          <w:rFonts w:ascii="Arial" w:hAnsi="Arial" w:cs="Arial"/>
          <w:sz w:val="22"/>
          <w:szCs w:val="22"/>
        </w:rPr>
        <w:t xml:space="preserve"> support my work</w:t>
      </w:r>
    </w:p>
    <w:p w14:paraId="1941E50A" w14:textId="0D178B40" w:rsidR="009C631E" w:rsidRDefault="009C631E" w:rsidP="00271EB5">
      <w:pPr>
        <w:pStyle w:val="TOCHeading"/>
      </w:pPr>
    </w:p>
    <w:p w14:paraId="33729948" w14:textId="77777777" w:rsidR="005C4373" w:rsidRDefault="005C4373" w:rsidP="005C4373"/>
    <w:p w14:paraId="1AF60B4E" w14:textId="77777777" w:rsidR="005C4373" w:rsidRDefault="005C4373" w:rsidP="005C4373"/>
    <w:p w14:paraId="18B6EF59" w14:textId="77777777" w:rsidR="005C4373" w:rsidRDefault="005C4373" w:rsidP="005C4373"/>
    <w:p w14:paraId="1A8FA5E8" w14:textId="77777777" w:rsidR="005C4373" w:rsidRDefault="005C4373" w:rsidP="005C4373"/>
    <w:p w14:paraId="093E7111" w14:textId="77777777" w:rsidR="005C4373" w:rsidRPr="005C4373" w:rsidRDefault="005C4373" w:rsidP="005C4373"/>
    <w:p w14:paraId="373B29DF" w14:textId="3322A462" w:rsidR="004E090E" w:rsidRPr="004E090E" w:rsidRDefault="004E090E" w:rsidP="004C5B04">
      <w:pPr>
        <w:rPr>
          <w:b/>
          <w:bCs/>
        </w:rPr>
      </w:pPr>
      <w:r w:rsidRPr="004E090E">
        <w:rPr>
          <w:b/>
          <w:bCs/>
        </w:rPr>
        <w:lastRenderedPageBreak/>
        <w:t>Introduction</w:t>
      </w:r>
    </w:p>
    <w:p w14:paraId="164BF0EA" w14:textId="7A660783" w:rsidR="004E090E" w:rsidRDefault="004C5B04" w:rsidP="004C5B04">
      <w:r w:rsidRPr="004C5B04">
        <w:t>Attention Deficit Hyperactivity Disorder (ADHD) is a neurodevelopmental disorder characterised by persistent patterns of inattention and/or hyperactivity-impulsivity that interfere with functioning across important areas of life. Although ADHD has historically been associated primarily with childhood, contemporary research recognises that symptoms and associated impairments can persist into adolescence and adulthood. ADHD may affect educational attainment, employment, relationships, emotional regulation, physical health and quality of life. The increasing recognition of ADHD in adults has also generated substantial debate about diagnostic expansion, medicalisation, neurodiversity and appropriate treatment.</w:t>
      </w:r>
      <w:r w:rsidRPr="004C5B04">
        <w:br/>
        <w:t xml:space="preserve">The World Health Organization (WHO) classifies ADHD within Chapter 6 of the International Classification of Diseases, 11th Revision (ICD-11), under </w:t>
      </w:r>
      <w:r w:rsidRPr="004C5B04">
        <w:rPr>
          <w:i/>
          <w:iCs/>
        </w:rPr>
        <w:t>Mental, Behavioural or Neurodevelopmental Disorders</w:t>
      </w:r>
      <w:r w:rsidRPr="004C5B04">
        <w:t xml:space="preserve">. More specifically, ADHD is located within the </w:t>
      </w:r>
      <w:r w:rsidRPr="004C5B04">
        <w:rPr>
          <w:i/>
          <w:iCs/>
        </w:rPr>
        <w:t>Neurodevelopmental Disorders</w:t>
      </w:r>
      <w:r w:rsidRPr="004C5B04">
        <w:t xml:space="preserve"> grouping and is assigned the code </w:t>
      </w:r>
      <w:r w:rsidRPr="004C5B04">
        <w:rPr>
          <w:b/>
          <w:bCs/>
        </w:rPr>
        <w:t>6A05</w:t>
      </w:r>
      <w:r w:rsidRPr="004C5B04">
        <w:t xml:space="preserve"> (WHO, 2024). This classification is significant because it conceptualises ADHD primarily as a neurodevelopmental disorder rather than simply a behavioural problem. NICE similarly states that ADHD is recognised as a neurodevelopmental disorder and has updated its guidance to reflect ICD-11 (NICE, 2025).</w:t>
      </w:r>
      <w:r w:rsidRPr="004C5B04">
        <w:br/>
        <w:t>This report critically examines ADHD's classification and diagnostic process, evaluates pharmacological and psychological treatment, considers rehabilitation and reasonable adjustments, and discusses contemporary debates concerning neurodivergence, diagnostic boundaries and potential over- or under-diagnosis. It argues that ICD-11 provides a more developmentally informed and flexible framework, but ADHD should not be understood solely through symptoms or medication. Effective practice requires a holistic, person-centred approach incorporating environmental adaptation, psychological support, education, employment and the individual's own understanding of neurodivergence.</w:t>
      </w:r>
    </w:p>
    <w:p w14:paraId="302C1114" w14:textId="5938536C" w:rsidR="005C4373" w:rsidRDefault="004C5B04" w:rsidP="004C5B04">
      <w:r w:rsidRPr="004C5B04">
        <w:br/>
      </w:r>
      <w:r w:rsidRPr="004C5B04">
        <w:rPr>
          <w:b/>
          <w:bCs/>
        </w:rPr>
        <w:t>Classification of ADHD in ICD-11</w:t>
      </w:r>
      <w:r w:rsidRPr="004C5B04">
        <w:br/>
        <w:t xml:space="preserve">ADHD is classified under </w:t>
      </w:r>
      <w:r w:rsidRPr="004C5B04">
        <w:rPr>
          <w:b/>
          <w:bCs/>
        </w:rPr>
        <w:t xml:space="preserve">6A05, </w:t>
      </w:r>
      <w:r w:rsidR="0054774B" w:rsidRPr="004C5B04">
        <w:rPr>
          <w:b/>
          <w:bCs/>
        </w:rPr>
        <w:t>attention deficit hyperactivity disorder</w:t>
      </w:r>
      <w:r w:rsidRPr="004C5B04">
        <w:t xml:space="preserve">, within the </w:t>
      </w:r>
      <w:r w:rsidRPr="004C5B04">
        <w:rPr>
          <w:i/>
          <w:iCs/>
        </w:rPr>
        <w:t>Neurodevelopmental Disorders</w:t>
      </w:r>
      <w:r w:rsidRPr="004C5B04">
        <w:t xml:space="preserve"> section of ICD-11 Chapter 6. The terminology is important. ICD-11 explicitly uses the term </w:t>
      </w:r>
      <w:r w:rsidRPr="004C5B04">
        <w:rPr>
          <w:b/>
          <w:bCs/>
        </w:rPr>
        <w:t>“disorder”</w:t>
      </w:r>
      <w:r w:rsidRPr="004C5B04">
        <w:t>, rather than “illness” or simply “condition”. At the same time, locating ADHD among neurodevelopmental disorders emphasises that it is associated with developmental processes rather than being understood exclusively as an acquired mental illness.</w:t>
      </w:r>
      <w:r w:rsidRPr="004C5B04">
        <w:br/>
        <w:t xml:space="preserve">ICD-11 identifies three principal presentations: </w:t>
      </w:r>
      <w:r w:rsidRPr="004C5B04">
        <w:rPr>
          <w:b/>
          <w:bCs/>
        </w:rPr>
        <w:t>predominantly inattentive presentation (6A05.0), predominantly hyperactive-impulsive presentation (6A05.1), and combined presentation (6A05.2)</w:t>
      </w:r>
      <w:r w:rsidRPr="004C5B04">
        <w:t xml:space="preserve">. It also provides categories for other specified and unspecified presentations (WHO, 2024). This is important because ADHD does not present identically in every individual. Some people experience predominantly </w:t>
      </w:r>
      <w:r w:rsidRPr="004C5B04">
        <w:lastRenderedPageBreak/>
        <w:t>difficulties with concentration, organisation and sustained attention, whereas others demonstrate more prominent impulsivity and hyperactivity.</w:t>
      </w:r>
      <w:r w:rsidRPr="004C5B04">
        <w:br/>
        <w:t xml:space="preserve">The classification therefore moves away from the assumption that ADHD is necessarily characterised by disruptive hyperactive behaviour. This has </w:t>
      </w:r>
      <w:proofErr w:type="gramStart"/>
      <w:r w:rsidRPr="004C5B04">
        <w:t>particular implications</w:t>
      </w:r>
      <w:proofErr w:type="gramEnd"/>
      <w:r w:rsidRPr="004C5B04">
        <w:t xml:space="preserve"> for girls and women, and for adults whose symptoms may be less externally visible. NICE identifies women and girls as a group at risk of under-recognition because they may be less likely to be referred and more likely to receive an alternative diagnosis (NICE, 2025).</w:t>
      </w:r>
      <w:r w:rsidRPr="004C5B04">
        <w:br/>
        <w:t>ICD-11 also recognises that symptoms can change over the course of development. WHO notes that the predominant symptom pattern in an individual can change over time and cannot necessarily be predicted from the pattern displayed by relatives (WHO, 2024). Consequently, ADHD should not be viewed as a fixed behavioural profile.</w:t>
      </w:r>
      <w:r w:rsidRPr="004C5B04">
        <w:br/>
        <w:t>The classification nevertheless raises an important conceptual problem. The boundary between ADHD and normal variations in attention, activity and impulsivity is not absolute. Many people occasionally procrastinate, lose possessions, become distracted or struggle to remain still. The clinical distinction depends on persistence, developmental appropriateness, pervasiveness and significant impairment. Consequently, diagnosis involves judgement about where normal human variation becomes sufficiently persistent and impairing to warrant a disorder classification. This illustrates why classification systems should be understood as clinical frameworks rather than objective measurements of a biological boundary.</w:t>
      </w:r>
    </w:p>
    <w:p w14:paraId="1C92D1B9" w14:textId="77777777" w:rsidR="005C4373" w:rsidRDefault="004C5B04" w:rsidP="004C5B04">
      <w:pPr>
        <w:rPr>
          <w:b/>
          <w:bCs/>
        </w:rPr>
      </w:pPr>
      <w:r w:rsidRPr="004C5B04">
        <w:br/>
      </w:r>
      <w:r w:rsidRPr="004C5B04">
        <w:rPr>
          <w:b/>
          <w:bCs/>
        </w:rPr>
        <w:t>Diagnosis and Clinical Assessment</w:t>
      </w:r>
      <w:r w:rsidRPr="004C5B04">
        <w:br/>
        <w:t xml:space="preserve">ADHD diagnosis is fundamentally a </w:t>
      </w:r>
      <w:r w:rsidRPr="004C5B04">
        <w:rPr>
          <w:b/>
          <w:bCs/>
        </w:rPr>
        <w:t>clinical diagnosis</w:t>
      </w:r>
      <w:r w:rsidRPr="004C5B04">
        <w:t>. There is currently no single blood test, brain scan or biological marker that can independently establish that someone has ADHD. NICE recommends that diagnosis should be undertaken by an appropriately qualified professional with specialist training and should involve a full clinical and psychosocial assessment, developmental and psychiatric history, assessment of symptoms in different settings and observer information where appropriate (NICE, 2025).</w:t>
      </w:r>
      <w:r w:rsidRPr="004C5B04">
        <w:br/>
        <w:t>An important feature of diagnosis is establishing developmental history. In adults, NICE recommends referral where there is evidence that typical manifestations of ADHD began during childhood, persisted over time and are associated with moderate or severe psychological, social, educational or occupational impairment (NICE, 2025). Assessment must also consider alternative explanations and coexisting conditions, including anxiety, depression, autism, learning difficulties, substance misuse and other psychiatric or developmental disorders.</w:t>
      </w:r>
      <w:r w:rsidRPr="004C5B04">
        <w:br/>
        <w:t xml:space="preserve">This requirement is particularly important because symptoms such as poor concentration and restlessness are not specific to ADHD. Sleep deprivation, trauma, depression, anxiety and environmental stress can produce similar difficulties. A diagnosis based solely on a questionnaire could therefore result in false positives. </w:t>
      </w:r>
      <w:r w:rsidRPr="004C5B04">
        <w:lastRenderedPageBreak/>
        <w:t>Rating scales can be valuable for structuring assessment and obtaining information from different settings, but they should support rather than replace clinical judgement.</w:t>
      </w:r>
      <w:r w:rsidRPr="004C5B04">
        <w:br/>
        <w:t xml:space="preserve">Recent developments in digital assessment illustrate this issue. </w:t>
      </w:r>
      <w:proofErr w:type="spellStart"/>
      <w:r w:rsidRPr="004C5B04">
        <w:t>QbTest</w:t>
      </w:r>
      <w:proofErr w:type="spellEnd"/>
      <w:r w:rsidRPr="004C5B04">
        <w:t xml:space="preserve">, which combines measures of attention, impulsivity and movement, has been introduced in some UK services. A systematic review found that </w:t>
      </w:r>
      <w:proofErr w:type="spellStart"/>
      <w:r w:rsidRPr="004C5B04">
        <w:t>QbTest</w:t>
      </w:r>
      <w:proofErr w:type="spellEnd"/>
      <w:r w:rsidRPr="004C5B04">
        <w:t xml:space="preserve"> had acceptable but not sufficiently strong sensitivity and specificity to function as a stand-alone diagnostic tool. The authors concluded that it should not replace comprehensive clinical assessment, although it may help clinicians as an adjunct and potentially improve assessment efficiency (</w:t>
      </w:r>
      <w:proofErr w:type="spellStart"/>
      <w:r w:rsidRPr="004C5B04">
        <w:t>Bellato</w:t>
      </w:r>
      <w:proofErr w:type="spellEnd"/>
      <w:r w:rsidRPr="004C5B04">
        <w:t xml:space="preserve"> et al., 2024). A more recent systematic review similarly found potential benefits but concluded that further high-quality research is required, particularly for adults and medication management (Tomlinson et al., 2025).</w:t>
      </w:r>
      <w:r w:rsidRPr="004C5B04">
        <w:br/>
        <w:t>The diagnostic process therefore involves balancing standardisation with individual context. A strength of ICD-11 is its developmental orientation, but diagnosis remains vulnerable to social inequalities. Gender stereotypes, cultural expectations, socioeconomic circumstances and differences in access to assessment can influence who is identified. Consequently, increased diagnosis does not necessarily mean that ADHD itself is becoming more common; it may partly reflect improved recognition of previously overlooked presentations.</w:t>
      </w:r>
      <w:r w:rsidRPr="004C5B04">
        <w:br/>
      </w:r>
    </w:p>
    <w:p w14:paraId="4022EA30" w14:textId="77777777" w:rsidR="005C4373" w:rsidRDefault="004C5B04" w:rsidP="004C5B04">
      <w:r w:rsidRPr="004C5B04">
        <w:rPr>
          <w:b/>
          <w:bCs/>
        </w:rPr>
        <w:t xml:space="preserve"> Treatment of ADHD</w:t>
      </w:r>
      <w:r w:rsidRPr="004C5B04">
        <w:br/>
        <w:t>Treatment should be individualised and should address both symptoms and functional impairment. NICE recommends a holistic shared treatment plan incorporating psychological, behavioural and occupational or educational needs, alongside the individual's goals and coexisting conditions (NICE, 2025).</w:t>
      </w:r>
    </w:p>
    <w:p w14:paraId="23ABA8C7" w14:textId="77777777" w:rsidR="005C4373" w:rsidRDefault="004C5B04" w:rsidP="004C5B04">
      <w:r w:rsidRPr="004C5B04">
        <w:br/>
      </w:r>
      <w:r w:rsidRPr="004C5B04">
        <w:rPr>
          <w:b/>
          <w:bCs/>
        </w:rPr>
        <w:t>Pharmacological treatment</w:t>
      </w:r>
      <w:r w:rsidRPr="004C5B04">
        <w:br/>
        <w:t>Medication is an important evidence-based intervention. For children and young people aged five and above, NICE recommends methylphenidate as a first-line pharmacological treatment, with lisdexamfetamine considered where an adequate trial of methylphenidate has not produced sufficient benefit. Atomoxetine or guanfacine can be considered where stimulants are not tolerated or are ineffective. For adults, NICE recommends methylphenidate or lisdexamfetamine as first-line options (NICE, 2025).</w:t>
      </w:r>
      <w:r w:rsidRPr="004C5B04">
        <w:br/>
        <w:t xml:space="preserve">The evidence base for medication is substantial. A major network meta-analysis found that stimulant and non-stimulant medications were generally more effective than placebo for reducing core ADHD symptoms, although the strength of evidence varied between medications and age groups (Cortese et al., 2018). More recent research continues to demonstrate dose-dependent relationships between efficacy and tolerability. A 2025 systematic review and dose-effect network meta-analysis examined 113 randomised trials involving more than 25,000 participants and found distinct dose-response patterns across medication classes and age groups, while higher doses of </w:t>
      </w:r>
      <w:r w:rsidRPr="004C5B04">
        <w:lastRenderedPageBreak/>
        <w:t>some stimulants were associated with increased discontinuation because of adverse effects (Noured</w:t>
      </w:r>
      <w:r w:rsidRPr="004C5B04">
        <w:softHyphen/>
        <w:t>dine et al., 2025).</w:t>
      </w:r>
      <w:r w:rsidRPr="004C5B04">
        <w:br/>
        <w:t>However, medication has limitations. Side effects can include appetite suppression, sleep difficulties, increased heart rate or blood pressure and other adverse effects. Medication also does not automatically address difficulties with organisation, relationships, education or employment. NICE therefore emphasises baseline physical and mental-health assessment and continuing monitoring (NICE, 2025).</w:t>
      </w:r>
    </w:p>
    <w:p w14:paraId="5FAABEE8" w14:textId="77777777" w:rsidR="005C4373" w:rsidRDefault="004C5B04" w:rsidP="004C5B04">
      <w:r w:rsidRPr="004C5B04">
        <w:br/>
      </w:r>
      <w:r w:rsidRPr="004C5B04">
        <w:rPr>
          <w:b/>
          <w:bCs/>
        </w:rPr>
        <w:t>Psychological and behavioural treatment</w:t>
      </w:r>
      <w:r w:rsidRPr="004C5B04">
        <w:br/>
        <w:t>Psychological interventions can complement medication or provide an alternative for people who choose not to take medication or cannot tolerate it. NICE recommends structured ADHD-focused psychological support for adults and considers CBT particularly relevant when significant impairment persists (NICE, 2025).</w:t>
      </w:r>
      <w:r w:rsidRPr="004C5B04">
        <w:br/>
        <w:t>CBT may target time management, organisation, planning, emotional regulation and maladaptive beliefs. Behavioural interventions are particularly important for children because parents, schools and other environmental systems influence functioning. Rather than attempting simply to suppress ADHD behaviour, effective interventions can modify the environment to reduce unnecessary demands on executive functioning.</w:t>
      </w:r>
      <w:r w:rsidRPr="004C5B04">
        <w:br/>
        <w:t xml:space="preserve">Recent evidence supports a multimodal approach. A large 2024–25 systematic review and component network meta-analysis of 113 randomised controlled trials involving 14,887 adults compared pharmacological, psychological and other interventions. The findings reinforce the importance of considering interventions according to specific treatment components rather than </w:t>
      </w:r>
      <w:proofErr w:type="gramStart"/>
      <w:r w:rsidRPr="004C5B04">
        <w:t>assuming that</w:t>
      </w:r>
      <w:proofErr w:type="gramEnd"/>
      <w:r w:rsidRPr="004C5B04">
        <w:t xml:space="preserve"> a single treatment will address all aspects of adult ADHD (Cortese et al., 2025).</w:t>
      </w:r>
    </w:p>
    <w:p w14:paraId="13A1BE6F" w14:textId="77777777" w:rsidR="005C4373" w:rsidRDefault="004C5B04" w:rsidP="004C5B04">
      <w:pPr>
        <w:rPr>
          <w:b/>
          <w:bCs/>
        </w:rPr>
      </w:pPr>
      <w:r w:rsidRPr="004C5B04">
        <w:br/>
      </w:r>
      <w:r w:rsidRPr="004C5B04">
        <w:rPr>
          <w:b/>
          <w:bCs/>
        </w:rPr>
        <w:t xml:space="preserve"> Rehabilitation and Recovery</w:t>
      </w:r>
      <w:r w:rsidRPr="004C5B04">
        <w:br/>
        <w:t>Although the term “rehabilitation” is more commonly associated with conditions involving functional disability, it is highly relevant to ADHD. Rehabilitation should focus on helping individuals participate successfully in education, employment, relationships and community life.</w:t>
      </w:r>
      <w:r w:rsidRPr="004C5B04">
        <w:br/>
        <w:t>NICE recommends environmental modifications and a comprehensive treatment plan that considers educational, occupational and psychological needs (NICE, 2025). Practical rehabilitation can therefore include structured routines, organisational tools, workplace adjustments, educational support, coaching, psychological interventions and support with transitions between child and adult services.</w:t>
      </w:r>
      <w:r w:rsidRPr="004C5B04">
        <w:br/>
        <w:t>For children and young people, school-based adjustments may include breaking tasks into smaller components, reducing unnecessary distractions, providing additional time, using clear instructions and supporting organisational skills. For adults, workplace adjustments may include flexible working arrangements, written rather than purely verbal instructions, task prioritisation, reduced distractions and scheduling strategies.</w:t>
      </w:r>
      <w:r w:rsidRPr="004C5B04">
        <w:br/>
      </w:r>
      <w:r w:rsidRPr="004C5B04">
        <w:lastRenderedPageBreak/>
        <w:t xml:space="preserve">This represents an important shift from an exclusively medical model towards a </w:t>
      </w:r>
      <w:r w:rsidRPr="004C5B04">
        <w:rPr>
          <w:b/>
          <w:bCs/>
        </w:rPr>
        <w:t>functional and social model of disability</w:t>
      </w:r>
      <w:r w:rsidRPr="004C5B04">
        <w:t>. The person's difficulties are not located entirely within the individual; disability can increase when environments are poorly matched to their cognitive and attentional characteristics.</w:t>
      </w:r>
      <w:r w:rsidRPr="004C5B04">
        <w:br/>
        <w:t>Rehabilitation also requires continuity. NICE highlights the importance of integrating child, adolescent and adult services and establishing effective transition arrangements (NICE, 2025). Poor transition can result in adults losing access to medication and psychological support precisely when educational and occupational demands increase.</w:t>
      </w:r>
      <w:r w:rsidRPr="004C5B04">
        <w:br/>
      </w:r>
    </w:p>
    <w:p w14:paraId="099B6758" w14:textId="279D9628" w:rsidR="005C4373" w:rsidRDefault="004C5B04" w:rsidP="004C5B04">
      <w:pPr>
        <w:rPr>
          <w:b/>
          <w:bCs/>
        </w:rPr>
      </w:pPr>
      <w:r w:rsidRPr="004C5B04">
        <w:rPr>
          <w:b/>
          <w:bCs/>
        </w:rPr>
        <w:t>Current Debates and Emerging Issues</w:t>
      </w:r>
      <w:r w:rsidRPr="004C5B04">
        <w:br/>
        <w:t xml:space="preserve">One of the most significant contemporary debates concerns </w:t>
      </w:r>
      <w:r w:rsidRPr="004C5B04">
        <w:rPr>
          <w:b/>
          <w:bCs/>
        </w:rPr>
        <w:t>neurodivergence and neurodiversity</w:t>
      </w:r>
      <w:r w:rsidRPr="004C5B04">
        <w:t>. The neurodiversity movement challenges the assumption that neurological differences should automatically be conceptualised as pathological. From this perspective, ADHD can be understood partly as a form of neurological variation involving both strengths and difficulties, rather than simply a disorder that needs to be eliminated.</w:t>
      </w:r>
      <w:r w:rsidRPr="004C5B04">
        <w:br/>
        <w:t>This perspective has valuable implications. It challenges stigma and encourages professionals to recognise strengths such as creativity, intense interest, energy and alternative approaches to problem-solving. It also emphasises that disability may result partly from environmental expectations designed around a narrower range of cognitive styles.</w:t>
      </w:r>
      <w:r w:rsidRPr="004C5B04">
        <w:br/>
        <w:t xml:space="preserve">However, completely rejecting the medical concept of ADHD could also create difficulties. ADHD can produce significant impairment, including educational difficulties, occupational problems, accidents and relationship difficulties. Some individuals experience substantial distress and benefit considerably from medication. Therefore, describing ADHD exclusively as a </w:t>
      </w:r>
      <w:r w:rsidR="00AB56F3" w:rsidRPr="004C5B04">
        <w:t>difference risk</w:t>
      </w:r>
      <w:r w:rsidRPr="004C5B04">
        <w:t xml:space="preserve"> minimising the needs of people whose symptoms cause severe impairment.</w:t>
      </w:r>
      <w:r w:rsidRPr="004C5B04">
        <w:br/>
        <w:t xml:space="preserve">A more balanced position is to recognise that </w:t>
      </w:r>
      <w:r w:rsidRPr="004C5B04">
        <w:rPr>
          <w:b/>
          <w:bCs/>
        </w:rPr>
        <w:t>neurodiversity and disorder are not necessarily mutually exclusive concepts</w:t>
      </w:r>
      <w:r w:rsidRPr="004C5B04">
        <w:t>. An individual can identify positively as neurodivergent while also requiring clinical treatment and disability support. The most appropriate approach is therefore person-centred rather than ideological.</w:t>
      </w:r>
      <w:r w:rsidRPr="004C5B04">
        <w:br/>
        <w:t xml:space="preserve">Another debate concerns </w:t>
      </w:r>
      <w:r w:rsidRPr="004C5B04">
        <w:rPr>
          <w:b/>
          <w:bCs/>
        </w:rPr>
        <w:t>overdiagnosis versus underdiagnosis</w:t>
      </w:r>
      <w:r w:rsidRPr="004C5B04">
        <w:t>. Increased awareness has resulted in more people seeking assessment, particularly adults who were not recognised during childhood. Critics argue that expanding diagnostic practices could medicalise ordinary problems such as procrastination or distraction. Conversely, excessive concern about overdiagnosis can reinforce historical under-recognition, particularly among women and girls.</w:t>
      </w:r>
      <w:r w:rsidRPr="004C5B04">
        <w:br/>
        <w:t xml:space="preserve">The evidence surrounding women and girls demonstrates why this issue is complex. NICE specifically identifies them as being at increased risk of under-recognition and </w:t>
      </w:r>
      <w:r w:rsidRPr="004C5B04">
        <w:lastRenderedPageBreak/>
        <w:t>misdiagnosis (NICE, 2025). A more inclusive diagnostic approach is therefore necessary, but increased diagnostic accessibility must still involve rigorous assessment rather than diagnosis based on social-media descriptions or brief screening questionnaires.</w:t>
      </w:r>
      <w:r w:rsidRPr="004C5B04">
        <w:br/>
        <w:t xml:space="preserve">There is also an emerging debate about </w:t>
      </w:r>
      <w:r w:rsidRPr="004C5B04">
        <w:rPr>
          <w:b/>
          <w:bCs/>
        </w:rPr>
        <w:t>diagnostic waiting lists and access to services</w:t>
      </w:r>
      <w:r w:rsidRPr="004C5B04">
        <w:t xml:space="preserve">. Even when ADHD is recognised as a legitimate neurodevelopmental disorder, lengthy assessment pathways can create significant distress and delay treatment. Research evaluating </w:t>
      </w:r>
      <w:proofErr w:type="spellStart"/>
      <w:r w:rsidRPr="004C5B04">
        <w:t>QbTest</w:t>
      </w:r>
      <w:proofErr w:type="spellEnd"/>
      <w:r w:rsidRPr="004C5B04">
        <w:t xml:space="preserve"> implementation in England found some evidence that the technology could reduce the number of appointments required to reach a diagnostic decision, although the implementation did not consistently reduce total waiting time (Hall et al., 2024). This demonstrates that technological innovation alone cannot solve structural problems such as workforce shortages and inadequate service capacity.</w:t>
      </w:r>
      <w:r w:rsidRPr="004C5B04">
        <w:br/>
        <w:t>Finally, classification itself may evolve. ICD-11's categorisation of ADHD as a neurodevelopmental disorder is consistent with contemporary understanding, but future systems could place greater emphasis on dimensional symptoms, executive functioning, emotional regulation and functional impairment. A dimensional approach could better represent individual differences, although excessive complexity could reduce diagnostic reliability and make communication between professionals more difficult.</w:t>
      </w:r>
      <w:r w:rsidRPr="004C5B04">
        <w:br/>
      </w:r>
    </w:p>
    <w:p w14:paraId="23E1C3D4" w14:textId="5ABCB8D7" w:rsidR="004C5B04" w:rsidRPr="00171617" w:rsidRDefault="004C5B04" w:rsidP="004C5B04">
      <w:pPr>
        <w:rPr>
          <w:b/>
          <w:bCs/>
        </w:rPr>
      </w:pPr>
      <w:r w:rsidRPr="004C5B04">
        <w:rPr>
          <w:b/>
          <w:bCs/>
        </w:rPr>
        <w:t>Recommendations</w:t>
      </w:r>
      <w:r w:rsidRPr="004C5B04">
        <w:br/>
        <w:t>Several recommendations emerge from this critical examination.</w:t>
      </w:r>
      <w:r w:rsidRPr="004C5B04">
        <w:br/>
        <w:t xml:space="preserve">First, </w:t>
      </w:r>
      <w:r w:rsidRPr="004C5B04">
        <w:rPr>
          <w:b/>
          <w:bCs/>
        </w:rPr>
        <w:t>diagnosis should remain comprehensive and developmental rather than being based on screening tools alone</w:t>
      </w:r>
      <w:r w:rsidRPr="004C5B04">
        <w:t>. Questionnaires and digital technologies should support, not replace, specialist clinical judgement.</w:t>
      </w:r>
      <w:r w:rsidRPr="004C5B04">
        <w:br/>
        <w:t xml:space="preserve">Second, services should improve </w:t>
      </w:r>
      <w:r w:rsidRPr="004C5B04">
        <w:rPr>
          <w:b/>
          <w:bCs/>
        </w:rPr>
        <w:t>access for under-recognised groups</w:t>
      </w:r>
      <w:r w:rsidRPr="004C5B04">
        <w:t>, particularly women, girls and adults who may present with predominantly inattentive symptoms. Clinicians should receive training concerning gender differences, masking and culturally influenced presentations.</w:t>
      </w:r>
      <w:r w:rsidRPr="004C5B04">
        <w:br/>
        <w:t xml:space="preserve">Third, ADHD treatment should move towards a genuinely </w:t>
      </w:r>
      <w:r w:rsidRPr="004C5B04">
        <w:rPr>
          <w:b/>
          <w:bCs/>
        </w:rPr>
        <w:t>multimodal model</w:t>
      </w:r>
      <w:r w:rsidRPr="004C5B04">
        <w:t>. Medication should remain available because evidence supports its effectiveness, but it should be combined where appropriate with psychological interventions, environmental modifications, educational support and occupational rehabilitation.</w:t>
      </w:r>
      <w:r w:rsidRPr="004C5B04">
        <w:br/>
        <w:t xml:space="preserve">Fourth, health services should adopt stronger </w:t>
      </w:r>
      <w:r w:rsidRPr="004C5B04">
        <w:rPr>
          <w:b/>
          <w:bCs/>
        </w:rPr>
        <w:t>shared decision-making</w:t>
      </w:r>
      <w:r w:rsidRPr="004C5B04">
        <w:t>. Individuals should be provided with accessible information about treatment benefits and adverse effects and should have meaningful opportunities to decide whether medication is appropriate.</w:t>
      </w:r>
      <w:r w:rsidRPr="004C5B04">
        <w:br/>
        <w:t xml:space="preserve">Fifth, policy should recognise the importance of </w:t>
      </w:r>
      <w:r w:rsidRPr="004C5B04">
        <w:rPr>
          <w:b/>
          <w:bCs/>
        </w:rPr>
        <w:t>neurodiversity while retaining access to healthcare</w:t>
      </w:r>
      <w:r w:rsidRPr="004C5B04">
        <w:t xml:space="preserve">. Neurodivergence should not be used to dismiss clinically significant impairment, but neither should an ADHD diagnosis automatically define an individual in </w:t>
      </w:r>
      <w:r w:rsidRPr="004C5B04">
        <w:lastRenderedPageBreak/>
        <w:t>deficit-based terms.</w:t>
      </w:r>
      <w:r w:rsidRPr="004C5B04">
        <w:br/>
        <w:t>Finally, further research should examine long-term outcomes rather than focusing predominantly on short-term symptom reduction. Research should investigate educational attainment, employment, relationships, quality of life, physical health and patient-defined recovery. Future research should also involve people with lived experience in determining what outcomes matter most.</w:t>
      </w:r>
    </w:p>
    <w:p w14:paraId="3F3ED6A7" w14:textId="77777777" w:rsidR="00C32221" w:rsidRDefault="004C5B04" w:rsidP="004C5B04">
      <w:pPr>
        <w:rPr>
          <w:b/>
          <w:bCs/>
        </w:rPr>
      </w:pPr>
      <w:r w:rsidRPr="004C5B04">
        <w:br/>
      </w:r>
      <w:r w:rsidRPr="004C5B04">
        <w:rPr>
          <w:b/>
          <w:bCs/>
        </w:rPr>
        <w:t>Conclusion</w:t>
      </w:r>
    </w:p>
    <w:p w14:paraId="095AA016" w14:textId="73AFEDB3" w:rsidR="004C5B04" w:rsidRPr="004C5B04" w:rsidRDefault="004C5B04" w:rsidP="004C5B04">
      <w:r w:rsidRPr="004C5B04">
        <w:br/>
        <w:t xml:space="preserve">ADHD is appropriately classified by ICD-11 as a </w:t>
      </w:r>
      <w:r w:rsidRPr="004C5B04">
        <w:rPr>
          <w:b/>
          <w:bCs/>
        </w:rPr>
        <w:t>neurodevelopmental disorder</w:t>
      </w:r>
      <w:r w:rsidRPr="004C5B04">
        <w:t>, with the 6A05 category recognising predominantly inattentive, predominantly hyperactive-impulsive and combined presentations. This classification represents an important acknowledgement that ADHD is developmental and heterogeneous rather than simply a childhood behavioural problem.</w:t>
      </w:r>
      <w:r w:rsidRPr="004C5B04">
        <w:br/>
        <w:t xml:space="preserve">Diagnosis nevertheless remains complex because ADHD symptoms overlap with normal human variation and other mental, physical and developmental conditions. Comprehensive developmental and psychosocial assessment is therefore essential. Digital diagnostic technologies such as </w:t>
      </w:r>
      <w:proofErr w:type="spellStart"/>
      <w:r w:rsidRPr="004C5B04">
        <w:t>QbTest</w:t>
      </w:r>
      <w:proofErr w:type="spellEnd"/>
      <w:r w:rsidRPr="004C5B04">
        <w:t xml:space="preserve"> may improve efficiency but should not replace professional judgement.</w:t>
      </w:r>
      <w:r w:rsidRPr="004C5B04">
        <w:br/>
        <w:t>Medication remains the principal evidence-based treatment for significant impairment, while psychological interventions, environmental modifications and educational or occupational support are important components of comprehensive care. Rehabilitation should focus not only on reducing symptoms but also on improving participation, independence and quality of life.</w:t>
      </w:r>
      <w:r w:rsidRPr="004C5B04">
        <w:br/>
        <w:t>The debate surrounding ADHD demonstrates that classification is not merely a technical exercise. Questions concerning neurodivergence, medicalisation, gender, stigma and access to services affect both professional practice and people's identities. The most appropriate future approach is therefore neither to regard ADHD exclusively as pathology nor to dismiss it as merely a difference. Instead, ICD-11 classification should be combined with person-centred, recovery-oriented and neurodiversity-informed practice. This would allow individuals to access effective treatment while ensuring that their identity, strengths, preferences and social circumstances remain central to care.</w:t>
      </w:r>
    </w:p>
    <w:p w14:paraId="1A2B52ED" w14:textId="77777777" w:rsidR="00173E57" w:rsidRDefault="00173E57"/>
    <w:p w14:paraId="5ADF64BE" w14:textId="77777777" w:rsidR="00173E57" w:rsidRDefault="00173E57"/>
    <w:p w14:paraId="55F142ED" w14:textId="77777777" w:rsidR="009719DE" w:rsidRDefault="009719DE" w:rsidP="00CE0B01"/>
    <w:p w14:paraId="1C80826A" w14:textId="77777777" w:rsidR="000D7EA7" w:rsidRDefault="000D7EA7" w:rsidP="00CE0B01">
      <w:pPr>
        <w:rPr>
          <w:rFonts w:ascii="Arial" w:hAnsi="Arial" w:cs="Arial"/>
          <w:sz w:val="22"/>
          <w:szCs w:val="22"/>
        </w:rPr>
      </w:pPr>
    </w:p>
    <w:p w14:paraId="3F69E44F" w14:textId="77777777" w:rsidR="00CA7D2F" w:rsidRDefault="00CA7D2F" w:rsidP="00CE0B01">
      <w:pPr>
        <w:rPr>
          <w:rFonts w:ascii="Arial" w:hAnsi="Arial" w:cs="Arial"/>
          <w:sz w:val="22"/>
          <w:szCs w:val="22"/>
        </w:rPr>
      </w:pPr>
    </w:p>
    <w:p w14:paraId="2F7821E7" w14:textId="55A17074" w:rsidR="00CA7D2F" w:rsidRDefault="00CA7D2F" w:rsidP="00CE0B01">
      <w:pPr>
        <w:rPr>
          <w:rFonts w:ascii="Arial" w:hAnsi="Arial" w:cs="Arial"/>
          <w:sz w:val="22"/>
          <w:szCs w:val="22"/>
        </w:rPr>
      </w:pPr>
      <w:r>
        <w:rPr>
          <w:rFonts w:ascii="Arial" w:hAnsi="Arial" w:cs="Arial"/>
          <w:sz w:val="22"/>
          <w:szCs w:val="22"/>
        </w:rPr>
        <w:lastRenderedPageBreak/>
        <w:t xml:space="preserve">References </w:t>
      </w:r>
    </w:p>
    <w:p w14:paraId="53F9B7FD" w14:textId="77777777" w:rsidR="003D2513" w:rsidRPr="003D2513" w:rsidRDefault="003D2513" w:rsidP="003D2513">
      <w:pPr>
        <w:rPr>
          <w:rFonts w:ascii="Arial" w:hAnsi="Arial" w:cs="Arial"/>
          <w:sz w:val="22"/>
          <w:szCs w:val="22"/>
        </w:rPr>
      </w:pPr>
      <w:r w:rsidRPr="003D2513">
        <w:rPr>
          <w:rFonts w:ascii="Arial" w:hAnsi="Arial" w:cs="Arial"/>
          <w:sz w:val="22"/>
          <w:szCs w:val="22"/>
        </w:rPr>
        <w:t xml:space="preserve">American Psychiatric Association (2022) </w:t>
      </w:r>
      <w:r w:rsidRPr="003D2513">
        <w:rPr>
          <w:rFonts w:ascii="Arial" w:hAnsi="Arial" w:cs="Arial"/>
          <w:i/>
          <w:iCs/>
          <w:sz w:val="22"/>
          <w:szCs w:val="22"/>
        </w:rPr>
        <w:t>Diagnostic and statistical manual of mental disorders: DSM-5-TR</w:t>
      </w:r>
      <w:r w:rsidRPr="003D2513">
        <w:rPr>
          <w:rFonts w:ascii="Arial" w:hAnsi="Arial" w:cs="Arial"/>
          <w:sz w:val="22"/>
          <w:szCs w:val="22"/>
        </w:rPr>
        <w:t>. Washington, DC: American Psychiatric Association.</w:t>
      </w:r>
    </w:p>
    <w:p w14:paraId="2E143CE1" w14:textId="77777777" w:rsidR="003D2513" w:rsidRPr="003D2513" w:rsidRDefault="003D2513" w:rsidP="003D2513">
      <w:pPr>
        <w:rPr>
          <w:rFonts w:ascii="Arial" w:hAnsi="Arial" w:cs="Arial"/>
          <w:sz w:val="22"/>
          <w:szCs w:val="22"/>
        </w:rPr>
      </w:pPr>
      <w:r w:rsidRPr="003D2513">
        <w:rPr>
          <w:rFonts w:ascii="Arial" w:hAnsi="Arial" w:cs="Arial"/>
          <w:sz w:val="22"/>
          <w:szCs w:val="22"/>
        </w:rPr>
        <w:t xml:space="preserve">Barkley, R.A. (2015) </w:t>
      </w:r>
      <w:r w:rsidRPr="003D2513">
        <w:rPr>
          <w:rFonts w:ascii="Arial" w:hAnsi="Arial" w:cs="Arial"/>
          <w:i/>
          <w:iCs/>
          <w:sz w:val="22"/>
          <w:szCs w:val="22"/>
        </w:rPr>
        <w:t>Attention-deficit hyperactivity disorder: A handbook for diagnosis and treatment</w:t>
      </w:r>
      <w:r w:rsidRPr="003D2513">
        <w:rPr>
          <w:rFonts w:ascii="Arial" w:hAnsi="Arial" w:cs="Arial"/>
          <w:sz w:val="22"/>
          <w:szCs w:val="22"/>
        </w:rPr>
        <w:t xml:space="preserve">. 4th </w:t>
      </w:r>
      <w:proofErr w:type="spellStart"/>
      <w:r w:rsidRPr="003D2513">
        <w:rPr>
          <w:rFonts w:ascii="Arial" w:hAnsi="Arial" w:cs="Arial"/>
          <w:sz w:val="22"/>
          <w:szCs w:val="22"/>
        </w:rPr>
        <w:t>edn</w:t>
      </w:r>
      <w:proofErr w:type="spellEnd"/>
      <w:r w:rsidRPr="003D2513">
        <w:rPr>
          <w:rFonts w:ascii="Arial" w:hAnsi="Arial" w:cs="Arial"/>
          <w:sz w:val="22"/>
          <w:szCs w:val="22"/>
        </w:rPr>
        <w:t>. New York: Guilford Press.</w:t>
      </w:r>
    </w:p>
    <w:p w14:paraId="597040A7" w14:textId="77777777" w:rsidR="003D2513" w:rsidRPr="003D2513" w:rsidRDefault="003D2513" w:rsidP="003D2513">
      <w:pPr>
        <w:rPr>
          <w:rFonts w:ascii="Arial" w:hAnsi="Arial" w:cs="Arial"/>
          <w:sz w:val="22"/>
          <w:szCs w:val="22"/>
        </w:rPr>
      </w:pPr>
      <w:proofErr w:type="spellStart"/>
      <w:r w:rsidRPr="003D2513">
        <w:rPr>
          <w:rFonts w:ascii="Arial" w:hAnsi="Arial" w:cs="Arial"/>
          <w:sz w:val="22"/>
          <w:szCs w:val="22"/>
        </w:rPr>
        <w:t>Bellato</w:t>
      </w:r>
      <w:proofErr w:type="spellEnd"/>
      <w:r w:rsidRPr="003D2513">
        <w:rPr>
          <w:rFonts w:ascii="Arial" w:hAnsi="Arial" w:cs="Arial"/>
          <w:sz w:val="22"/>
          <w:szCs w:val="22"/>
        </w:rPr>
        <w:t xml:space="preserve">, A. </w:t>
      </w:r>
      <w:r w:rsidRPr="003D2513">
        <w:rPr>
          <w:rFonts w:ascii="Arial" w:hAnsi="Arial" w:cs="Arial"/>
          <w:i/>
          <w:iCs/>
          <w:sz w:val="22"/>
          <w:szCs w:val="22"/>
        </w:rPr>
        <w:t>et al.</w:t>
      </w:r>
      <w:r w:rsidRPr="003D2513">
        <w:rPr>
          <w:rFonts w:ascii="Arial" w:hAnsi="Arial" w:cs="Arial"/>
          <w:sz w:val="22"/>
          <w:szCs w:val="22"/>
        </w:rPr>
        <w:t xml:space="preserve"> (2024) 'Diagnostic accuracy of </w:t>
      </w:r>
      <w:proofErr w:type="spellStart"/>
      <w:r w:rsidRPr="003D2513">
        <w:rPr>
          <w:rFonts w:ascii="Arial" w:hAnsi="Arial" w:cs="Arial"/>
          <w:sz w:val="22"/>
          <w:szCs w:val="22"/>
        </w:rPr>
        <w:t>QbTest</w:t>
      </w:r>
      <w:proofErr w:type="spellEnd"/>
      <w:r w:rsidRPr="003D2513">
        <w:rPr>
          <w:rFonts w:ascii="Arial" w:hAnsi="Arial" w:cs="Arial"/>
          <w:sz w:val="22"/>
          <w:szCs w:val="22"/>
        </w:rPr>
        <w:t xml:space="preserve"> in ADHD assessment: A systematic review', </w:t>
      </w:r>
      <w:r w:rsidRPr="003D2513">
        <w:rPr>
          <w:rFonts w:ascii="Arial" w:hAnsi="Arial" w:cs="Arial"/>
          <w:i/>
          <w:iCs/>
          <w:sz w:val="22"/>
          <w:szCs w:val="22"/>
        </w:rPr>
        <w:t>Journal of Attention Disorders</w:t>
      </w:r>
      <w:r w:rsidRPr="003D2513">
        <w:rPr>
          <w:rFonts w:ascii="Arial" w:hAnsi="Arial" w:cs="Arial"/>
          <w:sz w:val="22"/>
          <w:szCs w:val="22"/>
        </w:rPr>
        <w:t>, 28(3), pp. 1-15.</w:t>
      </w:r>
    </w:p>
    <w:p w14:paraId="426D3A5C" w14:textId="77777777" w:rsidR="003D2513" w:rsidRPr="003D2513" w:rsidRDefault="003D2513" w:rsidP="003D2513">
      <w:pPr>
        <w:rPr>
          <w:rFonts w:ascii="Arial" w:hAnsi="Arial" w:cs="Arial"/>
          <w:sz w:val="22"/>
          <w:szCs w:val="22"/>
        </w:rPr>
      </w:pPr>
      <w:r w:rsidRPr="003D2513">
        <w:rPr>
          <w:rFonts w:ascii="Arial" w:hAnsi="Arial" w:cs="Arial"/>
          <w:sz w:val="22"/>
          <w:szCs w:val="22"/>
        </w:rPr>
        <w:t xml:space="preserve">Cortese, S. </w:t>
      </w:r>
      <w:r w:rsidRPr="003D2513">
        <w:rPr>
          <w:rFonts w:ascii="Arial" w:hAnsi="Arial" w:cs="Arial"/>
          <w:i/>
          <w:iCs/>
          <w:sz w:val="22"/>
          <w:szCs w:val="22"/>
        </w:rPr>
        <w:t>et al.</w:t>
      </w:r>
      <w:r w:rsidRPr="003D2513">
        <w:rPr>
          <w:rFonts w:ascii="Arial" w:hAnsi="Arial" w:cs="Arial"/>
          <w:sz w:val="22"/>
          <w:szCs w:val="22"/>
        </w:rPr>
        <w:t xml:space="preserve"> (2018) 'Comparative efficacy and tolerability of medications for attention-deficit hyperactivity disorder in children, adolescents, and adults: A systematic review and network meta-analysis', </w:t>
      </w:r>
      <w:r w:rsidRPr="003D2513">
        <w:rPr>
          <w:rFonts w:ascii="Arial" w:hAnsi="Arial" w:cs="Arial"/>
          <w:i/>
          <w:iCs/>
          <w:sz w:val="22"/>
          <w:szCs w:val="22"/>
        </w:rPr>
        <w:t>The Lancet Psychiatry</w:t>
      </w:r>
      <w:r w:rsidRPr="003D2513">
        <w:rPr>
          <w:rFonts w:ascii="Arial" w:hAnsi="Arial" w:cs="Arial"/>
          <w:sz w:val="22"/>
          <w:szCs w:val="22"/>
        </w:rPr>
        <w:t>, 5(9), pp. 727-738.</w:t>
      </w:r>
    </w:p>
    <w:p w14:paraId="7364A047" w14:textId="77777777" w:rsidR="003D2513" w:rsidRPr="003D2513" w:rsidRDefault="003D2513" w:rsidP="003D2513">
      <w:pPr>
        <w:rPr>
          <w:rFonts w:ascii="Arial" w:hAnsi="Arial" w:cs="Arial"/>
          <w:sz w:val="22"/>
          <w:szCs w:val="22"/>
        </w:rPr>
      </w:pPr>
      <w:r w:rsidRPr="003D2513">
        <w:rPr>
          <w:rFonts w:ascii="Arial" w:hAnsi="Arial" w:cs="Arial"/>
          <w:sz w:val="22"/>
          <w:szCs w:val="22"/>
        </w:rPr>
        <w:t xml:space="preserve">Cortese, S. </w:t>
      </w:r>
      <w:r w:rsidRPr="003D2513">
        <w:rPr>
          <w:rFonts w:ascii="Arial" w:hAnsi="Arial" w:cs="Arial"/>
          <w:i/>
          <w:iCs/>
          <w:sz w:val="22"/>
          <w:szCs w:val="22"/>
        </w:rPr>
        <w:t>et al.</w:t>
      </w:r>
      <w:r w:rsidRPr="003D2513">
        <w:rPr>
          <w:rFonts w:ascii="Arial" w:hAnsi="Arial" w:cs="Arial"/>
          <w:sz w:val="22"/>
          <w:szCs w:val="22"/>
        </w:rPr>
        <w:t xml:space="preserve"> (2025) 'Component network meta-analysis of interventions for adult ADHD: Systematic review of randomised controlled trials', </w:t>
      </w:r>
      <w:r w:rsidRPr="003D2513">
        <w:rPr>
          <w:rFonts w:ascii="Arial" w:hAnsi="Arial" w:cs="Arial"/>
          <w:i/>
          <w:iCs/>
          <w:sz w:val="22"/>
          <w:szCs w:val="22"/>
        </w:rPr>
        <w:t>The Lancet Psychiatry</w:t>
      </w:r>
      <w:r w:rsidRPr="003D2513">
        <w:rPr>
          <w:rFonts w:ascii="Arial" w:hAnsi="Arial" w:cs="Arial"/>
          <w:sz w:val="22"/>
          <w:szCs w:val="22"/>
        </w:rPr>
        <w:t>, 12(1), pp. 1-20.</w:t>
      </w:r>
    </w:p>
    <w:p w14:paraId="7665C138" w14:textId="77777777" w:rsidR="003D2513" w:rsidRPr="003D2513" w:rsidRDefault="003D2513" w:rsidP="003D2513">
      <w:pPr>
        <w:rPr>
          <w:rFonts w:ascii="Arial" w:hAnsi="Arial" w:cs="Arial"/>
          <w:sz w:val="22"/>
          <w:szCs w:val="22"/>
        </w:rPr>
      </w:pPr>
      <w:r w:rsidRPr="003D2513">
        <w:rPr>
          <w:rFonts w:ascii="Arial" w:hAnsi="Arial" w:cs="Arial"/>
          <w:sz w:val="22"/>
          <w:szCs w:val="22"/>
        </w:rPr>
        <w:t xml:space="preserve">Faraone, S.V. </w:t>
      </w:r>
      <w:r w:rsidRPr="003D2513">
        <w:rPr>
          <w:rFonts w:ascii="Arial" w:hAnsi="Arial" w:cs="Arial"/>
          <w:i/>
          <w:iCs/>
          <w:sz w:val="22"/>
          <w:szCs w:val="22"/>
        </w:rPr>
        <w:t>et al.</w:t>
      </w:r>
      <w:r w:rsidRPr="003D2513">
        <w:rPr>
          <w:rFonts w:ascii="Arial" w:hAnsi="Arial" w:cs="Arial"/>
          <w:sz w:val="22"/>
          <w:szCs w:val="22"/>
        </w:rPr>
        <w:t xml:space="preserve"> (2021) 'The World Federation of ADHD international consensus statement', </w:t>
      </w:r>
      <w:r w:rsidRPr="003D2513">
        <w:rPr>
          <w:rFonts w:ascii="Arial" w:hAnsi="Arial" w:cs="Arial"/>
          <w:i/>
          <w:iCs/>
          <w:sz w:val="22"/>
          <w:szCs w:val="22"/>
        </w:rPr>
        <w:t xml:space="preserve">Neuroscience &amp; </w:t>
      </w:r>
      <w:proofErr w:type="spellStart"/>
      <w:r w:rsidRPr="003D2513">
        <w:rPr>
          <w:rFonts w:ascii="Arial" w:hAnsi="Arial" w:cs="Arial"/>
          <w:i/>
          <w:iCs/>
          <w:sz w:val="22"/>
          <w:szCs w:val="22"/>
        </w:rPr>
        <w:t>Biobehavioral</w:t>
      </w:r>
      <w:proofErr w:type="spellEnd"/>
      <w:r w:rsidRPr="003D2513">
        <w:rPr>
          <w:rFonts w:ascii="Arial" w:hAnsi="Arial" w:cs="Arial"/>
          <w:i/>
          <w:iCs/>
          <w:sz w:val="22"/>
          <w:szCs w:val="22"/>
        </w:rPr>
        <w:t xml:space="preserve"> Reviews</w:t>
      </w:r>
      <w:r w:rsidRPr="003D2513">
        <w:rPr>
          <w:rFonts w:ascii="Arial" w:hAnsi="Arial" w:cs="Arial"/>
          <w:sz w:val="22"/>
          <w:szCs w:val="22"/>
        </w:rPr>
        <w:t>, 128, pp. 789-818.</w:t>
      </w:r>
    </w:p>
    <w:p w14:paraId="38B2843F" w14:textId="77777777" w:rsidR="003D2513" w:rsidRPr="003D2513" w:rsidRDefault="003D2513" w:rsidP="003D2513">
      <w:pPr>
        <w:rPr>
          <w:rFonts w:ascii="Arial" w:hAnsi="Arial" w:cs="Arial"/>
          <w:sz w:val="22"/>
          <w:szCs w:val="22"/>
        </w:rPr>
      </w:pPr>
      <w:r w:rsidRPr="003D2513">
        <w:rPr>
          <w:rFonts w:ascii="Arial" w:hAnsi="Arial" w:cs="Arial"/>
          <w:sz w:val="22"/>
          <w:szCs w:val="22"/>
        </w:rPr>
        <w:t xml:space="preserve">Hall, C.L. </w:t>
      </w:r>
      <w:r w:rsidRPr="003D2513">
        <w:rPr>
          <w:rFonts w:ascii="Arial" w:hAnsi="Arial" w:cs="Arial"/>
          <w:i/>
          <w:iCs/>
          <w:sz w:val="22"/>
          <w:szCs w:val="22"/>
        </w:rPr>
        <w:t>et al.</w:t>
      </w:r>
      <w:r w:rsidRPr="003D2513">
        <w:rPr>
          <w:rFonts w:ascii="Arial" w:hAnsi="Arial" w:cs="Arial"/>
          <w:sz w:val="22"/>
          <w:szCs w:val="22"/>
        </w:rPr>
        <w:t xml:space="preserve"> (2024) 'Implementation of </w:t>
      </w:r>
      <w:proofErr w:type="spellStart"/>
      <w:r w:rsidRPr="003D2513">
        <w:rPr>
          <w:rFonts w:ascii="Arial" w:hAnsi="Arial" w:cs="Arial"/>
          <w:sz w:val="22"/>
          <w:szCs w:val="22"/>
        </w:rPr>
        <w:t>QbTest</w:t>
      </w:r>
      <w:proofErr w:type="spellEnd"/>
      <w:r w:rsidRPr="003D2513">
        <w:rPr>
          <w:rFonts w:ascii="Arial" w:hAnsi="Arial" w:cs="Arial"/>
          <w:sz w:val="22"/>
          <w:szCs w:val="22"/>
        </w:rPr>
        <w:t xml:space="preserve"> in ADHD assessment pathways in England', </w:t>
      </w:r>
      <w:r w:rsidRPr="003D2513">
        <w:rPr>
          <w:rFonts w:ascii="Arial" w:hAnsi="Arial" w:cs="Arial"/>
          <w:i/>
          <w:iCs/>
          <w:sz w:val="22"/>
          <w:szCs w:val="22"/>
        </w:rPr>
        <w:t>BMC Psychiatry</w:t>
      </w:r>
      <w:r w:rsidRPr="003D2513">
        <w:rPr>
          <w:rFonts w:ascii="Arial" w:hAnsi="Arial" w:cs="Arial"/>
          <w:sz w:val="22"/>
          <w:szCs w:val="22"/>
        </w:rPr>
        <w:t>, 24, pp. 1-12.</w:t>
      </w:r>
    </w:p>
    <w:p w14:paraId="338824F4" w14:textId="77777777" w:rsidR="003D2513" w:rsidRPr="003D2513" w:rsidRDefault="003D2513" w:rsidP="003D2513">
      <w:pPr>
        <w:rPr>
          <w:rFonts w:ascii="Arial" w:hAnsi="Arial" w:cs="Arial"/>
          <w:sz w:val="22"/>
          <w:szCs w:val="22"/>
        </w:rPr>
      </w:pPr>
      <w:proofErr w:type="spellStart"/>
      <w:r w:rsidRPr="003D2513">
        <w:rPr>
          <w:rFonts w:ascii="Arial" w:hAnsi="Arial" w:cs="Arial"/>
          <w:sz w:val="22"/>
          <w:szCs w:val="22"/>
        </w:rPr>
        <w:t>Kooij</w:t>
      </w:r>
      <w:proofErr w:type="spellEnd"/>
      <w:r w:rsidRPr="003D2513">
        <w:rPr>
          <w:rFonts w:ascii="Arial" w:hAnsi="Arial" w:cs="Arial"/>
          <w:sz w:val="22"/>
          <w:szCs w:val="22"/>
        </w:rPr>
        <w:t xml:space="preserve">, J.J.S. </w:t>
      </w:r>
      <w:r w:rsidRPr="003D2513">
        <w:rPr>
          <w:rFonts w:ascii="Arial" w:hAnsi="Arial" w:cs="Arial"/>
          <w:i/>
          <w:iCs/>
          <w:sz w:val="22"/>
          <w:szCs w:val="22"/>
        </w:rPr>
        <w:t>et al.</w:t>
      </w:r>
      <w:r w:rsidRPr="003D2513">
        <w:rPr>
          <w:rFonts w:ascii="Arial" w:hAnsi="Arial" w:cs="Arial"/>
          <w:sz w:val="22"/>
          <w:szCs w:val="22"/>
        </w:rPr>
        <w:t xml:space="preserve"> (2019) 'European consensus statement on diagnosis and treatment of adult ADHD', </w:t>
      </w:r>
      <w:r w:rsidRPr="003D2513">
        <w:rPr>
          <w:rFonts w:ascii="Arial" w:hAnsi="Arial" w:cs="Arial"/>
          <w:i/>
          <w:iCs/>
          <w:sz w:val="22"/>
          <w:szCs w:val="22"/>
        </w:rPr>
        <w:t>European Psychiatry</w:t>
      </w:r>
      <w:r w:rsidRPr="003D2513">
        <w:rPr>
          <w:rFonts w:ascii="Arial" w:hAnsi="Arial" w:cs="Arial"/>
          <w:sz w:val="22"/>
          <w:szCs w:val="22"/>
        </w:rPr>
        <w:t>, 56, pp. 14-34.</w:t>
      </w:r>
    </w:p>
    <w:p w14:paraId="08FE63BC" w14:textId="77777777" w:rsidR="003D2513" w:rsidRPr="003D2513" w:rsidRDefault="003D2513" w:rsidP="003D2513">
      <w:pPr>
        <w:rPr>
          <w:rFonts w:ascii="Arial" w:hAnsi="Arial" w:cs="Arial"/>
          <w:sz w:val="22"/>
          <w:szCs w:val="22"/>
        </w:rPr>
      </w:pPr>
      <w:r w:rsidRPr="003D2513">
        <w:rPr>
          <w:rFonts w:ascii="Arial" w:hAnsi="Arial" w:cs="Arial"/>
          <w:sz w:val="22"/>
          <w:szCs w:val="22"/>
        </w:rPr>
        <w:t xml:space="preserve">National Institute for Health and Care Excellence (NICE) (2025) </w:t>
      </w:r>
      <w:proofErr w:type="gramStart"/>
      <w:r w:rsidRPr="003D2513">
        <w:rPr>
          <w:rFonts w:ascii="Arial" w:hAnsi="Arial" w:cs="Arial"/>
          <w:i/>
          <w:iCs/>
          <w:sz w:val="22"/>
          <w:szCs w:val="22"/>
        </w:rPr>
        <w:t>Attention deficit hyperactivity disorder</w:t>
      </w:r>
      <w:proofErr w:type="gramEnd"/>
      <w:r w:rsidRPr="003D2513">
        <w:rPr>
          <w:rFonts w:ascii="Arial" w:hAnsi="Arial" w:cs="Arial"/>
          <w:i/>
          <w:iCs/>
          <w:sz w:val="22"/>
          <w:szCs w:val="22"/>
        </w:rPr>
        <w:t>: Diagnosis and management (NG87)</w:t>
      </w:r>
      <w:r w:rsidRPr="003D2513">
        <w:rPr>
          <w:rFonts w:ascii="Arial" w:hAnsi="Arial" w:cs="Arial"/>
          <w:sz w:val="22"/>
          <w:szCs w:val="22"/>
        </w:rPr>
        <w:t>. London: National Institute for Health and Care Excellence.</w:t>
      </w:r>
    </w:p>
    <w:p w14:paraId="2244D487" w14:textId="77777777" w:rsidR="003D2513" w:rsidRPr="003D2513" w:rsidRDefault="003D2513" w:rsidP="003D2513">
      <w:pPr>
        <w:rPr>
          <w:rFonts w:ascii="Arial" w:hAnsi="Arial" w:cs="Arial"/>
          <w:sz w:val="22"/>
          <w:szCs w:val="22"/>
        </w:rPr>
      </w:pPr>
      <w:proofErr w:type="spellStart"/>
      <w:r w:rsidRPr="003D2513">
        <w:rPr>
          <w:rFonts w:ascii="Arial" w:hAnsi="Arial" w:cs="Arial"/>
          <w:sz w:val="22"/>
          <w:szCs w:val="22"/>
        </w:rPr>
        <w:t>Nourredine</w:t>
      </w:r>
      <w:proofErr w:type="spellEnd"/>
      <w:r w:rsidRPr="003D2513">
        <w:rPr>
          <w:rFonts w:ascii="Arial" w:hAnsi="Arial" w:cs="Arial"/>
          <w:sz w:val="22"/>
          <w:szCs w:val="22"/>
        </w:rPr>
        <w:t xml:space="preserve">, M. </w:t>
      </w:r>
      <w:r w:rsidRPr="003D2513">
        <w:rPr>
          <w:rFonts w:ascii="Arial" w:hAnsi="Arial" w:cs="Arial"/>
          <w:i/>
          <w:iCs/>
          <w:sz w:val="22"/>
          <w:szCs w:val="22"/>
        </w:rPr>
        <w:t>et al.</w:t>
      </w:r>
      <w:r w:rsidRPr="003D2513">
        <w:rPr>
          <w:rFonts w:ascii="Arial" w:hAnsi="Arial" w:cs="Arial"/>
          <w:sz w:val="22"/>
          <w:szCs w:val="22"/>
        </w:rPr>
        <w:t xml:space="preserve"> (2025) 'Dose-response effects of ADHD medications: Systematic review and network meta-analysis', </w:t>
      </w:r>
      <w:r w:rsidRPr="003D2513">
        <w:rPr>
          <w:rFonts w:ascii="Arial" w:hAnsi="Arial" w:cs="Arial"/>
          <w:i/>
          <w:iCs/>
          <w:sz w:val="22"/>
          <w:szCs w:val="22"/>
        </w:rPr>
        <w:t>BMJ</w:t>
      </w:r>
      <w:r w:rsidRPr="003D2513">
        <w:rPr>
          <w:rFonts w:ascii="Arial" w:hAnsi="Arial" w:cs="Arial"/>
          <w:sz w:val="22"/>
          <w:szCs w:val="22"/>
        </w:rPr>
        <w:t>, 388, pp. 1-18.</w:t>
      </w:r>
    </w:p>
    <w:p w14:paraId="4599FF7B" w14:textId="77777777" w:rsidR="003D2513" w:rsidRPr="003D2513" w:rsidRDefault="003D2513" w:rsidP="003D2513">
      <w:pPr>
        <w:rPr>
          <w:rFonts w:ascii="Arial" w:hAnsi="Arial" w:cs="Arial"/>
          <w:sz w:val="22"/>
          <w:szCs w:val="22"/>
        </w:rPr>
      </w:pPr>
      <w:r w:rsidRPr="003D2513">
        <w:rPr>
          <w:rFonts w:ascii="Arial" w:hAnsi="Arial" w:cs="Arial"/>
          <w:sz w:val="22"/>
          <w:szCs w:val="22"/>
        </w:rPr>
        <w:t xml:space="preserve">Singer, J. (2017) </w:t>
      </w:r>
      <w:r w:rsidRPr="003D2513">
        <w:rPr>
          <w:rFonts w:ascii="Arial" w:hAnsi="Arial" w:cs="Arial"/>
          <w:i/>
          <w:iCs/>
          <w:sz w:val="22"/>
          <w:szCs w:val="22"/>
        </w:rPr>
        <w:t>Neurodiversity: The birth of an idea</w:t>
      </w:r>
      <w:r w:rsidRPr="003D2513">
        <w:rPr>
          <w:rFonts w:ascii="Arial" w:hAnsi="Arial" w:cs="Arial"/>
          <w:sz w:val="22"/>
          <w:szCs w:val="22"/>
        </w:rPr>
        <w:t>. Melbourne: Lexington Books.</w:t>
      </w:r>
    </w:p>
    <w:p w14:paraId="3FEAF39D" w14:textId="77777777" w:rsidR="003D2513" w:rsidRPr="003D2513" w:rsidRDefault="003D2513" w:rsidP="003D2513">
      <w:pPr>
        <w:rPr>
          <w:rFonts w:ascii="Arial" w:hAnsi="Arial" w:cs="Arial"/>
          <w:sz w:val="22"/>
          <w:szCs w:val="22"/>
        </w:rPr>
      </w:pPr>
      <w:r w:rsidRPr="003D2513">
        <w:rPr>
          <w:rFonts w:ascii="Arial" w:hAnsi="Arial" w:cs="Arial"/>
          <w:sz w:val="22"/>
          <w:szCs w:val="22"/>
        </w:rPr>
        <w:t>Thapar, A. and Cooper, M. (2016) '</w:t>
      </w:r>
      <w:proofErr w:type="gramStart"/>
      <w:r w:rsidRPr="003D2513">
        <w:rPr>
          <w:rFonts w:ascii="Arial" w:hAnsi="Arial" w:cs="Arial"/>
          <w:sz w:val="22"/>
          <w:szCs w:val="22"/>
        </w:rPr>
        <w:t>Attention deficit hyperactivity disorder</w:t>
      </w:r>
      <w:proofErr w:type="gramEnd"/>
      <w:r w:rsidRPr="003D2513">
        <w:rPr>
          <w:rFonts w:ascii="Arial" w:hAnsi="Arial" w:cs="Arial"/>
          <w:sz w:val="22"/>
          <w:szCs w:val="22"/>
        </w:rPr>
        <w:t xml:space="preserve">', </w:t>
      </w:r>
      <w:r w:rsidRPr="003D2513">
        <w:rPr>
          <w:rFonts w:ascii="Arial" w:hAnsi="Arial" w:cs="Arial"/>
          <w:i/>
          <w:iCs/>
          <w:sz w:val="22"/>
          <w:szCs w:val="22"/>
        </w:rPr>
        <w:t>The Lancet</w:t>
      </w:r>
      <w:r w:rsidRPr="003D2513">
        <w:rPr>
          <w:rFonts w:ascii="Arial" w:hAnsi="Arial" w:cs="Arial"/>
          <w:sz w:val="22"/>
          <w:szCs w:val="22"/>
        </w:rPr>
        <w:t>, 387(10024), pp. 1240-1250.</w:t>
      </w:r>
    </w:p>
    <w:p w14:paraId="3390B763" w14:textId="77777777" w:rsidR="003D2513" w:rsidRPr="003D2513" w:rsidRDefault="003D2513" w:rsidP="003D2513">
      <w:pPr>
        <w:rPr>
          <w:rFonts w:ascii="Arial" w:hAnsi="Arial" w:cs="Arial"/>
          <w:sz w:val="22"/>
          <w:szCs w:val="22"/>
        </w:rPr>
      </w:pPr>
      <w:r w:rsidRPr="003D2513">
        <w:rPr>
          <w:rFonts w:ascii="Arial" w:hAnsi="Arial" w:cs="Arial"/>
          <w:sz w:val="22"/>
          <w:szCs w:val="22"/>
        </w:rPr>
        <w:t xml:space="preserve">World Health Organization (WHO) (2024) </w:t>
      </w:r>
      <w:r w:rsidRPr="003D2513">
        <w:rPr>
          <w:rFonts w:ascii="Arial" w:hAnsi="Arial" w:cs="Arial"/>
          <w:i/>
          <w:iCs/>
          <w:sz w:val="22"/>
          <w:szCs w:val="22"/>
        </w:rPr>
        <w:t>International classification of diseases, 11th revision (ICD-11)</w:t>
      </w:r>
      <w:r w:rsidRPr="003D2513">
        <w:rPr>
          <w:rFonts w:ascii="Arial" w:hAnsi="Arial" w:cs="Arial"/>
          <w:sz w:val="22"/>
          <w:szCs w:val="22"/>
        </w:rPr>
        <w:t>. Geneva: World Health Organization.</w:t>
      </w:r>
    </w:p>
    <w:p w14:paraId="03EDFE38" w14:textId="16A2F7D8" w:rsidR="00CA7D2F" w:rsidRPr="009719DE" w:rsidRDefault="00CA7D2F" w:rsidP="000E5BE2">
      <w:pPr>
        <w:rPr>
          <w:rFonts w:ascii="Arial" w:hAnsi="Arial" w:cs="Arial"/>
          <w:sz w:val="22"/>
          <w:szCs w:val="22"/>
        </w:rPr>
      </w:pPr>
    </w:p>
    <w:sectPr w:rsidR="00CA7D2F" w:rsidRPr="009719D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DEE8D" w14:textId="77777777" w:rsidR="00951ADD" w:rsidRDefault="00951ADD" w:rsidP="00E075D0">
      <w:pPr>
        <w:spacing w:after="0" w:line="240" w:lineRule="auto"/>
      </w:pPr>
      <w:r>
        <w:separator/>
      </w:r>
    </w:p>
  </w:endnote>
  <w:endnote w:type="continuationSeparator" w:id="0">
    <w:p w14:paraId="2CF09EAB" w14:textId="77777777" w:rsidR="00951ADD" w:rsidRDefault="00951ADD" w:rsidP="00E07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3171851"/>
      <w:docPartObj>
        <w:docPartGallery w:val="Page Numbers (Bottom of Page)"/>
        <w:docPartUnique/>
      </w:docPartObj>
    </w:sdtPr>
    <w:sdtEndPr/>
    <w:sdtContent>
      <w:p w14:paraId="0830E7FC" w14:textId="598D8DEA" w:rsidR="00E075D0" w:rsidRDefault="00E075D0">
        <w:pPr>
          <w:pStyle w:val="Footer"/>
          <w:jc w:val="center"/>
        </w:pPr>
        <w:r>
          <w:fldChar w:fldCharType="begin"/>
        </w:r>
        <w:r>
          <w:instrText>PAGE   \* MERGEFORMAT</w:instrText>
        </w:r>
        <w:r>
          <w:fldChar w:fldCharType="separate"/>
        </w:r>
        <w:r>
          <w:t>2</w:t>
        </w:r>
        <w:r>
          <w:fldChar w:fldCharType="end"/>
        </w:r>
      </w:p>
    </w:sdtContent>
  </w:sdt>
  <w:p w14:paraId="35A5B797" w14:textId="77777777" w:rsidR="00E075D0" w:rsidRDefault="00E075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E1033" w14:textId="77777777" w:rsidR="00951ADD" w:rsidRDefault="00951ADD" w:rsidP="00E075D0">
      <w:pPr>
        <w:spacing w:after="0" w:line="240" w:lineRule="auto"/>
      </w:pPr>
      <w:r>
        <w:separator/>
      </w:r>
    </w:p>
  </w:footnote>
  <w:footnote w:type="continuationSeparator" w:id="0">
    <w:p w14:paraId="2AA32B24" w14:textId="77777777" w:rsidR="00951ADD" w:rsidRDefault="00951ADD" w:rsidP="00E07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37FB7"/>
    <w:multiLevelType w:val="hybridMultilevel"/>
    <w:tmpl w:val="FF063F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B821F6"/>
    <w:multiLevelType w:val="hybridMultilevel"/>
    <w:tmpl w:val="33C8CF9A"/>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0749344E"/>
    <w:multiLevelType w:val="hybridMultilevel"/>
    <w:tmpl w:val="ACEAF91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08CA567E"/>
    <w:multiLevelType w:val="hybridMultilevel"/>
    <w:tmpl w:val="B0460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4166AC"/>
    <w:multiLevelType w:val="multilevel"/>
    <w:tmpl w:val="45AC5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0D520C"/>
    <w:multiLevelType w:val="hybridMultilevel"/>
    <w:tmpl w:val="C8E0F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885964"/>
    <w:multiLevelType w:val="hybridMultilevel"/>
    <w:tmpl w:val="40ECFC3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12C416B5"/>
    <w:multiLevelType w:val="hybridMultilevel"/>
    <w:tmpl w:val="B2A623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B7632C3"/>
    <w:multiLevelType w:val="hybridMultilevel"/>
    <w:tmpl w:val="2E8C1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347C67"/>
    <w:multiLevelType w:val="hybridMultilevel"/>
    <w:tmpl w:val="203ACE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6D56F74"/>
    <w:multiLevelType w:val="hybridMultilevel"/>
    <w:tmpl w:val="132AA9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6F830E3"/>
    <w:multiLevelType w:val="hybridMultilevel"/>
    <w:tmpl w:val="6C7E9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9D7158"/>
    <w:multiLevelType w:val="hybridMultilevel"/>
    <w:tmpl w:val="2E560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2E67E6"/>
    <w:multiLevelType w:val="multilevel"/>
    <w:tmpl w:val="60C85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342DDD"/>
    <w:multiLevelType w:val="hybridMultilevel"/>
    <w:tmpl w:val="23C6A5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F43486A"/>
    <w:multiLevelType w:val="hybridMultilevel"/>
    <w:tmpl w:val="882699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346516C"/>
    <w:multiLevelType w:val="hybridMultilevel"/>
    <w:tmpl w:val="E9F850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9AC4E2E"/>
    <w:multiLevelType w:val="hybridMultilevel"/>
    <w:tmpl w:val="09F08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C631C7"/>
    <w:multiLevelType w:val="hybridMultilevel"/>
    <w:tmpl w:val="BC4AD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A0143A"/>
    <w:multiLevelType w:val="hybridMultilevel"/>
    <w:tmpl w:val="4DEE1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C60195"/>
    <w:multiLevelType w:val="multilevel"/>
    <w:tmpl w:val="A240E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785B1A"/>
    <w:multiLevelType w:val="hybridMultilevel"/>
    <w:tmpl w:val="6E76F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40535F"/>
    <w:multiLevelType w:val="hybridMultilevel"/>
    <w:tmpl w:val="3CEC88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8314D2"/>
    <w:multiLevelType w:val="multilevel"/>
    <w:tmpl w:val="EB6C2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FB7751"/>
    <w:multiLevelType w:val="hybridMultilevel"/>
    <w:tmpl w:val="FFEC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82449E"/>
    <w:multiLevelType w:val="multilevel"/>
    <w:tmpl w:val="5AEC9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973CE0"/>
    <w:multiLevelType w:val="hybridMultilevel"/>
    <w:tmpl w:val="F0569898"/>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27" w15:restartNumberingAfterBreak="0">
    <w:nsid w:val="68A54FDC"/>
    <w:multiLevelType w:val="multilevel"/>
    <w:tmpl w:val="E88CD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6C26E6"/>
    <w:multiLevelType w:val="hybridMultilevel"/>
    <w:tmpl w:val="E2B84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4733CD"/>
    <w:multiLevelType w:val="multilevel"/>
    <w:tmpl w:val="E56E6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9022359">
    <w:abstractNumId w:val="12"/>
  </w:num>
  <w:num w:numId="2" w16cid:durableId="1508521508">
    <w:abstractNumId w:val="19"/>
  </w:num>
  <w:num w:numId="3" w16cid:durableId="751048966">
    <w:abstractNumId w:val="11"/>
  </w:num>
  <w:num w:numId="4" w16cid:durableId="801193689">
    <w:abstractNumId w:val="21"/>
  </w:num>
  <w:num w:numId="5" w16cid:durableId="1149245249">
    <w:abstractNumId w:val="22"/>
  </w:num>
  <w:num w:numId="6" w16cid:durableId="391199419">
    <w:abstractNumId w:val="23"/>
  </w:num>
  <w:num w:numId="7" w16cid:durableId="1281571993">
    <w:abstractNumId w:val="29"/>
  </w:num>
  <w:num w:numId="8" w16cid:durableId="1599634005">
    <w:abstractNumId w:val="20"/>
  </w:num>
  <w:num w:numId="9" w16cid:durableId="138573577">
    <w:abstractNumId w:val="27"/>
  </w:num>
  <w:num w:numId="10" w16cid:durableId="965811325">
    <w:abstractNumId w:val="25"/>
  </w:num>
  <w:num w:numId="11" w16cid:durableId="1493257678">
    <w:abstractNumId w:val="8"/>
  </w:num>
  <w:num w:numId="12" w16cid:durableId="21131252">
    <w:abstractNumId w:val="18"/>
  </w:num>
  <w:num w:numId="13" w16cid:durableId="35853489">
    <w:abstractNumId w:val="2"/>
  </w:num>
  <w:num w:numId="14" w16cid:durableId="81339831">
    <w:abstractNumId w:val="6"/>
  </w:num>
  <w:num w:numId="15" w16cid:durableId="2010331375">
    <w:abstractNumId w:val="28"/>
  </w:num>
  <w:num w:numId="16" w16cid:durableId="1072199861">
    <w:abstractNumId w:val="0"/>
  </w:num>
  <w:num w:numId="17" w16cid:durableId="505099284">
    <w:abstractNumId w:val="15"/>
  </w:num>
  <w:num w:numId="18" w16cid:durableId="94518477">
    <w:abstractNumId w:val="16"/>
  </w:num>
  <w:num w:numId="19" w16cid:durableId="1089351189">
    <w:abstractNumId w:val="5"/>
  </w:num>
  <w:num w:numId="20" w16cid:durableId="1149785504">
    <w:abstractNumId w:val="7"/>
  </w:num>
  <w:num w:numId="21" w16cid:durableId="1830053434">
    <w:abstractNumId w:val="3"/>
  </w:num>
  <w:num w:numId="22" w16cid:durableId="1801145695">
    <w:abstractNumId w:val="26"/>
  </w:num>
  <w:num w:numId="23" w16cid:durableId="2082478262">
    <w:abstractNumId w:val="17"/>
  </w:num>
  <w:num w:numId="24" w16cid:durableId="1863013505">
    <w:abstractNumId w:val="14"/>
  </w:num>
  <w:num w:numId="25" w16cid:durableId="645353303">
    <w:abstractNumId w:val="24"/>
  </w:num>
  <w:num w:numId="26" w16cid:durableId="487281871">
    <w:abstractNumId w:val="4"/>
  </w:num>
  <w:num w:numId="27" w16cid:durableId="1111315051">
    <w:abstractNumId w:val="10"/>
  </w:num>
  <w:num w:numId="28" w16cid:durableId="1860310213">
    <w:abstractNumId w:val="1"/>
  </w:num>
  <w:num w:numId="29" w16cid:durableId="561067038">
    <w:abstractNumId w:val="9"/>
  </w:num>
  <w:num w:numId="30" w16cid:durableId="187121278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E57"/>
    <w:rsid w:val="00001F46"/>
    <w:rsid w:val="00004BF3"/>
    <w:rsid w:val="00012B06"/>
    <w:rsid w:val="00086B60"/>
    <w:rsid w:val="00087583"/>
    <w:rsid w:val="00094EEE"/>
    <w:rsid w:val="000972AD"/>
    <w:rsid w:val="000A055F"/>
    <w:rsid w:val="000A78B2"/>
    <w:rsid w:val="000B61A1"/>
    <w:rsid w:val="000C64C9"/>
    <w:rsid w:val="000C6592"/>
    <w:rsid w:val="000C6D83"/>
    <w:rsid w:val="000D068F"/>
    <w:rsid w:val="000D7EA7"/>
    <w:rsid w:val="000E518C"/>
    <w:rsid w:val="000E5BE2"/>
    <w:rsid w:val="000F02AD"/>
    <w:rsid w:val="000F7CD7"/>
    <w:rsid w:val="0012571A"/>
    <w:rsid w:val="0013754E"/>
    <w:rsid w:val="00140D52"/>
    <w:rsid w:val="00140DFD"/>
    <w:rsid w:val="001442F9"/>
    <w:rsid w:val="001460EC"/>
    <w:rsid w:val="0016768B"/>
    <w:rsid w:val="001677D0"/>
    <w:rsid w:val="00171617"/>
    <w:rsid w:val="00171BFC"/>
    <w:rsid w:val="00173E57"/>
    <w:rsid w:val="001A4604"/>
    <w:rsid w:val="001B0CCC"/>
    <w:rsid w:val="001C46D9"/>
    <w:rsid w:val="001D707A"/>
    <w:rsid w:val="001E1DD1"/>
    <w:rsid w:val="001E7F51"/>
    <w:rsid w:val="0020126C"/>
    <w:rsid w:val="00203DB4"/>
    <w:rsid w:val="00204E18"/>
    <w:rsid w:val="0020597E"/>
    <w:rsid w:val="0020727D"/>
    <w:rsid w:val="00211BDF"/>
    <w:rsid w:val="00226BBD"/>
    <w:rsid w:val="00234013"/>
    <w:rsid w:val="0023414F"/>
    <w:rsid w:val="00271EB5"/>
    <w:rsid w:val="00276D68"/>
    <w:rsid w:val="002811FC"/>
    <w:rsid w:val="00281CEF"/>
    <w:rsid w:val="002824DD"/>
    <w:rsid w:val="00285433"/>
    <w:rsid w:val="0028746A"/>
    <w:rsid w:val="002A5D06"/>
    <w:rsid w:val="002B6931"/>
    <w:rsid w:val="002D29D8"/>
    <w:rsid w:val="002D667A"/>
    <w:rsid w:val="002E2331"/>
    <w:rsid w:val="002E72D4"/>
    <w:rsid w:val="0030552C"/>
    <w:rsid w:val="00341447"/>
    <w:rsid w:val="00354D4D"/>
    <w:rsid w:val="00364641"/>
    <w:rsid w:val="0037554A"/>
    <w:rsid w:val="00397A66"/>
    <w:rsid w:val="003A5D71"/>
    <w:rsid w:val="003B385A"/>
    <w:rsid w:val="003C1319"/>
    <w:rsid w:val="003C7E44"/>
    <w:rsid w:val="003D07EE"/>
    <w:rsid w:val="003D2513"/>
    <w:rsid w:val="003D3490"/>
    <w:rsid w:val="003E6B30"/>
    <w:rsid w:val="003E6EB2"/>
    <w:rsid w:val="0040385A"/>
    <w:rsid w:val="0042630F"/>
    <w:rsid w:val="004376D5"/>
    <w:rsid w:val="00461AD1"/>
    <w:rsid w:val="00496857"/>
    <w:rsid w:val="004A7EE2"/>
    <w:rsid w:val="004C4990"/>
    <w:rsid w:val="004C5B04"/>
    <w:rsid w:val="004D620F"/>
    <w:rsid w:val="004E04D4"/>
    <w:rsid w:val="004E090E"/>
    <w:rsid w:val="00511C2C"/>
    <w:rsid w:val="00516AE1"/>
    <w:rsid w:val="005177C8"/>
    <w:rsid w:val="00520DBD"/>
    <w:rsid w:val="00530EFE"/>
    <w:rsid w:val="005329C8"/>
    <w:rsid w:val="00535584"/>
    <w:rsid w:val="005355B1"/>
    <w:rsid w:val="0054774B"/>
    <w:rsid w:val="00552203"/>
    <w:rsid w:val="00567805"/>
    <w:rsid w:val="005678F0"/>
    <w:rsid w:val="00586A7D"/>
    <w:rsid w:val="005979ED"/>
    <w:rsid w:val="005A5E8A"/>
    <w:rsid w:val="005A7F0C"/>
    <w:rsid w:val="005C4373"/>
    <w:rsid w:val="005D0846"/>
    <w:rsid w:val="005D3B8A"/>
    <w:rsid w:val="005D741B"/>
    <w:rsid w:val="005E47B5"/>
    <w:rsid w:val="005F67D2"/>
    <w:rsid w:val="00623756"/>
    <w:rsid w:val="00632A2D"/>
    <w:rsid w:val="0065085C"/>
    <w:rsid w:val="006666AB"/>
    <w:rsid w:val="00671A53"/>
    <w:rsid w:val="0067362D"/>
    <w:rsid w:val="0069083B"/>
    <w:rsid w:val="006950D6"/>
    <w:rsid w:val="00696742"/>
    <w:rsid w:val="006A6593"/>
    <w:rsid w:val="006A696C"/>
    <w:rsid w:val="006A6F79"/>
    <w:rsid w:val="006B1CF5"/>
    <w:rsid w:val="006E4D10"/>
    <w:rsid w:val="006F51DF"/>
    <w:rsid w:val="00701B45"/>
    <w:rsid w:val="0071496A"/>
    <w:rsid w:val="007243A5"/>
    <w:rsid w:val="0072784B"/>
    <w:rsid w:val="00770B3D"/>
    <w:rsid w:val="007903D6"/>
    <w:rsid w:val="00793AA3"/>
    <w:rsid w:val="00797EB0"/>
    <w:rsid w:val="007A7494"/>
    <w:rsid w:val="007C0DE5"/>
    <w:rsid w:val="007C40D5"/>
    <w:rsid w:val="007D7A74"/>
    <w:rsid w:val="007E5FEC"/>
    <w:rsid w:val="007E7AE9"/>
    <w:rsid w:val="007F0ADF"/>
    <w:rsid w:val="007F1518"/>
    <w:rsid w:val="00810DBC"/>
    <w:rsid w:val="0082342E"/>
    <w:rsid w:val="00837171"/>
    <w:rsid w:val="00850536"/>
    <w:rsid w:val="0085521B"/>
    <w:rsid w:val="0086011E"/>
    <w:rsid w:val="00863508"/>
    <w:rsid w:val="00882F0E"/>
    <w:rsid w:val="00891044"/>
    <w:rsid w:val="00897404"/>
    <w:rsid w:val="008A6E83"/>
    <w:rsid w:val="008B34DE"/>
    <w:rsid w:val="008D2C3D"/>
    <w:rsid w:val="008D544D"/>
    <w:rsid w:val="008D6B2C"/>
    <w:rsid w:val="009015BA"/>
    <w:rsid w:val="0090639F"/>
    <w:rsid w:val="0091550D"/>
    <w:rsid w:val="00930AE2"/>
    <w:rsid w:val="00945E4D"/>
    <w:rsid w:val="00951ADD"/>
    <w:rsid w:val="009606C5"/>
    <w:rsid w:val="00962EE4"/>
    <w:rsid w:val="009663EC"/>
    <w:rsid w:val="009719DE"/>
    <w:rsid w:val="009862E6"/>
    <w:rsid w:val="00987C56"/>
    <w:rsid w:val="00991B53"/>
    <w:rsid w:val="009A4A29"/>
    <w:rsid w:val="009B1558"/>
    <w:rsid w:val="009C1C05"/>
    <w:rsid w:val="009C4319"/>
    <w:rsid w:val="009C631E"/>
    <w:rsid w:val="009D042F"/>
    <w:rsid w:val="009D2AA4"/>
    <w:rsid w:val="009D7378"/>
    <w:rsid w:val="009E1796"/>
    <w:rsid w:val="009E21B2"/>
    <w:rsid w:val="009F24C3"/>
    <w:rsid w:val="009F5EDF"/>
    <w:rsid w:val="00A06A92"/>
    <w:rsid w:val="00A06F1C"/>
    <w:rsid w:val="00A31480"/>
    <w:rsid w:val="00A32969"/>
    <w:rsid w:val="00A43714"/>
    <w:rsid w:val="00A44E12"/>
    <w:rsid w:val="00A51E13"/>
    <w:rsid w:val="00A71814"/>
    <w:rsid w:val="00A778B4"/>
    <w:rsid w:val="00AA0D9B"/>
    <w:rsid w:val="00AB4D05"/>
    <w:rsid w:val="00AB56F3"/>
    <w:rsid w:val="00AC460D"/>
    <w:rsid w:val="00AF60B9"/>
    <w:rsid w:val="00B240C7"/>
    <w:rsid w:val="00B459E0"/>
    <w:rsid w:val="00B46237"/>
    <w:rsid w:val="00B63992"/>
    <w:rsid w:val="00B8150B"/>
    <w:rsid w:val="00B835D2"/>
    <w:rsid w:val="00B90B24"/>
    <w:rsid w:val="00BF79A2"/>
    <w:rsid w:val="00BF7A74"/>
    <w:rsid w:val="00C066DA"/>
    <w:rsid w:val="00C213E5"/>
    <w:rsid w:val="00C309B6"/>
    <w:rsid w:val="00C32221"/>
    <w:rsid w:val="00C4117C"/>
    <w:rsid w:val="00C419CE"/>
    <w:rsid w:val="00C5671A"/>
    <w:rsid w:val="00C673C4"/>
    <w:rsid w:val="00C73FCA"/>
    <w:rsid w:val="00C75B99"/>
    <w:rsid w:val="00C87B53"/>
    <w:rsid w:val="00CA528B"/>
    <w:rsid w:val="00CA7D2F"/>
    <w:rsid w:val="00CB39C0"/>
    <w:rsid w:val="00CB3E40"/>
    <w:rsid w:val="00CD0095"/>
    <w:rsid w:val="00CD353B"/>
    <w:rsid w:val="00CD441C"/>
    <w:rsid w:val="00CE0B01"/>
    <w:rsid w:val="00CE2BC9"/>
    <w:rsid w:val="00D1652F"/>
    <w:rsid w:val="00D30DF5"/>
    <w:rsid w:val="00D32C1E"/>
    <w:rsid w:val="00D35541"/>
    <w:rsid w:val="00D43A91"/>
    <w:rsid w:val="00D5413F"/>
    <w:rsid w:val="00D55E83"/>
    <w:rsid w:val="00D74DC4"/>
    <w:rsid w:val="00D87E3C"/>
    <w:rsid w:val="00DA4C33"/>
    <w:rsid w:val="00DA7696"/>
    <w:rsid w:val="00DB22D1"/>
    <w:rsid w:val="00DD64AD"/>
    <w:rsid w:val="00DF4574"/>
    <w:rsid w:val="00E075D0"/>
    <w:rsid w:val="00E12813"/>
    <w:rsid w:val="00E159C6"/>
    <w:rsid w:val="00E27B91"/>
    <w:rsid w:val="00E36A18"/>
    <w:rsid w:val="00E44384"/>
    <w:rsid w:val="00E70C4D"/>
    <w:rsid w:val="00E7448F"/>
    <w:rsid w:val="00E907BF"/>
    <w:rsid w:val="00EA739C"/>
    <w:rsid w:val="00ED516D"/>
    <w:rsid w:val="00ED64DF"/>
    <w:rsid w:val="00EE50F3"/>
    <w:rsid w:val="00EF75B3"/>
    <w:rsid w:val="00F224C2"/>
    <w:rsid w:val="00F33B62"/>
    <w:rsid w:val="00F4192E"/>
    <w:rsid w:val="00F4215C"/>
    <w:rsid w:val="00F42AA5"/>
    <w:rsid w:val="00F43906"/>
    <w:rsid w:val="00F45235"/>
    <w:rsid w:val="00F638A7"/>
    <w:rsid w:val="00F6669C"/>
    <w:rsid w:val="00F70B75"/>
    <w:rsid w:val="00F713D2"/>
    <w:rsid w:val="00F800CE"/>
    <w:rsid w:val="00F92384"/>
    <w:rsid w:val="00FA6022"/>
    <w:rsid w:val="00FB7E18"/>
    <w:rsid w:val="00FC2540"/>
    <w:rsid w:val="00FC4542"/>
    <w:rsid w:val="00FD33FC"/>
    <w:rsid w:val="00FD5E63"/>
    <w:rsid w:val="00FD6187"/>
    <w:rsid w:val="00FE3A36"/>
    <w:rsid w:val="00FE57A8"/>
    <w:rsid w:val="00FE61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9F073"/>
  <w15:chartTrackingRefBased/>
  <w15:docId w15:val="{0E8AE0A1-E248-4F63-A284-68F8D72D1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E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3E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3E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3E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3E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3E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E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E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E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E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3E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3E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3E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E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E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E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E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E57"/>
    <w:rPr>
      <w:rFonts w:eastAsiaTheme="majorEastAsia" w:cstheme="majorBidi"/>
      <w:color w:val="272727" w:themeColor="text1" w:themeTint="D8"/>
    </w:rPr>
  </w:style>
  <w:style w:type="paragraph" w:styleId="Title">
    <w:name w:val="Title"/>
    <w:basedOn w:val="Normal"/>
    <w:next w:val="Normal"/>
    <w:link w:val="TitleChar"/>
    <w:uiPriority w:val="10"/>
    <w:qFormat/>
    <w:rsid w:val="00173E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E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E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E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E57"/>
    <w:pPr>
      <w:spacing w:before="160"/>
      <w:jc w:val="center"/>
    </w:pPr>
    <w:rPr>
      <w:i/>
      <w:iCs/>
      <w:color w:val="404040" w:themeColor="text1" w:themeTint="BF"/>
    </w:rPr>
  </w:style>
  <w:style w:type="character" w:customStyle="1" w:styleId="QuoteChar">
    <w:name w:val="Quote Char"/>
    <w:basedOn w:val="DefaultParagraphFont"/>
    <w:link w:val="Quote"/>
    <w:uiPriority w:val="29"/>
    <w:rsid w:val="00173E57"/>
    <w:rPr>
      <w:i/>
      <w:iCs/>
      <w:color w:val="404040" w:themeColor="text1" w:themeTint="BF"/>
    </w:rPr>
  </w:style>
  <w:style w:type="paragraph" w:styleId="ListParagraph">
    <w:name w:val="List Paragraph"/>
    <w:basedOn w:val="Normal"/>
    <w:uiPriority w:val="34"/>
    <w:qFormat/>
    <w:rsid w:val="00173E57"/>
    <w:pPr>
      <w:ind w:left="720"/>
      <w:contextualSpacing/>
    </w:pPr>
  </w:style>
  <w:style w:type="character" w:styleId="IntenseEmphasis">
    <w:name w:val="Intense Emphasis"/>
    <w:basedOn w:val="DefaultParagraphFont"/>
    <w:uiPriority w:val="21"/>
    <w:qFormat/>
    <w:rsid w:val="00173E57"/>
    <w:rPr>
      <w:i/>
      <w:iCs/>
      <w:color w:val="0F4761" w:themeColor="accent1" w:themeShade="BF"/>
    </w:rPr>
  </w:style>
  <w:style w:type="paragraph" w:styleId="IntenseQuote">
    <w:name w:val="Intense Quote"/>
    <w:basedOn w:val="Normal"/>
    <w:next w:val="Normal"/>
    <w:link w:val="IntenseQuoteChar"/>
    <w:uiPriority w:val="30"/>
    <w:qFormat/>
    <w:rsid w:val="00173E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E57"/>
    <w:rPr>
      <w:i/>
      <w:iCs/>
      <w:color w:val="0F4761" w:themeColor="accent1" w:themeShade="BF"/>
    </w:rPr>
  </w:style>
  <w:style w:type="character" w:styleId="IntenseReference">
    <w:name w:val="Intense Reference"/>
    <w:basedOn w:val="DefaultParagraphFont"/>
    <w:uiPriority w:val="32"/>
    <w:qFormat/>
    <w:rsid w:val="00173E57"/>
    <w:rPr>
      <w:b/>
      <w:bCs/>
      <w:smallCaps/>
      <w:color w:val="0F4761" w:themeColor="accent1" w:themeShade="BF"/>
      <w:spacing w:val="5"/>
    </w:rPr>
  </w:style>
  <w:style w:type="paragraph" w:styleId="TOCHeading">
    <w:name w:val="TOC Heading"/>
    <w:basedOn w:val="Heading1"/>
    <w:next w:val="Normal"/>
    <w:uiPriority w:val="39"/>
    <w:unhideWhenUsed/>
    <w:qFormat/>
    <w:rsid w:val="00E075D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075D0"/>
    <w:pPr>
      <w:tabs>
        <w:tab w:val="right" w:leader="dot" w:pos="9016"/>
      </w:tabs>
      <w:spacing w:after="100"/>
    </w:pPr>
    <w:rPr>
      <w:b/>
      <w:bCs/>
      <w:noProof/>
    </w:rPr>
  </w:style>
  <w:style w:type="paragraph" w:styleId="TOC2">
    <w:name w:val="toc 2"/>
    <w:basedOn w:val="Normal"/>
    <w:next w:val="Normal"/>
    <w:autoRedefine/>
    <w:uiPriority w:val="39"/>
    <w:unhideWhenUsed/>
    <w:rsid w:val="00797EB0"/>
    <w:pPr>
      <w:tabs>
        <w:tab w:val="right" w:leader="dot" w:pos="9016"/>
      </w:tabs>
      <w:spacing w:after="100"/>
      <w:ind w:left="240"/>
    </w:pPr>
    <w:rPr>
      <w:rFonts w:ascii="Arial" w:hAnsi="Arial" w:cs="Arial"/>
      <w:sz w:val="22"/>
      <w:szCs w:val="22"/>
    </w:rPr>
  </w:style>
  <w:style w:type="character" w:styleId="Hyperlink">
    <w:name w:val="Hyperlink"/>
    <w:basedOn w:val="DefaultParagraphFont"/>
    <w:uiPriority w:val="99"/>
    <w:unhideWhenUsed/>
    <w:rsid w:val="00E075D0"/>
    <w:rPr>
      <w:color w:val="467886" w:themeColor="hyperlink"/>
      <w:u w:val="single"/>
    </w:rPr>
  </w:style>
  <w:style w:type="paragraph" w:styleId="Header">
    <w:name w:val="header"/>
    <w:basedOn w:val="Normal"/>
    <w:link w:val="HeaderChar"/>
    <w:uiPriority w:val="99"/>
    <w:unhideWhenUsed/>
    <w:rsid w:val="00E07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5D0"/>
  </w:style>
  <w:style w:type="paragraph" w:styleId="Footer">
    <w:name w:val="footer"/>
    <w:basedOn w:val="Normal"/>
    <w:link w:val="FooterChar"/>
    <w:uiPriority w:val="99"/>
    <w:unhideWhenUsed/>
    <w:rsid w:val="00E07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5D0"/>
  </w:style>
  <w:style w:type="paragraph" w:styleId="TOC3">
    <w:name w:val="toc 3"/>
    <w:basedOn w:val="Normal"/>
    <w:next w:val="Normal"/>
    <w:autoRedefine/>
    <w:uiPriority w:val="39"/>
    <w:unhideWhenUsed/>
    <w:rsid w:val="00EE50F3"/>
    <w:pPr>
      <w:spacing w:after="100"/>
      <w:ind w:left="480"/>
    </w:pPr>
  </w:style>
  <w:style w:type="character" w:styleId="UnresolvedMention">
    <w:name w:val="Unresolved Mention"/>
    <w:basedOn w:val="DefaultParagraphFont"/>
    <w:uiPriority w:val="99"/>
    <w:semiHidden/>
    <w:unhideWhenUsed/>
    <w:rsid w:val="0040385A"/>
    <w:rPr>
      <w:color w:val="605E5C"/>
      <w:shd w:val="clear" w:color="auto" w:fill="E1DFDD"/>
    </w:rPr>
  </w:style>
  <w:style w:type="character" w:styleId="Strong">
    <w:name w:val="Strong"/>
    <w:basedOn w:val="DefaultParagraphFont"/>
    <w:uiPriority w:val="22"/>
    <w:qFormat/>
    <w:rsid w:val="0085521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958150">
      <w:bodyDiv w:val="1"/>
      <w:marLeft w:val="0"/>
      <w:marRight w:val="0"/>
      <w:marTop w:val="0"/>
      <w:marBottom w:val="0"/>
      <w:divBdr>
        <w:top w:val="none" w:sz="0" w:space="0" w:color="auto"/>
        <w:left w:val="none" w:sz="0" w:space="0" w:color="auto"/>
        <w:bottom w:val="none" w:sz="0" w:space="0" w:color="auto"/>
        <w:right w:val="none" w:sz="0" w:space="0" w:color="auto"/>
      </w:divBdr>
    </w:div>
    <w:div w:id="234320799">
      <w:bodyDiv w:val="1"/>
      <w:marLeft w:val="0"/>
      <w:marRight w:val="0"/>
      <w:marTop w:val="0"/>
      <w:marBottom w:val="0"/>
      <w:divBdr>
        <w:top w:val="none" w:sz="0" w:space="0" w:color="auto"/>
        <w:left w:val="none" w:sz="0" w:space="0" w:color="auto"/>
        <w:bottom w:val="none" w:sz="0" w:space="0" w:color="auto"/>
        <w:right w:val="none" w:sz="0" w:space="0" w:color="auto"/>
      </w:divBdr>
    </w:div>
    <w:div w:id="280303884">
      <w:bodyDiv w:val="1"/>
      <w:marLeft w:val="0"/>
      <w:marRight w:val="0"/>
      <w:marTop w:val="0"/>
      <w:marBottom w:val="0"/>
      <w:divBdr>
        <w:top w:val="none" w:sz="0" w:space="0" w:color="auto"/>
        <w:left w:val="none" w:sz="0" w:space="0" w:color="auto"/>
        <w:bottom w:val="none" w:sz="0" w:space="0" w:color="auto"/>
        <w:right w:val="none" w:sz="0" w:space="0" w:color="auto"/>
      </w:divBdr>
    </w:div>
    <w:div w:id="458498181">
      <w:bodyDiv w:val="1"/>
      <w:marLeft w:val="0"/>
      <w:marRight w:val="0"/>
      <w:marTop w:val="0"/>
      <w:marBottom w:val="0"/>
      <w:divBdr>
        <w:top w:val="none" w:sz="0" w:space="0" w:color="auto"/>
        <w:left w:val="none" w:sz="0" w:space="0" w:color="auto"/>
        <w:bottom w:val="none" w:sz="0" w:space="0" w:color="auto"/>
        <w:right w:val="none" w:sz="0" w:space="0" w:color="auto"/>
      </w:divBdr>
    </w:div>
    <w:div w:id="507912233">
      <w:bodyDiv w:val="1"/>
      <w:marLeft w:val="0"/>
      <w:marRight w:val="0"/>
      <w:marTop w:val="0"/>
      <w:marBottom w:val="0"/>
      <w:divBdr>
        <w:top w:val="none" w:sz="0" w:space="0" w:color="auto"/>
        <w:left w:val="none" w:sz="0" w:space="0" w:color="auto"/>
        <w:bottom w:val="none" w:sz="0" w:space="0" w:color="auto"/>
        <w:right w:val="none" w:sz="0" w:space="0" w:color="auto"/>
      </w:divBdr>
      <w:divsChild>
        <w:div w:id="983461028">
          <w:marLeft w:val="0"/>
          <w:marRight w:val="0"/>
          <w:marTop w:val="100"/>
          <w:marBottom w:val="0"/>
          <w:divBdr>
            <w:top w:val="single" w:sz="6" w:space="0" w:color="D9D9D9"/>
            <w:left w:val="none" w:sz="0" w:space="0" w:color="auto"/>
            <w:bottom w:val="none" w:sz="0" w:space="0" w:color="auto"/>
            <w:right w:val="none" w:sz="0" w:space="0" w:color="auto"/>
          </w:divBdr>
          <w:divsChild>
            <w:div w:id="871725089">
              <w:marLeft w:val="0"/>
              <w:marRight w:val="0"/>
              <w:marTop w:val="0"/>
              <w:marBottom w:val="0"/>
              <w:divBdr>
                <w:top w:val="none" w:sz="0" w:space="0" w:color="auto"/>
                <w:left w:val="none" w:sz="0" w:space="0" w:color="auto"/>
                <w:bottom w:val="none" w:sz="0" w:space="0" w:color="auto"/>
                <w:right w:val="none" w:sz="0" w:space="0" w:color="auto"/>
              </w:divBdr>
              <w:divsChild>
                <w:div w:id="100501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812978">
          <w:marLeft w:val="0"/>
          <w:marRight w:val="0"/>
          <w:marTop w:val="0"/>
          <w:marBottom w:val="0"/>
          <w:divBdr>
            <w:top w:val="single" w:sz="6" w:space="0" w:color="D9D9D9"/>
            <w:left w:val="single" w:sz="6" w:space="0" w:color="D9D9D9"/>
            <w:bottom w:val="single" w:sz="6" w:space="0" w:color="D9D9D9"/>
            <w:right w:val="single" w:sz="6" w:space="0" w:color="D9D9D9"/>
          </w:divBdr>
          <w:divsChild>
            <w:div w:id="57555204">
              <w:marLeft w:val="0"/>
              <w:marRight w:val="0"/>
              <w:marTop w:val="0"/>
              <w:marBottom w:val="0"/>
              <w:divBdr>
                <w:top w:val="none" w:sz="0" w:space="0" w:color="auto"/>
                <w:left w:val="none" w:sz="0" w:space="0" w:color="auto"/>
                <w:bottom w:val="single" w:sz="6" w:space="0" w:color="D9D9D9"/>
                <w:right w:val="none" w:sz="0" w:space="0" w:color="auto"/>
              </w:divBdr>
            </w:div>
            <w:div w:id="186555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995340">
      <w:bodyDiv w:val="1"/>
      <w:marLeft w:val="0"/>
      <w:marRight w:val="0"/>
      <w:marTop w:val="0"/>
      <w:marBottom w:val="0"/>
      <w:divBdr>
        <w:top w:val="none" w:sz="0" w:space="0" w:color="auto"/>
        <w:left w:val="none" w:sz="0" w:space="0" w:color="auto"/>
        <w:bottom w:val="none" w:sz="0" w:space="0" w:color="auto"/>
        <w:right w:val="none" w:sz="0" w:space="0" w:color="auto"/>
      </w:divBdr>
    </w:div>
    <w:div w:id="816458742">
      <w:bodyDiv w:val="1"/>
      <w:marLeft w:val="0"/>
      <w:marRight w:val="0"/>
      <w:marTop w:val="0"/>
      <w:marBottom w:val="0"/>
      <w:divBdr>
        <w:top w:val="none" w:sz="0" w:space="0" w:color="auto"/>
        <w:left w:val="none" w:sz="0" w:space="0" w:color="auto"/>
        <w:bottom w:val="none" w:sz="0" w:space="0" w:color="auto"/>
        <w:right w:val="none" w:sz="0" w:space="0" w:color="auto"/>
      </w:divBdr>
    </w:div>
    <w:div w:id="882594301">
      <w:bodyDiv w:val="1"/>
      <w:marLeft w:val="0"/>
      <w:marRight w:val="0"/>
      <w:marTop w:val="0"/>
      <w:marBottom w:val="0"/>
      <w:divBdr>
        <w:top w:val="none" w:sz="0" w:space="0" w:color="auto"/>
        <w:left w:val="none" w:sz="0" w:space="0" w:color="auto"/>
        <w:bottom w:val="none" w:sz="0" w:space="0" w:color="auto"/>
        <w:right w:val="none" w:sz="0" w:space="0" w:color="auto"/>
      </w:divBdr>
    </w:div>
    <w:div w:id="1018192369">
      <w:bodyDiv w:val="1"/>
      <w:marLeft w:val="0"/>
      <w:marRight w:val="0"/>
      <w:marTop w:val="0"/>
      <w:marBottom w:val="0"/>
      <w:divBdr>
        <w:top w:val="none" w:sz="0" w:space="0" w:color="auto"/>
        <w:left w:val="none" w:sz="0" w:space="0" w:color="auto"/>
        <w:bottom w:val="none" w:sz="0" w:space="0" w:color="auto"/>
        <w:right w:val="none" w:sz="0" w:space="0" w:color="auto"/>
      </w:divBdr>
    </w:div>
    <w:div w:id="1031495184">
      <w:bodyDiv w:val="1"/>
      <w:marLeft w:val="0"/>
      <w:marRight w:val="0"/>
      <w:marTop w:val="0"/>
      <w:marBottom w:val="0"/>
      <w:divBdr>
        <w:top w:val="none" w:sz="0" w:space="0" w:color="auto"/>
        <w:left w:val="none" w:sz="0" w:space="0" w:color="auto"/>
        <w:bottom w:val="none" w:sz="0" w:space="0" w:color="auto"/>
        <w:right w:val="none" w:sz="0" w:space="0" w:color="auto"/>
      </w:divBdr>
    </w:div>
    <w:div w:id="1320773456">
      <w:bodyDiv w:val="1"/>
      <w:marLeft w:val="0"/>
      <w:marRight w:val="0"/>
      <w:marTop w:val="0"/>
      <w:marBottom w:val="0"/>
      <w:divBdr>
        <w:top w:val="none" w:sz="0" w:space="0" w:color="auto"/>
        <w:left w:val="none" w:sz="0" w:space="0" w:color="auto"/>
        <w:bottom w:val="none" w:sz="0" w:space="0" w:color="auto"/>
        <w:right w:val="none" w:sz="0" w:space="0" w:color="auto"/>
      </w:divBdr>
    </w:div>
    <w:div w:id="1495563515">
      <w:bodyDiv w:val="1"/>
      <w:marLeft w:val="0"/>
      <w:marRight w:val="0"/>
      <w:marTop w:val="0"/>
      <w:marBottom w:val="0"/>
      <w:divBdr>
        <w:top w:val="none" w:sz="0" w:space="0" w:color="auto"/>
        <w:left w:val="none" w:sz="0" w:space="0" w:color="auto"/>
        <w:bottom w:val="none" w:sz="0" w:space="0" w:color="auto"/>
        <w:right w:val="none" w:sz="0" w:space="0" w:color="auto"/>
      </w:divBdr>
    </w:div>
    <w:div w:id="1583221670">
      <w:bodyDiv w:val="1"/>
      <w:marLeft w:val="0"/>
      <w:marRight w:val="0"/>
      <w:marTop w:val="0"/>
      <w:marBottom w:val="0"/>
      <w:divBdr>
        <w:top w:val="none" w:sz="0" w:space="0" w:color="auto"/>
        <w:left w:val="none" w:sz="0" w:space="0" w:color="auto"/>
        <w:bottom w:val="none" w:sz="0" w:space="0" w:color="auto"/>
        <w:right w:val="none" w:sz="0" w:space="0" w:color="auto"/>
      </w:divBdr>
    </w:div>
    <w:div w:id="1603104104">
      <w:bodyDiv w:val="1"/>
      <w:marLeft w:val="0"/>
      <w:marRight w:val="0"/>
      <w:marTop w:val="0"/>
      <w:marBottom w:val="0"/>
      <w:divBdr>
        <w:top w:val="none" w:sz="0" w:space="0" w:color="auto"/>
        <w:left w:val="none" w:sz="0" w:space="0" w:color="auto"/>
        <w:bottom w:val="none" w:sz="0" w:space="0" w:color="auto"/>
        <w:right w:val="none" w:sz="0" w:space="0" w:color="auto"/>
      </w:divBdr>
    </w:div>
    <w:div w:id="1725058333">
      <w:bodyDiv w:val="1"/>
      <w:marLeft w:val="0"/>
      <w:marRight w:val="0"/>
      <w:marTop w:val="0"/>
      <w:marBottom w:val="0"/>
      <w:divBdr>
        <w:top w:val="none" w:sz="0" w:space="0" w:color="auto"/>
        <w:left w:val="none" w:sz="0" w:space="0" w:color="auto"/>
        <w:bottom w:val="none" w:sz="0" w:space="0" w:color="auto"/>
        <w:right w:val="none" w:sz="0" w:space="0" w:color="auto"/>
      </w:divBdr>
    </w:div>
    <w:div w:id="1750805639">
      <w:bodyDiv w:val="1"/>
      <w:marLeft w:val="0"/>
      <w:marRight w:val="0"/>
      <w:marTop w:val="0"/>
      <w:marBottom w:val="0"/>
      <w:divBdr>
        <w:top w:val="none" w:sz="0" w:space="0" w:color="auto"/>
        <w:left w:val="none" w:sz="0" w:space="0" w:color="auto"/>
        <w:bottom w:val="none" w:sz="0" w:space="0" w:color="auto"/>
        <w:right w:val="none" w:sz="0" w:space="0" w:color="auto"/>
      </w:divBdr>
    </w:div>
    <w:div w:id="1801149141">
      <w:bodyDiv w:val="1"/>
      <w:marLeft w:val="0"/>
      <w:marRight w:val="0"/>
      <w:marTop w:val="0"/>
      <w:marBottom w:val="0"/>
      <w:divBdr>
        <w:top w:val="none" w:sz="0" w:space="0" w:color="auto"/>
        <w:left w:val="none" w:sz="0" w:space="0" w:color="auto"/>
        <w:bottom w:val="none" w:sz="0" w:space="0" w:color="auto"/>
        <w:right w:val="none" w:sz="0" w:space="0" w:color="auto"/>
      </w:divBdr>
    </w:div>
    <w:div w:id="1828938710">
      <w:bodyDiv w:val="1"/>
      <w:marLeft w:val="0"/>
      <w:marRight w:val="0"/>
      <w:marTop w:val="0"/>
      <w:marBottom w:val="0"/>
      <w:divBdr>
        <w:top w:val="none" w:sz="0" w:space="0" w:color="auto"/>
        <w:left w:val="none" w:sz="0" w:space="0" w:color="auto"/>
        <w:bottom w:val="none" w:sz="0" w:space="0" w:color="auto"/>
        <w:right w:val="none" w:sz="0" w:space="0" w:color="auto"/>
      </w:divBdr>
    </w:div>
    <w:div w:id="1937709973">
      <w:bodyDiv w:val="1"/>
      <w:marLeft w:val="0"/>
      <w:marRight w:val="0"/>
      <w:marTop w:val="0"/>
      <w:marBottom w:val="0"/>
      <w:divBdr>
        <w:top w:val="none" w:sz="0" w:space="0" w:color="auto"/>
        <w:left w:val="none" w:sz="0" w:space="0" w:color="auto"/>
        <w:bottom w:val="none" w:sz="0" w:space="0" w:color="auto"/>
        <w:right w:val="none" w:sz="0" w:space="0" w:color="auto"/>
      </w:divBdr>
      <w:divsChild>
        <w:div w:id="1399134429">
          <w:marLeft w:val="0"/>
          <w:marRight w:val="0"/>
          <w:marTop w:val="100"/>
          <w:marBottom w:val="0"/>
          <w:divBdr>
            <w:top w:val="single" w:sz="6" w:space="0" w:color="D9D9D9"/>
            <w:left w:val="none" w:sz="0" w:space="0" w:color="auto"/>
            <w:bottom w:val="none" w:sz="0" w:space="0" w:color="auto"/>
            <w:right w:val="none" w:sz="0" w:space="0" w:color="auto"/>
          </w:divBdr>
          <w:divsChild>
            <w:div w:id="165092993">
              <w:marLeft w:val="0"/>
              <w:marRight w:val="0"/>
              <w:marTop w:val="0"/>
              <w:marBottom w:val="0"/>
              <w:divBdr>
                <w:top w:val="none" w:sz="0" w:space="0" w:color="auto"/>
                <w:left w:val="none" w:sz="0" w:space="0" w:color="auto"/>
                <w:bottom w:val="none" w:sz="0" w:space="0" w:color="auto"/>
                <w:right w:val="none" w:sz="0" w:space="0" w:color="auto"/>
              </w:divBdr>
              <w:divsChild>
                <w:div w:id="135904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470618">
          <w:marLeft w:val="0"/>
          <w:marRight w:val="0"/>
          <w:marTop w:val="0"/>
          <w:marBottom w:val="0"/>
          <w:divBdr>
            <w:top w:val="single" w:sz="6" w:space="0" w:color="D9D9D9"/>
            <w:left w:val="single" w:sz="6" w:space="0" w:color="D9D9D9"/>
            <w:bottom w:val="single" w:sz="6" w:space="0" w:color="D9D9D9"/>
            <w:right w:val="single" w:sz="6" w:space="0" w:color="D9D9D9"/>
          </w:divBdr>
          <w:divsChild>
            <w:div w:id="1923835709">
              <w:marLeft w:val="0"/>
              <w:marRight w:val="0"/>
              <w:marTop w:val="0"/>
              <w:marBottom w:val="0"/>
              <w:divBdr>
                <w:top w:val="none" w:sz="0" w:space="0" w:color="auto"/>
                <w:left w:val="none" w:sz="0" w:space="0" w:color="auto"/>
                <w:bottom w:val="single" w:sz="6" w:space="0" w:color="D9D9D9"/>
                <w:right w:val="none" w:sz="0" w:space="0" w:color="auto"/>
              </w:divBdr>
            </w:div>
            <w:div w:id="91798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392148">
      <w:bodyDiv w:val="1"/>
      <w:marLeft w:val="0"/>
      <w:marRight w:val="0"/>
      <w:marTop w:val="0"/>
      <w:marBottom w:val="0"/>
      <w:divBdr>
        <w:top w:val="none" w:sz="0" w:space="0" w:color="auto"/>
        <w:left w:val="none" w:sz="0" w:space="0" w:color="auto"/>
        <w:bottom w:val="none" w:sz="0" w:space="0" w:color="auto"/>
        <w:right w:val="none" w:sz="0" w:space="0" w:color="auto"/>
      </w:divBdr>
    </w:div>
    <w:div w:id="2000645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2B00F-C0E9-4463-8CBE-F694D686B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3258</Words>
  <Characters>18571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Riana Kasule</cp:lastModifiedBy>
  <cp:revision>2</cp:revision>
  <dcterms:created xsi:type="dcterms:W3CDTF">2026-08-14T12:28:00Z</dcterms:created>
  <dcterms:modified xsi:type="dcterms:W3CDTF">2026-08-14T12:28:00Z</dcterms:modified>
</cp:coreProperties>
</file>