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6AF2D" w14:textId="77777777" w:rsidR="000638D3" w:rsidRDefault="000638D3" w:rsidP="000638D3">
      <w:pPr>
        <w:ind w:left="720"/>
        <w:jc w:val="center"/>
        <w:rPr>
          <w:b/>
          <w:bCs/>
        </w:rPr>
      </w:pPr>
      <w:bookmarkStart w:id="0" w:name="_Hlk110267177"/>
    </w:p>
    <w:p w14:paraId="371C18BF" w14:textId="77777777" w:rsidR="000638D3" w:rsidRDefault="000638D3">
      <w:pPr>
        <w:rPr>
          <w:b/>
          <w:bCs/>
        </w:rPr>
      </w:pPr>
      <w:r>
        <w:rPr>
          <w:b/>
          <w:bCs/>
        </w:rPr>
        <w:t>BMPP5002D</w:t>
      </w:r>
    </w:p>
    <w:p w14:paraId="082EBA6C" w14:textId="77777777" w:rsidR="000638D3" w:rsidRDefault="000638D3">
      <w:pPr>
        <w:rPr>
          <w:b/>
          <w:bCs/>
        </w:rPr>
      </w:pPr>
    </w:p>
    <w:p w14:paraId="335C1A12" w14:textId="22510D6B" w:rsidR="000638D3" w:rsidRDefault="000638D3">
      <w:pPr>
        <w:rPr>
          <w:b/>
          <w:bCs/>
        </w:rPr>
      </w:pPr>
      <w:r>
        <w:rPr>
          <w:b/>
          <w:bCs/>
        </w:rPr>
        <w:t>Assignment 1 – due: 01 AUGUST 2022</w:t>
      </w:r>
    </w:p>
    <w:p w14:paraId="76CF439F" w14:textId="77777777" w:rsidR="000638D3" w:rsidRDefault="000638D3">
      <w:pPr>
        <w:rPr>
          <w:b/>
          <w:bCs/>
        </w:rPr>
      </w:pPr>
    </w:p>
    <w:p w14:paraId="4BA2E541" w14:textId="17CF1774" w:rsidR="000638D3" w:rsidRDefault="000638D3">
      <w:pPr>
        <w:rPr>
          <w:b/>
          <w:bCs/>
        </w:rPr>
      </w:pPr>
      <w:r>
        <w:rPr>
          <w:b/>
          <w:bCs/>
        </w:rPr>
        <w:t>PCDA</w:t>
      </w:r>
    </w:p>
    <w:p w14:paraId="7EC37B54" w14:textId="2C5F3C94" w:rsidR="000638D3" w:rsidRDefault="000638D3">
      <w:pPr>
        <w:rPr>
          <w:b/>
          <w:bCs/>
        </w:rPr>
      </w:pPr>
    </w:p>
    <w:p w14:paraId="362A0695" w14:textId="26CE8E68" w:rsidR="000638D3" w:rsidRDefault="000638D3">
      <w:pPr>
        <w:rPr>
          <w:b/>
          <w:bCs/>
        </w:rPr>
      </w:pPr>
      <w:r>
        <w:rPr>
          <w:b/>
          <w:bCs/>
        </w:rPr>
        <w:t>Student ID: 2029400</w:t>
      </w:r>
      <w:r>
        <w:rPr>
          <w:b/>
          <w:bCs/>
        </w:rPr>
        <w:br w:type="page"/>
      </w:r>
    </w:p>
    <w:p w14:paraId="35BACAB0" w14:textId="7C1B160E" w:rsidR="000638D3" w:rsidRPr="000638D3" w:rsidRDefault="000638D3" w:rsidP="000638D3">
      <w:pPr>
        <w:ind w:left="720"/>
        <w:jc w:val="center"/>
        <w:rPr>
          <w:b/>
          <w:bCs/>
        </w:rPr>
      </w:pPr>
      <w:r w:rsidRPr="000638D3">
        <w:rPr>
          <w:b/>
          <w:bCs/>
        </w:rPr>
        <w:lastRenderedPageBreak/>
        <w:t>ESSAY 1</w:t>
      </w:r>
    </w:p>
    <w:p w14:paraId="1540EEC6" w14:textId="77777777" w:rsidR="000638D3" w:rsidRDefault="000638D3" w:rsidP="00C03080">
      <w:pPr>
        <w:ind w:left="720"/>
        <w:jc w:val="both"/>
        <w:rPr>
          <w:u w:val="single"/>
        </w:rPr>
      </w:pPr>
    </w:p>
    <w:p w14:paraId="797D98DF" w14:textId="59FE8BAA" w:rsidR="00C03080" w:rsidRPr="00C03080" w:rsidRDefault="00C03080" w:rsidP="00C03080">
      <w:pPr>
        <w:ind w:left="720"/>
        <w:jc w:val="both"/>
      </w:pPr>
      <w:r w:rsidRPr="00C03080">
        <w:rPr>
          <w:u w:val="single"/>
        </w:rPr>
        <w:t>Analyse</w:t>
      </w:r>
      <w:r w:rsidRPr="00C03080">
        <w:t xml:space="preserve"> the role of independent bodies</w:t>
      </w:r>
      <w:r w:rsidRPr="000638D3">
        <w:t xml:space="preserve"> </w:t>
      </w:r>
      <w:r w:rsidRPr="00C03080">
        <w:t xml:space="preserve">in holding the police accountable to those they serve. </w:t>
      </w:r>
      <w:r w:rsidRPr="00C03080">
        <w:rPr>
          <w:u w:val="single"/>
        </w:rPr>
        <w:t>Consider how and why</w:t>
      </w:r>
      <w:r w:rsidRPr="00C03080">
        <w:t xml:space="preserve"> it is necessary to hold the police to account, and the effectiveness of these independent bodies at fulfilling this task. You should also consider how else the police might be held to account, including whether any policies are in place internally to prevent this.</w:t>
      </w:r>
    </w:p>
    <w:bookmarkEnd w:id="0"/>
    <w:p w14:paraId="095A98A2" w14:textId="52B8B682" w:rsidR="00C03080" w:rsidRDefault="00C03080" w:rsidP="00C80DF8">
      <w:pPr>
        <w:spacing w:line="360" w:lineRule="auto"/>
      </w:pPr>
    </w:p>
    <w:p w14:paraId="133E6F06" w14:textId="0248EABF" w:rsidR="00C03080" w:rsidRDefault="00C03080" w:rsidP="00C80DF8">
      <w:pPr>
        <w:spacing w:line="360" w:lineRule="auto"/>
      </w:pPr>
      <w:r>
        <w:t xml:space="preserve">Policing in the U.K. is </w:t>
      </w:r>
      <w:r w:rsidR="000638D3">
        <w:t xml:space="preserve">conducted by </w:t>
      </w:r>
      <w:r>
        <w:t>a philosophy of consent, which maintains legitimacy through fairness and adherence to procedural justice (Jackson et al., 2012, pp. 3-5). Police forces must show that the actions taken by their officers are taken legitimately, that is to say they are justifiable, proportionate and necessary – and all officers must be held accountable to the people that they serve (HMICFRS, 2017, pp. 3). Without legitimacy, the police would “cease to function” (</w:t>
      </w:r>
      <w:proofErr w:type="spellStart"/>
      <w:r>
        <w:t>Myhill</w:t>
      </w:r>
      <w:proofErr w:type="spellEnd"/>
      <w:r>
        <w:t xml:space="preserve"> and Quinton, 2011, pp. 4), and it is in a police force’s best interest to be transparent and open in this respect (Alston, 2013). </w:t>
      </w:r>
      <w:r w:rsidR="000638D3">
        <w:t xml:space="preserve">Outside of the question of legitimacy exists the requirement for a police force to hold itself to high ethical standards (Fitch, 2011), this not only reinforces public opinion, but gives legitimacy to the criminal justice system as a whole. </w:t>
      </w:r>
    </w:p>
    <w:p w14:paraId="789C4AF7" w14:textId="1EF4E7A9" w:rsidR="00C03080" w:rsidRDefault="00C03080" w:rsidP="00C80DF8">
      <w:pPr>
        <w:spacing w:line="360" w:lineRule="auto"/>
      </w:pPr>
    </w:p>
    <w:p w14:paraId="67827BAB" w14:textId="77777777" w:rsidR="000638D3" w:rsidRDefault="00C03080" w:rsidP="00C80DF8">
      <w:pPr>
        <w:spacing w:line="360" w:lineRule="auto"/>
      </w:pPr>
      <w:r>
        <w:t xml:space="preserve">For transparency and accountability offered by forces to be confirmed as genuine, two primary regulatory bodies exist, working independently of any police force or government to investigate and publish their findings to the public. The oldest of these bodies is Her Majesty’s </w:t>
      </w:r>
      <w:proofErr w:type="gramStart"/>
      <w:r>
        <w:t>Inspectorate  of</w:t>
      </w:r>
      <w:proofErr w:type="gramEnd"/>
      <w:r>
        <w:t xml:space="preserve"> Constabulary and Fire &amp; Rescue Services (HMICFRS). Formed in 1856 by the County and Borough Police Act, 1856, His Majesty’s Inspectorate of Constabulary’s role was to ensure that all of the U.K.’s police forces are ‘efficient’ (Cowley, Todd and Ledger, 2016). Today, it acts as a monitor of police effectiveness and safety, </w:t>
      </w:r>
      <w:r w:rsidR="000638D3">
        <w:t xml:space="preserve">reviewing and </w:t>
      </w:r>
      <w:r>
        <w:t>offering advice to forces in the interest of improving</w:t>
      </w:r>
      <w:r w:rsidR="000638D3">
        <w:t xml:space="preserve"> in the public’s interest</w:t>
      </w:r>
      <w:r>
        <w:t xml:space="preserve"> (HMICFRS</w:t>
      </w:r>
      <w:r w:rsidR="000638D3">
        <w:t>, 2022) HMIC works to improve the police force as a whole, working with force-wide policies and procedures. The second regulatory body is the Independent Office for Police Conduct (IOPC). This was founded in 2018, taking over from the Independent Police Complaints Commission (IPCC) to oversee the police complaints system in England and Wales (Independent Office for Police Conduct, 2020). In effect, the IOPC investigates instances where the conduct of a police officer or force falls below the standard expected from the public – including serious matters where the police’s reputation might come into jeopardy, as well as deaths during or after police contact (</w:t>
      </w:r>
      <w:r w:rsidR="000638D3" w:rsidRPr="000638D3">
        <w:rPr>
          <w:i/>
          <w:iCs/>
        </w:rPr>
        <w:t>ibid</w:t>
      </w:r>
      <w:r w:rsidR="000638D3">
        <w:t xml:space="preserve">). The IOPC also sets standards for how a force might investigate complaints it receives against itself, in more minor cases where the threshold for IOPC involvement is not met. </w:t>
      </w:r>
    </w:p>
    <w:p w14:paraId="0FDE7A76" w14:textId="77777777" w:rsidR="000638D3" w:rsidRDefault="000638D3" w:rsidP="00C80DF8">
      <w:pPr>
        <w:spacing w:line="360" w:lineRule="auto"/>
      </w:pPr>
    </w:p>
    <w:p w14:paraId="3E7A041B" w14:textId="13CF3986" w:rsidR="000638D3" w:rsidRDefault="000638D3" w:rsidP="00C80DF8">
      <w:pPr>
        <w:spacing w:line="360" w:lineRule="auto"/>
      </w:pPr>
      <w:r>
        <w:t xml:space="preserve">It can be argued that the IOPC serves two functions, in that its fundamental role is to investigate police misconduct and oversee the police complain process, but also to this end it aims and serves to </w:t>
      </w:r>
      <w:r>
        <w:lastRenderedPageBreak/>
        <w:t>increase public confidence in the police and in policing. In its investigative and overseeing role, it can be argued that the IOPC fulfils its stated purpose well. In the IOPC’s 2020 report, between 2018 and 2019, the IOPC found that all police forces in Britain recorded a total of 31,097 complaints, a number similar to the year previous (31,671 in 2017/18) (</w:t>
      </w:r>
      <w:r w:rsidRPr="000638D3">
        <w:t>Independent Office for Police Conduct Complaints Statistics</w:t>
      </w:r>
      <w:r>
        <w:t xml:space="preserve">, 2020). The same report shows similar levels of complaints being received year-on-year since 2006. Prior to the creation of the IPCC in 2004 however, the average yearly number of complaints recorded by forces was around half of todays level. Whilst this can be partially explained by differences in recording thresholds, it is clear that the presence of a regulated regulatory that oversees complaints does result in a greater number of complaints being raised and managed. </w:t>
      </w:r>
    </w:p>
    <w:p w14:paraId="016D999A" w14:textId="41EF5AA0" w:rsidR="000638D3" w:rsidRDefault="000638D3" w:rsidP="00C80DF8">
      <w:pPr>
        <w:spacing w:line="360" w:lineRule="auto"/>
      </w:pPr>
    </w:p>
    <w:p w14:paraId="3D6A697D" w14:textId="00D2A9D1" w:rsidR="000638D3" w:rsidRDefault="000638D3" w:rsidP="00C80DF8">
      <w:pPr>
        <w:spacing w:line="360" w:lineRule="auto"/>
      </w:pPr>
      <w:r>
        <w:t xml:space="preserve">In its secondary role of increasing public confidence in police and policing (by increasing confidence in the complaints process), statistics show </w:t>
      </w:r>
      <w:proofErr w:type="gramStart"/>
      <w:r>
        <w:t>less</w:t>
      </w:r>
      <w:proofErr w:type="gramEnd"/>
      <w:r>
        <w:t xml:space="preserve"> promising figures. It is not possible to measure how the public’s confidence in policing has increased with the presence of regulatory bodies alone, as a changing socio-political climate, as well as international police incidents and scandals having the ability to influence domestic opinion of police (Dodd and </w:t>
      </w:r>
      <w:proofErr w:type="spellStart"/>
      <w:r>
        <w:t>Mohdin</w:t>
      </w:r>
      <w:proofErr w:type="spellEnd"/>
      <w:r>
        <w:t xml:space="preserve">, 2021) (YONDER, 2021). This being noted, when legitimacy is in question, public perception is important, and the 2021 IOPC report (YONDER, 2021) found that just 43% of respondents were confident that the IOPC does a good job, and just 49% of people had heard of the IOPC. Public opinion of the police is also falling, especially in those aged 18-24, and opinion of those from Black, Asian or Minority Ethnic backgrounds has remained steady over previous years. Following a 2021 review by the Home Office, </w:t>
      </w:r>
      <w:proofErr w:type="spellStart"/>
      <w:r>
        <w:t>Gilholy</w:t>
      </w:r>
      <w:proofErr w:type="spellEnd"/>
      <w:r>
        <w:t xml:space="preserve"> outlines in her article the need for the IOPC to work in a different fashion in order to increase public opinion of itself:</w:t>
      </w:r>
    </w:p>
    <w:p w14:paraId="41F8FADE" w14:textId="77777777" w:rsidR="000638D3" w:rsidRDefault="000638D3" w:rsidP="00C80DF8">
      <w:pPr>
        <w:spacing w:line="360" w:lineRule="auto"/>
      </w:pPr>
    </w:p>
    <w:p w14:paraId="7DDC37ED" w14:textId="79809A95" w:rsidR="000638D3" w:rsidRDefault="000638D3" w:rsidP="00C80DF8">
      <w:pPr>
        <w:spacing w:line="360" w:lineRule="auto"/>
      </w:pPr>
      <w:r>
        <w:t>“</w:t>
      </w:r>
      <w:r w:rsidRPr="000638D3">
        <w:t>However, the fact remains that more work remains to be don</w:t>
      </w:r>
      <w:r>
        <w:t>e […] t</w:t>
      </w:r>
      <w:r w:rsidRPr="000638D3">
        <w:t>he succession of scandals in recent years has left public confidence in policing at a perilous point. The IOPC will need to ensure that it drives change to create a complaints system people can have full confidence in. There must be no repeat of past mistakes</w:t>
      </w:r>
      <w:r>
        <w:t>”</w:t>
      </w:r>
    </w:p>
    <w:p w14:paraId="1674849E" w14:textId="0098B81F" w:rsidR="000638D3" w:rsidRDefault="000638D3" w:rsidP="000638D3">
      <w:pPr>
        <w:spacing w:line="360" w:lineRule="auto"/>
        <w:jc w:val="right"/>
      </w:pPr>
      <w:r>
        <w:t>(</w:t>
      </w:r>
      <w:proofErr w:type="spellStart"/>
      <w:r>
        <w:t>Gilholy</w:t>
      </w:r>
      <w:proofErr w:type="spellEnd"/>
      <w:r>
        <w:t>, 2022)</w:t>
      </w:r>
    </w:p>
    <w:p w14:paraId="12ABB419" w14:textId="2764AF09" w:rsidR="000638D3" w:rsidRDefault="000638D3" w:rsidP="00C80DF8">
      <w:pPr>
        <w:spacing w:line="360" w:lineRule="auto"/>
      </w:pPr>
    </w:p>
    <w:p w14:paraId="3DB38157" w14:textId="78932704" w:rsidR="00C80DF8" w:rsidRDefault="000638D3" w:rsidP="00C80DF8">
      <w:pPr>
        <w:spacing w:line="360" w:lineRule="auto"/>
      </w:pPr>
      <w:r>
        <w:t xml:space="preserve">In conclusion, the measure by which the effectiveness of independent bodies such as the IOPC is determined is entirely dependent on how its function is perceived. As a means to increasing police legitimacy by increasing public trust, it is not clear that the IOPC reinforces public confidence within any force. However, as a means of upholding ethical standards by ensuring that processes are followed and accountability maintained, it can be argued that the IOPC fulfils this requirement to a </w:t>
      </w:r>
      <w:r>
        <w:lastRenderedPageBreak/>
        <w:t xml:space="preserve">good standard. Complaints can be managed to a national standard, and the ability for in-force corruption is diminished by this fact. </w:t>
      </w:r>
    </w:p>
    <w:p w14:paraId="4654FB91" w14:textId="6E07CD5B" w:rsidR="004D750E" w:rsidRDefault="000638D3" w:rsidP="000638D3">
      <w:pPr>
        <w:jc w:val="right"/>
      </w:pPr>
      <w:r>
        <w:rPr>
          <w:b/>
          <w:bCs/>
        </w:rPr>
        <w:t>Word Count</w:t>
      </w:r>
      <w:r>
        <w:t>: 905</w:t>
      </w:r>
      <w:r w:rsidR="004D750E">
        <w:br w:type="page"/>
      </w:r>
    </w:p>
    <w:p w14:paraId="32BE3820" w14:textId="68B4D746" w:rsidR="00C80DF8" w:rsidRPr="000638D3" w:rsidRDefault="004D750E" w:rsidP="000638D3">
      <w:pPr>
        <w:spacing w:line="360" w:lineRule="auto"/>
        <w:jc w:val="center"/>
        <w:rPr>
          <w:b/>
          <w:bCs/>
        </w:rPr>
      </w:pPr>
      <w:r w:rsidRPr="000638D3">
        <w:rPr>
          <w:b/>
          <w:bCs/>
        </w:rPr>
        <w:lastRenderedPageBreak/>
        <w:t>Essay Two</w:t>
      </w:r>
    </w:p>
    <w:p w14:paraId="773DEA31" w14:textId="62AB31EF" w:rsidR="004D750E" w:rsidRDefault="004D750E" w:rsidP="00C80DF8">
      <w:pPr>
        <w:spacing w:line="360" w:lineRule="auto"/>
      </w:pPr>
      <w:bookmarkStart w:id="1" w:name="_Hlk109649770"/>
      <w:r w:rsidRPr="004D750E">
        <w:t xml:space="preserve">Evaluate the effect of multi-culturalism on policing ethics and </w:t>
      </w:r>
      <w:proofErr w:type="gramStart"/>
      <w:r w:rsidRPr="004D750E">
        <w:t>values, and</w:t>
      </w:r>
      <w:proofErr w:type="gramEnd"/>
      <w:r w:rsidRPr="004D750E">
        <w:t xml:space="preserve"> examine how officers police diverse communities.</w:t>
      </w:r>
    </w:p>
    <w:p w14:paraId="3A93295A" w14:textId="77777777" w:rsidR="004D750E" w:rsidRDefault="004D750E" w:rsidP="004D750E">
      <w:pPr>
        <w:spacing w:line="360" w:lineRule="auto"/>
      </w:pPr>
    </w:p>
    <w:p w14:paraId="1DB7ED19" w14:textId="7A863682" w:rsidR="004D750E" w:rsidRDefault="004D750E" w:rsidP="0010124A">
      <w:pPr>
        <w:spacing w:line="360" w:lineRule="auto"/>
        <w:jc w:val="both"/>
      </w:pPr>
      <w:bookmarkStart w:id="2" w:name="_Hlk109657113"/>
      <w:r>
        <w:t xml:space="preserve">The United Kingdom is becoming increasingly ethnically diverse, with 80% of the population identifying as White British in 2011, from 87% in 2001 (Office for National Statistics, 2020). Along with a person’s ethnic background, their cultural identity can be shaped by their language, religion, sexual identity, or any values or practices that they hold in common with others (Barkan, 2016). It is with acknowledgement of these cultural markers that police forces can shape their values, leading to better engagement and trust with these communities and a better service provided overall.  </w:t>
      </w:r>
    </w:p>
    <w:p w14:paraId="64BB4C60" w14:textId="77777777" w:rsidR="004D750E" w:rsidRDefault="004D750E" w:rsidP="0010124A">
      <w:pPr>
        <w:spacing w:line="360" w:lineRule="auto"/>
        <w:jc w:val="both"/>
      </w:pPr>
    </w:p>
    <w:p w14:paraId="04E08736" w14:textId="1BAB345B" w:rsidR="004D750E" w:rsidRDefault="004D750E" w:rsidP="0010124A">
      <w:pPr>
        <w:spacing w:line="360" w:lineRule="auto"/>
        <w:jc w:val="both"/>
      </w:pPr>
      <w:r>
        <w:t xml:space="preserve">Understanding the impact of diversity is important when establishing public trust. Effective policing fundamentally requires the active support of any community it serves (College of Policing, 2013), and a more diverse police force is more likely to receive such support when its officers are more representative of those communities (Flavin, 2018).  Obstacles arise however, when </w:t>
      </w:r>
      <w:r w:rsidR="001C3E45">
        <w:t>a</w:t>
      </w:r>
      <w:r>
        <w:t xml:space="preserve"> Police </w:t>
      </w:r>
      <w:r w:rsidR="001C3E45">
        <w:t xml:space="preserve">force </w:t>
      </w:r>
      <w:r>
        <w:t>is not seen as a particularly diverse organisation (Dathan, 2021). Although current data shows that in UK forces, the proportion of police officers who identify as coming from a Black, Mixed, Asian or Other background is increasing year-on-year, all are still under-represented in comparison to the general population, with 92% of officers identifying as White British (Home Office, 2021).</w:t>
      </w:r>
      <w:r w:rsidR="004B0A88">
        <w:t xml:space="preserve"> In response to this, many UK forces have a policy of ‘positive action’ in their recruiting processes, encouraging people from minority communities to apply to join (Northamptonshire Police, 2022). </w:t>
      </w:r>
      <w:r>
        <w:t>With this under-representation acknowledged, policing these communities effectively as an ‘outsider’ comes down to both organisational and individual responsibilities</w:t>
      </w:r>
      <w:r w:rsidR="004B0A88">
        <w:t xml:space="preserve"> and values</w:t>
      </w:r>
      <w:r>
        <w:t>.</w:t>
      </w:r>
    </w:p>
    <w:p w14:paraId="055FF8B7" w14:textId="4E646E0F" w:rsidR="004D750E" w:rsidRDefault="004D750E" w:rsidP="0010124A">
      <w:pPr>
        <w:spacing w:line="360" w:lineRule="auto"/>
        <w:jc w:val="both"/>
      </w:pPr>
    </w:p>
    <w:p w14:paraId="5FD7FB51" w14:textId="33C0F037" w:rsidR="004D750E" w:rsidRDefault="004D750E" w:rsidP="0010124A">
      <w:pPr>
        <w:spacing w:line="360" w:lineRule="auto"/>
        <w:jc w:val="both"/>
      </w:pPr>
      <w:r>
        <w:t>Whilst having a police force that is more representative would be beneficial in understanding the nuances and needs of a particular community, there exist</w:t>
      </w:r>
      <w:r w:rsidR="004B0A88">
        <w:t>s</w:t>
      </w:r>
      <w:r>
        <w:t xml:space="preserve"> times where tension can arise from perceived or actual incompatibility between a particular group</w:t>
      </w:r>
      <w:r w:rsidR="004B0A88">
        <w:t>’s values</w:t>
      </w:r>
      <w:r>
        <w:t xml:space="preserve"> and policing as a concept. For example, it is a duty of the police to enforce legislation, even when such enforcement might disproportionately impact a certain community. Even in 2022, there are reports that new ‘anti-traveller laws’ (</w:t>
      </w:r>
      <w:r w:rsidRPr="004D750E">
        <w:t>Police, Crime, Sentencing and Courts Act 2022</w:t>
      </w:r>
      <w:r>
        <w:t xml:space="preserve">, Part 4) are re-igniting tensions between police and traveller communities, as </w:t>
      </w:r>
      <w:r w:rsidR="004B0A88">
        <w:t xml:space="preserve">it is argued that </w:t>
      </w:r>
      <w:r>
        <w:t xml:space="preserve">the legislation fundamentally ‘criminalises nomadic life’ (Brentnall, 2022). This is despite the National Police Chief Council underlining that chief officers neither ‘want nor need’ such legislation (Dearden, 2021). </w:t>
      </w:r>
      <w:r w:rsidR="004B0A88">
        <w:t xml:space="preserve">This, in effect, underscores the sometimes opposing </w:t>
      </w:r>
      <w:r w:rsidR="00C03080">
        <w:t xml:space="preserve">requirements </w:t>
      </w:r>
      <w:r w:rsidR="004B0A88">
        <w:t xml:space="preserve">of policing </w:t>
      </w:r>
      <w:r w:rsidR="00C03080">
        <w:t xml:space="preserve">- </w:t>
      </w:r>
      <w:r w:rsidR="004B0A88">
        <w:t xml:space="preserve">legislation and upholding modern policing values.  </w:t>
      </w:r>
    </w:p>
    <w:p w14:paraId="12ECDFA9" w14:textId="77777777" w:rsidR="004D750E" w:rsidRDefault="004D750E" w:rsidP="0010124A">
      <w:pPr>
        <w:spacing w:line="360" w:lineRule="auto"/>
        <w:jc w:val="both"/>
      </w:pPr>
    </w:p>
    <w:p w14:paraId="3BA2D49F" w14:textId="3BBA16CF" w:rsidR="004D750E" w:rsidRDefault="004D750E" w:rsidP="0010124A">
      <w:pPr>
        <w:spacing w:line="360" w:lineRule="auto"/>
        <w:jc w:val="both"/>
      </w:pPr>
      <w:r>
        <w:t xml:space="preserve">Such tensions can persist even when the </w:t>
      </w:r>
      <w:r w:rsidR="001C3E45">
        <w:t>offending</w:t>
      </w:r>
      <w:r>
        <w:t xml:space="preserve"> legislation is long abolished, as is the case with historic police treatment of the LGBT+ community. It was as recently as 2003 that some homosexual sex-acts were criminalised, whilst the associated heterosexual acts were not (Sexual Offences Act, 1967, Section 1). </w:t>
      </w:r>
    </w:p>
    <w:p w14:paraId="1D12FAF1" w14:textId="527ADDC0" w:rsidR="004D750E" w:rsidRDefault="004D750E" w:rsidP="0010124A">
      <w:pPr>
        <w:spacing w:line="360" w:lineRule="auto"/>
        <w:jc w:val="both"/>
      </w:pPr>
      <w:r>
        <w:t>On this turbulent relationship, McKay writes:</w:t>
      </w:r>
    </w:p>
    <w:p w14:paraId="3A0FE6E4" w14:textId="66F52693" w:rsidR="004D750E" w:rsidRDefault="004D750E" w:rsidP="0010124A">
      <w:pPr>
        <w:spacing w:line="360" w:lineRule="auto"/>
        <w:ind w:left="720"/>
        <w:jc w:val="both"/>
      </w:pPr>
      <w:r>
        <w:t xml:space="preserve"> “</w:t>
      </w:r>
      <w:r w:rsidRPr="004D750E">
        <w:t>The relationship between LGBTQ+ communities and police has historically been fraught, on account of oppressive anti-LGBTQ+ culture and the laws which upheld it</w:t>
      </w:r>
      <w:r>
        <w:t>”</w:t>
      </w:r>
    </w:p>
    <w:p w14:paraId="65D5B802" w14:textId="007F93CC" w:rsidR="004D750E" w:rsidRDefault="004D750E" w:rsidP="0010124A">
      <w:pPr>
        <w:spacing w:line="360" w:lineRule="auto"/>
        <w:jc w:val="both"/>
      </w:pPr>
      <w:r>
        <w:t>(McKay, 2020)</w:t>
      </w:r>
    </w:p>
    <w:p w14:paraId="62A6A118" w14:textId="08826BCC" w:rsidR="004D750E" w:rsidRDefault="004D750E" w:rsidP="0010124A">
      <w:pPr>
        <w:spacing w:line="360" w:lineRule="auto"/>
        <w:jc w:val="both"/>
      </w:pPr>
    </w:p>
    <w:p w14:paraId="0E6E2B7B" w14:textId="53042366" w:rsidR="004D750E" w:rsidRDefault="004D750E" w:rsidP="0010124A">
      <w:pPr>
        <w:spacing w:line="360" w:lineRule="auto"/>
        <w:jc w:val="both"/>
      </w:pPr>
      <w:r>
        <w:t xml:space="preserve">Engagement with such communities is repaired and maintained, in some ways, by that community’s representation within the police. Associations such as the Gypsy, Roma and Traveller Police Association (GRTPA) and the National Police LGBT+ Police Network work not only to offer representation to officers and staff who identify with those communities, but also to educate and inform those who work with those communities in an ambassadorial capacity (GRTPA, 2014). </w:t>
      </w:r>
    </w:p>
    <w:p w14:paraId="60CEEA4D" w14:textId="7CFF7B8A" w:rsidR="004B0A88" w:rsidRDefault="004B0A88" w:rsidP="0010124A">
      <w:pPr>
        <w:spacing w:line="360" w:lineRule="auto"/>
        <w:jc w:val="both"/>
      </w:pPr>
    </w:p>
    <w:p w14:paraId="703348BA" w14:textId="7A7A017A" w:rsidR="004B0A88" w:rsidRDefault="004B0A88" w:rsidP="0010124A">
      <w:pPr>
        <w:spacing w:line="360" w:lineRule="auto"/>
        <w:jc w:val="both"/>
      </w:pPr>
      <w:r>
        <w:t xml:space="preserve">Many inter-community crimes that occur because of a person’s membership of a community can often be understood to be a hate crime – which are crimes that have happened on the basis of someone’s actual or perceived </w:t>
      </w:r>
      <w:r w:rsidRPr="001C3E45">
        <w:t>race, religion, disability, sexual orientation or transgender identity</w:t>
      </w:r>
      <w:r>
        <w:t xml:space="preserve"> (Flatley, 2021).</w:t>
      </w:r>
    </w:p>
    <w:p w14:paraId="6176FA96" w14:textId="2C783547" w:rsidR="004D750E" w:rsidRDefault="004D750E" w:rsidP="0010124A">
      <w:pPr>
        <w:spacing w:line="360" w:lineRule="auto"/>
        <w:jc w:val="both"/>
      </w:pPr>
    </w:p>
    <w:p w14:paraId="7681D63B" w14:textId="1265B599" w:rsidR="004B0A88" w:rsidRDefault="004B0A88" w:rsidP="0010124A">
      <w:pPr>
        <w:spacing w:line="360" w:lineRule="auto"/>
        <w:jc w:val="both"/>
      </w:pPr>
      <w:r>
        <w:t xml:space="preserve">Whilst literature shows that representation alone can matter in the public’s trust of a given police force, awareness and sensitivity to cultural issues is imperative in dealing with hate and inter-community crime effectively. </w:t>
      </w:r>
      <w:r w:rsidR="004D750E">
        <w:t>A common way to promote diversity awareness within any organisation is by diversity training schemes (Chartered Management Institute, 2019) – and this is no different within the police force. Evidence to the efficacy of such schemes is limited (E. Chang et al.), and even within the force it is acknowledged that this training is not always administered appropriately</w:t>
      </w:r>
      <w:r>
        <w:t xml:space="preserve"> </w:t>
      </w:r>
      <w:r w:rsidR="004D750E">
        <w:t>(Bury et al</w:t>
      </w:r>
      <w:r>
        <w:t>.</w:t>
      </w:r>
      <w:r w:rsidR="004D750E">
        <w:t xml:space="preserve">, 2018). </w:t>
      </w:r>
      <w:r>
        <w:t>Recommendations set out in the report composed by Bury et al. stress the need for mentors to be representative in their sharing of protected characteristics, underlining that awareness of why hate crimes occur and how they impact the victim, rather than just the mechanism by which they happen is key. For example, knowing why wearing an item of clothing, such as a burka, is culturally significant to a person can give officers a better understanding of the impact of the impact of potential hate crimes</w:t>
      </w:r>
      <w:r w:rsidR="00F929B0">
        <w:t>, and gives victims a more satisfactory police response (HMICFRS, 2018).</w:t>
      </w:r>
    </w:p>
    <w:p w14:paraId="7F32B0E8" w14:textId="56B9A067" w:rsidR="004B0A88" w:rsidRDefault="004B0A88" w:rsidP="0010124A">
      <w:pPr>
        <w:spacing w:line="360" w:lineRule="auto"/>
        <w:jc w:val="both"/>
      </w:pPr>
    </w:p>
    <w:p w14:paraId="6F700BBA" w14:textId="066B9DB2" w:rsidR="004B0A88" w:rsidRDefault="004B0A88" w:rsidP="0010124A">
      <w:pPr>
        <w:spacing w:line="360" w:lineRule="auto"/>
        <w:jc w:val="both"/>
      </w:pPr>
      <w:r>
        <w:lastRenderedPageBreak/>
        <w:t xml:space="preserve">The aim of training in such matters is to aid effective police action in the first instance of the investigation of hate issues (Metropolitan Police, 2020); </w:t>
      </w:r>
      <w:r w:rsidR="00C03080">
        <w:t>however,</w:t>
      </w:r>
      <w:r>
        <w:t xml:space="preserve"> it is agreed that police officers cannot be expected to deal with inter-community issues single-handedly (Trickett, 2015). In line with policing core values, a collaborative approach is wholly necessary to maintain good community relations, as well as in offering support to those affected by hate crime</w:t>
      </w:r>
      <w:r w:rsidR="00F929B0">
        <w:t xml:space="preserve"> (College of Policing</w:t>
      </w:r>
      <w:bookmarkEnd w:id="2"/>
      <w:r w:rsidR="00F929B0">
        <w:t>, 2016)</w:t>
      </w:r>
      <w:r>
        <w:t xml:space="preserve">. This takes the form of third-party agencies and organisations </w:t>
      </w:r>
      <w:r w:rsidR="00F929B0">
        <w:t>that victims can be signposted toward</w:t>
      </w:r>
      <w:r>
        <w:t xml:space="preserve">, </w:t>
      </w:r>
      <w:r w:rsidR="00F929B0">
        <w:t xml:space="preserve">which </w:t>
      </w:r>
      <w:r>
        <w:t xml:space="preserve">along with police </w:t>
      </w:r>
      <w:r w:rsidR="00F929B0">
        <w:t>response, gives a victim a greater deal of support (HMICFRS, 2018).</w:t>
      </w:r>
    </w:p>
    <w:p w14:paraId="1416431B" w14:textId="4C836BBA" w:rsidR="00F929B0" w:rsidRDefault="00F929B0" w:rsidP="0010124A">
      <w:pPr>
        <w:spacing w:line="360" w:lineRule="auto"/>
        <w:jc w:val="both"/>
      </w:pPr>
    </w:p>
    <w:p w14:paraId="68C89602" w14:textId="6F6C4E3E" w:rsidR="00F929B0" w:rsidRPr="004B0A88" w:rsidRDefault="00F929B0" w:rsidP="0010124A">
      <w:pPr>
        <w:spacing w:line="360" w:lineRule="auto"/>
        <w:jc w:val="both"/>
      </w:pPr>
      <w:r>
        <w:t xml:space="preserve">In the past, the way that police forces deal with multicultural issues is impacted by policing values and ethics, and not the other way around. In the past 20 or so years, policing values have changed to reflect a more victim-based approach - In terms of hate-crime and community relations, however this response has historically been more reactive than proactive.  It could be argued that policing values have aligned to be more multi-culturally sensitive only because of negative associations of the police force in terms of a lack of diversity and cultural </w:t>
      </w:r>
      <w:r w:rsidR="00C03080">
        <w:t>sensitivity and</w:t>
      </w:r>
      <w:r>
        <w:t xml:space="preserve"> have reached a stage now where forces can anticipate a more appropriate and sensitive response to such issues. </w:t>
      </w:r>
    </w:p>
    <w:bookmarkEnd w:id="1"/>
    <w:p w14:paraId="59846762" w14:textId="477F10B0" w:rsidR="004D750E" w:rsidRDefault="004D750E" w:rsidP="00C80DF8">
      <w:pPr>
        <w:spacing w:line="360" w:lineRule="auto"/>
      </w:pPr>
    </w:p>
    <w:p w14:paraId="70B013F7" w14:textId="050FFEB2" w:rsidR="00F33C43" w:rsidRDefault="004D750E" w:rsidP="000638D3">
      <w:pPr>
        <w:spacing w:line="360" w:lineRule="auto"/>
        <w:jc w:val="right"/>
      </w:pPr>
      <w:r>
        <w:t xml:space="preserve"> </w:t>
      </w:r>
      <w:r w:rsidR="00F929B0">
        <w:rPr>
          <w:b/>
          <w:bCs/>
        </w:rPr>
        <w:t>Word count: 1002</w:t>
      </w:r>
    </w:p>
    <w:p w14:paraId="51AAB14E" w14:textId="77777777" w:rsidR="00F33C43" w:rsidRDefault="00F33C43">
      <w:r>
        <w:br w:type="page"/>
      </w:r>
    </w:p>
    <w:p w14:paraId="2DB1477B" w14:textId="7CB38CF1" w:rsidR="004D750E" w:rsidRPr="000638D3" w:rsidRDefault="00F33C43" w:rsidP="000638D3">
      <w:pPr>
        <w:spacing w:line="360" w:lineRule="auto"/>
        <w:jc w:val="center"/>
        <w:rPr>
          <w:b/>
          <w:bCs/>
        </w:rPr>
      </w:pPr>
      <w:r w:rsidRPr="000638D3">
        <w:rPr>
          <w:b/>
          <w:bCs/>
        </w:rPr>
        <w:lastRenderedPageBreak/>
        <w:t>Essay Three</w:t>
      </w:r>
    </w:p>
    <w:p w14:paraId="2C1F7FAB" w14:textId="7335DE31" w:rsidR="00F33C43" w:rsidRDefault="00F33C43" w:rsidP="004B0A88">
      <w:pPr>
        <w:spacing w:line="360" w:lineRule="auto"/>
      </w:pPr>
      <w:r w:rsidRPr="00F33C43">
        <w:t xml:space="preserve">Assess the impact of </w:t>
      </w:r>
      <w:r w:rsidRPr="00F33C43">
        <w:rPr>
          <w:b/>
          <w:bCs/>
        </w:rPr>
        <w:t>early intervention</w:t>
      </w:r>
      <w:r w:rsidRPr="00F33C43">
        <w:t xml:space="preserve"> and </w:t>
      </w:r>
      <w:r w:rsidRPr="00F33C43">
        <w:rPr>
          <w:b/>
          <w:bCs/>
        </w:rPr>
        <w:t>partnership approaches</w:t>
      </w:r>
      <w:r w:rsidRPr="00F33C43">
        <w:t xml:space="preserve"> </w:t>
      </w:r>
      <w:r w:rsidRPr="00F33C43">
        <w:rPr>
          <w:b/>
          <w:bCs/>
        </w:rPr>
        <w:t>in reducing re-offending</w:t>
      </w:r>
      <w:r w:rsidRPr="00F33C43">
        <w:t xml:space="preserve"> in relation to </w:t>
      </w:r>
      <w:r w:rsidRPr="00F33C43">
        <w:rPr>
          <w:b/>
          <w:bCs/>
        </w:rPr>
        <w:t>gang-related activity</w:t>
      </w:r>
      <w:r w:rsidRPr="00F33C43">
        <w:t>. Your answer should consider theories relating to the onset of offending, and comment on how these influence relevant interventions and approaches.</w:t>
      </w:r>
    </w:p>
    <w:p w14:paraId="76703AF6" w14:textId="4A92ECCC" w:rsidR="0010124A" w:rsidRDefault="0010124A" w:rsidP="00F33C43">
      <w:pPr>
        <w:spacing w:line="360" w:lineRule="auto"/>
      </w:pPr>
    </w:p>
    <w:p w14:paraId="7C757A36" w14:textId="500CABB9" w:rsidR="0010124A" w:rsidRDefault="0010124A" w:rsidP="0010124A">
      <w:pPr>
        <w:spacing w:line="360" w:lineRule="auto"/>
        <w:jc w:val="both"/>
      </w:pPr>
      <w:r>
        <w:t>The term “early intervention” describes measures that are implemented by police and partner agencies working with children and young people who have been assessed to have been at risk of poor outcomes in relation to crime and offending. The purpose of early intervention approaches is to reduce the likelihood of a young person entering or re-entering criminality by reducing negative factors and increasing positive factors within a young person at risk’s life (Early Intervention Foundation, 2018). This essay will argue that early intervention, and other such partnership approaches are</w:t>
      </w:r>
      <w:r w:rsidR="00C06F8A">
        <w:t xml:space="preserve"> an</w:t>
      </w:r>
      <w:r>
        <w:t xml:space="preserve"> effective</w:t>
      </w:r>
      <w:r w:rsidR="00C06F8A">
        <w:t xml:space="preserve"> tool</w:t>
      </w:r>
      <w:r>
        <w:t xml:space="preserve"> </w:t>
      </w:r>
      <w:r w:rsidR="00C06F8A">
        <w:t>for</w:t>
      </w:r>
      <w:r>
        <w:t xml:space="preserve"> reducing offending and re-offending in young people with gang affiliation.</w:t>
      </w:r>
    </w:p>
    <w:p w14:paraId="094FB47D" w14:textId="77777777" w:rsidR="0010124A" w:rsidRDefault="0010124A" w:rsidP="0010124A">
      <w:pPr>
        <w:spacing w:line="360" w:lineRule="auto"/>
        <w:jc w:val="both"/>
      </w:pPr>
    </w:p>
    <w:p w14:paraId="0C426821" w14:textId="0875255A" w:rsidR="00F428F6" w:rsidRDefault="0010124A" w:rsidP="0010124A">
      <w:pPr>
        <w:spacing w:line="360" w:lineRule="auto"/>
        <w:jc w:val="both"/>
      </w:pPr>
      <w:r>
        <w:t>Successful approaches work on the principle that although seen as violent individuals, gang members are also vulnerable victims in their own right (Beresford and Wood, 2016). By acting on these vulnerabilities and working to remove risk factors, preventative measures can be implemented to persons most at-risk.</w:t>
      </w:r>
      <w:r w:rsidR="00F428F6">
        <w:t xml:space="preserve"> </w:t>
      </w:r>
      <w:r w:rsidR="00B0707A">
        <w:t>Relevant r</w:t>
      </w:r>
      <w:r w:rsidR="00F428F6">
        <w:t>isk factors and theories surrounding youth offending have been documented extensively in academia, with particular interest raised to</w:t>
      </w:r>
      <w:r w:rsidR="00C06F8A">
        <w:t>ward</w:t>
      </w:r>
      <w:r w:rsidR="00F428F6">
        <w:t xml:space="preserve"> young people who have suffered adverse childhood experiences (ACEs), those from poorer socioeconomic backgrounds, and those with little to no support network</w:t>
      </w:r>
      <w:r w:rsidR="00054A88">
        <w:t xml:space="preserve">, as well as those with a </w:t>
      </w:r>
      <w:r w:rsidR="00F428F6">
        <w:t xml:space="preserve">turbulent home life </w:t>
      </w:r>
      <w:r w:rsidR="00204E8B">
        <w:t>(McDaniel, 2012)</w:t>
      </w:r>
      <w:r w:rsidR="00F428F6">
        <w:t xml:space="preserve">. </w:t>
      </w:r>
      <w:r w:rsidR="00C06F8A">
        <w:t>It is a consensus among scholars that it is most often in these early stages of adolescence that criminality first evolves in young people (McNeill et al., 2012)</w:t>
      </w:r>
      <w:r w:rsidR="00054A88">
        <w:t>, and that these risk factors play a large part in identifying those most at-risk of becoming criminalised</w:t>
      </w:r>
      <w:r w:rsidR="00C06F8A">
        <w:t xml:space="preserve">. </w:t>
      </w:r>
    </w:p>
    <w:p w14:paraId="06A6AA98" w14:textId="42EB2FBB" w:rsidR="00C06F8A" w:rsidRDefault="00C06F8A" w:rsidP="0010124A">
      <w:pPr>
        <w:spacing w:line="360" w:lineRule="auto"/>
        <w:jc w:val="both"/>
      </w:pPr>
    </w:p>
    <w:p w14:paraId="4825687F" w14:textId="427F282C" w:rsidR="00C06F8A" w:rsidRDefault="00C06F8A" w:rsidP="0010124A">
      <w:pPr>
        <w:spacing w:line="360" w:lineRule="auto"/>
        <w:jc w:val="both"/>
      </w:pPr>
      <w:r>
        <w:t xml:space="preserve">Whilst understanding risk determining factors are important in identifying groups of people who may benefit from multi-agency support, understanding why people commit crime appears to be instrumental in deciding the mechanism by which the support works. Established theories surrounding the onset of offending combine </w:t>
      </w:r>
      <w:r w:rsidR="00054A88">
        <w:t>a youth’s</w:t>
      </w:r>
      <w:r>
        <w:t xml:space="preserve"> boredom (Biolocati et al., 2018), impulsivity (Armstrong et al., 2020), and </w:t>
      </w:r>
      <w:r w:rsidR="00054A88">
        <w:t>susceptibility to</w:t>
      </w:r>
      <w:r>
        <w:t xml:space="preserve"> peer pressure (Costello and Hope, 2016), among many other factors. </w:t>
      </w:r>
      <w:r w:rsidR="00054A88">
        <w:t xml:space="preserve">One U.S. study (N=4131) found that around 5% of youths reported to be in a gang, and of those youths 60% were deemed to have low parental monitoring, compared to 39% of the non-gang affiliated demographic (McDaniel, 2012). </w:t>
      </w:r>
      <w:r>
        <w:t xml:space="preserve">Successful schemes work to disrupt at least one of these factors, as well as remove or mitigate the underlining risk factors that a person might experience. </w:t>
      </w:r>
    </w:p>
    <w:p w14:paraId="721724E5" w14:textId="7CEF4E8A" w:rsidR="00C06F8A" w:rsidRDefault="00C06F8A" w:rsidP="0010124A">
      <w:pPr>
        <w:spacing w:line="360" w:lineRule="auto"/>
        <w:jc w:val="both"/>
      </w:pPr>
    </w:p>
    <w:p w14:paraId="03A4ECF6" w14:textId="024DCFB6" w:rsidR="00C06F8A" w:rsidRDefault="00C06F8A" w:rsidP="0010124A">
      <w:pPr>
        <w:spacing w:line="360" w:lineRule="auto"/>
        <w:jc w:val="both"/>
      </w:pPr>
      <w:r>
        <w:t xml:space="preserve">As well as underpinning the fundamentals of any early-intervention approach, Early Intervention Foundation (2014) guidelines </w:t>
      </w:r>
      <w:r w:rsidR="00054A88">
        <w:t>advise</w:t>
      </w:r>
      <w:r>
        <w:t xml:space="preserve"> that a</w:t>
      </w:r>
      <w:r w:rsidR="00054A88">
        <w:t>ny successful,</w:t>
      </w:r>
      <w:r>
        <w:t xml:space="preserve"> substantial scheme requires evidence-based approaches tailored to what is required in any particular local area</w:t>
      </w:r>
      <w:r w:rsidR="00054A88">
        <w:t>, and that sharing and documenting of schemes between authorities allows an informed, more effective implementation (Godar and Holmes, 2018)</w:t>
      </w:r>
      <w:r>
        <w:t xml:space="preserve">. </w:t>
      </w:r>
      <w:r w:rsidR="00054A88">
        <w:t xml:space="preserve">It is suggested that a one-size-fits-all approach to early intervention may yield mediocre results, especially when considering giving support to diverse communities, as well as those, for example, from ethnic minority backgrounds whose individual and collective experiences, needs and problems may differ vastly from those from more traditionally privileged communities (Waddel, et al., 2022). </w:t>
      </w:r>
    </w:p>
    <w:p w14:paraId="4D177D00" w14:textId="795D3BBC" w:rsidR="00C06F8A" w:rsidRDefault="00C06F8A" w:rsidP="0010124A">
      <w:pPr>
        <w:spacing w:line="360" w:lineRule="auto"/>
        <w:jc w:val="both"/>
      </w:pPr>
    </w:p>
    <w:p w14:paraId="08C9A23F" w14:textId="65828CC1" w:rsidR="00C06F8A" w:rsidRDefault="00C06F8A" w:rsidP="0010124A">
      <w:pPr>
        <w:spacing w:line="360" w:lineRule="auto"/>
        <w:jc w:val="both"/>
      </w:pPr>
      <w:r>
        <w:t>Not all partnership approaches are successful, with the approach taken having a direct effect on how and if it works. A notable, widely publicised approach – the ‘scared straight’ documentary (</w:t>
      </w:r>
      <w:r>
        <w:rPr>
          <w:i/>
          <w:iCs/>
        </w:rPr>
        <w:t>Scared Straight!</w:t>
      </w:r>
      <w:r>
        <w:t xml:space="preserve">, 1978) prompted many U.S. states to adopt similar intervention programs (where at-risk youths are treated poorly in a prison environment in an attempt to make them fear going to prison, and therefore to fear committing crime). Studies on such programmes have shown that these types of programmes have detrimental effects both on a youth’s wellbeing, as well as increase their likelihood to offend (Petrosino, 2013), (Anderson Moore, 2011).  </w:t>
      </w:r>
    </w:p>
    <w:p w14:paraId="770797F3" w14:textId="77777777" w:rsidR="00C06F8A" w:rsidRDefault="00C06F8A" w:rsidP="0010124A">
      <w:pPr>
        <w:spacing w:line="360" w:lineRule="auto"/>
        <w:jc w:val="both"/>
      </w:pPr>
    </w:p>
    <w:p w14:paraId="0A82B037" w14:textId="1D4519C4" w:rsidR="00B0707A" w:rsidRDefault="00C06F8A" w:rsidP="0010124A">
      <w:pPr>
        <w:spacing w:line="360" w:lineRule="auto"/>
        <w:jc w:val="both"/>
      </w:pPr>
      <w:r>
        <w:t xml:space="preserve">Taking full development in the 1980’s, partnership approaches to policing were quickly established in the United Kingdom as a means of addressing crime on a community level (Oppler, 1997). Even considering the amount of time that partnership policing has been established, </w:t>
      </w:r>
      <w:r w:rsidR="00B0707A">
        <w:t>the efficacy of U</w:t>
      </w:r>
      <w:r>
        <w:t>.</w:t>
      </w:r>
      <w:r w:rsidR="00B0707A">
        <w:t>K</w:t>
      </w:r>
      <w:r>
        <w:t>.</w:t>
      </w:r>
      <w:r w:rsidR="00B0707A">
        <w:t xml:space="preserve"> youth intervention initiatives</w:t>
      </w:r>
      <w:r>
        <w:t xml:space="preserve"> is poorly documented.</w:t>
      </w:r>
      <w:r w:rsidR="00B0707A">
        <w:t xml:space="preserve"> Hobson et al. (2021) underlines the difficulty of measuring effectiveness meaningfully: </w:t>
      </w:r>
    </w:p>
    <w:p w14:paraId="79D6D3B3" w14:textId="77777777" w:rsidR="00B0707A" w:rsidRDefault="00B0707A" w:rsidP="0010124A">
      <w:pPr>
        <w:spacing w:line="360" w:lineRule="auto"/>
        <w:jc w:val="both"/>
      </w:pPr>
    </w:p>
    <w:p w14:paraId="68902B93" w14:textId="469B3A20" w:rsidR="00B0707A" w:rsidRDefault="00B0707A" w:rsidP="00B0707A">
      <w:pPr>
        <w:spacing w:line="360" w:lineRule="auto"/>
        <w:ind w:left="720"/>
        <w:jc w:val="both"/>
      </w:pPr>
      <w:r>
        <w:t xml:space="preserve">“Measuring the effect of a police-led social intervention […] is difficult as a lack of baseline data and problems with transposing police recorded crime figures to specific areas </w:t>
      </w:r>
      <w:r w:rsidRPr="00B0707A">
        <w:t>make estimating impact of preventative measures problematic</w:t>
      </w:r>
      <w:r>
        <w:t>”</w:t>
      </w:r>
    </w:p>
    <w:p w14:paraId="4C11BF8E" w14:textId="28B388E0" w:rsidR="00B0707A" w:rsidRDefault="00B0707A" w:rsidP="00B0707A">
      <w:pPr>
        <w:spacing w:line="360" w:lineRule="auto"/>
        <w:jc w:val="right"/>
      </w:pPr>
      <w:r>
        <w:t>(Hobson et al., 2021)</w:t>
      </w:r>
    </w:p>
    <w:p w14:paraId="5EAE207F" w14:textId="50AD072C" w:rsidR="00B0707A" w:rsidRDefault="00B0707A" w:rsidP="00B0707A">
      <w:pPr>
        <w:spacing w:line="360" w:lineRule="auto"/>
        <w:jc w:val="both"/>
      </w:pPr>
    </w:p>
    <w:p w14:paraId="18F91687" w14:textId="1B278246" w:rsidR="00C06F8A" w:rsidRDefault="00C06F8A" w:rsidP="00B0707A">
      <w:pPr>
        <w:spacing w:line="360" w:lineRule="auto"/>
        <w:jc w:val="both"/>
      </w:pPr>
      <w:r>
        <w:t>Hobson acknowledges, however, that early intervention qualitatively works in changing attitudes of scheme participants as well as reducing reoffending behaviour.</w:t>
      </w:r>
    </w:p>
    <w:p w14:paraId="55BD6F8D" w14:textId="5F6D4FEF" w:rsidR="00054A88" w:rsidRDefault="00054A88" w:rsidP="00B0707A">
      <w:pPr>
        <w:spacing w:line="360" w:lineRule="auto"/>
        <w:jc w:val="both"/>
      </w:pPr>
    </w:p>
    <w:p w14:paraId="4818FEB4" w14:textId="6515969F" w:rsidR="00054A88" w:rsidRDefault="00054A88" w:rsidP="00054A88">
      <w:pPr>
        <w:spacing w:line="360" w:lineRule="auto"/>
        <w:jc w:val="both"/>
      </w:pPr>
      <w:r>
        <w:lastRenderedPageBreak/>
        <w:t>Great Expectations and The Aston Project are two partnership approaches led by Gloucester Constabulary</w:t>
      </w:r>
      <w:r>
        <w:t xml:space="preserve"> studied by Hobson (2021)</w:t>
      </w:r>
      <w:r>
        <w:t xml:space="preserve"> that work together by different mechanisms to engage with young people with </w:t>
      </w:r>
      <w:r>
        <w:t>the express</w:t>
      </w:r>
      <w:r>
        <w:t xml:space="preserve"> aim of reducing (re)offending rates</w:t>
      </w:r>
      <w:r>
        <w:t>.</w:t>
      </w:r>
      <w:r>
        <w:t xml:space="preserve"> </w:t>
      </w:r>
      <w:r>
        <w:t>The former scheme works</w:t>
      </w:r>
      <w:r>
        <w:t xml:space="preserve"> by engaging positively and breaking down barriers,</w:t>
      </w:r>
      <w:r>
        <w:t xml:space="preserve"> offering positive custody experiences to youths,</w:t>
      </w:r>
      <w:r>
        <w:t xml:space="preserve"> and the </w:t>
      </w:r>
      <w:r>
        <w:t>latter</w:t>
      </w:r>
      <w:r>
        <w:t xml:space="preserve"> by promoting ‘work for reward’, and reducing boredom</w:t>
      </w:r>
      <w:r>
        <w:t>, and reinforcing positive relationships</w:t>
      </w:r>
      <w:r>
        <w:t xml:space="preserve"> (Gloucestershire Council, 2018), (Aston Project, 2018). </w:t>
      </w:r>
    </w:p>
    <w:p w14:paraId="7FA06A3F" w14:textId="77777777" w:rsidR="00054A88" w:rsidRDefault="00054A88" w:rsidP="00B0707A">
      <w:pPr>
        <w:spacing w:line="360" w:lineRule="auto"/>
        <w:jc w:val="both"/>
      </w:pPr>
    </w:p>
    <w:p w14:paraId="0F216904" w14:textId="0FC66E7C" w:rsidR="00C06F8A" w:rsidRDefault="00C06F8A" w:rsidP="00B0707A">
      <w:pPr>
        <w:spacing w:line="360" w:lineRule="auto"/>
        <w:jc w:val="both"/>
      </w:pPr>
    </w:p>
    <w:p w14:paraId="4A894F15" w14:textId="75C4D714" w:rsidR="00C06F8A" w:rsidRDefault="00C06F8A" w:rsidP="00B0707A">
      <w:pPr>
        <w:spacing w:line="360" w:lineRule="auto"/>
        <w:jc w:val="both"/>
      </w:pPr>
      <w:r>
        <w:t>In conclusion, it can be argued that although more qualitative research is required surrounding modern early-intervention programmes; they appear to have the capability to positively impact the likelihood of a youth committing offences, including gang-related ones. Approaches that are founded on the understanding that at-risk youths and young offenders are victims of their surroundings and circumstance, and that mitigate risk factors with positive, pro-active approaches appear to have the best capability for positive outcomes. Approaches that victimise, attempt to scare or regiment young people into compliance almost always have negative outcomes, and should be avoided when considering implementing a program in all instances. In general, partnership approaches, including those that involve intervention, are a cost-effective method of preventatively tackling crime. Liaising with third-party organisations not only conserves police resources, but can</w:t>
      </w:r>
      <w:r w:rsidR="00C03080">
        <w:t xml:space="preserve"> also</w:t>
      </w:r>
      <w:r>
        <w:t xml:space="preserve"> allow for a greater degree of rapport with subjects, increasing the time spent with them. </w:t>
      </w:r>
    </w:p>
    <w:p w14:paraId="4027BEEE" w14:textId="4FD49431" w:rsidR="00054A88" w:rsidRDefault="00054A88" w:rsidP="00B0707A">
      <w:pPr>
        <w:spacing w:line="360" w:lineRule="auto"/>
        <w:jc w:val="both"/>
      </w:pPr>
    </w:p>
    <w:p w14:paraId="2945EC93" w14:textId="69275CEC" w:rsidR="00A84F08" w:rsidRDefault="00054A88" w:rsidP="00054A88">
      <w:pPr>
        <w:spacing w:line="360" w:lineRule="auto"/>
        <w:jc w:val="right"/>
      </w:pPr>
      <w:r w:rsidRPr="00054A88">
        <w:rPr>
          <w:b/>
          <w:bCs/>
        </w:rPr>
        <w:t>Word Count:</w:t>
      </w:r>
      <w:r>
        <w:t xml:space="preserve"> 927</w:t>
      </w:r>
    </w:p>
    <w:p w14:paraId="2624ACCB" w14:textId="77777777" w:rsidR="00A84F08" w:rsidRDefault="00A84F08">
      <w:r>
        <w:br w:type="page"/>
      </w:r>
    </w:p>
    <w:p w14:paraId="6805A02A" w14:textId="2E7C7747" w:rsidR="00A84F08" w:rsidRPr="00C03080" w:rsidRDefault="00A84F08" w:rsidP="000638D3">
      <w:pPr>
        <w:overflowPunct w:val="0"/>
        <w:autoSpaceDE w:val="0"/>
        <w:autoSpaceDN w:val="0"/>
        <w:adjustRightInd w:val="0"/>
        <w:spacing w:line="276" w:lineRule="auto"/>
        <w:ind w:left="567" w:right="531"/>
        <w:jc w:val="center"/>
        <w:textAlignment w:val="baseline"/>
        <w:rPr>
          <w:rFonts w:eastAsia="Times New Roman" w:cstheme="minorHAnsi"/>
          <w:lang w:eastAsia="en-GB"/>
        </w:rPr>
      </w:pPr>
      <w:r w:rsidRPr="00C03080">
        <w:rPr>
          <w:rFonts w:eastAsia="Times New Roman" w:cstheme="minorHAnsi"/>
          <w:b/>
          <w:bCs/>
          <w:lang w:eastAsia="en-GB"/>
        </w:rPr>
        <w:lastRenderedPageBreak/>
        <w:t>Essay four</w:t>
      </w:r>
    </w:p>
    <w:p w14:paraId="3ADE62D8" w14:textId="188997E5" w:rsidR="00A84F08" w:rsidRPr="00C03080" w:rsidRDefault="00A84F08" w:rsidP="00A84F08">
      <w:pPr>
        <w:overflowPunct w:val="0"/>
        <w:autoSpaceDE w:val="0"/>
        <w:autoSpaceDN w:val="0"/>
        <w:adjustRightInd w:val="0"/>
        <w:spacing w:line="276" w:lineRule="auto"/>
        <w:ind w:left="567" w:right="531"/>
        <w:textAlignment w:val="baseline"/>
        <w:rPr>
          <w:rFonts w:eastAsia="Times New Roman" w:cstheme="minorHAnsi"/>
          <w:i/>
          <w:iCs/>
          <w:lang w:eastAsia="en-GB"/>
        </w:rPr>
      </w:pPr>
      <w:r w:rsidRPr="00C03080">
        <w:rPr>
          <w:rFonts w:eastAsia="Times New Roman" w:cstheme="minorHAnsi"/>
          <w:u w:val="single"/>
          <w:lang w:eastAsia="en-GB"/>
        </w:rPr>
        <w:t>Analyse</w:t>
      </w:r>
      <w:r w:rsidRPr="00C03080">
        <w:rPr>
          <w:rFonts w:eastAsia="Times New Roman" w:cstheme="minorHAnsi"/>
          <w:lang w:eastAsia="en-GB"/>
        </w:rPr>
        <w:t xml:space="preserve"> potential links between </w:t>
      </w:r>
      <w:r w:rsidRPr="00C03080">
        <w:rPr>
          <w:rFonts w:eastAsia="Times New Roman" w:cstheme="minorHAnsi"/>
          <w:b/>
          <w:bCs/>
          <w:lang w:eastAsia="en-GB"/>
        </w:rPr>
        <w:t>serious and organised crime</w:t>
      </w:r>
      <w:r w:rsidRPr="00C03080">
        <w:rPr>
          <w:rFonts w:eastAsia="Times New Roman" w:cstheme="minorHAnsi"/>
          <w:lang w:eastAsia="en-GB"/>
        </w:rPr>
        <w:t xml:space="preserve"> and </w:t>
      </w:r>
      <w:r w:rsidRPr="00C03080">
        <w:rPr>
          <w:rFonts w:eastAsia="Times New Roman" w:cstheme="minorHAnsi"/>
          <w:b/>
          <w:bCs/>
          <w:lang w:eastAsia="en-GB"/>
        </w:rPr>
        <w:t xml:space="preserve">public protection </w:t>
      </w:r>
      <w:proofErr w:type="gramStart"/>
      <w:r w:rsidRPr="00C03080">
        <w:rPr>
          <w:rFonts w:eastAsia="Times New Roman" w:cstheme="minorHAnsi"/>
          <w:b/>
          <w:bCs/>
          <w:lang w:eastAsia="en-GB"/>
        </w:rPr>
        <w:t>issues</w:t>
      </w:r>
      <w:r w:rsidRPr="00C03080">
        <w:rPr>
          <w:rFonts w:eastAsia="Times New Roman" w:cstheme="minorHAnsi"/>
          <w:lang w:eastAsia="en-GB"/>
        </w:rPr>
        <w:t>, and</w:t>
      </w:r>
      <w:proofErr w:type="gramEnd"/>
      <w:r w:rsidRPr="00C03080">
        <w:rPr>
          <w:rFonts w:eastAsia="Times New Roman" w:cstheme="minorHAnsi"/>
          <w:lang w:eastAsia="en-GB"/>
        </w:rPr>
        <w:t xml:space="preserve"> </w:t>
      </w:r>
      <w:r w:rsidRPr="00C03080">
        <w:rPr>
          <w:rFonts w:eastAsia="Times New Roman" w:cstheme="minorHAnsi"/>
          <w:u w:val="single"/>
          <w:lang w:eastAsia="en-GB"/>
        </w:rPr>
        <w:t>evaluate</w:t>
      </w:r>
      <w:r w:rsidRPr="00C03080">
        <w:rPr>
          <w:rFonts w:eastAsia="Times New Roman" w:cstheme="minorHAnsi"/>
          <w:lang w:eastAsia="en-GB"/>
        </w:rPr>
        <w:t xml:space="preserve"> the </w:t>
      </w:r>
      <w:r w:rsidRPr="00C03080">
        <w:rPr>
          <w:rFonts w:eastAsia="Times New Roman" w:cstheme="minorHAnsi"/>
          <w:b/>
          <w:bCs/>
          <w:lang w:eastAsia="en-GB"/>
        </w:rPr>
        <w:t>effectiveness of current public protection practices</w:t>
      </w:r>
      <w:r w:rsidRPr="00C03080">
        <w:rPr>
          <w:rFonts w:eastAsia="Times New Roman" w:cstheme="minorHAnsi"/>
          <w:lang w:eastAsia="en-GB"/>
        </w:rPr>
        <w:t xml:space="preserve"> in investigating such incidents. Your answer should indicate why certain groups might be targeted by S/OCGs.</w:t>
      </w:r>
    </w:p>
    <w:p w14:paraId="7F06F4E5" w14:textId="0B5E847A" w:rsidR="00A84F08" w:rsidRDefault="00A84F08" w:rsidP="00A84F08">
      <w:pPr>
        <w:spacing w:line="360" w:lineRule="auto"/>
        <w:jc w:val="both"/>
      </w:pPr>
    </w:p>
    <w:p w14:paraId="76CD2D0C" w14:textId="26DD1D22" w:rsidR="00A84F08" w:rsidRDefault="00A84F08" w:rsidP="00A84F08">
      <w:pPr>
        <w:spacing w:line="360" w:lineRule="auto"/>
        <w:jc w:val="both"/>
      </w:pPr>
      <w:bookmarkStart w:id="3" w:name="_Hlk110260729"/>
      <w:r>
        <w:t>Public protection can be summarised as the safeguarding of vulnerable persons. The College of Policing defines a vulnerable person as “[s</w:t>
      </w:r>
      <w:r>
        <w:t>omeone who</w:t>
      </w:r>
      <w:r w:rsidR="002F1E78">
        <w:t>]</w:t>
      </w:r>
      <w:r w:rsidRPr="00A84F08">
        <w:t xml:space="preserve">, as a result of their situation or circumstances, </w:t>
      </w:r>
      <w:r>
        <w:t>is</w:t>
      </w:r>
      <w:r w:rsidRPr="00A84F08">
        <w:t xml:space="preserve"> unable to take care of or protect themselves or others from harm or exploitation</w:t>
      </w:r>
      <w:r>
        <w:t>” (</w:t>
      </w:r>
      <w:r w:rsidR="002F1E78">
        <w:t>College of Policing, 2021</w:t>
      </w:r>
      <w:r>
        <w:t xml:space="preserve">). </w:t>
      </w:r>
      <w:r w:rsidR="002F1E78">
        <w:t>The National Crime Agency</w:t>
      </w:r>
      <w:r>
        <w:t xml:space="preserve"> </w:t>
      </w:r>
      <w:r w:rsidR="002F1E78">
        <w:t xml:space="preserve">(NCA) </w:t>
      </w:r>
      <w:r>
        <w:t>outline</w:t>
      </w:r>
      <w:r w:rsidR="002F1E78">
        <w:t>s</w:t>
      </w:r>
      <w:r>
        <w:t xml:space="preserve"> how vulnerable persons are </w:t>
      </w:r>
      <w:r w:rsidR="002F1E78">
        <w:t xml:space="preserve">exploited by organised crime groups </w:t>
      </w:r>
      <w:r>
        <w:t>“</w:t>
      </w:r>
      <w:r w:rsidR="002F1E78">
        <w:t>through modern slavery, human trafficking, people smuggling and child sexual abuse</w:t>
      </w:r>
      <w:r>
        <w:t>”</w:t>
      </w:r>
      <w:r w:rsidR="002F1E78">
        <w:t>, as well as fraud (National Crime Agency, 2020, pp. 1, 17)</w:t>
      </w:r>
      <w:r>
        <w:t xml:space="preserve">. In order to evaluate the effectiveness of extant Public Protection practices, I will focus on </w:t>
      </w:r>
      <w:r w:rsidR="00C03080">
        <w:t>the safeguarding available to those most vulnerable to exploitation through Organised Crime Gangs (OCGs) county lines drug trafficking schemes</w:t>
      </w:r>
      <w:r>
        <w:t xml:space="preserve">. In analysing and evaluating </w:t>
      </w:r>
      <w:r w:rsidR="00C03080">
        <w:t>this form</w:t>
      </w:r>
      <w:r>
        <w:t xml:space="preserve"> of Serious </w:t>
      </w:r>
      <w:r w:rsidR="00C03080">
        <w:t>and</w:t>
      </w:r>
      <w:r>
        <w:t xml:space="preserve"> Organised Crime, I argue that current Public Protection practices </w:t>
      </w:r>
      <w:r w:rsidR="00C03080">
        <w:t>are overall ineffective, due, in part to a deficiency of funding dedicated to them.</w:t>
      </w:r>
    </w:p>
    <w:p w14:paraId="575BD851" w14:textId="79866ED1" w:rsidR="002F1E78" w:rsidRDefault="002F1E78" w:rsidP="00A84F08">
      <w:pPr>
        <w:spacing w:line="360" w:lineRule="auto"/>
        <w:jc w:val="both"/>
      </w:pPr>
    </w:p>
    <w:p w14:paraId="6AE19413" w14:textId="39A0B8C7" w:rsidR="00CC7D5E" w:rsidRDefault="00CC7D5E" w:rsidP="00A84F08">
      <w:pPr>
        <w:spacing w:line="360" w:lineRule="auto"/>
        <w:jc w:val="both"/>
      </w:pPr>
    </w:p>
    <w:p w14:paraId="65DD8AE0" w14:textId="6FDB9DAD" w:rsidR="009630C0" w:rsidRDefault="009630C0" w:rsidP="00A84F08">
      <w:pPr>
        <w:spacing w:line="360" w:lineRule="auto"/>
        <w:jc w:val="both"/>
      </w:pPr>
      <w:r>
        <w:t xml:space="preserve">County Lines drug trafficking operations often rely on the exploitation of society’s more vulnerable people, which raises significant concerns in terms of public protection. These sophisticated operations usually involve the management of a network of vulnerable people, recruited by exploitation to produce, traffic, store, and sell drugs on behalf of Organised Crime Gangs (UK Home Office, 2020). </w:t>
      </w:r>
    </w:p>
    <w:p w14:paraId="573CF500" w14:textId="588FE447" w:rsidR="009630C0" w:rsidRDefault="009630C0" w:rsidP="00A84F08">
      <w:pPr>
        <w:spacing w:line="360" w:lineRule="auto"/>
        <w:jc w:val="both"/>
      </w:pPr>
    </w:p>
    <w:p w14:paraId="774E24E8" w14:textId="77777777" w:rsidR="009630C0" w:rsidRDefault="009630C0" w:rsidP="009630C0">
      <w:pPr>
        <w:spacing w:line="360" w:lineRule="auto"/>
        <w:jc w:val="both"/>
      </w:pPr>
      <w:r>
        <w:t xml:space="preserve">A particularly apparent area where </w:t>
      </w:r>
      <w:r>
        <w:t xml:space="preserve">adult </w:t>
      </w:r>
      <w:r>
        <w:t>public protection issues overlap with risks posed by OCGs is in the practice of “cuckooing”. The NCA describes cuckooing as the “</w:t>
      </w:r>
      <w:r w:rsidRPr="00CC7D5E">
        <w:t>tak</w:t>
      </w:r>
      <w:r>
        <w:t>[ing]</w:t>
      </w:r>
      <w:r w:rsidRPr="00CC7D5E">
        <w:t xml:space="preserve"> over a local property, normally belonging to a vulnerable person, and use</w:t>
      </w:r>
      <w:r>
        <w:t>[ing]</w:t>
      </w:r>
      <w:r w:rsidRPr="00CC7D5E">
        <w:t xml:space="preserve"> it to operate their criminal activity from</w:t>
      </w:r>
      <w:r>
        <w:t>” (NCA, 2022 (2)). In their search for a vulnerable victim</w:t>
      </w:r>
      <w:r>
        <w:t xml:space="preserve"> with a suitable premises</w:t>
      </w:r>
      <w:r>
        <w:t>, criminals</w:t>
      </w:r>
      <w:r>
        <w:t xml:space="preserve"> most</w:t>
      </w:r>
      <w:r>
        <w:t xml:space="preserve"> often target </w:t>
      </w:r>
      <w:r>
        <w:t xml:space="preserve">Class A drug users, as well as </w:t>
      </w:r>
      <w:r>
        <w:t>the elderly, people with mental health issues and disabilities</w:t>
      </w:r>
      <w:r>
        <w:t xml:space="preserve">, </w:t>
      </w:r>
      <w:r>
        <w:t xml:space="preserve">as well as people recently released from custody (NCA, November 2016). </w:t>
      </w:r>
      <w:r>
        <w:t xml:space="preserve">Drug users are seen as a particularly easy target because of their reliance on addictive substances. Gangs supply the drug users (who often suffer with mental health issues (McManus et. al, 2016, pp. 267)) with drugs, and enter a relationship of debt-bondage – requiring that person to allow the gang free-use of their property as re-payment. </w:t>
      </w:r>
    </w:p>
    <w:p w14:paraId="788D8F48" w14:textId="69BEC6CC" w:rsidR="009630C0" w:rsidRDefault="009630C0" w:rsidP="009630C0">
      <w:pPr>
        <w:spacing w:line="360" w:lineRule="auto"/>
        <w:jc w:val="both"/>
      </w:pPr>
    </w:p>
    <w:p w14:paraId="56DD73DF" w14:textId="5DA016EB" w:rsidR="009630C0" w:rsidRDefault="00A96771" w:rsidP="009630C0">
      <w:pPr>
        <w:spacing w:line="360" w:lineRule="auto"/>
        <w:jc w:val="both"/>
      </w:pPr>
      <w:r>
        <w:lastRenderedPageBreak/>
        <w:t xml:space="preserve">When it comes to supporting adults with drug misuse problems, a multi-agency response is fundamental. Support is required across health, social and law-enforcement agencies, with the path to successful support only occasionally starting with police engagement. </w:t>
      </w:r>
      <w:r w:rsidR="009630C0">
        <w:t xml:space="preserve">In 2021, approximately 23% of referrals for opiate drug misuse treatment came from the criminal justice system, with just 25% of </w:t>
      </w:r>
      <w:r>
        <w:t>all total</w:t>
      </w:r>
      <w:r w:rsidR="009630C0">
        <w:t xml:space="preserve"> referrals resulting in successful treatment</w:t>
      </w:r>
      <w:r>
        <w:t xml:space="preserve"> (Office for Health Improvement and Disparities, 2021)</w:t>
      </w:r>
      <w:r w:rsidR="009630C0">
        <w:t xml:space="preserve">. </w:t>
      </w:r>
      <w:r>
        <w:t>In her 2020 drugs review, Dame Carol Black found that drug misuse is rising year-on-year, and that the disparity between those who need treatment and what treatment is available is growing</w:t>
      </w:r>
      <w:r w:rsidR="00C03080">
        <w:t xml:space="preserve"> </w:t>
      </w:r>
      <w:r w:rsidR="00C03080">
        <w:t>(Black et al., 2020)</w:t>
      </w:r>
      <w:r w:rsidR="00C03080">
        <w:t>.</w:t>
      </w:r>
      <w:r>
        <w:t xml:space="preserve"> </w:t>
      </w:r>
      <w:r w:rsidR="00C03080">
        <w:t>In terms of police involvement, Black goes on to say that i</w:t>
      </w:r>
      <w:r>
        <w:t xml:space="preserve">n the past </w:t>
      </w:r>
      <w:r w:rsidR="00C03080">
        <w:t>police forces</w:t>
      </w:r>
      <w:r>
        <w:t xml:space="preserve"> were instrumental in co-ordinating collaborative drug-tackling strategies</w:t>
      </w:r>
      <w:r w:rsidR="00C03080">
        <w:t>, including arranging help to those addicted to, or likely to be addicted to drugs. H</w:t>
      </w:r>
      <w:r>
        <w:t>owever public protection has suffered greatly due</w:t>
      </w:r>
      <w:r w:rsidR="00C03080">
        <w:t>, in part</w:t>
      </w:r>
      <w:r>
        <w:t xml:space="preserve"> to police budget cuts, and there now exists a large gap in local-authority support for drug users (</w:t>
      </w:r>
      <w:r w:rsidR="00C03080">
        <w:rPr>
          <w:i/>
          <w:iCs/>
        </w:rPr>
        <w:t>ibid</w:t>
      </w:r>
      <w:r>
        <w:t xml:space="preserve">). </w:t>
      </w:r>
    </w:p>
    <w:p w14:paraId="3CC04768" w14:textId="3780293D" w:rsidR="00A96771" w:rsidRDefault="00A96771" w:rsidP="009630C0">
      <w:pPr>
        <w:spacing w:line="360" w:lineRule="auto"/>
        <w:jc w:val="both"/>
      </w:pPr>
    </w:p>
    <w:p w14:paraId="4ABAD570" w14:textId="6AF21D18" w:rsidR="00A96771" w:rsidRDefault="00A96771" w:rsidP="009630C0">
      <w:pPr>
        <w:spacing w:line="360" w:lineRule="auto"/>
        <w:jc w:val="both"/>
      </w:pPr>
      <w:r>
        <w:t xml:space="preserve">Another vulnerable group often exploited by OCGs in their county-lines operations are those under the age of eighteen. Children are </w:t>
      </w:r>
      <w:r w:rsidR="00C03080">
        <w:t>exploited to traffic drugs</w:t>
      </w:r>
      <w:r>
        <w:t xml:space="preserve"> because they are less likely to be stopped by police, and often have clean criminal records, meaning they are less likely to be prosecuted for offences (SPACE, 2019). </w:t>
      </w:r>
      <w:r w:rsidR="00C03080">
        <w:t xml:space="preserve">Vulnerable children, usually from poorer backgrounds are drawn into such operations, attracted by promises of money and status (Black, 2020). </w:t>
      </w:r>
      <w:r>
        <w:t>Individuals or groups within OCGs utilise the imbalance of power that exists between them and the young people to recruit them, and use manipulative and violent tactics to obtain their silence and maintain loyalty (</w:t>
      </w:r>
      <w:r w:rsidR="00C03080">
        <w:t xml:space="preserve">Safeguarding Network, 2021). </w:t>
      </w:r>
    </w:p>
    <w:p w14:paraId="7DBB0D4A" w14:textId="0BF9DAF4" w:rsidR="00C03080" w:rsidRDefault="00C03080" w:rsidP="009630C0">
      <w:pPr>
        <w:spacing w:line="360" w:lineRule="auto"/>
        <w:jc w:val="both"/>
      </w:pPr>
    </w:p>
    <w:p w14:paraId="1FD00771" w14:textId="2AB47BAE" w:rsidR="009630C0" w:rsidRDefault="00C03080" w:rsidP="009630C0">
      <w:pPr>
        <w:spacing w:line="360" w:lineRule="auto"/>
        <w:jc w:val="both"/>
      </w:pPr>
      <w:r>
        <w:t>All c</w:t>
      </w:r>
      <w:r>
        <w:t>hildren</w:t>
      </w:r>
      <w:r>
        <w:t xml:space="preserve"> </w:t>
      </w:r>
      <w:r>
        <w:t>are considered vulnerable persons under the code of practice for victims (Ministry of Justice, 2005)</w:t>
      </w:r>
      <w:r>
        <w:t xml:space="preserve">, and some safeguarding measures are in place that can help to detect and disrupt criminal child exploitation by gangs. As widespread county lines operations are a fairly recent issue, problems have historically risen with identifying children at risk due those with a duty to safeguard being ignorant of the signs of exploitation by county lines gangs, usually arising from unawareness or inexperience (SPACE, 2019). Statutory guidance now places a requirement on schools, colleges and care workers to be aware of, and safeguard children against county lines exploitation (Department for Education, 2022). In addition to this, framework such as the National Referral Mechanism exists to identify and obtain support for potential victims of modern slavery – including children forced or coerced into exploitative labour (Home Office &amp; UK Visas and Immigration, 2022). </w:t>
      </w:r>
    </w:p>
    <w:p w14:paraId="14515B6B" w14:textId="102CCE1F" w:rsidR="00C03080" w:rsidRDefault="00C03080" w:rsidP="009630C0">
      <w:pPr>
        <w:spacing w:line="360" w:lineRule="auto"/>
        <w:jc w:val="both"/>
      </w:pPr>
    </w:p>
    <w:p w14:paraId="21EC4239" w14:textId="21949A4E" w:rsidR="00C03080" w:rsidRDefault="00C03080" w:rsidP="009630C0">
      <w:pPr>
        <w:spacing w:line="360" w:lineRule="auto"/>
        <w:jc w:val="both"/>
      </w:pPr>
      <w:r>
        <w:lastRenderedPageBreak/>
        <w:t xml:space="preserve">Research into the efficacy of public protection measures surrounding children in county lines operations appears to be in its infancy, with many reviews underway. </w:t>
      </w:r>
    </w:p>
    <w:p w14:paraId="4F0EB4A9" w14:textId="77777777" w:rsidR="00C03080" w:rsidRDefault="00C03080" w:rsidP="009630C0">
      <w:pPr>
        <w:spacing w:line="360" w:lineRule="auto"/>
        <w:jc w:val="both"/>
      </w:pPr>
    </w:p>
    <w:p w14:paraId="29619E0A" w14:textId="51021D83" w:rsidR="00CC7D5E" w:rsidRDefault="00A96771" w:rsidP="00A84F08">
      <w:pPr>
        <w:spacing w:line="360" w:lineRule="auto"/>
        <w:jc w:val="both"/>
      </w:pPr>
      <w:r>
        <w:t xml:space="preserve">Literature seems to support the view that current </w:t>
      </w:r>
      <w:r w:rsidR="00C03080">
        <w:t xml:space="preserve">retroactive </w:t>
      </w:r>
      <w:r>
        <w:t xml:space="preserve">public protection practices are somewhat ineffective when it comes to safeguarding those at risk from serious and organised crime. This appears to be due to the vast and increasing number of people requiring support, and the comparatively decreasing resources available to facilitate it. </w:t>
      </w:r>
      <w:r w:rsidR="00C03080">
        <w:t>The College of Policing reports that some police forces are tackling the damage that county lines</w:t>
      </w:r>
      <w:r w:rsidR="00C03080">
        <w:t xml:space="preserve"> operations</w:t>
      </w:r>
      <w:r w:rsidR="00C03080">
        <w:t xml:space="preserve"> do to vulnerable people pro-actively, with county lines intervention teams being set up in West Dorset to safeguard vulnerable people and develop positive engagement with drug users</w:t>
      </w:r>
      <w:r w:rsidR="00C03080">
        <w:t xml:space="preserve"> (College of Policing, 2022). If proven to be a successful, cost-effective solution – public protection practices may, in the future, become more reliant on preventative measures. </w:t>
      </w:r>
    </w:p>
    <w:p w14:paraId="5AD9D17C" w14:textId="5DDC475A" w:rsidR="00C03080" w:rsidRPr="00C03080" w:rsidRDefault="00C03080" w:rsidP="00C03080">
      <w:pPr>
        <w:spacing w:line="360" w:lineRule="auto"/>
        <w:jc w:val="right"/>
      </w:pPr>
      <w:r>
        <w:rPr>
          <w:b/>
          <w:bCs/>
        </w:rPr>
        <w:t>Word Count</w:t>
      </w:r>
      <w:r>
        <w:t>: 923</w:t>
      </w:r>
    </w:p>
    <w:bookmarkEnd w:id="3"/>
    <w:p w14:paraId="36A9BDD3" w14:textId="28E40804" w:rsidR="00C03080" w:rsidRDefault="00C03080" w:rsidP="00A84F08">
      <w:pPr>
        <w:spacing w:line="360" w:lineRule="auto"/>
        <w:jc w:val="both"/>
      </w:pPr>
    </w:p>
    <w:p w14:paraId="4F145C6A" w14:textId="36AA2E9A" w:rsidR="009F3289" w:rsidRDefault="009F3289" w:rsidP="00A84F08">
      <w:pPr>
        <w:spacing w:line="360" w:lineRule="auto"/>
        <w:jc w:val="both"/>
      </w:pPr>
    </w:p>
    <w:p w14:paraId="39CAAB5A" w14:textId="77777777" w:rsidR="009F3289" w:rsidRDefault="009F3289">
      <w:r>
        <w:br w:type="page"/>
      </w:r>
    </w:p>
    <w:p w14:paraId="508919A8" w14:textId="7864AAAA" w:rsidR="00C03080" w:rsidRDefault="009F3289" w:rsidP="00A84F08">
      <w:pPr>
        <w:spacing w:line="360" w:lineRule="auto"/>
        <w:jc w:val="both"/>
        <w:rPr>
          <w:b/>
          <w:bCs/>
        </w:rPr>
      </w:pPr>
      <w:r w:rsidRPr="009F3289">
        <w:rPr>
          <w:b/>
          <w:bCs/>
        </w:rPr>
        <w:lastRenderedPageBreak/>
        <w:t>Bibliography</w:t>
      </w:r>
    </w:p>
    <w:p w14:paraId="2C4FC4A2"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Police, Crime, Sentencing and Courts Act 2022, Part 4. </w:t>
      </w:r>
      <w:r>
        <w:rPr>
          <w:rFonts w:ascii="Roboto" w:hAnsi="Roboto"/>
          <w:color w:val="53565A"/>
          <w:sz w:val="21"/>
          <w:szCs w:val="21"/>
        </w:rPr>
        <w:t>2022.</w:t>
      </w:r>
    </w:p>
    <w:p w14:paraId="0B3751CF"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How to Develop a Great Diversity Scheme-07-16T09:06:00+00:00, 2019-last update. Available: </w:t>
      </w:r>
      <w:hyperlink r:id="rId7" w:tgtFrame="_blank" w:history="1">
        <w:r>
          <w:rPr>
            <w:rStyle w:val="Hyperlink"/>
            <w:rFonts w:ascii="Roboto" w:hAnsi="Roboto"/>
            <w:color w:val="0066CC"/>
            <w:sz w:val="21"/>
            <w:szCs w:val="21"/>
            <w:u w:val="none"/>
          </w:rPr>
          <w:t>https://www.managers.org.uk/knowledge-and-insights/listicle/how-to-develop-a-great-diversity-scheme/</w:t>
        </w:r>
      </w:hyperlink>
      <w:r>
        <w:rPr>
          <w:rFonts w:ascii="Roboto" w:hAnsi="Roboto"/>
          <w:color w:val="53565A"/>
          <w:sz w:val="21"/>
          <w:szCs w:val="21"/>
        </w:rPr>
        <w:t> [Jul 03, 2022].</w:t>
      </w:r>
    </w:p>
    <w:p w14:paraId="644A30F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i/>
          <w:iCs/>
          <w:color w:val="53565A"/>
          <w:sz w:val="21"/>
          <w:szCs w:val="21"/>
        </w:rPr>
        <w:t>Sexual Offences Act 1967, Section 1. </w:t>
      </w:r>
      <w:r>
        <w:rPr>
          <w:rFonts w:ascii="Roboto" w:hAnsi="Roboto"/>
          <w:color w:val="53565A"/>
          <w:sz w:val="21"/>
          <w:szCs w:val="21"/>
        </w:rPr>
        <w:t>1967. Statute Law Database.</w:t>
      </w:r>
    </w:p>
    <w:p w14:paraId="0D44CC0F"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ALSTON, N., 2013. </w:t>
      </w:r>
      <w:r>
        <w:rPr>
          <w:rFonts w:ascii="Roboto" w:hAnsi="Roboto"/>
          <w:i/>
          <w:iCs/>
          <w:color w:val="53565A"/>
          <w:sz w:val="21"/>
          <w:szCs w:val="21"/>
        </w:rPr>
        <w:t>TRANSPARENCY AND OPENNESS ARE CRUCIAL TO MAINTAINING CONFIDENCE IN POLICE INTEGRITY. </w:t>
      </w:r>
      <w:r>
        <w:rPr>
          <w:rFonts w:ascii="Roboto" w:hAnsi="Roboto"/>
          <w:color w:val="53565A"/>
          <w:sz w:val="21"/>
          <w:szCs w:val="21"/>
        </w:rPr>
        <w:t>PFCC.</w:t>
      </w:r>
    </w:p>
    <w:p w14:paraId="23551B4A"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ANDERSON MOORE, K., 2011. </w:t>
      </w:r>
      <w:r>
        <w:rPr>
          <w:rFonts w:ascii="Roboto" w:hAnsi="Roboto"/>
          <w:i/>
          <w:iCs/>
          <w:color w:val="53565A"/>
          <w:sz w:val="21"/>
          <w:szCs w:val="21"/>
        </w:rPr>
        <w:t>We Can't Afford Scared Straight.</w:t>
      </w:r>
    </w:p>
    <w:p w14:paraId="1304B66F"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ARMSTRONG, T.A., BOISVERT, D., WELLS, J. and LEWIS, R., 2020. Extending Steinberg's adolescent model of risk taking to the explanation of crime and delinquency: Are impulsivity and sensation seeking enough? </w:t>
      </w:r>
      <w:r>
        <w:rPr>
          <w:rFonts w:ascii="Roboto" w:hAnsi="Roboto"/>
          <w:i/>
          <w:iCs/>
          <w:color w:val="53565A"/>
          <w:sz w:val="21"/>
          <w:szCs w:val="21"/>
        </w:rPr>
        <w:t>Personality and individual differences, </w:t>
      </w:r>
      <w:r>
        <w:rPr>
          <w:rFonts w:ascii="Roboto" w:hAnsi="Roboto"/>
          <w:b/>
          <w:bCs/>
          <w:color w:val="53565A"/>
          <w:sz w:val="21"/>
          <w:szCs w:val="21"/>
        </w:rPr>
        <w:t>165</w:t>
      </w:r>
      <w:r>
        <w:rPr>
          <w:rFonts w:ascii="Roboto" w:hAnsi="Roboto"/>
          <w:color w:val="53565A"/>
          <w:sz w:val="21"/>
          <w:szCs w:val="21"/>
        </w:rPr>
        <w:t>, pp. 110133.</w:t>
      </w:r>
    </w:p>
    <w:p w14:paraId="36D77DEB"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ASTON PROJECT, 2018-last update, Aston Project </w:t>
      </w:r>
      <w:proofErr w:type="gramStart"/>
      <w:r>
        <w:rPr>
          <w:rFonts w:ascii="Roboto" w:hAnsi="Roboto"/>
          <w:color w:val="53565A"/>
          <w:sz w:val="21"/>
          <w:szCs w:val="21"/>
        </w:rPr>
        <w:t>Gloucestershire .</w:t>
      </w:r>
      <w:proofErr w:type="gramEnd"/>
      <w:r>
        <w:rPr>
          <w:rFonts w:ascii="Roboto" w:hAnsi="Roboto"/>
          <w:color w:val="53565A"/>
          <w:sz w:val="21"/>
          <w:szCs w:val="21"/>
        </w:rPr>
        <w:t xml:space="preserve"> Available: </w:t>
      </w:r>
      <w:hyperlink r:id="rId8" w:tgtFrame="_blank" w:history="1">
        <w:r>
          <w:rPr>
            <w:rStyle w:val="Hyperlink"/>
            <w:rFonts w:ascii="Roboto" w:hAnsi="Roboto"/>
            <w:color w:val="0066CC"/>
            <w:sz w:val="21"/>
            <w:szCs w:val="21"/>
            <w:u w:val="none"/>
          </w:rPr>
          <w:t>https://www.astonproject.co.uk/</w:t>
        </w:r>
      </w:hyperlink>
      <w:r>
        <w:rPr>
          <w:rFonts w:ascii="Roboto" w:hAnsi="Roboto"/>
          <w:color w:val="53565A"/>
          <w:sz w:val="21"/>
          <w:szCs w:val="21"/>
        </w:rPr>
        <w:t> [May 05, 2022].</w:t>
      </w:r>
    </w:p>
    <w:p w14:paraId="04065FB1"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BARKAN, S., 2016. 3.2 The Elements of Culture. </w:t>
      </w:r>
      <w:r>
        <w:rPr>
          <w:rFonts w:ascii="Roboto" w:hAnsi="Roboto"/>
          <w:i/>
          <w:iCs/>
          <w:color w:val="53565A"/>
          <w:sz w:val="21"/>
          <w:szCs w:val="21"/>
        </w:rPr>
        <w:t>Sociology. </w:t>
      </w:r>
      <w:r>
        <w:rPr>
          <w:rFonts w:ascii="Roboto" w:hAnsi="Roboto"/>
          <w:color w:val="53565A"/>
          <w:sz w:val="21"/>
          <w:szCs w:val="21"/>
        </w:rPr>
        <w:t>North Carolina: University of North Carolina Press</w:t>
      </w:r>
      <w:proofErr w:type="gramStart"/>
      <w:r>
        <w:rPr>
          <w:rFonts w:ascii="Roboto" w:hAnsi="Roboto"/>
          <w:color w:val="53565A"/>
          <w:sz w:val="21"/>
          <w:szCs w:val="21"/>
        </w:rPr>
        <w:t>, .</w:t>
      </w:r>
      <w:proofErr w:type="gramEnd"/>
    </w:p>
    <w:p w14:paraId="0391A91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BERESFORD, H. and WOOD, J.L., 2016. Patients or perpetrators? The effects of trauma exposure on gang members’ mental health: a review of the literature. </w:t>
      </w:r>
      <w:r>
        <w:rPr>
          <w:rFonts w:ascii="Roboto" w:hAnsi="Roboto"/>
          <w:i/>
          <w:iCs/>
          <w:color w:val="53565A"/>
          <w:sz w:val="21"/>
          <w:szCs w:val="21"/>
        </w:rPr>
        <w:t>Journal of Criminological Research, Policy and Practice, </w:t>
      </w:r>
      <w:r>
        <w:rPr>
          <w:rFonts w:ascii="Roboto" w:hAnsi="Roboto"/>
          <w:b/>
          <w:bCs/>
          <w:color w:val="53565A"/>
          <w:sz w:val="21"/>
          <w:szCs w:val="21"/>
        </w:rPr>
        <w:t>2</w:t>
      </w:r>
      <w:r>
        <w:rPr>
          <w:rFonts w:ascii="Roboto" w:hAnsi="Roboto"/>
          <w:color w:val="53565A"/>
          <w:sz w:val="21"/>
          <w:szCs w:val="21"/>
        </w:rPr>
        <w:t>(2), pp. 148-159.</w:t>
      </w:r>
    </w:p>
    <w:p w14:paraId="060FF1FB"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BIOLCATI, R., MANCINI, G. and TROMBINI, E., 2018. Proneness to Boredom and Risk </w:t>
      </w:r>
      <w:proofErr w:type="spellStart"/>
      <w:r>
        <w:rPr>
          <w:rFonts w:ascii="Roboto" w:hAnsi="Roboto"/>
          <w:color w:val="53565A"/>
          <w:sz w:val="21"/>
          <w:szCs w:val="21"/>
        </w:rPr>
        <w:t>Behaviors</w:t>
      </w:r>
      <w:proofErr w:type="spellEnd"/>
      <w:r>
        <w:rPr>
          <w:rFonts w:ascii="Roboto" w:hAnsi="Roboto"/>
          <w:color w:val="53565A"/>
          <w:sz w:val="21"/>
          <w:szCs w:val="21"/>
        </w:rPr>
        <w:t xml:space="preserve"> During Adolescents’ Free Time. </w:t>
      </w:r>
      <w:r>
        <w:rPr>
          <w:rFonts w:ascii="Roboto" w:hAnsi="Roboto"/>
          <w:i/>
          <w:iCs/>
          <w:color w:val="53565A"/>
          <w:sz w:val="21"/>
          <w:szCs w:val="21"/>
        </w:rPr>
        <w:t>Psychological reports, </w:t>
      </w:r>
      <w:r>
        <w:rPr>
          <w:rFonts w:ascii="Roboto" w:hAnsi="Roboto"/>
          <w:b/>
          <w:bCs/>
          <w:color w:val="53565A"/>
          <w:sz w:val="21"/>
          <w:szCs w:val="21"/>
        </w:rPr>
        <w:t>121</w:t>
      </w:r>
      <w:r>
        <w:rPr>
          <w:rFonts w:ascii="Roboto" w:hAnsi="Roboto"/>
          <w:color w:val="53565A"/>
          <w:sz w:val="21"/>
          <w:szCs w:val="21"/>
        </w:rPr>
        <w:t>(2), pp. 303-323.</w:t>
      </w:r>
    </w:p>
    <w:p w14:paraId="2CC2E6E1"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BLACK, C., LOWTON, L., BROADFIELD, D., KNIGHT, J. and WARD, D., 2020. </w:t>
      </w:r>
      <w:r>
        <w:rPr>
          <w:rFonts w:ascii="Roboto" w:hAnsi="Roboto"/>
          <w:i/>
          <w:iCs/>
          <w:color w:val="53565A"/>
          <w:sz w:val="21"/>
          <w:szCs w:val="21"/>
        </w:rPr>
        <w:t>Review of Drugs: Executive Summary.</w:t>
      </w:r>
    </w:p>
    <w:p w14:paraId="4C1FFE29"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BRENTNALL, B., 2022. UK Traveller communities fear ‘cultural annihilation’ over upcoming trespass laws. </w:t>
      </w:r>
      <w:proofErr w:type="spellStart"/>
      <w:r>
        <w:rPr>
          <w:rFonts w:ascii="Roboto" w:hAnsi="Roboto"/>
          <w:i/>
          <w:iCs/>
          <w:color w:val="53565A"/>
          <w:sz w:val="21"/>
          <w:szCs w:val="21"/>
        </w:rPr>
        <w:t>openDemocracy</w:t>
      </w:r>
      <w:proofErr w:type="spellEnd"/>
      <w:proofErr w:type="gramStart"/>
      <w:r>
        <w:rPr>
          <w:rFonts w:ascii="Roboto" w:hAnsi="Roboto"/>
          <w:i/>
          <w:iCs/>
          <w:color w:val="53565A"/>
          <w:sz w:val="21"/>
          <w:szCs w:val="21"/>
        </w:rPr>
        <w:t>, </w:t>
      </w:r>
      <w:r>
        <w:rPr>
          <w:rFonts w:ascii="Roboto" w:hAnsi="Roboto"/>
          <w:color w:val="53565A"/>
          <w:sz w:val="21"/>
          <w:szCs w:val="21"/>
        </w:rPr>
        <w:t>.</w:t>
      </w:r>
      <w:proofErr w:type="gramEnd"/>
    </w:p>
    <w:p w14:paraId="02663C1F"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BURY, J., PULLERITS, M., EDWARDS, S., DAVIES, C. and DEMARCO, J., 2018. </w:t>
      </w:r>
      <w:r>
        <w:rPr>
          <w:rFonts w:ascii="Roboto" w:hAnsi="Roboto"/>
          <w:i/>
          <w:iCs/>
          <w:color w:val="53565A"/>
          <w:sz w:val="21"/>
          <w:szCs w:val="21"/>
        </w:rPr>
        <w:t>Enhancing</w:t>
      </w:r>
      <w:r>
        <w:rPr>
          <w:rFonts w:ascii="Roboto" w:hAnsi="Roboto"/>
          <w:i/>
          <w:iCs/>
          <w:color w:val="53565A"/>
          <w:sz w:val="21"/>
          <w:szCs w:val="21"/>
        </w:rPr>
        <w:br/>
        <w:t>Diversity in</w:t>
      </w:r>
      <w:r>
        <w:rPr>
          <w:rFonts w:ascii="Roboto" w:hAnsi="Roboto"/>
          <w:i/>
          <w:iCs/>
          <w:color w:val="53565A"/>
          <w:sz w:val="21"/>
          <w:szCs w:val="21"/>
        </w:rPr>
        <w:br/>
        <w:t>Policing. </w:t>
      </w:r>
      <w:r>
        <w:rPr>
          <w:rFonts w:ascii="Roboto" w:hAnsi="Roboto"/>
          <w:color w:val="53565A"/>
          <w:sz w:val="21"/>
          <w:szCs w:val="21"/>
        </w:rPr>
        <w:t xml:space="preserve">London: </w:t>
      </w:r>
      <w:proofErr w:type="spellStart"/>
      <w:r>
        <w:rPr>
          <w:rFonts w:ascii="Roboto" w:hAnsi="Roboto"/>
          <w:color w:val="53565A"/>
          <w:sz w:val="21"/>
          <w:szCs w:val="21"/>
        </w:rPr>
        <w:t>NatCen</w:t>
      </w:r>
      <w:proofErr w:type="spellEnd"/>
      <w:r>
        <w:rPr>
          <w:rFonts w:ascii="Roboto" w:hAnsi="Roboto"/>
          <w:color w:val="53565A"/>
          <w:sz w:val="21"/>
          <w:szCs w:val="21"/>
        </w:rPr>
        <w:t xml:space="preserve"> Social Research.</w:t>
      </w:r>
    </w:p>
    <w:p w14:paraId="271D20D8"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CHANG, E., MILKMAN, K.L., ZARROW, L.J., BRABAW, K., GROMET, D.M., REBELE, R., MASSEY, C., DUCKWORTH, A.L. and GRANT, A., 2019. Does Diversity Training Work the Way It’s Supposed To? </w:t>
      </w:r>
      <w:r>
        <w:rPr>
          <w:rFonts w:ascii="Roboto" w:hAnsi="Roboto"/>
          <w:i/>
          <w:iCs/>
          <w:color w:val="53565A"/>
          <w:sz w:val="21"/>
          <w:szCs w:val="21"/>
        </w:rPr>
        <w:t>Harvard Business Review</w:t>
      </w:r>
      <w:proofErr w:type="gramStart"/>
      <w:r>
        <w:rPr>
          <w:rFonts w:ascii="Roboto" w:hAnsi="Roboto"/>
          <w:i/>
          <w:iCs/>
          <w:color w:val="53565A"/>
          <w:sz w:val="21"/>
          <w:szCs w:val="21"/>
        </w:rPr>
        <w:t>, </w:t>
      </w:r>
      <w:r>
        <w:rPr>
          <w:rFonts w:ascii="Roboto" w:hAnsi="Roboto"/>
          <w:color w:val="53565A"/>
          <w:sz w:val="21"/>
          <w:szCs w:val="21"/>
        </w:rPr>
        <w:t>.</w:t>
      </w:r>
      <w:proofErr w:type="gramEnd"/>
    </w:p>
    <w:p w14:paraId="2381BF10"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COLLEGE OF POLICING, 25 </w:t>
      </w:r>
      <w:proofErr w:type="gramStart"/>
      <w:r>
        <w:rPr>
          <w:rFonts w:ascii="Roboto" w:hAnsi="Roboto"/>
          <w:color w:val="53565A"/>
          <w:sz w:val="21"/>
          <w:szCs w:val="21"/>
        </w:rPr>
        <w:t>February,</w:t>
      </w:r>
      <w:proofErr w:type="gramEnd"/>
      <w:r>
        <w:rPr>
          <w:rFonts w:ascii="Roboto" w:hAnsi="Roboto"/>
          <w:color w:val="53565A"/>
          <w:sz w:val="21"/>
          <w:szCs w:val="21"/>
        </w:rPr>
        <w:t xml:space="preserve"> 2022-last update, Vulnerability and Violent Crime Interventions. Available: </w:t>
      </w:r>
      <w:hyperlink r:id="rId9" w:tgtFrame="_blank" w:history="1">
        <w:r>
          <w:rPr>
            <w:rStyle w:val="Hyperlink"/>
            <w:rFonts w:ascii="Roboto" w:hAnsi="Roboto"/>
            <w:color w:val="0066CC"/>
            <w:sz w:val="21"/>
            <w:szCs w:val="21"/>
            <w:u w:val="none"/>
          </w:rPr>
          <w:t>https://www.college.police.uk/research/vulnerability-violent-crime-interventions</w:t>
        </w:r>
      </w:hyperlink>
      <w:r>
        <w:rPr>
          <w:rFonts w:ascii="Roboto" w:hAnsi="Roboto"/>
          <w:color w:val="53565A"/>
          <w:sz w:val="21"/>
          <w:szCs w:val="21"/>
        </w:rPr>
        <w:t> [June 23, 2022].</w:t>
      </w:r>
    </w:p>
    <w:p w14:paraId="438B82F5"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COLLEGE OF POLICING, </w:t>
      </w:r>
      <w:proofErr w:type="gramStart"/>
      <w:r>
        <w:rPr>
          <w:rFonts w:ascii="Roboto" w:hAnsi="Roboto"/>
          <w:color w:val="53565A"/>
          <w:sz w:val="21"/>
          <w:szCs w:val="21"/>
        </w:rPr>
        <w:t>November,</w:t>
      </w:r>
      <w:proofErr w:type="gramEnd"/>
      <w:r>
        <w:rPr>
          <w:rFonts w:ascii="Roboto" w:hAnsi="Roboto"/>
          <w:color w:val="53565A"/>
          <w:sz w:val="21"/>
          <w:szCs w:val="21"/>
        </w:rPr>
        <w:t xml:space="preserve"> 2021-last update, Introduction to vulnerability-related risk. Available: </w:t>
      </w:r>
      <w:hyperlink r:id="rId10" w:tgtFrame="_blank" w:history="1">
        <w:r>
          <w:rPr>
            <w:rStyle w:val="Hyperlink"/>
            <w:rFonts w:ascii="Roboto" w:hAnsi="Roboto"/>
            <w:color w:val="0066CC"/>
            <w:sz w:val="21"/>
            <w:szCs w:val="21"/>
            <w:u w:val="none"/>
          </w:rPr>
          <w:t>https://www.college.police.uk/guidance/vulnerability-related-risks/introduction-vulnerability-related-risk</w:t>
        </w:r>
      </w:hyperlink>
      <w:r>
        <w:rPr>
          <w:rFonts w:ascii="Roboto" w:hAnsi="Roboto"/>
          <w:color w:val="53565A"/>
          <w:sz w:val="21"/>
          <w:szCs w:val="21"/>
        </w:rPr>
        <w:t> [02/06/, 2022].</w:t>
      </w:r>
    </w:p>
    <w:p w14:paraId="5A2BC90B"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COLLEGE OF POLICING, 2016. </w:t>
      </w:r>
      <w:r>
        <w:rPr>
          <w:rFonts w:ascii="Roboto" w:hAnsi="Roboto"/>
          <w:i/>
          <w:iCs/>
          <w:color w:val="53565A"/>
          <w:sz w:val="21"/>
          <w:szCs w:val="21"/>
        </w:rPr>
        <w:t>Competency and Values framework for Policing. </w:t>
      </w:r>
      <w:r>
        <w:rPr>
          <w:rFonts w:ascii="Roboto" w:hAnsi="Roboto"/>
          <w:color w:val="53565A"/>
          <w:sz w:val="21"/>
          <w:szCs w:val="21"/>
        </w:rPr>
        <w:t>College of Policing.</w:t>
      </w:r>
    </w:p>
    <w:p w14:paraId="5CCC953E"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COLLEGE OF POLICING, </w:t>
      </w:r>
      <w:proofErr w:type="gramStart"/>
      <w:r>
        <w:rPr>
          <w:rFonts w:ascii="Roboto" w:hAnsi="Roboto"/>
          <w:color w:val="53565A"/>
          <w:sz w:val="21"/>
          <w:szCs w:val="21"/>
        </w:rPr>
        <w:t>October,</w:t>
      </w:r>
      <w:proofErr w:type="gramEnd"/>
      <w:r>
        <w:rPr>
          <w:rFonts w:ascii="Roboto" w:hAnsi="Roboto"/>
          <w:color w:val="53565A"/>
          <w:sz w:val="21"/>
          <w:szCs w:val="21"/>
        </w:rPr>
        <w:t xml:space="preserve"> 2013-last update, Engagement, Authorised Professional Practice. Available: </w:t>
      </w:r>
      <w:hyperlink r:id="rId11" w:tgtFrame="_blank" w:history="1">
        <w:r>
          <w:rPr>
            <w:rStyle w:val="Hyperlink"/>
            <w:rFonts w:ascii="Roboto" w:hAnsi="Roboto"/>
            <w:color w:val="0066CC"/>
            <w:sz w:val="21"/>
            <w:szCs w:val="21"/>
            <w:u w:val="none"/>
          </w:rPr>
          <w:t>https://www.college.police.uk/app/engagement-and-communication/engagement</w:t>
        </w:r>
      </w:hyperlink>
      <w:r>
        <w:rPr>
          <w:rFonts w:ascii="Roboto" w:hAnsi="Roboto"/>
          <w:color w:val="53565A"/>
          <w:sz w:val="21"/>
          <w:szCs w:val="21"/>
        </w:rPr>
        <w:t> [June 03, 2022].</w:t>
      </w:r>
    </w:p>
    <w:p w14:paraId="2F865B18"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COSTELLO, B.J. and HOPE, T.L., 2016. </w:t>
      </w:r>
      <w:r>
        <w:rPr>
          <w:rFonts w:ascii="Roboto" w:hAnsi="Roboto"/>
          <w:i/>
          <w:iCs/>
          <w:color w:val="53565A"/>
          <w:sz w:val="21"/>
          <w:szCs w:val="21"/>
        </w:rPr>
        <w:t>Peer pressure, peer prevention. </w:t>
      </w:r>
      <w:r>
        <w:rPr>
          <w:rFonts w:ascii="Roboto" w:hAnsi="Roboto"/>
          <w:color w:val="53565A"/>
          <w:sz w:val="21"/>
          <w:szCs w:val="21"/>
        </w:rPr>
        <w:t>New York: Routledge, Taylor &amp; Francis Group.</w:t>
      </w:r>
    </w:p>
    <w:p w14:paraId="50616CF4"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COWLEY, R., TODD, P. and LEDGER, L., 2016. </w:t>
      </w:r>
      <w:r>
        <w:rPr>
          <w:rFonts w:ascii="Roboto" w:hAnsi="Roboto"/>
          <w:i/>
          <w:iCs/>
          <w:color w:val="53565A"/>
          <w:sz w:val="21"/>
          <w:szCs w:val="21"/>
        </w:rPr>
        <w:t>The history of Her Majesty's Inspectorate of Constabulary. </w:t>
      </w:r>
      <w:r>
        <w:rPr>
          <w:rFonts w:ascii="Roboto" w:hAnsi="Roboto"/>
          <w:color w:val="53565A"/>
          <w:sz w:val="21"/>
          <w:szCs w:val="21"/>
        </w:rPr>
        <w:t>HMICFRS.</w:t>
      </w:r>
    </w:p>
    <w:p w14:paraId="449DA030"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DATHAN, M., 2021, July </w:t>
      </w:r>
      <w:proofErr w:type="gramStart"/>
      <w:r>
        <w:rPr>
          <w:rFonts w:ascii="Roboto" w:hAnsi="Roboto"/>
          <w:color w:val="53565A"/>
          <w:sz w:val="21"/>
          <w:szCs w:val="21"/>
        </w:rPr>
        <w:t>30,.</w:t>
      </w:r>
      <w:proofErr w:type="gramEnd"/>
      <w:r>
        <w:rPr>
          <w:rFonts w:ascii="Roboto" w:hAnsi="Roboto"/>
          <w:color w:val="53565A"/>
          <w:sz w:val="21"/>
          <w:szCs w:val="21"/>
        </w:rPr>
        <w:t xml:space="preserve"> Police diversity ‘is 20 years behind the general public’. ISSN 0140-0460.</w:t>
      </w:r>
    </w:p>
    <w:p w14:paraId="6E17193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DEARDEN, L., 2021, 18 </w:t>
      </w:r>
      <w:proofErr w:type="gramStart"/>
      <w:r>
        <w:rPr>
          <w:rFonts w:ascii="Roboto" w:hAnsi="Roboto"/>
          <w:color w:val="53565A"/>
          <w:sz w:val="21"/>
          <w:szCs w:val="21"/>
        </w:rPr>
        <w:t>May,.</w:t>
      </w:r>
      <w:proofErr w:type="gramEnd"/>
      <w:r>
        <w:rPr>
          <w:rFonts w:ascii="Roboto" w:hAnsi="Roboto"/>
          <w:color w:val="53565A"/>
          <w:sz w:val="21"/>
          <w:szCs w:val="21"/>
        </w:rPr>
        <w:t xml:space="preserve"> Police do not want ‘discriminatory’ new laws to criminalise Travellers, senior officer says</w:t>
      </w:r>
      <w:r>
        <w:rPr>
          <w:rFonts w:ascii="Roboto" w:hAnsi="Roboto"/>
          <w:i/>
          <w:iCs/>
          <w:color w:val="53565A"/>
          <w:sz w:val="21"/>
          <w:szCs w:val="21"/>
        </w:rPr>
        <w:t>. The Independent</w:t>
      </w:r>
      <w:r>
        <w:rPr>
          <w:rFonts w:ascii="Roboto" w:hAnsi="Roboto"/>
          <w:color w:val="53565A"/>
          <w:sz w:val="21"/>
          <w:szCs w:val="21"/>
        </w:rPr>
        <w:t>.</w:t>
      </w:r>
    </w:p>
    <w:p w14:paraId="072F53A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DEPARTMENT FOR EDUCATION, 2021. </w:t>
      </w:r>
      <w:r>
        <w:rPr>
          <w:rFonts w:ascii="Roboto" w:hAnsi="Roboto"/>
          <w:i/>
          <w:iCs/>
          <w:color w:val="53565A"/>
          <w:sz w:val="21"/>
          <w:szCs w:val="21"/>
        </w:rPr>
        <w:t>Keeping children safe in education 2021 - Statutory guidance for schools and colleges.</w:t>
      </w:r>
    </w:p>
    <w:p w14:paraId="3DA8430C"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DODD, V. and MOHDIN, A., 2021, -04-21T18:58:53.000Z. George Floyd case reignites calls to tackle racial injustice in UK policing</w:t>
      </w:r>
      <w:r>
        <w:rPr>
          <w:rFonts w:ascii="Roboto" w:hAnsi="Roboto"/>
          <w:i/>
          <w:iCs/>
          <w:color w:val="53565A"/>
          <w:sz w:val="21"/>
          <w:szCs w:val="21"/>
        </w:rPr>
        <w:t>. the Guardian</w:t>
      </w:r>
      <w:r>
        <w:rPr>
          <w:rFonts w:ascii="Roboto" w:hAnsi="Roboto"/>
          <w:color w:val="53565A"/>
          <w:sz w:val="21"/>
          <w:szCs w:val="21"/>
        </w:rPr>
        <w:t>.</w:t>
      </w:r>
    </w:p>
    <w:p w14:paraId="7B20EAFD"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EARLY INTERVENTION FOUNDATION, -01-08T08:10:18+00:00, 2018-last update, What is early </w:t>
      </w:r>
      <w:proofErr w:type="gramStart"/>
      <w:r>
        <w:rPr>
          <w:rFonts w:ascii="Roboto" w:hAnsi="Roboto"/>
          <w:color w:val="53565A"/>
          <w:sz w:val="21"/>
          <w:szCs w:val="21"/>
        </w:rPr>
        <w:t>intervention?.</w:t>
      </w:r>
      <w:proofErr w:type="gramEnd"/>
      <w:r>
        <w:rPr>
          <w:rFonts w:ascii="Roboto" w:hAnsi="Roboto"/>
          <w:color w:val="53565A"/>
          <w:sz w:val="21"/>
          <w:szCs w:val="21"/>
        </w:rPr>
        <w:t xml:space="preserve"> Available: </w:t>
      </w:r>
      <w:hyperlink r:id="rId12" w:tgtFrame="_blank" w:history="1">
        <w:r>
          <w:rPr>
            <w:rStyle w:val="Hyperlink"/>
            <w:rFonts w:ascii="Roboto" w:hAnsi="Roboto"/>
            <w:color w:val="0066CC"/>
            <w:sz w:val="21"/>
            <w:szCs w:val="21"/>
            <w:u w:val="none"/>
          </w:rPr>
          <w:t>https://www.eif.org.uk/why-it-matters/what-is-early-intervention/</w:t>
        </w:r>
      </w:hyperlink>
      <w:r>
        <w:rPr>
          <w:rFonts w:ascii="Roboto" w:hAnsi="Roboto"/>
          <w:color w:val="53565A"/>
          <w:sz w:val="21"/>
          <w:szCs w:val="21"/>
        </w:rPr>
        <w:t> [May 9, 2022].</w:t>
      </w:r>
    </w:p>
    <w:p w14:paraId="38E3DEA0"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EARLY INTERVENTION FOUNDATION, 2014. </w:t>
      </w:r>
      <w:r>
        <w:rPr>
          <w:rFonts w:ascii="Roboto" w:hAnsi="Roboto"/>
          <w:i/>
          <w:iCs/>
          <w:color w:val="53565A"/>
          <w:sz w:val="21"/>
          <w:szCs w:val="21"/>
        </w:rPr>
        <w:t>Early Intervention Maturity Matrix 0-19 years. </w:t>
      </w:r>
      <w:r>
        <w:rPr>
          <w:rFonts w:ascii="Roboto" w:hAnsi="Roboto"/>
          <w:color w:val="53565A"/>
          <w:sz w:val="21"/>
          <w:szCs w:val="21"/>
        </w:rPr>
        <w:t>Early Intervention Foundation.</w:t>
      </w:r>
    </w:p>
    <w:p w14:paraId="18E07D90"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FITCH, B., 2011-last update, Focus on Ethics: Rethinking Ethics in Law Enforcement. Available: </w:t>
      </w:r>
      <w:hyperlink r:id="rId13" w:tgtFrame="_blank" w:history="1">
        <w:r>
          <w:rPr>
            <w:rStyle w:val="Hyperlink"/>
            <w:rFonts w:ascii="Roboto" w:hAnsi="Roboto"/>
            <w:color w:val="0066CC"/>
            <w:sz w:val="21"/>
            <w:szCs w:val="21"/>
            <w:u w:val="none"/>
          </w:rPr>
          <w:t>https://leb.fbi.gov/articles/focus/focus-on-ethics-rethinking-ethics-in-law-enforcement</w:t>
        </w:r>
      </w:hyperlink>
      <w:r>
        <w:rPr>
          <w:rFonts w:ascii="Roboto" w:hAnsi="Roboto"/>
          <w:color w:val="53565A"/>
          <w:sz w:val="21"/>
          <w:szCs w:val="21"/>
        </w:rPr>
        <w:t> [</w:t>
      </w:r>
      <w:proofErr w:type="gramStart"/>
      <w:r>
        <w:rPr>
          <w:rFonts w:ascii="Roboto" w:hAnsi="Roboto"/>
          <w:color w:val="53565A"/>
          <w:sz w:val="21"/>
          <w:szCs w:val="21"/>
        </w:rPr>
        <w:t>may</w:t>
      </w:r>
      <w:proofErr w:type="gramEnd"/>
      <w:r>
        <w:rPr>
          <w:rFonts w:ascii="Roboto" w:hAnsi="Roboto"/>
          <w:color w:val="53565A"/>
          <w:sz w:val="21"/>
          <w:szCs w:val="21"/>
        </w:rPr>
        <w:t xml:space="preserve"> 02, 2022].</w:t>
      </w:r>
    </w:p>
    <w:p w14:paraId="773DC431"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FLATLEY, J., 2021. </w:t>
      </w:r>
      <w:r>
        <w:rPr>
          <w:rFonts w:ascii="Roboto" w:hAnsi="Roboto"/>
          <w:i/>
          <w:iCs/>
          <w:color w:val="53565A"/>
          <w:sz w:val="21"/>
          <w:szCs w:val="21"/>
        </w:rPr>
        <w:t>Hate crime, England and Wales, 2020 to 2021. </w:t>
      </w:r>
      <w:r>
        <w:rPr>
          <w:rFonts w:ascii="Roboto" w:hAnsi="Roboto"/>
          <w:color w:val="53565A"/>
          <w:sz w:val="21"/>
          <w:szCs w:val="21"/>
        </w:rPr>
        <w:t>UK Home Office.</w:t>
      </w:r>
    </w:p>
    <w:p w14:paraId="179C8590"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FLAVIN, B., 2018. </w:t>
      </w:r>
      <w:r>
        <w:rPr>
          <w:rFonts w:ascii="Roboto" w:hAnsi="Roboto"/>
          <w:i/>
          <w:iCs/>
          <w:color w:val="53565A"/>
          <w:sz w:val="21"/>
          <w:szCs w:val="21"/>
        </w:rPr>
        <w:t xml:space="preserve">Police Officers Explain </w:t>
      </w:r>
      <w:proofErr w:type="gramStart"/>
      <w:r>
        <w:rPr>
          <w:rFonts w:ascii="Roboto" w:hAnsi="Roboto"/>
          <w:i/>
          <w:iCs/>
          <w:color w:val="53565A"/>
          <w:sz w:val="21"/>
          <w:szCs w:val="21"/>
        </w:rPr>
        <w:t>why</w:t>
      </w:r>
      <w:proofErr w:type="gramEnd"/>
      <w:r>
        <w:rPr>
          <w:rFonts w:ascii="Roboto" w:hAnsi="Roboto"/>
          <w:i/>
          <w:iCs/>
          <w:color w:val="53565A"/>
          <w:sz w:val="21"/>
          <w:szCs w:val="21"/>
        </w:rPr>
        <w:t xml:space="preserve"> Diversity in Law Enforcement Matters. </w:t>
      </w:r>
      <w:r>
        <w:rPr>
          <w:rFonts w:ascii="Roboto" w:hAnsi="Roboto"/>
          <w:color w:val="53565A"/>
          <w:sz w:val="21"/>
          <w:szCs w:val="21"/>
        </w:rPr>
        <w:t>Rasmussen University.</w:t>
      </w:r>
    </w:p>
    <w:p w14:paraId="6ABC9F3B"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GILHOLY, G., -03-01T09:16:19+00:00, 2022-last update, </w:t>
      </w:r>
      <w:proofErr w:type="gramStart"/>
      <w:r>
        <w:rPr>
          <w:rFonts w:ascii="Roboto" w:hAnsi="Roboto"/>
          <w:color w:val="53565A"/>
          <w:sz w:val="21"/>
          <w:szCs w:val="21"/>
        </w:rPr>
        <w:t>Public</w:t>
      </w:r>
      <w:proofErr w:type="gramEnd"/>
      <w:r>
        <w:rPr>
          <w:rFonts w:ascii="Roboto" w:hAnsi="Roboto"/>
          <w:color w:val="53565A"/>
          <w:sz w:val="21"/>
          <w:szCs w:val="21"/>
        </w:rPr>
        <w:t xml:space="preserve"> losing faith in police complaints system following 'succession of scandals'. Available: </w:t>
      </w:r>
      <w:hyperlink r:id="rId14" w:tgtFrame="_blank" w:history="1">
        <w:r>
          <w:rPr>
            <w:rStyle w:val="Hyperlink"/>
            <w:rFonts w:ascii="Roboto" w:hAnsi="Roboto"/>
            <w:color w:val="0066CC"/>
            <w:sz w:val="21"/>
            <w:szCs w:val="21"/>
            <w:u w:val="none"/>
          </w:rPr>
          <w:t>https://www.politics.co.uk/news/2022/03/01/public-losing-faith-in-police-complaints-system-following-succession-of-scandals-warn-mps/</w:t>
        </w:r>
      </w:hyperlink>
      <w:r>
        <w:rPr>
          <w:rFonts w:ascii="Roboto" w:hAnsi="Roboto"/>
          <w:color w:val="53565A"/>
          <w:sz w:val="21"/>
          <w:szCs w:val="21"/>
        </w:rPr>
        <w:t> [May 20, 2022].</w:t>
      </w:r>
    </w:p>
    <w:p w14:paraId="613583EE"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GLOUCESTERSHIRE COUNCIL, 2018-last update, Great Expectations - Gloucestershire Healthy Living and Learning [May 04, 2022].</w:t>
      </w:r>
    </w:p>
    <w:p w14:paraId="5D133812"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GODAR, R. and HOLMES, D., 2018. </w:t>
      </w:r>
      <w:r>
        <w:rPr>
          <w:rFonts w:ascii="Roboto" w:hAnsi="Roboto"/>
          <w:i/>
          <w:iCs/>
          <w:color w:val="53565A"/>
          <w:sz w:val="21"/>
          <w:szCs w:val="21"/>
        </w:rPr>
        <w:t>The use of research evidence regarding ‘what works’ in local authority child protection systems and practice.</w:t>
      </w:r>
    </w:p>
    <w:p w14:paraId="455AF8FC"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GYPSY, ROMA AND TRAVELLER POLICE ASSOCIATION</w:t>
      </w:r>
      <w:proofErr w:type="gramStart"/>
      <w:r>
        <w:rPr>
          <w:rFonts w:ascii="Roboto" w:hAnsi="Roboto"/>
          <w:color w:val="53565A"/>
          <w:sz w:val="21"/>
          <w:szCs w:val="21"/>
        </w:rPr>
        <w:t>, ,</w:t>
      </w:r>
      <w:proofErr w:type="gramEnd"/>
      <w:r>
        <w:rPr>
          <w:rFonts w:ascii="Roboto" w:hAnsi="Roboto"/>
          <w:color w:val="53565A"/>
          <w:sz w:val="21"/>
          <w:szCs w:val="21"/>
        </w:rPr>
        <w:t xml:space="preserve"> GRTPA Home | About Us. Available: </w:t>
      </w:r>
      <w:hyperlink r:id="rId15" w:tgtFrame="_blank" w:history="1">
        <w:r>
          <w:rPr>
            <w:rStyle w:val="Hyperlink"/>
            <w:rFonts w:ascii="Roboto" w:hAnsi="Roboto"/>
            <w:color w:val="0066CC"/>
            <w:sz w:val="21"/>
            <w:szCs w:val="21"/>
            <w:u w:val="none"/>
          </w:rPr>
          <w:t>https://www.grtpa.co.uk/about-us</w:t>
        </w:r>
      </w:hyperlink>
      <w:r>
        <w:rPr>
          <w:rFonts w:ascii="Roboto" w:hAnsi="Roboto"/>
          <w:color w:val="53565A"/>
          <w:sz w:val="21"/>
          <w:szCs w:val="21"/>
        </w:rPr>
        <w:t> [July 01, 2022].</w:t>
      </w:r>
    </w:p>
    <w:p w14:paraId="4E0EAB58"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HMICFRS, 2018a. </w:t>
      </w:r>
      <w:r>
        <w:rPr>
          <w:rFonts w:ascii="Roboto" w:hAnsi="Roboto"/>
          <w:i/>
          <w:iCs/>
          <w:color w:val="53565A"/>
          <w:sz w:val="21"/>
          <w:szCs w:val="21"/>
        </w:rPr>
        <w:t>Hate Crime: what do victims tell us? </w:t>
      </w:r>
      <w:r>
        <w:rPr>
          <w:rFonts w:ascii="Roboto" w:hAnsi="Roboto"/>
          <w:color w:val="53565A"/>
          <w:sz w:val="21"/>
          <w:szCs w:val="21"/>
        </w:rPr>
        <w:t>HMICFRS.</w:t>
      </w:r>
    </w:p>
    <w:p w14:paraId="23D039F8"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HMICFRS, 17 May, 2018b-last update, HMICFRS | What we do. Available: </w:t>
      </w:r>
      <w:hyperlink r:id="rId16" w:tgtFrame="_blank" w:history="1">
        <w:r>
          <w:rPr>
            <w:rStyle w:val="Hyperlink"/>
            <w:rFonts w:ascii="Roboto" w:hAnsi="Roboto"/>
            <w:color w:val="0066CC"/>
            <w:sz w:val="21"/>
            <w:szCs w:val="21"/>
            <w:u w:val="none"/>
          </w:rPr>
          <w:t>https://www.justiceinspectorates.gov.uk/hmicfrs/about-us/what-we-do/</w:t>
        </w:r>
      </w:hyperlink>
      <w:r>
        <w:rPr>
          <w:rFonts w:ascii="Roboto" w:hAnsi="Roboto"/>
          <w:color w:val="53565A"/>
          <w:sz w:val="21"/>
          <w:szCs w:val="21"/>
        </w:rPr>
        <w:t> [May 02, 2022].</w:t>
      </w:r>
    </w:p>
    <w:p w14:paraId="064CA142"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HOBSON, J., LYNCH, K., PAYNE, B. and ELLIS, L., 2021. Are Police-Led Social Crime Prevention Initiatives Effective? A Process and Outcome Evaluation of a UK Youth Intervention. </w:t>
      </w:r>
      <w:r>
        <w:rPr>
          <w:rFonts w:ascii="Roboto" w:hAnsi="Roboto"/>
          <w:i/>
          <w:iCs/>
          <w:color w:val="53565A"/>
          <w:sz w:val="21"/>
          <w:szCs w:val="21"/>
        </w:rPr>
        <w:t>International criminal justice review, </w:t>
      </w:r>
      <w:r>
        <w:rPr>
          <w:rFonts w:ascii="Roboto" w:hAnsi="Roboto"/>
          <w:b/>
          <w:bCs/>
          <w:color w:val="53565A"/>
          <w:sz w:val="21"/>
          <w:szCs w:val="21"/>
        </w:rPr>
        <w:t>31</w:t>
      </w:r>
      <w:r>
        <w:rPr>
          <w:rFonts w:ascii="Roboto" w:hAnsi="Roboto"/>
          <w:color w:val="53565A"/>
          <w:sz w:val="21"/>
          <w:szCs w:val="21"/>
        </w:rPr>
        <w:t>(3), pp. 325-346.</w:t>
      </w:r>
    </w:p>
    <w:p w14:paraId="44D3235D"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HOME OFFICE, 2021. </w:t>
      </w:r>
      <w:r>
        <w:rPr>
          <w:rFonts w:ascii="Roboto" w:hAnsi="Roboto"/>
          <w:i/>
          <w:iCs/>
          <w:color w:val="53565A"/>
          <w:sz w:val="21"/>
          <w:szCs w:val="21"/>
        </w:rPr>
        <w:t>Police Workforce. </w:t>
      </w:r>
      <w:r>
        <w:rPr>
          <w:rFonts w:ascii="Roboto" w:hAnsi="Roboto"/>
          <w:color w:val="53565A"/>
          <w:sz w:val="21"/>
          <w:szCs w:val="21"/>
        </w:rPr>
        <w:t>Home Office.</w:t>
      </w:r>
    </w:p>
    <w:p w14:paraId="73007E1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lastRenderedPageBreak/>
        <w:t>HOME OFFICE &amp; UK VISAS AND IMMIGRATION, 2022. </w:t>
      </w:r>
      <w:r>
        <w:rPr>
          <w:rFonts w:ascii="Roboto" w:hAnsi="Roboto"/>
          <w:i/>
          <w:iCs/>
          <w:color w:val="53565A"/>
          <w:sz w:val="21"/>
          <w:szCs w:val="21"/>
        </w:rPr>
        <w:t>National referral mechanism guidance: adult (England and Wales).</w:t>
      </w:r>
    </w:p>
    <w:p w14:paraId="74F19031"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INDEPENDENT OFFICE FOR POLICE CONDUCT, 2020-last update, </w:t>
      </w:r>
      <w:proofErr w:type="gramStart"/>
      <w:r>
        <w:rPr>
          <w:rFonts w:ascii="Roboto" w:hAnsi="Roboto"/>
          <w:color w:val="53565A"/>
          <w:sz w:val="21"/>
          <w:szCs w:val="21"/>
        </w:rPr>
        <w:t>Who</w:t>
      </w:r>
      <w:proofErr w:type="gramEnd"/>
      <w:r>
        <w:rPr>
          <w:rFonts w:ascii="Roboto" w:hAnsi="Roboto"/>
          <w:color w:val="53565A"/>
          <w:sz w:val="21"/>
          <w:szCs w:val="21"/>
        </w:rPr>
        <w:t xml:space="preserve"> we are | Independent Office for Police Conduct [May 03, 2022].</w:t>
      </w:r>
    </w:p>
    <w:p w14:paraId="72359A3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INDEPENDENT OFFICE FOR POLICE CONDUCT COMPLAINTS STATISTICS, 2020. </w:t>
      </w:r>
      <w:r>
        <w:rPr>
          <w:rFonts w:ascii="Roboto" w:hAnsi="Roboto"/>
          <w:i/>
          <w:iCs/>
          <w:color w:val="53565A"/>
          <w:sz w:val="21"/>
          <w:szCs w:val="21"/>
        </w:rPr>
        <w:t>Police complaints:</w:t>
      </w:r>
      <w:r>
        <w:rPr>
          <w:rFonts w:ascii="Roboto" w:hAnsi="Roboto"/>
          <w:i/>
          <w:iCs/>
          <w:color w:val="53565A"/>
          <w:sz w:val="21"/>
          <w:szCs w:val="21"/>
        </w:rPr>
        <w:br/>
        <w:t>Statistics for England and Wales</w:t>
      </w:r>
      <w:r>
        <w:rPr>
          <w:rFonts w:ascii="Roboto" w:hAnsi="Roboto"/>
          <w:i/>
          <w:iCs/>
          <w:color w:val="53565A"/>
          <w:sz w:val="21"/>
          <w:szCs w:val="21"/>
        </w:rPr>
        <w:br/>
        <w:t>2019/20. </w:t>
      </w:r>
      <w:r>
        <w:rPr>
          <w:rFonts w:ascii="Roboto" w:hAnsi="Roboto"/>
          <w:color w:val="53565A"/>
          <w:sz w:val="21"/>
          <w:szCs w:val="21"/>
        </w:rPr>
        <w:t>IOPC.</w:t>
      </w:r>
    </w:p>
    <w:p w14:paraId="0D6A17E9"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INTERNET WATCH FOUNDATION, </w:t>
      </w:r>
      <w:proofErr w:type="gramStart"/>
      <w:r>
        <w:rPr>
          <w:rFonts w:ascii="Roboto" w:hAnsi="Roboto"/>
          <w:color w:val="53565A"/>
          <w:sz w:val="21"/>
          <w:szCs w:val="21"/>
        </w:rPr>
        <w:t>January,</w:t>
      </w:r>
      <w:proofErr w:type="gramEnd"/>
      <w:r>
        <w:rPr>
          <w:rFonts w:ascii="Roboto" w:hAnsi="Roboto"/>
          <w:color w:val="53565A"/>
          <w:sz w:val="21"/>
          <w:szCs w:val="21"/>
        </w:rPr>
        <w:t xml:space="preserve"> 2022-last update, Three-fold increase of abuse imagery of 7-10-year-olds as IWF detects more child sexual abuse material online than ever before. Available: </w:t>
      </w:r>
      <w:hyperlink r:id="rId17" w:tgtFrame="_blank" w:history="1">
        <w:r>
          <w:rPr>
            <w:rStyle w:val="Hyperlink"/>
            <w:rFonts w:ascii="Roboto" w:hAnsi="Roboto"/>
            <w:color w:val="0066CC"/>
            <w:sz w:val="21"/>
            <w:szCs w:val="21"/>
            <w:u w:val="none"/>
          </w:rPr>
          <w:t>https://www.iwf.org.uk/news-media/news/three-fold-increase-of-abuse-imagery-of-7-10-year-olds-as-iwf-detects-more-child-sexual-abuse-material-online-than-ever-before/</w:t>
        </w:r>
      </w:hyperlink>
      <w:r>
        <w:rPr>
          <w:rFonts w:ascii="Roboto" w:hAnsi="Roboto"/>
          <w:color w:val="53565A"/>
          <w:sz w:val="21"/>
          <w:szCs w:val="21"/>
        </w:rPr>
        <w:t> [July 01, 2022].</w:t>
      </w:r>
    </w:p>
    <w:p w14:paraId="3A23F6B9"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JACKSON, J., HOUGH, M., BRADFORD, B., HOHL, K. and KUHA, J., 2012. </w:t>
      </w:r>
      <w:r>
        <w:rPr>
          <w:rFonts w:ascii="Roboto" w:hAnsi="Roboto"/>
          <w:i/>
          <w:iCs/>
          <w:color w:val="53565A"/>
          <w:sz w:val="21"/>
          <w:szCs w:val="21"/>
        </w:rPr>
        <w:t>Policing by consent: understanding the dynamics of police power and legitimacy. </w:t>
      </w:r>
      <w:r>
        <w:rPr>
          <w:rFonts w:ascii="Roboto" w:hAnsi="Roboto"/>
          <w:color w:val="53565A"/>
          <w:sz w:val="21"/>
          <w:szCs w:val="21"/>
        </w:rPr>
        <w:t>European Commission.</w:t>
      </w:r>
    </w:p>
    <w:p w14:paraId="10BCF01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MCDANIEL, D.D., 2012. Risk and protective factors associated with gang affiliation among high-risk youth: a public health approach. </w:t>
      </w:r>
      <w:r>
        <w:rPr>
          <w:rFonts w:ascii="Roboto" w:hAnsi="Roboto"/>
          <w:i/>
          <w:iCs/>
          <w:color w:val="53565A"/>
          <w:sz w:val="21"/>
          <w:szCs w:val="21"/>
        </w:rPr>
        <w:t>Injury Prevention, </w:t>
      </w:r>
      <w:r>
        <w:rPr>
          <w:rFonts w:ascii="Roboto" w:hAnsi="Roboto"/>
          <w:b/>
          <w:bCs/>
          <w:color w:val="53565A"/>
          <w:sz w:val="21"/>
          <w:szCs w:val="21"/>
        </w:rPr>
        <w:t>18</w:t>
      </w:r>
      <w:r>
        <w:rPr>
          <w:rFonts w:ascii="Roboto" w:hAnsi="Roboto"/>
          <w:color w:val="53565A"/>
          <w:sz w:val="21"/>
          <w:szCs w:val="21"/>
        </w:rPr>
        <w:t>(4), pp. 253-258.</w:t>
      </w:r>
    </w:p>
    <w:p w14:paraId="3B52CCB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MCKAY, L., 2020. </w:t>
      </w:r>
      <w:r>
        <w:rPr>
          <w:rFonts w:ascii="Roboto" w:hAnsi="Roboto"/>
          <w:i/>
          <w:iCs/>
          <w:color w:val="53565A"/>
          <w:sz w:val="21"/>
          <w:szCs w:val="21"/>
        </w:rPr>
        <w:t>Pride month: Policing and the LGBTQ+ Community. </w:t>
      </w:r>
      <w:r>
        <w:rPr>
          <w:rFonts w:ascii="Roboto" w:hAnsi="Roboto"/>
          <w:color w:val="53565A"/>
          <w:sz w:val="21"/>
          <w:szCs w:val="21"/>
        </w:rPr>
        <w:t>Independent Custody Visiting Association.</w:t>
      </w:r>
    </w:p>
    <w:p w14:paraId="72844AB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MCMANUS, S., BEBBINGTON, P., JENKINS, R. and BRUGHA, T., 2016. </w:t>
      </w:r>
      <w:r>
        <w:rPr>
          <w:rFonts w:ascii="Roboto" w:hAnsi="Roboto"/>
          <w:i/>
          <w:iCs/>
          <w:color w:val="53565A"/>
          <w:sz w:val="21"/>
          <w:szCs w:val="21"/>
        </w:rPr>
        <w:t>Mental Health and Wellbeing in England. Adult Psychiatric Morbidity Survey 2014.</w:t>
      </w:r>
    </w:p>
    <w:p w14:paraId="58333E3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MCNEILL, F., FARRALL, S., LIGHTOWLER, C. and MARUNA, S., 2012. </w:t>
      </w:r>
      <w:r>
        <w:rPr>
          <w:rFonts w:ascii="Roboto" w:hAnsi="Roboto"/>
          <w:i/>
          <w:iCs/>
          <w:color w:val="53565A"/>
          <w:sz w:val="21"/>
          <w:szCs w:val="21"/>
        </w:rPr>
        <w:t>How and why people stop offending: discovering desistance. </w:t>
      </w:r>
      <w:r>
        <w:rPr>
          <w:rFonts w:ascii="Roboto" w:hAnsi="Roboto"/>
          <w:color w:val="53565A"/>
          <w:sz w:val="21"/>
          <w:szCs w:val="21"/>
        </w:rPr>
        <w:t>Institute for Research and Innovation in Social Services.</w:t>
      </w:r>
    </w:p>
    <w:p w14:paraId="40E5FDC6"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METROPOLITAN POLICE, 2020. </w:t>
      </w:r>
      <w:r>
        <w:rPr>
          <w:rFonts w:ascii="Roboto" w:hAnsi="Roboto"/>
          <w:i/>
          <w:iCs/>
          <w:color w:val="53565A"/>
          <w:sz w:val="21"/>
          <w:szCs w:val="21"/>
        </w:rPr>
        <w:t>Anti-Racism Training incorporated into general police training. </w:t>
      </w:r>
      <w:r>
        <w:rPr>
          <w:rFonts w:ascii="Roboto" w:hAnsi="Roboto"/>
          <w:color w:val="53565A"/>
          <w:sz w:val="21"/>
          <w:szCs w:val="21"/>
        </w:rPr>
        <w:t>Metropolitan Police.</w:t>
      </w:r>
    </w:p>
    <w:p w14:paraId="5245673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MINISTRY OF JUSTICE, 2005. </w:t>
      </w:r>
      <w:r>
        <w:rPr>
          <w:rFonts w:ascii="Roboto" w:hAnsi="Roboto"/>
          <w:i/>
          <w:iCs/>
          <w:color w:val="53565A"/>
          <w:sz w:val="21"/>
          <w:szCs w:val="21"/>
        </w:rPr>
        <w:t>Code of Practice for Victims of Crime in England and Wales (Victim's Code). </w:t>
      </w:r>
      <w:r>
        <w:rPr>
          <w:rFonts w:ascii="Roboto" w:hAnsi="Roboto"/>
          <w:color w:val="53565A"/>
          <w:sz w:val="21"/>
          <w:szCs w:val="21"/>
        </w:rPr>
        <w:t>Ministry of Justice.</w:t>
      </w:r>
    </w:p>
    <w:p w14:paraId="4B94FA4D"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MYHILL, A. and QUINTON, P., 2011. </w:t>
      </w:r>
      <w:r>
        <w:rPr>
          <w:rFonts w:ascii="Roboto" w:hAnsi="Roboto"/>
          <w:i/>
          <w:iCs/>
          <w:color w:val="53565A"/>
          <w:sz w:val="21"/>
          <w:szCs w:val="21"/>
        </w:rPr>
        <w:t>It’s a fair cop? Police legitimacy, public</w:t>
      </w:r>
      <w:r>
        <w:rPr>
          <w:rFonts w:ascii="Roboto" w:hAnsi="Roboto"/>
          <w:i/>
          <w:iCs/>
          <w:color w:val="53565A"/>
          <w:sz w:val="21"/>
          <w:szCs w:val="21"/>
        </w:rPr>
        <w:br/>
        <w:t>cooperation, and crime reduction. </w:t>
      </w:r>
      <w:r>
        <w:rPr>
          <w:rFonts w:ascii="Roboto" w:hAnsi="Roboto"/>
          <w:color w:val="53565A"/>
          <w:sz w:val="21"/>
          <w:szCs w:val="21"/>
        </w:rPr>
        <w:t>NPIA.</w:t>
      </w:r>
    </w:p>
    <w:p w14:paraId="2D532F98"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NATIONAL CRIME AGENCY, 2021. </w:t>
      </w:r>
      <w:r>
        <w:rPr>
          <w:rFonts w:ascii="Roboto" w:hAnsi="Roboto"/>
          <w:i/>
          <w:iCs/>
          <w:color w:val="53565A"/>
          <w:sz w:val="21"/>
          <w:szCs w:val="21"/>
        </w:rPr>
        <w:t>National Strategic Assessment of Serious and Organised Crime 2021. </w:t>
      </w:r>
      <w:r>
        <w:rPr>
          <w:rFonts w:ascii="Roboto" w:hAnsi="Roboto"/>
          <w:color w:val="53565A"/>
          <w:sz w:val="21"/>
          <w:szCs w:val="21"/>
        </w:rPr>
        <w:t>NCA.</w:t>
      </w:r>
    </w:p>
    <w:p w14:paraId="6B55A8F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NATIONAL CRIME AGENCY, 2020. </w:t>
      </w:r>
      <w:r>
        <w:rPr>
          <w:rFonts w:ascii="Roboto" w:hAnsi="Roboto"/>
          <w:i/>
          <w:iCs/>
          <w:color w:val="53565A"/>
          <w:sz w:val="21"/>
          <w:szCs w:val="21"/>
        </w:rPr>
        <w:t>National Strategic Assessment of Serious and Organised Crime 2020.</w:t>
      </w:r>
    </w:p>
    <w:p w14:paraId="50400843"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NATIONAL CRIME AGENCY, 2016. </w:t>
      </w:r>
      <w:r>
        <w:rPr>
          <w:rFonts w:ascii="Roboto" w:hAnsi="Roboto"/>
          <w:i/>
          <w:iCs/>
          <w:color w:val="53565A"/>
          <w:sz w:val="21"/>
          <w:szCs w:val="21"/>
        </w:rPr>
        <w:t>County Lines Gang Violence, Exploitation &amp; Drug Supply 2016.</w:t>
      </w:r>
    </w:p>
    <w:p w14:paraId="4389C7FC"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NATIONAL CRIME AGENCY, (., 2022-last update, County Lines. Available: </w:t>
      </w:r>
      <w:hyperlink r:id="rId18" w:tgtFrame="_blank" w:history="1">
        <w:r>
          <w:rPr>
            <w:rStyle w:val="Hyperlink"/>
            <w:rFonts w:ascii="Roboto" w:hAnsi="Roboto"/>
            <w:color w:val="0066CC"/>
            <w:sz w:val="21"/>
            <w:szCs w:val="21"/>
            <w:u w:val="none"/>
          </w:rPr>
          <w:t>https://www.nationalcrimeagency.gov.uk/what-we-do/crime-threats/drug-trafficking/county-lines</w:t>
        </w:r>
      </w:hyperlink>
      <w:r>
        <w:rPr>
          <w:rFonts w:ascii="Roboto" w:hAnsi="Roboto"/>
          <w:color w:val="53565A"/>
          <w:sz w:val="21"/>
          <w:szCs w:val="21"/>
        </w:rPr>
        <w:t> [Jul 11, 2022].</w:t>
      </w:r>
    </w:p>
    <w:p w14:paraId="17C9D9A1"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NORTHAMPTONSHIRE POLICE, 2022-last update, Positive Action - Police Recruitment. Available: </w:t>
      </w:r>
      <w:hyperlink r:id="rId19" w:tgtFrame="_blank" w:history="1">
        <w:r>
          <w:rPr>
            <w:rStyle w:val="Hyperlink"/>
            <w:rFonts w:ascii="Roboto" w:hAnsi="Roboto"/>
            <w:color w:val="0066CC"/>
            <w:sz w:val="21"/>
            <w:szCs w:val="21"/>
            <w:u w:val="none"/>
          </w:rPr>
          <w:t>https://www.positiveactionpolice.co.uk/</w:t>
        </w:r>
      </w:hyperlink>
      <w:r>
        <w:rPr>
          <w:rFonts w:ascii="Roboto" w:hAnsi="Roboto"/>
          <w:color w:val="53565A"/>
          <w:sz w:val="21"/>
          <w:szCs w:val="21"/>
        </w:rPr>
        <w:t> [Jul 5, 2022].</w:t>
      </w:r>
    </w:p>
    <w:p w14:paraId="35AEA91D"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OFFICE FOR HEALTH IMPROVEMENT AND DISPARITIES, 2021. </w:t>
      </w:r>
      <w:r>
        <w:rPr>
          <w:rFonts w:ascii="Roboto" w:hAnsi="Roboto"/>
          <w:i/>
          <w:iCs/>
          <w:color w:val="53565A"/>
          <w:sz w:val="21"/>
          <w:szCs w:val="21"/>
        </w:rPr>
        <w:t>Adult Substance Misuse Treatment Statistics 2020 to 2021: Report.</w:t>
      </w:r>
    </w:p>
    <w:p w14:paraId="089A9D26"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OFFICE FOR NATIONAL STATISTICS, </w:t>
      </w:r>
      <w:proofErr w:type="gramStart"/>
      <w:r>
        <w:rPr>
          <w:rFonts w:ascii="Roboto" w:hAnsi="Roboto"/>
          <w:color w:val="53565A"/>
          <w:sz w:val="21"/>
          <w:szCs w:val="21"/>
        </w:rPr>
        <w:t>August,</w:t>
      </w:r>
      <w:proofErr w:type="gramEnd"/>
      <w:r>
        <w:rPr>
          <w:rFonts w:ascii="Roboto" w:hAnsi="Roboto"/>
          <w:color w:val="53565A"/>
          <w:sz w:val="21"/>
          <w:szCs w:val="21"/>
        </w:rPr>
        <w:t xml:space="preserve"> 2020-last update, Population of England and Wales. Available: </w:t>
      </w:r>
      <w:hyperlink r:id="rId20" w:anchor="by-ethnicity-over-time" w:tgtFrame="_blank" w:history="1">
        <w:r>
          <w:rPr>
            <w:rStyle w:val="Hyperlink"/>
            <w:rFonts w:ascii="Roboto" w:hAnsi="Roboto"/>
            <w:color w:val="0066CC"/>
            <w:sz w:val="21"/>
            <w:szCs w:val="21"/>
            <w:u w:val="none"/>
          </w:rPr>
          <w:t>https://www.ethnicity-facts-figures.service.gov.uk/uk-population-by-</w:t>
        </w:r>
        <w:r>
          <w:rPr>
            <w:rStyle w:val="Hyperlink"/>
            <w:rFonts w:ascii="Roboto" w:hAnsi="Roboto"/>
            <w:color w:val="0066CC"/>
            <w:sz w:val="21"/>
            <w:szCs w:val="21"/>
            <w:u w:val="none"/>
          </w:rPr>
          <w:lastRenderedPageBreak/>
          <w:t>ethnicity/national-and-regional-populations/population-of-england-and-wales/latest#by-ethnicity-over-time</w:t>
        </w:r>
      </w:hyperlink>
      <w:r>
        <w:rPr>
          <w:rFonts w:ascii="Roboto" w:hAnsi="Roboto"/>
          <w:color w:val="53565A"/>
          <w:sz w:val="21"/>
          <w:szCs w:val="21"/>
        </w:rPr>
        <w:t> [20/06/, 2022].</w:t>
      </w:r>
    </w:p>
    <w:p w14:paraId="2E8B659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OPPLER, S., 1997. Partners against </w:t>
      </w:r>
      <w:proofErr w:type="gramStart"/>
      <w:r>
        <w:rPr>
          <w:rFonts w:ascii="Roboto" w:hAnsi="Roboto"/>
          <w:color w:val="53565A"/>
          <w:sz w:val="21"/>
          <w:szCs w:val="21"/>
        </w:rPr>
        <w:t>crime :</w:t>
      </w:r>
      <w:proofErr w:type="gramEnd"/>
      <w:r>
        <w:rPr>
          <w:rFonts w:ascii="Roboto" w:hAnsi="Roboto"/>
          <w:color w:val="53565A"/>
          <w:sz w:val="21"/>
          <w:szCs w:val="21"/>
        </w:rPr>
        <w:t xml:space="preserve"> from community to partnership policing. </w:t>
      </w:r>
      <w:r>
        <w:rPr>
          <w:rFonts w:ascii="Roboto" w:hAnsi="Roboto"/>
          <w:i/>
          <w:iCs/>
          <w:color w:val="53565A"/>
          <w:sz w:val="21"/>
          <w:szCs w:val="21"/>
        </w:rPr>
        <w:t>Institute for Security Studies Papers, </w:t>
      </w:r>
      <w:r>
        <w:rPr>
          <w:rFonts w:ascii="Roboto" w:hAnsi="Roboto"/>
          <w:b/>
          <w:bCs/>
          <w:color w:val="53565A"/>
          <w:sz w:val="21"/>
          <w:szCs w:val="21"/>
        </w:rPr>
        <w:t>1997</w:t>
      </w:r>
      <w:r>
        <w:rPr>
          <w:rFonts w:ascii="Roboto" w:hAnsi="Roboto"/>
          <w:color w:val="53565A"/>
          <w:sz w:val="21"/>
          <w:szCs w:val="21"/>
        </w:rPr>
        <w:t>(16</w:t>
      </w:r>
      <w:proofErr w:type="gramStart"/>
      <w:r>
        <w:rPr>
          <w:rFonts w:ascii="Roboto" w:hAnsi="Roboto"/>
          <w:color w:val="53565A"/>
          <w:sz w:val="21"/>
          <w:szCs w:val="21"/>
        </w:rPr>
        <w:t>),.</w:t>
      </w:r>
      <w:proofErr w:type="gramEnd"/>
    </w:p>
    <w:p w14:paraId="34C520D5"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PETROSINO, A., TURPIN‐PETROSINO, C., HOLLIS‐PEEL, M.E., LAVENBERG, J.G. and PETROSINO, A., 2013. 'Scared Straight' and other juvenile awareness programs for preventing juvenile delinquency. </w:t>
      </w:r>
      <w:r>
        <w:rPr>
          <w:rFonts w:ascii="Roboto" w:hAnsi="Roboto"/>
          <w:i/>
          <w:iCs/>
          <w:color w:val="53565A"/>
          <w:sz w:val="21"/>
          <w:szCs w:val="21"/>
        </w:rPr>
        <w:t>Cochrane database of systematic reviews, </w:t>
      </w:r>
      <w:r>
        <w:rPr>
          <w:rFonts w:ascii="Roboto" w:hAnsi="Roboto"/>
          <w:b/>
          <w:bCs/>
          <w:color w:val="53565A"/>
          <w:sz w:val="21"/>
          <w:szCs w:val="21"/>
        </w:rPr>
        <w:t>2013</w:t>
      </w:r>
      <w:r>
        <w:rPr>
          <w:rFonts w:ascii="Roboto" w:hAnsi="Roboto"/>
          <w:color w:val="53565A"/>
          <w:sz w:val="21"/>
          <w:szCs w:val="21"/>
        </w:rPr>
        <w:t>(4), pp. CD002796.</w:t>
      </w:r>
    </w:p>
    <w:p w14:paraId="09895018"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 xml:space="preserve">SAFEGUARDING NETWORK, 06 </w:t>
      </w:r>
      <w:proofErr w:type="gramStart"/>
      <w:r>
        <w:rPr>
          <w:rFonts w:ascii="Roboto" w:hAnsi="Roboto"/>
          <w:color w:val="53565A"/>
          <w:sz w:val="21"/>
          <w:szCs w:val="21"/>
        </w:rPr>
        <w:t>May,</w:t>
      </w:r>
      <w:proofErr w:type="gramEnd"/>
      <w:r>
        <w:rPr>
          <w:rFonts w:ascii="Roboto" w:hAnsi="Roboto"/>
          <w:color w:val="53565A"/>
          <w:sz w:val="21"/>
          <w:szCs w:val="21"/>
        </w:rPr>
        <w:t xml:space="preserve"> 2021-last update, County Lines - Safeguarding Network. Available: </w:t>
      </w:r>
      <w:hyperlink r:id="rId21" w:tgtFrame="_blank" w:history="1">
        <w:r>
          <w:rPr>
            <w:rStyle w:val="Hyperlink"/>
            <w:rFonts w:ascii="Roboto" w:hAnsi="Roboto"/>
            <w:color w:val="0066CC"/>
            <w:sz w:val="21"/>
            <w:szCs w:val="21"/>
            <w:u w:val="none"/>
          </w:rPr>
          <w:t>https://safeguarding.network/content/safeguarding-resources/child-criminal-exploitation/county-lines/</w:t>
        </w:r>
      </w:hyperlink>
      <w:r>
        <w:rPr>
          <w:rFonts w:ascii="Roboto" w:hAnsi="Roboto"/>
          <w:color w:val="53565A"/>
          <w:sz w:val="21"/>
          <w:szCs w:val="21"/>
        </w:rPr>
        <w:t> [July 04, 2022].</w:t>
      </w:r>
    </w:p>
    <w:p w14:paraId="73D24B7C"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SHAPIRO, A., 1978. </w:t>
      </w:r>
      <w:r>
        <w:rPr>
          <w:rFonts w:ascii="Roboto" w:hAnsi="Roboto"/>
          <w:i/>
          <w:iCs/>
          <w:color w:val="53565A"/>
          <w:sz w:val="21"/>
          <w:szCs w:val="21"/>
        </w:rPr>
        <w:t>Scared Straight! </w:t>
      </w:r>
      <w:r>
        <w:rPr>
          <w:rFonts w:ascii="Roboto" w:hAnsi="Roboto"/>
          <w:color w:val="53565A"/>
          <w:sz w:val="21"/>
          <w:szCs w:val="21"/>
        </w:rPr>
        <w:t>United States: Golden West Television.</w:t>
      </w:r>
    </w:p>
    <w:p w14:paraId="65A6B8AC"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SPACE, 2019. </w:t>
      </w:r>
      <w:r>
        <w:rPr>
          <w:rFonts w:ascii="Roboto" w:hAnsi="Roboto"/>
          <w:i/>
          <w:iCs/>
          <w:color w:val="53565A"/>
          <w:sz w:val="21"/>
          <w:szCs w:val="21"/>
        </w:rPr>
        <w:t>County lines and criminal exploitation - what, why and what does it look like? </w:t>
      </w:r>
      <w:r>
        <w:rPr>
          <w:rFonts w:ascii="Roboto" w:hAnsi="Roboto"/>
          <w:color w:val="53565A"/>
          <w:sz w:val="21"/>
          <w:szCs w:val="21"/>
        </w:rPr>
        <w:t>Stop &amp; Prevent Adolescent Criminal Exploitation.</w:t>
      </w:r>
    </w:p>
    <w:p w14:paraId="48079C97"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TRICKETT, L. and HAMILTON, P., 2015. </w:t>
      </w:r>
      <w:r>
        <w:rPr>
          <w:rFonts w:ascii="Roboto" w:hAnsi="Roboto"/>
          <w:i/>
          <w:iCs/>
          <w:color w:val="53565A"/>
          <w:sz w:val="21"/>
          <w:szCs w:val="21"/>
        </w:rPr>
        <w:t>The Policing of Hate Crime in Nottinghamshire. </w:t>
      </w:r>
      <w:r>
        <w:rPr>
          <w:rFonts w:ascii="Roboto" w:hAnsi="Roboto"/>
          <w:color w:val="53565A"/>
          <w:sz w:val="21"/>
          <w:szCs w:val="21"/>
        </w:rPr>
        <w:t>Nottingham: Nottingham University.</w:t>
      </w:r>
    </w:p>
    <w:p w14:paraId="670F1B3A"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UK HOME OFFICE, 2021. </w:t>
      </w:r>
      <w:r>
        <w:rPr>
          <w:rFonts w:ascii="Roboto" w:hAnsi="Roboto"/>
          <w:i/>
          <w:iCs/>
          <w:color w:val="53565A"/>
          <w:sz w:val="21"/>
          <w:szCs w:val="21"/>
        </w:rPr>
        <w:t>Hate crime, England and Wales, 2020 to 2021.</w:t>
      </w:r>
    </w:p>
    <w:p w14:paraId="4994801F"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UK HOME OFFICE, 2020. </w:t>
      </w:r>
      <w:r>
        <w:rPr>
          <w:rFonts w:ascii="Roboto" w:hAnsi="Roboto"/>
          <w:i/>
          <w:iCs/>
          <w:color w:val="53565A"/>
          <w:sz w:val="21"/>
          <w:szCs w:val="21"/>
        </w:rPr>
        <w:t>Criminal exploitation of children and vulnerable adults: county lines. </w:t>
      </w:r>
      <w:r>
        <w:rPr>
          <w:rFonts w:ascii="Roboto" w:hAnsi="Roboto"/>
          <w:color w:val="53565A"/>
          <w:sz w:val="21"/>
          <w:szCs w:val="21"/>
        </w:rPr>
        <w:t>Her Majesty's Government.</w:t>
      </w:r>
    </w:p>
    <w:p w14:paraId="61040F5C"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WADDEL, S., SORGENFREI, M., FREEMAN, G., GORDON, M., STEELE, M. and WILSON, H., 2022. </w:t>
      </w:r>
      <w:r>
        <w:rPr>
          <w:rFonts w:ascii="Roboto" w:hAnsi="Roboto"/>
          <w:i/>
          <w:iCs/>
          <w:color w:val="53565A"/>
          <w:sz w:val="21"/>
          <w:szCs w:val="21"/>
        </w:rPr>
        <w:t>Improving the way family support services work for minority ethnic families.</w:t>
      </w:r>
    </w:p>
    <w:p w14:paraId="73CE1E0D" w14:textId="77777777" w:rsidR="009F3289" w:rsidRDefault="009F3289" w:rsidP="009F3289">
      <w:pPr>
        <w:pStyle w:val="NormalWeb"/>
        <w:shd w:val="clear" w:color="auto" w:fill="FFFFFF"/>
        <w:spacing w:before="0" w:beforeAutospacing="0" w:after="173" w:afterAutospacing="0"/>
        <w:rPr>
          <w:rFonts w:ascii="Roboto" w:hAnsi="Roboto"/>
          <w:color w:val="53565A"/>
          <w:sz w:val="21"/>
          <w:szCs w:val="21"/>
        </w:rPr>
      </w:pPr>
      <w:r>
        <w:rPr>
          <w:rFonts w:ascii="Roboto" w:hAnsi="Roboto"/>
          <w:color w:val="53565A"/>
          <w:sz w:val="21"/>
          <w:szCs w:val="21"/>
        </w:rPr>
        <w:t>YONDER, 2021. </w:t>
      </w:r>
      <w:r>
        <w:rPr>
          <w:rFonts w:ascii="Roboto" w:hAnsi="Roboto"/>
          <w:i/>
          <w:iCs/>
          <w:color w:val="53565A"/>
          <w:sz w:val="21"/>
          <w:szCs w:val="21"/>
        </w:rPr>
        <w:t>IOPC Public Perceptions Tracker Summary Report. </w:t>
      </w:r>
      <w:r>
        <w:rPr>
          <w:rFonts w:ascii="Roboto" w:hAnsi="Roboto"/>
          <w:color w:val="53565A"/>
          <w:sz w:val="21"/>
          <w:szCs w:val="21"/>
        </w:rPr>
        <w:t>IOPC.</w:t>
      </w:r>
    </w:p>
    <w:p w14:paraId="48F42CD3" w14:textId="77777777" w:rsidR="009F3289" w:rsidRPr="009F3289" w:rsidRDefault="009F3289" w:rsidP="00A84F08">
      <w:pPr>
        <w:spacing w:line="360" w:lineRule="auto"/>
        <w:jc w:val="both"/>
        <w:rPr>
          <w:b/>
          <w:bCs/>
        </w:rPr>
      </w:pPr>
    </w:p>
    <w:sectPr w:rsidR="009F3289" w:rsidRPr="009F32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3DF32" w14:textId="77777777" w:rsidR="00C80DF8" w:rsidRDefault="00C80DF8" w:rsidP="00C80DF8">
      <w:r>
        <w:separator/>
      </w:r>
    </w:p>
  </w:endnote>
  <w:endnote w:type="continuationSeparator" w:id="0">
    <w:p w14:paraId="2B5CB267" w14:textId="77777777" w:rsidR="00C80DF8" w:rsidRDefault="00C80DF8" w:rsidP="00C80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94F58" w14:textId="77777777" w:rsidR="00C80DF8" w:rsidRDefault="00C80DF8" w:rsidP="00C80DF8">
      <w:r>
        <w:separator/>
      </w:r>
    </w:p>
  </w:footnote>
  <w:footnote w:type="continuationSeparator" w:id="0">
    <w:p w14:paraId="6A404782" w14:textId="77777777" w:rsidR="00C80DF8" w:rsidRDefault="00C80DF8" w:rsidP="00C80D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37CCB"/>
    <w:multiLevelType w:val="hybridMultilevel"/>
    <w:tmpl w:val="F926EE5C"/>
    <w:lvl w:ilvl="0" w:tplc="C478D15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3721C"/>
    <w:multiLevelType w:val="hybridMultilevel"/>
    <w:tmpl w:val="CDBC2538"/>
    <w:lvl w:ilvl="0" w:tplc="A04CED0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B14EC"/>
    <w:multiLevelType w:val="hybridMultilevel"/>
    <w:tmpl w:val="7AD6C152"/>
    <w:lvl w:ilvl="0" w:tplc="BA26BDBC">
      <w:start w:val="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DF8"/>
    <w:rsid w:val="00054A88"/>
    <w:rsid w:val="000638D3"/>
    <w:rsid w:val="0010124A"/>
    <w:rsid w:val="0011431A"/>
    <w:rsid w:val="001C3E45"/>
    <w:rsid w:val="00204E8B"/>
    <w:rsid w:val="002F1E78"/>
    <w:rsid w:val="003D6368"/>
    <w:rsid w:val="004B0A88"/>
    <w:rsid w:val="004D750E"/>
    <w:rsid w:val="00506E78"/>
    <w:rsid w:val="0053542F"/>
    <w:rsid w:val="007C22C8"/>
    <w:rsid w:val="009630C0"/>
    <w:rsid w:val="009F3289"/>
    <w:rsid w:val="00A820F6"/>
    <w:rsid w:val="00A84F08"/>
    <w:rsid w:val="00A96771"/>
    <w:rsid w:val="00B0707A"/>
    <w:rsid w:val="00C03080"/>
    <w:rsid w:val="00C06F8A"/>
    <w:rsid w:val="00C80DF8"/>
    <w:rsid w:val="00CC7D5E"/>
    <w:rsid w:val="00D66028"/>
    <w:rsid w:val="00F33C43"/>
    <w:rsid w:val="00F428F6"/>
    <w:rsid w:val="00F92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2FC1FD"/>
  <w15:chartTrackingRefBased/>
  <w15:docId w15:val="{B52A2916-C06E-4F12-8712-07B5DD837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50E"/>
    <w:pPr>
      <w:ind w:left="720"/>
      <w:contextualSpacing/>
    </w:pPr>
  </w:style>
  <w:style w:type="paragraph" w:styleId="NormalWeb">
    <w:name w:val="Normal (Web)"/>
    <w:basedOn w:val="Normal"/>
    <w:uiPriority w:val="99"/>
    <w:semiHidden/>
    <w:unhideWhenUsed/>
    <w:rsid w:val="009F3289"/>
    <w:pPr>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F32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34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nproject.co.uk/" TargetMode="External"/><Relationship Id="rId13" Type="http://schemas.openxmlformats.org/officeDocument/2006/relationships/hyperlink" Target="https://leb.fbi.gov/articles/focus/focus-on-ethics-rethinking-ethics-in-law-enforcement" TargetMode="External"/><Relationship Id="rId18" Type="http://schemas.openxmlformats.org/officeDocument/2006/relationships/hyperlink" Target="https://www.nationalcrimeagency.gov.uk/what-we-do/crime-threats/drug-trafficking/county-lines" TargetMode="External"/><Relationship Id="rId3" Type="http://schemas.openxmlformats.org/officeDocument/2006/relationships/settings" Target="settings.xml"/><Relationship Id="rId21" Type="http://schemas.openxmlformats.org/officeDocument/2006/relationships/hyperlink" Target="https://safeguarding.network/content/safeguarding-resources/child-criminal-exploitation/county-lines/" TargetMode="External"/><Relationship Id="rId7" Type="http://schemas.openxmlformats.org/officeDocument/2006/relationships/hyperlink" Target="https://www.managers.org.uk/knowledge-and-insights/listicle/how-to-develop-a-great-diversity-scheme/" TargetMode="External"/><Relationship Id="rId12" Type="http://schemas.openxmlformats.org/officeDocument/2006/relationships/hyperlink" Target="https://www.eif.org.uk/why-it-matters/what-is-early-intervention/" TargetMode="External"/><Relationship Id="rId17" Type="http://schemas.openxmlformats.org/officeDocument/2006/relationships/hyperlink" Target="https://www.iwf.org.uk/news-media/news/three-fold-increase-of-abuse-imagery-of-7-10-year-olds-as-iwf-detects-more-child-sexual-abuse-material-online-than-ever-before/" TargetMode="External"/><Relationship Id="rId2" Type="http://schemas.openxmlformats.org/officeDocument/2006/relationships/styles" Target="styles.xml"/><Relationship Id="rId16" Type="http://schemas.openxmlformats.org/officeDocument/2006/relationships/hyperlink" Target="https://www.justiceinspectorates.gov.uk/hmicfrs/about-us/what-we-do/" TargetMode="External"/><Relationship Id="rId20" Type="http://schemas.openxmlformats.org/officeDocument/2006/relationships/hyperlink" Target="https://www.ethnicity-facts-figures.service.gov.uk/uk-population-by-ethnicity/national-and-regional-populations/population-of-england-and-wales/late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app/engagement-and-communication/engagement" TargetMode="External"/><Relationship Id="rId5" Type="http://schemas.openxmlformats.org/officeDocument/2006/relationships/footnotes" Target="footnotes.xml"/><Relationship Id="rId15" Type="http://schemas.openxmlformats.org/officeDocument/2006/relationships/hyperlink" Target="https://www.grtpa.co.uk/about-us" TargetMode="External"/><Relationship Id="rId23" Type="http://schemas.openxmlformats.org/officeDocument/2006/relationships/theme" Target="theme/theme1.xml"/><Relationship Id="rId10" Type="http://schemas.openxmlformats.org/officeDocument/2006/relationships/hyperlink" Target="https://www.college.police.uk/guidance/vulnerability-related-risks/introduction-vulnerability-related-risk" TargetMode="External"/><Relationship Id="rId19" Type="http://schemas.openxmlformats.org/officeDocument/2006/relationships/hyperlink" Target="https://www.positiveactionpolice.co.uk/" TargetMode="External"/><Relationship Id="rId4" Type="http://schemas.openxmlformats.org/officeDocument/2006/relationships/webSettings" Target="webSettings.xml"/><Relationship Id="rId9" Type="http://schemas.openxmlformats.org/officeDocument/2006/relationships/hyperlink" Target="https://www.college.police.uk/research/vulnerability-violent-crime-interventions" TargetMode="External"/><Relationship Id="rId14" Type="http://schemas.openxmlformats.org/officeDocument/2006/relationships/hyperlink" Target="https://www.politics.co.uk/news/2022/03/01/public-losing-faith-in-police-complaints-system-following-succession-of-scandals-warn-mp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5584</Words>
  <Characters>31835</Characters>
  <Application>Microsoft Office Word</Application>
  <DocSecurity>0</DocSecurity>
  <Lines>265</Lines>
  <Paragraphs>74</Paragraphs>
  <ScaleCrop>false</ScaleCrop>
  <Company/>
  <LinksUpToDate>false</LinksUpToDate>
  <CharactersWithSpaces>37345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Percival,Ryan swp6919</dc:creator>
  <cp:keywords/>
  <dc:description/>
  <cp:lastModifiedBy>Percival,Ryan swp6919</cp:lastModifiedBy>
  <cp:revision>3</cp:revision>
  <dcterms:created xsi:type="dcterms:W3CDTF">2022-08-01T21:04:00Z</dcterms:created>
  <dcterms:modified xsi:type="dcterms:W3CDTF">2022-08-01T21:09:00Z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2022-05-03T15:44:03Z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eebfd87e-95cb-4d4c-b7b3-37b2361b8df0</vt:lpwstr>
  </property>
  <property fmtid="{D5CDD505-2E9C-101B-9397-08002B2CF9AE}" pid="8" name="MSIP_Label_66cf8fe5-b7b7-4df7-b38d-1c61ac2f6639_ContentBits">
    <vt:lpwstr>0</vt:lpwstr>
  </property>
</Properties>
</file>