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52D64" w14:textId="77777777" w:rsidR="00FD0CFA" w:rsidRDefault="00FD0CFA" w:rsidP="00FD0CFA">
      <w:pPr>
        <w:jc w:val="center"/>
      </w:pPr>
      <w:r>
        <w:rPr>
          <w:noProof/>
        </w:rPr>
        <w:drawing>
          <wp:inline distT="0" distB="0" distL="0" distR="0" wp14:anchorId="18E70B46" wp14:editId="72A849D4">
            <wp:extent cx="2816225" cy="900113"/>
            <wp:effectExtent l="0" t="0" r="3175" b="0"/>
            <wp:docPr id="555234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825417" cy="903051"/>
                    </a:xfrm>
                    <a:prstGeom prst="rect">
                      <a:avLst/>
                    </a:prstGeom>
                    <a:noFill/>
                    <a:ln>
                      <a:noFill/>
                    </a:ln>
                  </pic:spPr>
                </pic:pic>
              </a:graphicData>
            </a:graphic>
          </wp:inline>
        </w:drawing>
      </w:r>
    </w:p>
    <w:p w14:paraId="101B0968" w14:textId="77777777" w:rsidR="00FD0CFA" w:rsidRDefault="00FD0CFA" w:rsidP="00FD0CFA">
      <w:pPr>
        <w:jc w:val="center"/>
        <w:rPr>
          <w:sz w:val="34"/>
          <w:szCs w:val="34"/>
        </w:rPr>
      </w:pPr>
    </w:p>
    <w:p w14:paraId="78449778" w14:textId="77777777" w:rsidR="00FD0CFA" w:rsidRPr="009C063A" w:rsidRDefault="00FD0CFA" w:rsidP="00FD0CFA">
      <w:pPr>
        <w:spacing w:line="240" w:lineRule="auto"/>
        <w:jc w:val="center"/>
        <w:rPr>
          <w:sz w:val="38"/>
          <w:szCs w:val="38"/>
        </w:rPr>
      </w:pPr>
      <w:r w:rsidRPr="009C063A">
        <w:rPr>
          <w:sz w:val="38"/>
          <w:szCs w:val="38"/>
        </w:rPr>
        <w:t>Master of Business Administration</w:t>
      </w:r>
    </w:p>
    <w:p w14:paraId="7A73DBBD" w14:textId="77777777" w:rsidR="00FD0CFA" w:rsidRPr="009C063A" w:rsidRDefault="00FD0CFA" w:rsidP="00FD0CFA">
      <w:pPr>
        <w:spacing w:line="240" w:lineRule="auto"/>
        <w:jc w:val="center"/>
        <w:rPr>
          <w:sz w:val="32"/>
          <w:szCs w:val="32"/>
        </w:rPr>
      </w:pPr>
      <w:r w:rsidRPr="009C063A">
        <w:rPr>
          <w:sz w:val="32"/>
          <w:szCs w:val="32"/>
        </w:rPr>
        <w:t>International Business pathway</w:t>
      </w:r>
    </w:p>
    <w:p w14:paraId="49C1D952" w14:textId="77777777" w:rsidR="00FD0CFA" w:rsidRDefault="00FD0CFA" w:rsidP="00FD0CFA">
      <w:pPr>
        <w:jc w:val="center"/>
        <w:rPr>
          <w:sz w:val="28"/>
          <w:szCs w:val="28"/>
        </w:rPr>
      </w:pPr>
    </w:p>
    <w:p w14:paraId="31E88592" w14:textId="77777777" w:rsidR="00FD0CFA" w:rsidRDefault="00FD0CFA" w:rsidP="00FD0CFA">
      <w:pPr>
        <w:jc w:val="center"/>
        <w:rPr>
          <w:rFonts w:ascii="Arial" w:hAnsi="Arial" w:cs="Arial"/>
          <w:b/>
          <w:bCs/>
          <w:color w:val="EE0000"/>
          <w:sz w:val="32"/>
          <w:szCs w:val="32"/>
        </w:rPr>
      </w:pPr>
      <w:r w:rsidRPr="00FD0CFA">
        <w:rPr>
          <w:rFonts w:ascii="Arial" w:hAnsi="Arial" w:cs="Arial"/>
          <w:b/>
          <w:bCs/>
          <w:color w:val="EE0000"/>
          <w:sz w:val="32"/>
          <w:szCs w:val="32"/>
        </w:rPr>
        <w:t>A Case Study of Tata Steel's Transition to Lower-Carbon Steelmaking</w:t>
      </w:r>
    </w:p>
    <w:p w14:paraId="1C59C4BB" w14:textId="2D550689" w:rsidR="00FD0CFA" w:rsidRDefault="00FD0CFA" w:rsidP="00FD0CFA">
      <w:pPr>
        <w:jc w:val="center"/>
        <w:rPr>
          <w:color w:val="EE0000"/>
          <w:sz w:val="28"/>
          <w:szCs w:val="28"/>
        </w:rPr>
      </w:pPr>
      <w:r w:rsidRPr="00D07D25">
        <w:rPr>
          <w:sz w:val="28"/>
          <w:szCs w:val="28"/>
        </w:rPr>
        <w:t xml:space="preserve">Assessment </w:t>
      </w:r>
      <w:r w:rsidRPr="00E80B98">
        <w:rPr>
          <w:color w:val="EE0000"/>
          <w:sz w:val="28"/>
          <w:szCs w:val="28"/>
        </w:rPr>
        <w:t>1: Individual report</w:t>
      </w:r>
      <w:r w:rsidRPr="00043B72">
        <w:rPr>
          <w:sz w:val="28"/>
          <w:szCs w:val="28"/>
        </w:rPr>
        <w:t xml:space="preserve">. Weight: </w:t>
      </w:r>
      <w:r>
        <w:rPr>
          <w:color w:val="EE0000"/>
          <w:sz w:val="28"/>
          <w:szCs w:val="28"/>
        </w:rPr>
        <w:t>50</w:t>
      </w:r>
      <w:r w:rsidRPr="00E80B98">
        <w:rPr>
          <w:color w:val="EE0000"/>
          <w:sz w:val="28"/>
          <w:szCs w:val="28"/>
        </w:rPr>
        <w:t>%</w:t>
      </w:r>
    </w:p>
    <w:p w14:paraId="3ADCFFB1" w14:textId="77777777" w:rsidR="00FD0CFA" w:rsidRPr="00043B72" w:rsidRDefault="00FD0CFA" w:rsidP="00FD0CFA">
      <w:pPr>
        <w:jc w:val="center"/>
        <w:rPr>
          <w:sz w:val="28"/>
          <w:szCs w:val="28"/>
        </w:rPr>
      </w:pPr>
    </w:p>
    <w:p w14:paraId="4B4A0743" w14:textId="29E6B25D" w:rsidR="00FD0CFA" w:rsidRPr="00043B72" w:rsidRDefault="00FD0CFA" w:rsidP="00FD0CFA">
      <w:pPr>
        <w:rPr>
          <w:sz w:val="28"/>
          <w:szCs w:val="28"/>
        </w:rPr>
      </w:pPr>
      <w:r w:rsidRPr="00043B72">
        <w:rPr>
          <w:b/>
          <w:bCs/>
          <w:sz w:val="28"/>
          <w:szCs w:val="28"/>
        </w:rPr>
        <w:t>Module name:</w:t>
      </w:r>
      <w:r>
        <w:rPr>
          <w:b/>
          <w:bCs/>
          <w:sz w:val="28"/>
          <w:szCs w:val="28"/>
        </w:rPr>
        <w:t xml:space="preserve"> </w:t>
      </w:r>
      <w:r w:rsidRPr="00FD0CFA">
        <w:rPr>
          <w:sz w:val="28"/>
          <w:szCs w:val="28"/>
        </w:rPr>
        <w:t>Marketing Management</w:t>
      </w:r>
    </w:p>
    <w:p w14:paraId="720566A2" w14:textId="34871CF3" w:rsidR="00FD0CFA" w:rsidRPr="00043B72" w:rsidRDefault="00FD0CFA" w:rsidP="00FD0CFA">
      <w:pPr>
        <w:rPr>
          <w:sz w:val="28"/>
          <w:szCs w:val="28"/>
        </w:rPr>
      </w:pPr>
      <w:r w:rsidRPr="00043B72">
        <w:rPr>
          <w:b/>
          <w:bCs/>
          <w:sz w:val="28"/>
          <w:szCs w:val="28"/>
        </w:rPr>
        <w:t>Module code</w:t>
      </w:r>
      <w:r w:rsidRPr="00043B72">
        <w:rPr>
          <w:sz w:val="28"/>
          <w:szCs w:val="28"/>
        </w:rPr>
        <w:t>:</w:t>
      </w:r>
      <w:r>
        <w:rPr>
          <w:sz w:val="28"/>
          <w:szCs w:val="28"/>
        </w:rPr>
        <w:t xml:space="preserve"> </w:t>
      </w:r>
      <w:r w:rsidRPr="00FD0CFA">
        <w:rPr>
          <w:sz w:val="28"/>
          <w:szCs w:val="28"/>
        </w:rPr>
        <w:t>LCMB7024</w:t>
      </w:r>
    </w:p>
    <w:p w14:paraId="1D24A675" w14:textId="7BE2D21E" w:rsidR="00FD0CFA" w:rsidRDefault="00FD0CFA" w:rsidP="00FD0CFA">
      <w:pPr>
        <w:rPr>
          <w:sz w:val="28"/>
          <w:szCs w:val="28"/>
        </w:rPr>
      </w:pPr>
      <w:r w:rsidRPr="00043B72">
        <w:rPr>
          <w:b/>
          <w:bCs/>
          <w:sz w:val="28"/>
          <w:szCs w:val="28"/>
        </w:rPr>
        <w:t>Lecturer name</w:t>
      </w:r>
      <w:r w:rsidRPr="00043B72">
        <w:rPr>
          <w:sz w:val="28"/>
          <w:szCs w:val="28"/>
        </w:rPr>
        <w:t xml:space="preserve">: </w:t>
      </w:r>
      <w:r w:rsidR="007410AC" w:rsidRPr="007410AC">
        <w:rPr>
          <w:sz w:val="28"/>
          <w:szCs w:val="28"/>
        </w:rPr>
        <w:t xml:space="preserve">Andry </w:t>
      </w:r>
      <w:proofErr w:type="spellStart"/>
      <w:proofErr w:type="gramStart"/>
      <w:r w:rsidR="007410AC" w:rsidRPr="007410AC">
        <w:rPr>
          <w:sz w:val="28"/>
          <w:szCs w:val="28"/>
        </w:rPr>
        <w:t>Rakotovololona</w:t>
      </w:r>
      <w:r w:rsidR="007410AC">
        <w:rPr>
          <w:sz w:val="28"/>
          <w:szCs w:val="28"/>
        </w:rPr>
        <w:t>,</w:t>
      </w:r>
      <w:r w:rsidRPr="00FD0CFA">
        <w:rPr>
          <w:sz w:val="28"/>
          <w:szCs w:val="28"/>
        </w:rPr>
        <w:t>Sinan</w:t>
      </w:r>
      <w:proofErr w:type="spellEnd"/>
      <w:proofErr w:type="gramEnd"/>
      <w:r w:rsidRPr="00FD0CFA">
        <w:rPr>
          <w:sz w:val="28"/>
          <w:szCs w:val="28"/>
        </w:rPr>
        <w:t xml:space="preserve"> He</w:t>
      </w:r>
    </w:p>
    <w:p w14:paraId="0764E644" w14:textId="77777777" w:rsidR="00FD0CFA" w:rsidRPr="00043B72" w:rsidRDefault="00FD0CFA" w:rsidP="00FD0CFA">
      <w:pPr>
        <w:rPr>
          <w:sz w:val="28"/>
          <w:szCs w:val="28"/>
        </w:rPr>
      </w:pPr>
    </w:p>
    <w:p w14:paraId="2212A063" w14:textId="77777777" w:rsidR="00FD0CFA" w:rsidRPr="00043B72" w:rsidRDefault="00FD0CFA" w:rsidP="00FD0CFA">
      <w:pPr>
        <w:rPr>
          <w:sz w:val="28"/>
          <w:szCs w:val="28"/>
        </w:rPr>
      </w:pPr>
      <w:r w:rsidRPr="00043B72">
        <w:rPr>
          <w:b/>
          <w:bCs/>
          <w:sz w:val="28"/>
          <w:szCs w:val="28"/>
        </w:rPr>
        <w:t>Student name</w:t>
      </w:r>
      <w:r w:rsidRPr="00043B72">
        <w:rPr>
          <w:sz w:val="28"/>
          <w:szCs w:val="28"/>
        </w:rPr>
        <w:t>:</w:t>
      </w:r>
      <w:r>
        <w:rPr>
          <w:sz w:val="28"/>
          <w:szCs w:val="28"/>
        </w:rPr>
        <w:t xml:space="preserve"> Chahil Maheshbhai Italiya</w:t>
      </w:r>
    </w:p>
    <w:p w14:paraId="3F9FAD30" w14:textId="77777777" w:rsidR="00FD0CFA" w:rsidRPr="00043B72" w:rsidRDefault="00FD0CFA" w:rsidP="00FD0CFA">
      <w:pPr>
        <w:rPr>
          <w:sz w:val="28"/>
          <w:szCs w:val="28"/>
        </w:rPr>
      </w:pPr>
      <w:r w:rsidRPr="00043B72">
        <w:rPr>
          <w:b/>
          <w:bCs/>
          <w:sz w:val="28"/>
          <w:szCs w:val="28"/>
        </w:rPr>
        <w:t>Student ID</w:t>
      </w:r>
      <w:r w:rsidRPr="00043B72">
        <w:rPr>
          <w:sz w:val="28"/>
          <w:szCs w:val="28"/>
        </w:rPr>
        <w:t>:</w:t>
      </w:r>
      <w:r>
        <w:rPr>
          <w:sz w:val="28"/>
          <w:szCs w:val="28"/>
        </w:rPr>
        <w:t xml:space="preserve"> 2535771</w:t>
      </w:r>
    </w:p>
    <w:p w14:paraId="6BC3DF41" w14:textId="77777777" w:rsidR="00FD0CFA" w:rsidRPr="00043B72" w:rsidRDefault="00FD0CFA" w:rsidP="00FD0CFA">
      <w:pPr>
        <w:rPr>
          <w:sz w:val="28"/>
          <w:szCs w:val="28"/>
        </w:rPr>
      </w:pPr>
    </w:p>
    <w:p w14:paraId="5458B221" w14:textId="77777777" w:rsidR="00FD0CFA" w:rsidRPr="0087173E" w:rsidRDefault="00FD0CFA" w:rsidP="00FD0CFA">
      <w:pPr>
        <w:rPr>
          <w:rFonts w:ascii="Arial" w:hAnsi="Arial" w:cs="Arial"/>
          <w:b/>
          <w:bCs/>
          <w:sz w:val="36"/>
          <w:szCs w:val="36"/>
        </w:rPr>
      </w:pPr>
      <w:r w:rsidRPr="00043B72">
        <w:rPr>
          <w:b/>
          <w:bCs/>
          <w:sz w:val="28"/>
          <w:szCs w:val="28"/>
        </w:rPr>
        <w:t>Word count</w:t>
      </w:r>
      <w:r w:rsidRPr="00043B72">
        <w:rPr>
          <w:sz w:val="28"/>
          <w:szCs w:val="28"/>
        </w:rPr>
        <w:t>:</w:t>
      </w:r>
      <w:r>
        <w:rPr>
          <w:sz w:val="28"/>
          <w:szCs w:val="28"/>
        </w:rPr>
        <w:t xml:space="preserve"> </w:t>
      </w:r>
      <w:r w:rsidRPr="0087173E">
        <w:rPr>
          <w:rFonts w:ascii="Arial" w:hAnsi="Arial" w:cs="Arial"/>
          <w:sz w:val="24"/>
          <w:szCs w:val="24"/>
        </w:rPr>
        <w:t>Approx.2500</w:t>
      </w:r>
    </w:p>
    <w:p w14:paraId="69B67D05" w14:textId="45163453" w:rsidR="00FD0CFA" w:rsidRPr="00043B72" w:rsidRDefault="00FD0CFA" w:rsidP="00FD0CFA">
      <w:pPr>
        <w:rPr>
          <w:sz w:val="28"/>
          <w:szCs w:val="28"/>
        </w:rPr>
      </w:pPr>
      <w:r w:rsidRPr="00043B72">
        <w:rPr>
          <w:b/>
          <w:bCs/>
          <w:sz w:val="28"/>
          <w:szCs w:val="28"/>
        </w:rPr>
        <w:t>Submission date</w:t>
      </w:r>
      <w:r w:rsidRPr="00043B72">
        <w:rPr>
          <w:sz w:val="28"/>
          <w:szCs w:val="28"/>
        </w:rPr>
        <w:t>:</w:t>
      </w:r>
      <w:r>
        <w:rPr>
          <w:sz w:val="28"/>
          <w:szCs w:val="28"/>
        </w:rPr>
        <w:t xml:space="preserve"> </w:t>
      </w:r>
      <w:r>
        <w:rPr>
          <w:sz w:val="28"/>
          <w:szCs w:val="28"/>
        </w:rPr>
        <w:t>27</w:t>
      </w:r>
      <w:r w:rsidRPr="0087173E">
        <w:rPr>
          <w:sz w:val="28"/>
          <w:szCs w:val="28"/>
          <w:vertAlign w:val="superscript"/>
        </w:rPr>
        <w:t>th</w:t>
      </w:r>
      <w:r>
        <w:rPr>
          <w:sz w:val="28"/>
          <w:szCs w:val="28"/>
        </w:rPr>
        <w:t xml:space="preserve"> July 2026</w:t>
      </w:r>
    </w:p>
    <w:p w14:paraId="46C0E2F9" w14:textId="77777777" w:rsidR="0058628A" w:rsidRPr="00DE3D44" w:rsidRDefault="0058628A">
      <w:pPr>
        <w:rPr>
          <w:rFonts w:ascii="Arial" w:hAnsi="Arial" w:cs="Arial"/>
          <w:sz w:val="24"/>
          <w:szCs w:val="24"/>
          <w:lang w:val="en-US"/>
        </w:rPr>
      </w:pPr>
    </w:p>
    <w:p w14:paraId="0317CF6C" w14:textId="77777777" w:rsidR="0058628A" w:rsidRPr="00DE3D44" w:rsidRDefault="0058628A">
      <w:pPr>
        <w:rPr>
          <w:rFonts w:ascii="Arial" w:hAnsi="Arial" w:cs="Arial"/>
          <w:sz w:val="24"/>
          <w:szCs w:val="24"/>
          <w:lang w:val="en-US"/>
        </w:rPr>
      </w:pPr>
    </w:p>
    <w:p w14:paraId="2DE25962" w14:textId="77777777" w:rsidR="0058628A" w:rsidRPr="00DE3D44" w:rsidRDefault="0058628A">
      <w:pPr>
        <w:rPr>
          <w:rFonts w:ascii="Arial" w:hAnsi="Arial" w:cs="Arial"/>
          <w:sz w:val="24"/>
          <w:szCs w:val="24"/>
          <w:lang w:val="en-US"/>
        </w:rPr>
      </w:pPr>
    </w:p>
    <w:p w14:paraId="11EA5D5C" w14:textId="77777777" w:rsidR="0058628A" w:rsidRPr="00DE3D44" w:rsidRDefault="0058628A">
      <w:pPr>
        <w:rPr>
          <w:rFonts w:ascii="Arial" w:hAnsi="Arial" w:cs="Arial"/>
          <w:sz w:val="24"/>
          <w:szCs w:val="24"/>
          <w:lang w:val="en-US"/>
        </w:rPr>
      </w:pPr>
    </w:p>
    <w:p w14:paraId="64D5BCC3" w14:textId="77777777" w:rsidR="00FD0CFA" w:rsidRDefault="00FD0CFA">
      <w:pPr>
        <w:rPr>
          <w:rFonts w:ascii="Arial" w:hAnsi="Arial" w:cs="Arial"/>
          <w:sz w:val="24"/>
          <w:szCs w:val="24"/>
          <w:lang w:val="en-US"/>
        </w:rPr>
      </w:pPr>
    </w:p>
    <w:p w14:paraId="768F4A29" w14:textId="77777777" w:rsidR="00FD0CFA" w:rsidRPr="00DE3D44" w:rsidRDefault="00FD0CFA">
      <w:pPr>
        <w:rPr>
          <w:rFonts w:ascii="Arial" w:hAnsi="Arial" w:cs="Arial"/>
          <w:sz w:val="24"/>
          <w:szCs w:val="24"/>
          <w:lang w:val="en-US"/>
        </w:rPr>
      </w:pPr>
    </w:p>
    <w:sdt>
      <w:sdtPr>
        <w:rPr>
          <w:rFonts w:ascii="Arial" w:eastAsiaTheme="minorHAnsi" w:hAnsi="Arial" w:cs="Arial"/>
          <w:color w:val="auto"/>
          <w:kern w:val="2"/>
          <w:sz w:val="22"/>
          <w:szCs w:val="22"/>
          <w:lang w:val="en-IN"/>
          <w14:ligatures w14:val="standardContextual"/>
        </w:rPr>
        <w:id w:val="-531798064"/>
        <w:docPartObj>
          <w:docPartGallery w:val="Table of Contents"/>
          <w:docPartUnique/>
        </w:docPartObj>
      </w:sdtPr>
      <w:sdtEndPr>
        <w:rPr>
          <w:b/>
          <w:bCs/>
          <w:noProof/>
        </w:rPr>
      </w:sdtEndPr>
      <w:sdtContent>
        <w:p w14:paraId="335FF5A1" w14:textId="2CF28D67" w:rsidR="0058628A" w:rsidRPr="00DE3D44" w:rsidRDefault="0058628A" w:rsidP="0058628A">
          <w:pPr>
            <w:pStyle w:val="TOCHeading"/>
            <w:rPr>
              <w:rFonts w:ascii="Arial" w:hAnsi="Arial" w:cs="Arial"/>
            </w:rPr>
          </w:pPr>
          <w:r w:rsidRPr="00DE3D44">
            <w:rPr>
              <w:rFonts w:ascii="Arial" w:hAnsi="Arial" w:cs="Arial"/>
            </w:rPr>
            <w:t>Table of Contents</w:t>
          </w:r>
        </w:p>
        <w:p w14:paraId="6E81C66A" w14:textId="15A663D3" w:rsidR="00FD0CFA" w:rsidRDefault="0058628A">
          <w:pPr>
            <w:pStyle w:val="TOC1"/>
            <w:tabs>
              <w:tab w:val="right" w:leader="dot" w:pos="9016"/>
            </w:tabs>
            <w:rPr>
              <w:rFonts w:eastAsiaTheme="minorEastAsia"/>
              <w:noProof/>
              <w:sz w:val="24"/>
              <w:szCs w:val="24"/>
              <w:lang w:eastAsia="en-IN" w:bidi="gu-IN"/>
            </w:rPr>
          </w:pPr>
          <w:r w:rsidRPr="00DE3D44">
            <w:rPr>
              <w:rFonts w:ascii="Arial" w:hAnsi="Arial" w:cs="Arial"/>
            </w:rPr>
            <w:fldChar w:fldCharType="begin"/>
          </w:r>
          <w:r w:rsidRPr="00DE3D44">
            <w:rPr>
              <w:rFonts w:ascii="Arial" w:hAnsi="Arial" w:cs="Arial"/>
            </w:rPr>
            <w:instrText xml:space="preserve"> TOC \o "1-3" \h \z \u </w:instrText>
          </w:r>
          <w:r w:rsidRPr="00DE3D44">
            <w:rPr>
              <w:rFonts w:ascii="Arial" w:hAnsi="Arial" w:cs="Arial"/>
            </w:rPr>
            <w:fldChar w:fldCharType="separate"/>
          </w:r>
          <w:hyperlink w:anchor="_Toc235762368" w:history="1">
            <w:r w:rsidR="00FD0CFA" w:rsidRPr="00662223">
              <w:rPr>
                <w:rStyle w:val="Hyperlink"/>
                <w:rFonts w:ascii="Arial" w:hAnsi="Arial" w:cs="Arial"/>
                <w:noProof/>
                <w:lang w:val="en-US"/>
              </w:rPr>
              <w:t>1.Task1: Marketing Environment Analysis</w:t>
            </w:r>
            <w:r w:rsidR="00FD0CFA">
              <w:rPr>
                <w:noProof/>
                <w:webHidden/>
              </w:rPr>
              <w:tab/>
            </w:r>
            <w:r w:rsidR="00FD0CFA">
              <w:rPr>
                <w:noProof/>
                <w:webHidden/>
              </w:rPr>
              <w:fldChar w:fldCharType="begin"/>
            </w:r>
            <w:r w:rsidR="00FD0CFA">
              <w:rPr>
                <w:noProof/>
                <w:webHidden/>
              </w:rPr>
              <w:instrText xml:space="preserve"> PAGEREF _Toc235762368 \h </w:instrText>
            </w:r>
            <w:r w:rsidR="00FD0CFA">
              <w:rPr>
                <w:noProof/>
                <w:webHidden/>
              </w:rPr>
            </w:r>
            <w:r w:rsidR="00FD0CFA">
              <w:rPr>
                <w:noProof/>
                <w:webHidden/>
              </w:rPr>
              <w:fldChar w:fldCharType="separate"/>
            </w:r>
            <w:r w:rsidR="00FD0CFA">
              <w:rPr>
                <w:noProof/>
                <w:webHidden/>
              </w:rPr>
              <w:t>3</w:t>
            </w:r>
            <w:r w:rsidR="00FD0CFA">
              <w:rPr>
                <w:noProof/>
                <w:webHidden/>
              </w:rPr>
              <w:fldChar w:fldCharType="end"/>
            </w:r>
          </w:hyperlink>
        </w:p>
        <w:p w14:paraId="03A5CAB8" w14:textId="45E0BCD2" w:rsidR="00FD0CFA" w:rsidRDefault="00FD0CFA">
          <w:pPr>
            <w:pStyle w:val="TOC2"/>
            <w:tabs>
              <w:tab w:val="left" w:pos="960"/>
              <w:tab w:val="right" w:leader="dot" w:pos="9016"/>
            </w:tabs>
            <w:rPr>
              <w:rFonts w:eastAsiaTheme="minorEastAsia"/>
              <w:noProof/>
              <w:sz w:val="24"/>
              <w:szCs w:val="24"/>
              <w:lang w:eastAsia="en-IN" w:bidi="gu-IN"/>
            </w:rPr>
          </w:pPr>
          <w:hyperlink w:anchor="_Toc235762369" w:history="1">
            <w:r w:rsidRPr="00662223">
              <w:rPr>
                <w:rStyle w:val="Hyperlink"/>
                <w:rFonts w:ascii="Arial" w:hAnsi="Arial" w:cs="Arial"/>
                <w:noProof/>
              </w:rPr>
              <w:t>1.1</w:t>
            </w:r>
            <w:r>
              <w:rPr>
                <w:rFonts w:eastAsiaTheme="minorEastAsia"/>
                <w:noProof/>
                <w:sz w:val="24"/>
                <w:szCs w:val="24"/>
                <w:lang w:eastAsia="en-IN" w:bidi="gu-IN"/>
              </w:rPr>
              <w:tab/>
            </w:r>
            <w:r w:rsidRPr="00662223">
              <w:rPr>
                <w:rStyle w:val="Hyperlink"/>
                <w:rFonts w:ascii="Arial" w:hAnsi="Arial" w:cs="Arial"/>
                <w:noProof/>
                <w:lang w:val="en-US"/>
              </w:rPr>
              <w:t>The Natural Environment</w:t>
            </w:r>
            <w:r w:rsidRPr="00662223">
              <w:rPr>
                <w:rStyle w:val="Hyperlink"/>
                <w:rFonts w:ascii="Arial" w:hAnsi="Arial" w:cs="Arial"/>
                <w:noProof/>
              </w:rPr>
              <w:t>:Climate Imperatives and the circular Economy</w:t>
            </w:r>
            <w:r>
              <w:rPr>
                <w:noProof/>
                <w:webHidden/>
              </w:rPr>
              <w:tab/>
            </w:r>
            <w:r>
              <w:rPr>
                <w:noProof/>
                <w:webHidden/>
              </w:rPr>
              <w:fldChar w:fldCharType="begin"/>
            </w:r>
            <w:r>
              <w:rPr>
                <w:noProof/>
                <w:webHidden/>
              </w:rPr>
              <w:instrText xml:space="preserve"> PAGEREF _Toc235762369 \h </w:instrText>
            </w:r>
            <w:r>
              <w:rPr>
                <w:noProof/>
                <w:webHidden/>
              </w:rPr>
            </w:r>
            <w:r>
              <w:rPr>
                <w:noProof/>
                <w:webHidden/>
              </w:rPr>
              <w:fldChar w:fldCharType="separate"/>
            </w:r>
            <w:r>
              <w:rPr>
                <w:noProof/>
                <w:webHidden/>
              </w:rPr>
              <w:t>3</w:t>
            </w:r>
            <w:r>
              <w:rPr>
                <w:noProof/>
                <w:webHidden/>
              </w:rPr>
              <w:fldChar w:fldCharType="end"/>
            </w:r>
          </w:hyperlink>
        </w:p>
        <w:p w14:paraId="0A5EB237" w14:textId="1821A5FC" w:rsidR="00FD0CFA" w:rsidRDefault="00FD0CFA">
          <w:pPr>
            <w:pStyle w:val="TOC2"/>
            <w:tabs>
              <w:tab w:val="left" w:pos="960"/>
              <w:tab w:val="right" w:leader="dot" w:pos="9016"/>
            </w:tabs>
            <w:rPr>
              <w:rFonts w:eastAsiaTheme="minorEastAsia"/>
              <w:noProof/>
              <w:sz w:val="24"/>
              <w:szCs w:val="24"/>
              <w:lang w:eastAsia="en-IN" w:bidi="gu-IN"/>
            </w:rPr>
          </w:pPr>
          <w:hyperlink w:anchor="_Toc235762370" w:history="1">
            <w:r w:rsidRPr="00662223">
              <w:rPr>
                <w:rStyle w:val="Hyperlink"/>
                <w:rFonts w:ascii="Arial" w:hAnsi="Arial" w:cs="Arial"/>
                <w:noProof/>
              </w:rPr>
              <w:t>1.2</w:t>
            </w:r>
            <w:r>
              <w:rPr>
                <w:rFonts w:eastAsiaTheme="minorEastAsia"/>
                <w:noProof/>
                <w:sz w:val="24"/>
                <w:szCs w:val="24"/>
                <w:lang w:eastAsia="en-IN" w:bidi="gu-IN"/>
              </w:rPr>
              <w:tab/>
            </w:r>
            <w:r w:rsidRPr="00662223">
              <w:rPr>
                <w:rStyle w:val="Hyperlink"/>
                <w:rFonts w:ascii="Arial" w:hAnsi="Arial" w:cs="Arial"/>
                <w:noProof/>
              </w:rPr>
              <w:t>The Political and Legal Environment: State Intervention and Regulatory Frameworks</w:t>
            </w:r>
            <w:r>
              <w:rPr>
                <w:noProof/>
                <w:webHidden/>
              </w:rPr>
              <w:tab/>
            </w:r>
            <w:r>
              <w:rPr>
                <w:noProof/>
                <w:webHidden/>
              </w:rPr>
              <w:fldChar w:fldCharType="begin"/>
            </w:r>
            <w:r>
              <w:rPr>
                <w:noProof/>
                <w:webHidden/>
              </w:rPr>
              <w:instrText xml:space="preserve"> PAGEREF _Toc235762370 \h </w:instrText>
            </w:r>
            <w:r>
              <w:rPr>
                <w:noProof/>
                <w:webHidden/>
              </w:rPr>
            </w:r>
            <w:r>
              <w:rPr>
                <w:noProof/>
                <w:webHidden/>
              </w:rPr>
              <w:fldChar w:fldCharType="separate"/>
            </w:r>
            <w:r>
              <w:rPr>
                <w:noProof/>
                <w:webHidden/>
              </w:rPr>
              <w:t>4</w:t>
            </w:r>
            <w:r>
              <w:rPr>
                <w:noProof/>
                <w:webHidden/>
              </w:rPr>
              <w:fldChar w:fldCharType="end"/>
            </w:r>
          </w:hyperlink>
        </w:p>
        <w:p w14:paraId="6DE79263" w14:textId="613C7DD6" w:rsidR="00FD0CFA" w:rsidRDefault="00FD0CFA">
          <w:pPr>
            <w:pStyle w:val="TOC1"/>
            <w:tabs>
              <w:tab w:val="right" w:leader="dot" w:pos="9016"/>
            </w:tabs>
            <w:rPr>
              <w:rFonts w:eastAsiaTheme="minorEastAsia"/>
              <w:noProof/>
              <w:sz w:val="24"/>
              <w:szCs w:val="24"/>
              <w:lang w:eastAsia="en-IN" w:bidi="gu-IN"/>
            </w:rPr>
          </w:pPr>
          <w:hyperlink w:anchor="_Toc235762371" w:history="1">
            <w:r w:rsidRPr="00662223">
              <w:rPr>
                <w:rStyle w:val="Hyperlink"/>
                <w:rFonts w:ascii="Arial" w:hAnsi="Arial" w:cs="Arial"/>
                <w:noProof/>
              </w:rPr>
              <w:t>2.Task 2: Strategic Growth and Competitive Positioning</w:t>
            </w:r>
            <w:r>
              <w:rPr>
                <w:noProof/>
                <w:webHidden/>
              </w:rPr>
              <w:tab/>
            </w:r>
            <w:r>
              <w:rPr>
                <w:noProof/>
                <w:webHidden/>
              </w:rPr>
              <w:fldChar w:fldCharType="begin"/>
            </w:r>
            <w:r>
              <w:rPr>
                <w:noProof/>
                <w:webHidden/>
              </w:rPr>
              <w:instrText xml:space="preserve"> PAGEREF _Toc235762371 \h </w:instrText>
            </w:r>
            <w:r>
              <w:rPr>
                <w:noProof/>
                <w:webHidden/>
              </w:rPr>
            </w:r>
            <w:r>
              <w:rPr>
                <w:noProof/>
                <w:webHidden/>
              </w:rPr>
              <w:fldChar w:fldCharType="separate"/>
            </w:r>
            <w:r>
              <w:rPr>
                <w:noProof/>
                <w:webHidden/>
              </w:rPr>
              <w:t>5</w:t>
            </w:r>
            <w:r>
              <w:rPr>
                <w:noProof/>
                <w:webHidden/>
              </w:rPr>
              <w:fldChar w:fldCharType="end"/>
            </w:r>
          </w:hyperlink>
        </w:p>
        <w:p w14:paraId="67E7D8D2" w14:textId="6D59590B" w:rsidR="00FD0CFA" w:rsidRDefault="00FD0CFA">
          <w:pPr>
            <w:pStyle w:val="TOC2"/>
            <w:tabs>
              <w:tab w:val="right" w:leader="dot" w:pos="9016"/>
            </w:tabs>
            <w:rPr>
              <w:rFonts w:eastAsiaTheme="minorEastAsia"/>
              <w:noProof/>
              <w:sz w:val="24"/>
              <w:szCs w:val="24"/>
              <w:lang w:eastAsia="en-IN" w:bidi="gu-IN"/>
            </w:rPr>
          </w:pPr>
          <w:hyperlink w:anchor="_Toc235762372" w:history="1">
            <w:r w:rsidRPr="00662223">
              <w:rPr>
                <w:rStyle w:val="Hyperlink"/>
                <w:rFonts w:ascii="Arial" w:hAnsi="Arial" w:cs="Arial"/>
                <w:noProof/>
              </w:rPr>
              <w:t>2.1 Applying the Ansoff Matrix to a Lower-Carbon Transition</w:t>
            </w:r>
            <w:r>
              <w:rPr>
                <w:noProof/>
                <w:webHidden/>
              </w:rPr>
              <w:tab/>
            </w:r>
            <w:r>
              <w:rPr>
                <w:noProof/>
                <w:webHidden/>
              </w:rPr>
              <w:fldChar w:fldCharType="begin"/>
            </w:r>
            <w:r>
              <w:rPr>
                <w:noProof/>
                <w:webHidden/>
              </w:rPr>
              <w:instrText xml:space="preserve"> PAGEREF _Toc235762372 \h </w:instrText>
            </w:r>
            <w:r>
              <w:rPr>
                <w:noProof/>
                <w:webHidden/>
              </w:rPr>
            </w:r>
            <w:r>
              <w:rPr>
                <w:noProof/>
                <w:webHidden/>
              </w:rPr>
              <w:fldChar w:fldCharType="separate"/>
            </w:r>
            <w:r>
              <w:rPr>
                <w:noProof/>
                <w:webHidden/>
              </w:rPr>
              <w:t>5</w:t>
            </w:r>
            <w:r>
              <w:rPr>
                <w:noProof/>
                <w:webHidden/>
              </w:rPr>
              <w:fldChar w:fldCharType="end"/>
            </w:r>
          </w:hyperlink>
        </w:p>
        <w:p w14:paraId="4475F00B" w14:textId="51F8671A" w:rsidR="00FD0CFA" w:rsidRDefault="00FD0CFA">
          <w:pPr>
            <w:pStyle w:val="TOC3"/>
            <w:tabs>
              <w:tab w:val="right" w:leader="dot" w:pos="9016"/>
            </w:tabs>
            <w:rPr>
              <w:rFonts w:eastAsiaTheme="minorEastAsia"/>
              <w:noProof/>
              <w:sz w:val="24"/>
              <w:szCs w:val="24"/>
              <w:lang w:eastAsia="en-IN" w:bidi="gu-IN"/>
            </w:rPr>
          </w:pPr>
          <w:hyperlink w:anchor="_Toc235762373" w:history="1">
            <w:r w:rsidRPr="00662223">
              <w:rPr>
                <w:rStyle w:val="Hyperlink"/>
                <w:rFonts w:ascii="Arial" w:hAnsi="Arial" w:cs="Arial"/>
                <w:noProof/>
              </w:rPr>
              <w:t>2.1.1 Product Development: The Core Engine Of The Green Transition</w:t>
            </w:r>
            <w:r>
              <w:rPr>
                <w:noProof/>
                <w:webHidden/>
              </w:rPr>
              <w:tab/>
            </w:r>
            <w:r>
              <w:rPr>
                <w:noProof/>
                <w:webHidden/>
              </w:rPr>
              <w:fldChar w:fldCharType="begin"/>
            </w:r>
            <w:r>
              <w:rPr>
                <w:noProof/>
                <w:webHidden/>
              </w:rPr>
              <w:instrText xml:space="preserve"> PAGEREF _Toc235762373 \h </w:instrText>
            </w:r>
            <w:r>
              <w:rPr>
                <w:noProof/>
                <w:webHidden/>
              </w:rPr>
            </w:r>
            <w:r>
              <w:rPr>
                <w:noProof/>
                <w:webHidden/>
              </w:rPr>
              <w:fldChar w:fldCharType="separate"/>
            </w:r>
            <w:r>
              <w:rPr>
                <w:noProof/>
                <w:webHidden/>
              </w:rPr>
              <w:t>6</w:t>
            </w:r>
            <w:r>
              <w:rPr>
                <w:noProof/>
                <w:webHidden/>
              </w:rPr>
              <w:fldChar w:fldCharType="end"/>
            </w:r>
          </w:hyperlink>
        </w:p>
        <w:p w14:paraId="7B86A438" w14:textId="07D70A76" w:rsidR="00FD0CFA" w:rsidRDefault="00FD0CFA">
          <w:pPr>
            <w:pStyle w:val="TOC3"/>
            <w:tabs>
              <w:tab w:val="right" w:leader="dot" w:pos="9016"/>
            </w:tabs>
            <w:rPr>
              <w:rFonts w:eastAsiaTheme="minorEastAsia"/>
              <w:noProof/>
              <w:sz w:val="24"/>
              <w:szCs w:val="24"/>
              <w:lang w:eastAsia="en-IN" w:bidi="gu-IN"/>
            </w:rPr>
          </w:pPr>
          <w:hyperlink w:anchor="_Toc235762374" w:history="1">
            <w:r w:rsidRPr="00662223">
              <w:rPr>
                <w:rStyle w:val="Hyperlink"/>
                <w:rFonts w:ascii="Arial" w:hAnsi="Arial" w:cs="Arial"/>
                <w:noProof/>
              </w:rPr>
              <w:t>2.1.2 Diversification: Redefining the Value Chain</w:t>
            </w:r>
            <w:r>
              <w:rPr>
                <w:noProof/>
                <w:webHidden/>
              </w:rPr>
              <w:tab/>
            </w:r>
            <w:r>
              <w:rPr>
                <w:noProof/>
                <w:webHidden/>
              </w:rPr>
              <w:fldChar w:fldCharType="begin"/>
            </w:r>
            <w:r>
              <w:rPr>
                <w:noProof/>
                <w:webHidden/>
              </w:rPr>
              <w:instrText xml:space="preserve"> PAGEREF _Toc235762374 \h </w:instrText>
            </w:r>
            <w:r>
              <w:rPr>
                <w:noProof/>
                <w:webHidden/>
              </w:rPr>
            </w:r>
            <w:r>
              <w:rPr>
                <w:noProof/>
                <w:webHidden/>
              </w:rPr>
              <w:fldChar w:fldCharType="separate"/>
            </w:r>
            <w:r>
              <w:rPr>
                <w:noProof/>
                <w:webHidden/>
              </w:rPr>
              <w:t>7</w:t>
            </w:r>
            <w:r>
              <w:rPr>
                <w:noProof/>
                <w:webHidden/>
              </w:rPr>
              <w:fldChar w:fldCharType="end"/>
            </w:r>
          </w:hyperlink>
        </w:p>
        <w:p w14:paraId="7756EA75" w14:textId="55AC6F60" w:rsidR="00FD0CFA" w:rsidRDefault="00FD0CFA">
          <w:pPr>
            <w:pStyle w:val="TOC3"/>
            <w:tabs>
              <w:tab w:val="right" w:leader="dot" w:pos="9016"/>
            </w:tabs>
            <w:rPr>
              <w:rFonts w:eastAsiaTheme="minorEastAsia"/>
              <w:noProof/>
              <w:sz w:val="24"/>
              <w:szCs w:val="24"/>
              <w:lang w:eastAsia="en-IN" w:bidi="gu-IN"/>
            </w:rPr>
          </w:pPr>
          <w:hyperlink w:anchor="_Toc235762375" w:history="1">
            <w:r w:rsidRPr="00662223">
              <w:rPr>
                <w:rStyle w:val="Hyperlink"/>
                <w:rFonts w:ascii="Arial" w:hAnsi="Arial" w:cs="Arial"/>
                <w:noProof/>
              </w:rPr>
              <w:t>2.1.3 Market Penetration and Market Development</w:t>
            </w:r>
            <w:r>
              <w:rPr>
                <w:noProof/>
                <w:webHidden/>
              </w:rPr>
              <w:tab/>
            </w:r>
            <w:r>
              <w:rPr>
                <w:noProof/>
                <w:webHidden/>
              </w:rPr>
              <w:fldChar w:fldCharType="begin"/>
            </w:r>
            <w:r>
              <w:rPr>
                <w:noProof/>
                <w:webHidden/>
              </w:rPr>
              <w:instrText xml:space="preserve"> PAGEREF _Toc235762375 \h </w:instrText>
            </w:r>
            <w:r>
              <w:rPr>
                <w:noProof/>
                <w:webHidden/>
              </w:rPr>
            </w:r>
            <w:r>
              <w:rPr>
                <w:noProof/>
                <w:webHidden/>
              </w:rPr>
              <w:fldChar w:fldCharType="separate"/>
            </w:r>
            <w:r>
              <w:rPr>
                <w:noProof/>
                <w:webHidden/>
              </w:rPr>
              <w:t>7</w:t>
            </w:r>
            <w:r>
              <w:rPr>
                <w:noProof/>
                <w:webHidden/>
              </w:rPr>
              <w:fldChar w:fldCharType="end"/>
            </w:r>
          </w:hyperlink>
        </w:p>
        <w:p w14:paraId="5C6D7CEB" w14:textId="6464B8F7" w:rsidR="00FD0CFA" w:rsidRDefault="00FD0CFA">
          <w:pPr>
            <w:pStyle w:val="TOC2"/>
            <w:tabs>
              <w:tab w:val="right" w:leader="dot" w:pos="9016"/>
            </w:tabs>
            <w:rPr>
              <w:rFonts w:eastAsiaTheme="minorEastAsia"/>
              <w:noProof/>
              <w:sz w:val="24"/>
              <w:szCs w:val="24"/>
              <w:lang w:eastAsia="en-IN" w:bidi="gu-IN"/>
            </w:rPr>
          </w:pPr>
          <w:hyperlink w:anchor="_Toc235762376" w:history="1">
            <w:r w:rsidRPr="00662223">
              <w:rPr>
                <w:rStyle w:val="Hyperlink"/>
                <w:rFonts w:ascii="Arial" w:hAnsi="Arial" w:cs="Arial"/>
                <w:noProof/>
              </w:rPr>
              <w:t>2.2 Achieving Competitive Advantage via Porter’s Generic Strategies</w:t>
            </w:r>
            <w:r>
              <w:rPr>
                <w:noProof/>
                <w:webHidden/>
              </w:rPr>
              <w:tab/>
            </w:r>
            <w:r>
              <w:rPr>
                <w:noProof/>
                <w:webHidden/>
              </w:rPr>
              <w:fldChar w:fldCharType="begin"/>
            </w:r>
            <w:r>
              <w:rPr>
                <w:noProof/>
                <w:webHidden/>
              </w:rPr>
              <w:instrText xml:space="preserve"> PAGEREF _Toc235762376 \h </w:instrText>
            </w:r>
            <w:r>
              <w:rPr>
                <w:noProof/>
                <w:webHidden/>
              </w:rPr>
            </w:r>
            <w:r>
              <w:rPr>
                <w:noProof/>
                <w:webHidden/>
              </w:rPr>
              <w:fldChar w:fldCharType="separate"/>
            </w:r>
            <w:r>
              <w:rPr>
                <w:noProof/>
                <w:webHidden/>
              </w:rPr>
              <w:t>8</w:t>
            </w:r>
            <w:r>
              <w:rPr>
                <w:noProof/>
                <w:webHidden/>
              </w:rPr>
              <w:fldChar w:fldCharType="end"/>
            </w:r>
          </w:hyperlink>
        </w:p>
        <w:p w14:paraId="6F5E2B4B" w14:textId="5F279817" w:rsidR="00FD0CFA" w:rsidRDefault="00FD0CFA">
          <w:pPr>
            <w:pStyle w:val="TOC1"/>
            <w:tabs>
              <w:tab w:val="right" w:leader="dot" w:pos="9016"/>
            </w:tabs>
            <w:rPr>
              <w:rFonts w:eastAsiaTheme="minorEastAsia"/>
              <w:noProof/>
              <w:sz w:val="24"/>
              <w:szCs w:val="24"/>
              <w:lang w:eastAsia="en-IN" w:bidi="gu-IN"/>
            </w:rPr>
          </w:pPr>
          <w:hyperlink w:anchor="_Toc235762377" w:history="1">
            <w:r w:rsidRPr="00662223">
              <w:rPr>
                <w:rStyle w:val="Hyperlink"/>
                <w:rFonts w:ascii="Arial" w:hAnsi="Arial" w:cs="Arial"/>
                <w:noProof/>
              </w:rPr>
              <w:t>3. Task 3: Critical Reflection On AI Usage</w:t>
            </w:r>
            <w:r>
              <w:rPr>
                <w:noProof/>
                <w:webHidden/>
              </w:rPr>
              <w:tab/>
            </w:r>
            <w:r>
              <w:rPr>
                <w:noProof/>
                <w:webHidden/>
              </w:rPr>
              <w:fldChar w:fldCharType="begin"/>
            </w:r>
            <w:r>
              <w:rPr>
                <w:noProof/>
                <w:webHidden/>
              </w:rPr>
              <w:instrText xml:space="preserve"> PAGEREF _Toc235762377 \h </w:instrText>
            </w:r>
            <w:r>
              <w:rPr>
                <w:noProof/>
                <w:webHidden/>
              </w:rPr>
            </w:r>
            <w:r>
              <w:rPr>
                <w:noProof/>
                <w:webHidden/>
              </w:rPr>
              <w:fldChar w:fldCharType="separate"/>
            </w:r>
            <w:r>
              <w:rPr>
                <w:noProof/>
                <w:webHidden/>
              </w:rPr>
              <w:t>9</w:t>
            </w:r>
            <w:r>
              <w:rPr>
                <w:noProof/>
                <w:webHidden/>
              </w:rPr>
              <w:fldChar w:fldCharType="end"/>
            </w:r>
          </w:hyperlink>
        </w:p>
        <w:p w14:paraId="0AAFD9FB" w14:textId="374544EE" w:rsidR="00FD0CFA" w:rsidRDefault="00FD0CFA">
          <w:pPr>
            <w:pStyle w:val="TOC2"/>
            <w:tabs>
              <w:tab w:val="right" w:leader="dot" w:pos="9016"/>
            </w:tabs>
            <w:rPr>
              <w:rFonts w:eastAsiaTheme="minorEastAsia"/>
              <w:noProof/>
              <w:sz w:val="24"/>
              <w:szCs w:val="24"/>
              <w:lang w:eastAsia="en-IN" w:bidi="gu-IN"/>
            </w:rPr>
          </w:pPr>
          <w:hyperlink w:anchor="_Toc235762378" w:history="1">
            <w:r w:rsidRPr="00662223">
              <w:rPr>
                <w:rStyle w:val="Hyperlink"/>
                <w:rFonts w:ascii="Arial" w:hAnsi="Arial" w:cs="Arial"/>
                <w:noProof/>
              </w:rPr>
              <w:t>3.1 Tool Disclosure</w:t>
            </w:r>
            <w:r>
              <w:rPr>
                <w:noProof/>
                <w:webHidden/>
              </w:rPr>
              <w:tab/>
            </w:r>
            <w:r>
              <w:rPr>
                <w:noProof/>
                <w:webHidden/>
              </w:rPr>
              <w:fldChar w:fldCharType="begin"/>
            </w:r>
            <w:r>
              <w:rPr>
                <w:noProof/>
                <w:webHidden/>
              </w:rPr>
              <w:instrText xml:space="preserve"> PAGEREF _Toc235762378 \h </w:instrText>
            </w:r>
            <w:r>
              <w:rPr>
                <w:noProof/>
                <w:webHidden/>
              </w:rPr>
            </w:r>
            <w:r>
              <w:rPr>
                <w:noProof/>
                <w:webHidden/>
              </w:rPr>
              <w:fldChar w:fldCharType="separate"/>
            </w:r>
            <w:r>
              <w:rPr>
                <w:noProof/>
                <w:webHidden/>
              </w:rPr>
              <w:t>9</w:t>
            </w:r>
            <w:r>
              <w:rPr>
                <w:noProof/>
                <w:webHidden/>
              </w:rPr>
              <w:fldChar w:fldCharType="end"/>
            </w:r>
          </w:hyperlink>
        </w:p>
        <w:p w14:paraId="174A1DDF" w14:textId="6FF5C109" w:rsidR="00FD0CFA" w:rsidRDefault="00FD0CFA">
          <w:pPr>
            <w:pStyle w:val="TOC2"/>
            <w:tabs>
              <w:tab w:val="right" w:leader="dot" w:pos="9016"/>
            </w:tabs>
            <w:rPr>
              <w:rFonts w:eastAsiaTheme="minorEastAsia"/>
              <w:noProof/>
              <w:sz w:val="24"/>
              <w:szCs w:val="24"/>
              <w:lang w:eastAsia="en-IN" w:bidi="gu-IN"/>
            </w:rPr>
          </w:pPr>
          <w:hyperlink w:anchor="_Toc235762379" w:history="1">
            <w:r w:rsidRPr="00662223">
              <w:rPr>
                <w:rStyle w:val="Hyperlink"/>
                <w:rFonts w:ascii="Arial" w:hAnsi="Arial" w:cs="Arial"/>
                <w:noProof/>
              </w:rPr>
              <w:t>3.2 Critical Evaluation of AI Output</w:t>
            </w:r>
            <w:r>
              <w:rPr>
                <w:noProof/>
                <w:webHidden/>
              </w:rPr>
              <w:tab/>
            </w:r>
            <w:r>
              <w:rPr>
                <w:noProof/>
                <w:webHidden/>
              </w:rPr>
              <w:fldChar w:fldCharType="begin"/>
            </w:r>
            <w:r>
              <w:rPr>
                <w:noProof/>
                <w:webHidden/>
              </w:rPr>
              <w:instrText xml:space="preserve"> PAGEREF _Toc235762379 \h </w:instrText>
            </w:r>
            <w:r>
              <w:rPr>
                <w:noProof/>
                <w:webHidden/>
              </w:rPr>
            </w:r>
            <w:r>
              <w:rPr>
                <w:noProof/>
                <w:webHidden/>
              </w:rPr>
              <w:fldChar w:fldCharType="separate"/>
            </w:r>
            <w:r>
              <w:rPr>
                <w:noProof/>
                <w:webHidden/>
              </w:rPr>
              <w:t>9</w:t>
            </w:r>
            <w:r>
              <w:rPr>
                <w:noProof/>
                <w:webHidden/>
              </w:rPr>
              <w:fldChar w:fldCharType="end"/>
            </w:r>
          </w:hyperlink>
        </w:p>
        <w:p w14:paraId="1168A385" w14:textId="653C65E0" w:rsidR="00FD0CFA" w:rsidRDefault="00FD0CFA">
          <w:pPr>
            <w:pStyle w:val="TOC2"/>
            <w:tabs>
              <w:tab w:val="right" w:leader="dot" w:pos="9016"/>
            </w:tabs>
            <w:rPr>
              <w:rFonts w:eastAsiaTheme="minorEastAsia"/>
              <w:noProof/>
              <w:sz w:val="24"/>
              <w:szCs w:val="24"/>
              <w:lang w:eastAsia="en-IN" w:bidi="gu-IN"/>
            </w:rPr>
          </w:pPr>
          <w:hyperlink w:anchor="_Toc235762380" w:history="1">
            <w:r w:rsidRPr="00662223">
              <w:rPr>
                <w:rStyle w:val="Hyperlink"/>
                <w:rFonts w:ascii="Arial" w:hAnsi="Arial" w:cs="Arial"/>
                <w:noProof/>
              </w:rPr>
              <w:t>3.3 Contribution Analysis</w:t>
            </w:r>
            <w:r>
              <w:rPr>
                <w:noProof/>
                <w:webHidden/>
              </w:rPr>
              <w:tab/>
            </w:r>
            <w:r>
              <w:rPr>
                <w:noProof/>
                <w:webHidden/>
              </w:rPr>
              <w:fldChar w:fldCharType="begin"/>
            </w:r>
            <w:r>
              <w:rPr>
                <w:noProof/>
                <w:webHidden/>
              </w:rPr>
              <w:instrText xml:space="preserve"> PAGEREF _Toc235762380 \h </w:instrText>
            </w:r>
            <w:r>
              <w:rPr>
                <w:noProof/>
                <w:webHidden/>
              </w:rPr>
            </w:r>
            <w:r>
              <w:rPr>
                <w:noProof/>
                <w:webHidden/>
              </w:rPr>
              <w:fldChar w:fldCharType="separate"/>
            </w:r>
            <w:r>
              <w:rPr>
                <w:noProof/>
                <w:webHidden/>
              </w:rPr>
              <w:t>9</w:t>
            </w:r>
            <w:r>
              <w:rPr>
                <w:noProof/>
                <w:webHidden/>
              </w:rPr>
              <w:fldChar w:fldCharType="end"/>
            </w:r>
          </w:hyperlink>
        </w:p>
        <w:p w14:paraId="7655DEEF" w14:textId="52259E39" w:rsidR="00FD0CFA" w:rsidRDefault="00FD0CFA">
          <w:pPr>
            <w:pStyle w:val="TOC2"/>
            <w:tabs>
              <w:tab w:val="right" w:leader="dot" w:pos="9016"/>
            </w:tabs>
            <w:rPr>
              <w:rFonts w:eastAsiaTheme="minorEastAsia"/>
              <w:noProof/>
              <w:sz w:val="24"/>
              <w:szCs w:val="24"/>
              <w:lang w:eastAsia="en-IN" w:bidi="gu-IN"/>
            </w:rPr>
          </w:pPr>
          <w:hyperlink w:anchor="_Toc235762381" w:history="1">
            <w:r w:rsidRPr="00662223">
              <w:rPr>
                <w:rStyle w:val="Hyperlink"/>
                <w:rFonts w:ascii="Arial" w:hAnsi="Arial" w:cs="Arial"/>
                <w:noProof/>
              </w:rPr>
              <w:t>3.4 Ethical &amp; Professional Reflection</w:t>
            </w:r>
            <w:r>
              <w:rPr>
                <w:noProof/>
                <w:webHidden/>
              </w:rPr>
              <w:tab/>
            </w:r>
            <w:r>
              <w:rPr>
                <w:noProof/>
                <w:webHidden/>
              </w:rPr>
              <w:fldChar w:fldCharType="begin"/>
            </w:r>
            <w:r>
              <w:rPr>
                <w:noProof/>
                <w:webHidden/>
              </w:rPr>
              <w:instrText xml:space="preserve"> PAGEREF _Toc235762381 \h </w:instrText>
            </w:r>
            <w:r>
              <w:rPr>
                <w:noProof/>
                <w:webHidden/>
              </w:rPr>
            </w:r>
            <w:r>
              <w:rPr>
                <w:noProof/>
                <w:webHidden/>
              </w:rPr>
              <w:fldChar w:fldCharType="separate"/>
            </w:r>
            <w:r>
              <w:rPr>
                <w:noProof/>
                <w:webHidden/>
              </w:rPr>
              <w:t>9</w:t>
            </w:r>
            <w:r>
              <w:rPr>
                <w:noProof/>
                <w:webHidden/>
              </w:rPr>
              <w:fldChar w:fldCharType="end"/>
            </w:r>
          </w:hyperlink>
        </w:p>
        <w:p w14:paraId="57566AD0" w14:textId="45B790FD" w:rsidR="00FD0CFA" w:rsidRDefault="00FD0CFA">
          <w:pPr>
            <w:pStyle w:val="TOC1"/>
            <w:tabs>
              <w:tab w:val="right" w:leader="dot" w:pos="9016"/>
            </w:tabs>
            <w:rPr>
              <w:rFonts w:eastAsiaTheme="minorEastAsia"/>
              <w:noProof/>
              <w:sz w:val="24"/>
              <w:szCs w:val="24"/>
              <w:lang w:eastAsia="en-IN" w:bidi="gu-IN"/>
            </w:rPr>
          </w:pPr>
          <w:hyperlink w:anchor="_Toc235762382" w:history="1">
            <w:r w:rsidRPr="00662223">
              <w:rPr>
                <w:rStyle w:val="Hyperlink"/>
                <w:rFonts w:ascii="Arial" w:hAnsi="Arial" w:cs="Arial"/>
                <w:noProof/>
              </w:rPr>
              <w:t>References</w:t>
            </w:r>
            <w:r>
              <w:rPr>
                <w:noProof/>
                <w:webHidden/>
              </w:rPr>
              <w:tab/>
            </w:r>
            <w:r>
              <w:rPr>
                <w:noProof/>
                <w:webHidden/>
              </w:rPr>
              <w:fldChar w:fldCharType="begin"/>
            </w:r>
            <w:r>
              <w:rPr>
                <w:noProof/>
                <w:webHidden/>
              </w:rPr>
              <w:instrText xml:space="preserve"> PAGEREF _Toc235762382 \h </w:instrText>
            </w:r>
            <w:r>
              <w:rPr>
                <w:noProof/>
                <w:webHidden/>
              </w:rPr>
            </w:r>
            <w:r>
              <w:rPr>
                <w:noProof/>
                <w:webHidden/>
              </w:rPr>
              <w:fldChar w:fldCharType="separate"/>
            </w:r>
            <w:r>
              <w:rPr>
                <w:noProof/>
                <w:webHidden/>
              </w:rPr>
              <w:t>10</w:t>
            </w:r>
            <w:r>
              <w:rPr>
                <w:noProof/>
                <w:webHidden/>
              </w:rPr>
              <w:fldChar w:fldCharType="end"/>
            </w:r>
          </w:hyperlink>
        </w:p>
        <w:p w14:paraId="035EFA22" w14:textId="294C8E4C" w:rsidR="0058628A" w:rsidRPr="00DE3D44" w:rsidRDefault="0058628A" w:rsidP="0058628A">
          <w:pPr>
            <w:rPr>
              <w:rFonts w:ascii="Arial" w:hAnsi="Arial" w:cs="Arial"/>
              <w:b/>
              <w:bCs/>
              <w:noProof/>
            </w:rPr>
          </w:pPr>
          <w:r w:rsidRPr="00DE3D44">
            <w:rPr>
              <w:rFonts w:ascii="Arial" w:hAnsi="Arial" w:cs="Arial"/>
              <w:b/>
              <w:bCs/>
              <w:noProof/>
            </w:rPr>
            <w:fldChar w:fldCharType="end"/>
          </w:r>
        </w:p>
      </w:sdtContent>
    </w:sdt>
    <w:p w14:paraId="12425630" w14:textId="77777777" w:rsidR="007C2623" w:rsidRPr="00DE3D44" w:rsidRDefault="007C2623" w:rsidP="0058628A">
      <w:pPr>
        <w:rPr>
          <w:rFonts w:ascii="Arial" w:hAnsi="Arial" w:cs="Arial"/>
          <w:b/>
          <w:bCs/>
          <w:noProof/>
        </w:rPr>
      </w:pPr>
    </w:p>
    <w:p w14:paraId="60FA43FA" w14:textId="77777777" w:rsidR="007C2623" w:rsidRPr="00DE3D44" w:rsidRDefault="007C2623" w:rsidP="0058628A">
      <w:pPr>
        <w:rPr>
          <w:rFonts w:ascii="Arial" w:hAnsi="Arial" w:cs="Arial"/>
          <w:b/>
          <w:bCs/>
          <w:noProof/>
        </w:rPr>
      </w:pPr>
    </w:p>
    <w:p w14:paraId="1C718D10" w14:textId="77777777" w:rsidR="007C2623" w:rsidRPr="00DE3D44" w:rsidRDefault="007C2623" w:rsidP="0058628A">
      <w:pPr>
        <w:rPr>
          <w:rFonts w:ascii="Arial" w:hAnsi="Arial" w:cs="Arial"/>
          <w:b/>
          <w:bCs/>
          <w:noProof/>
        </w:rPr>
      </w:pPr>
    </w:p>
    <w:p w14:paraId="5AD37CDE" w14:textId="77777777" w:rsidR="007C2623" w:rsidRPr="00DE3D44" w:rsidRDefault="007C2623" w:rsidP="0058628A">
      <w:pPr>
        <w:rPr>
          <w:rFonts w:ascii="Arial" w:hAnsi="Arial" w:cs="Arial"/>
          <w:b/>
          <w:bCs/>
          <w:noProof/>
        </w:rPr>
      </w:pPr>
    </w:p>
    <w:p w14:paraId="2163483F" w14:textId="77777777" w:rsidR="007C2623" w:rsidRPr="00DE3D44" w:rsidRDefault="007C2623" w:rsidP="0058628A">
      <w:pPr>
        <w:rPr>
          <w:rFonts w:ascii="Arial" w:hAnsi="Arial" w:cs="Arial"/>
          <w:b/>
          <w:bCs/>
          <w:noProof/>
        </w:rPr>
      </w:pPr>
    </w:p>
    <w:p w14:paraId="381008BF" w14:textId="77777777" w:rsidR="007C2623" w:rsidRPr="00DE3D44" w:rsidRDefault="007C2623" w:rsidP="0058628A">
      <w:pPr>
        <w:rPr>
          <w:rFonts w:ascii="Arial" w:hAnsi="Arial" w:cs="Arial"/>
          <w:b/>
          <w:bCs/>
          <w:noProof/>
        </w:rPr>
      </w:pPr>
    </w:p>
    <w:p w14:paraId="13DA106A" w14:textId="77777777" w:rsidR="007C2623" w:rsidRPr="00DE3D44" w:rsidRDefault="007C2623" w:rsidP="0058628A">
      <w:pPr>
        <w:rPr>
          <w:rFonts w:ascii="Arial" w:hAnsi="Arial" w:cs="Arial"/>
          <w:b/>
          <w:bCs/>
          <w:noProof/>
        </w:rPr>
      </w:pPr>
    </w:p>
    <w:p w14:paraId="44EDECF0" w14:textId="77777777" w:rsidR="007C2623" w:rsidRPr="00DE3D44" w:rsidRDefault="007C2623" w:rsidP="0058628A">
      <w:pPr>
        <w:rPr>
          <w:rFonts w:ascii="Arial" w:hAnsi="Arial" w:cs="Arial"/>
          <w:b/>
          <w:bCs/>
          <w:noProof/>
        </w:rPr>
      </w:pPr>
    </w:p>
    <w:p w14:paraId="3022AC70" w14:textId="77777777" w:rsidR="007C2623" w:rsidRPr="00DE3D44" w:rsidRDefault="007C2623" w:rsidP="0058628A">
      <w:pPr>
        <w:rPr>
          <w:rFonts w:ascii="Arial" w:hAnsi="Arial" w:cs="Arial"/>
          <w:b/>
          <w:bCs/>
          <w:noProof/>
        </w:rPr>
      </w:pPr>
    </w:p>
    <w:p w14:paraId="049DB586" w14:textId="77777777" w:rsidR="007C2623" w:rsidRPr="00DE3D44" w:rsidRDefault="007C2623" w:rsidP="0058628A">
      <w:pPr>
        <w:rPr>
          <w:rFonts w:ascii="Arial" w:hAnsi="Arial" w:cs="Arial"/>
          <w:b/>
          <w:bCs/>
          <w:noProof/>
        </w:rPr>
      </w:pPr>
    </w:p>
    <w:p w14:paraId="0D46FEAC" w14:textId="77777777" w:rsidR="007C2623" w:rsidRPr="00DE3D44" w:rsidRDefault="007C2623" w:rsidP="0058628A">
      <w:pPr>
        <w:rPr>
          <w:rFonts w:ascii="Arial" w:hAnsi="Arial" w:cs="Arial"/>
          <w:b/>
          <w:bCs/>
          <w:noProof/>
        </w:rPr>
      </w:pPr>
    </w:p>
    <w:p w14:paraId="77AEDD41" w14:textId="77777777" w:rsidR="007C2623" w:rsidRPr="00DE3D44" w:rsidRDefault="007C2623" w:rsidP="0058628A">
      <w:pPr>
        <w:rPr>
          <w:rFonts w:ascii="Arial" w:hAnsi="Arial" w:cs="Arial"/>
          <w:b/>
          <w:bCs/>
          <w:noProof/>
        </w:rPr>
      </w:pPr>
    </w:p>
    <w:p w14:paraId="7AD450A8" w14:textId="77777777" w:rsidR="007C2623" w:rsidRPr="00DE3D44" w:rsidRDefault="007C2623" w:rsidP="0058628A">
      <w:pPr>
        <w:rPr>
          <w:rFonts w:ascii="Arial" w:hAnsi="Arial" w:cs="Arial"/>
          <w:b/>
          <w:bCs/>
          <w:noProof/>
        </w:rPr>
      </w:pPr>
    </w:p>
    <w:p w14:paraId="057C8FA1" w14:textId="77777777" w:rsidR="007C2623" w:rsidRPr="00DE3D44" w:rsidRDefault="007C2623" w:rsidP="0058628A">
      <w:pPr>
        <w:rPr>
          <w:rFonts w:ascii="Arial" w:hAnsi="Arial" w:cs="Arial"/>
          <w:b/>
          <w:bCs/>
          <w:noProof/>
        </w:rPr>
      </w:pPr>
    </w:p>
    <w:p w14:paraId="2CA2E790" w14:textId="77777777" w:rsidR="007C2623" w:rsidRPr="00DE3D44" w:rsidRDefault="007C2623" w:rsidP="0058628A">
      <w:pPr>
        <w:rPr>
          <w:rFonts w:ascii="Arial" w:hAnsi="Arial" w:cs="Arial"/>
          <w:b/>
          <w:bCs/>
          <w:noProof/>
        </w:rPr>
      </w:pPr>
    </w:p>
    <w:p w14:paraId="1FB84CD0" w14:textId="77777777" w:rsidR="007C2623" w:rsidRPr="00DE3D44" w:rsidRDefault="007C2623" w:rsidP="0058628A">
      <w:pPr>
        <w:rPr>
          <w:rFonts w:ascii="Arial" w:hAnsi="Arial" w:cs="Arial"/>
        </w:rPr>
      </w:pPr>
    </w:p>
    <w:p w14:paraId="6A38A063" w14:textId="7CBBDA2C" w:rsidR="0058628A" w:rsidRPr="00DE3D44" w:rsidRDefault="00FC2252" w:rsidP="00FC2252">
      <w:pPr>
        <w:pStyle w:val="Heading1"/>
        <w:rPr>
          <w:rFonts w:ascii="Arial" w:hAnsi="Arial" w:cs="Arial"/>
          <w:lang w:val="en-US"/>
        </w:rPr>
      </w:pPr>
      <w:bookmarkStart w:id="0" w:name="_Toc235762368"/>
      <w:r w:rsidRPr="00DE3D44">
        <w:rPr>
          <w:rFonts w:ascii="Arial" w:hAnsi="Arial" w:cs="Arial"/>
          <w:lang w:val="en-US"/>
        </w:rPr>
        <w:lastRenderedPageBreak/>
        <w:t>1.</w:t>
      </w:r>
      <w:r w:rsidR="0058628A" w:rsidRPr="00DE3D44">
        <w:rPr>
          <w:rFonts w:ascii="Arial" w:hAnsi="Arial" w:cs="Arial"/>
          <w:lang w:val="en-US"/>
        </w:rPr>
        <w:t>Task</w:t>
      </w:r>
      <w:r w:rsidR="00AB1385" w:rsidRPr="00DE3D44">
        <w:rPr>
          <w:rFonts w:ascii="Arial" w:hAnsi="Arial" w:cs="Arial"/>
          <w:lang w:val="en-US"/>
        </w:rPr>
        <w:t>1: Marketing</w:t>
      </w:r>
      <w:r w:rsidR="0058628A" w:rsidRPr="00DE3D44">
        <w:rPr>
          <w:rFonts w:ascii="Arial" w:hAnsi="Arial" w:cs="Arial"/>
          <w:lang w:val="en-US"/>
        </w:rPr>
        <w:t xml:space="preserve"> Environment Analysis</w:t>
      </w:r>
      <w:bookmarkEnd w:id="0"/>
    </w:p>
    <w:p w14:paraId="5EF2216D" w14:textId="6F055CB3" w:rsidR="0058628A" w:rsidRPr="00DE3D44" w:rsidRDefault="007C2623" w:rsidP="00671DEE">
      <w:pPr>
        <w:ind w:left="360"/>
        <w:rPr>
          <w:rFonts w:ascii="Arial" w:hAnsi="Arial" w:cs="Arial"/>
        </w:rPr>
      </w:pPr>
      <w:r w:rsidRPr="00DE3D44">
        <w:rPr>
          <w:rFonts w:ascii="Arial" w:hAnsi="Arial" w:cs="Arial"/>
          <w:lang w:val="en-US"/>
        </w:rPr>
        <w:t xml:space="preserve">The global mining and metals sector is currently undergoing the most significant paradigm change in its history, moving from a low to moderate sustainable </w:t>
      </w:r>
      <w:r w:rsidR="00D9436B" w:rsidRPr="00DE3D44">
        <w:rPr>
          <w:rFonts w:ascii="Arial" w:hAnsi="Arial" w:cs="Arial"/>
          <w:lang w:val="en-US"/>
        </w:rPr>
        <w:t>future with lower greenhouse gas emissions</w:t>
      </w:r>
      <w:r w:rsidR="00082AE3" w:rsidRPr="00DE3D44">
        <w:rPr>
          <w:rFonts w:ascii="Arial" w:hAnsi="Arial" w:cs="Arial"/>
          <w:lang w:val="en-US"/>
        </w:rPr>
        <w:t xml:space="preserve"> to a sustainable high energy intensity with significant GHG emissions reductions.it is noteworthy that Tata Steel, a sizable international steel corporation with substantial operations in the </w:t>
      </w:r>
      <w:proofErr w:type="spellStart"/>
      <w:r w:rsidR="00082AE3" w:rsidRPr="00DE3D44">
        <w:rPr>
          <w:rFonts w:ascii="Arial" w:hAnsi="Arial" w:cs="Arial"/>
          <w:lang w:val="en-US"/>
        </w:rPr>
        <w:t>Net</w:t>
      </w:r>
      <w:r w:rsidR="003D1D00" w:rsidRPr="00DE3D44">
        <w:rPr>
          <w:rFonts w:ascii="Arial" w:hAnsi="Arial" w:cs="Arial"/>
          <w:lang w:val="en-US"/>
        </w:rPr>
        <w:t>herlands,the</w:t>
      </w:r>
      <w:proofErr w:type="spellEnd"/>
      <w:r w:rsidR="003D1D00" w:rsidRPr="00DE3D44">
        <w:rPr>
          <w:rFonts w:ascii="Arial" w:hAnsi="Arial" w:cs="Arial"/>
          <w:lang w:val="en-US"/>
        </w:rPr>
        <w:t xml:space="preserve"> United </w:t>
      </w:r>
      <w:proofErr w:type="spellStart"/>
      <w:r w:rsidR="003D1D00" w:rsidRPr="00DE3D44">
        <w:rPr>
          <w:rFonts w:ascii="Arial" w:hAnsi="Arial" w:cs="Arial"/>
          <w:lang w:val="en-US"/>
        </w:rPr>
        <w:t>Kingdom,and</w:t>
      </w:r>
      <w:proofErr w:type="spellEnd"/>
      <w:r w:rsidR="003D1D00" w:rsidRPr="00DE3D44">
        <w:rPr>
          <w:rFonts w:ascii="Arial" w:hAnsi="Arial" w:cs="Arial"/>
          <w:lang w:val="en-US"/>
        </w:rPr>
        <w:t xml:space="preserve"> </w:t>
      </w:r>
      <w:proofErr w:type="spellStart"/>
      <w:r w:rsidR="003D1D00" w:rsidRPr="00DE3D44">
        <w:rPr>
          <w:rFonts w:ascii="Arial" w:hAnsi="Arial" w:cs="Arial"/>
          <w:lang w:val="en-US"/>
        </w:rPr>
        <w:t>india</w:t>
      </w:r>
      <w:proofErr w:type="spellEnd"/>
      <w:r w:rsidR="003D1D00" w:rsidRPr="00DE3D44">
        <w:rPr>
          <w:rFonts w:ascii="Arial" w:hAnsi="Arial" w:cs="Arial"/>
          <w:lang w:val="en-US"/>
        </w:rPr>
        <w:t xml:space="preserve">, serves as an example of this industrial </w:t>
      </w:r>
      <w:proofErr w:type="spellStart"/>
      <w:r w:rsidR="003D1D00" w:rsidRPr="00DE3D44">
        <w:rPr>
          <w:rFonts w:ascii="Arial" w:hAnsi="Arial" w:cs="Arial"/>
          <w:lang w:val="en-US"/>
        </w:rPr>
        <w:t>development.with</w:t>
      </w:r>
      <w:proofErr w:type="spellEnd"/>
      <w:r w:rsidR="003D1D00" w:rsidRPr="00DE3D44">
        <w:rPr>
          <w:rFonts w:ascii="Arial" w:hAnsi="Arial" w:cs="Arial"/>
          <w:lang w:val="en-US"/>
        </w:rPr>
        <w:t xml:space="preserve"> the goal of achieving net zero steel production by 2045 in Europe and 2050 in </w:t>
      </w:r>
      <w:proofErr w:type="spellStart"/>
      <w:r w:rsidR="003D1D00" w:rsidRPr="00DE3D44">
        <w:rPr>
          <w:rFonts w:ascii="Arial" w:hAnsi="Arial" w:cs="Arial"/>
          <w:lang w:val="en-US"/>
        </w:rPr>
        <w:t>india,the</w:t>
      </w:r>
      <w:proofErr w:type="spellEnd"/>
      <w:r w:rsidR="003D1D00" w:rsidRPr="00DE3D44">
        <w:rPr>
          <w:rFonts w:ascii="Arial" w:hAnsi="Arial" w:cs="Arial"/>
          <w:lang w:val="en-US"/>
        </w:rPr>
        <w:t xml:space="preserve"> corporation is undergoing a massive strategic shift to satisfy global sustainability standards. It entails a thorough awareness of the external marketing environment and rigorous assessment of the macro</w:t>
      </w:r>
      <w:r w:rsidR="009A4DFC" w:rsidRPr="00DE3D44">
        <w:rPr>
          <w:rFonts w:ascii="Arial" w:hAnsi="Arial" w:cs="Arial"/>
          <w:lang w:val="en-US"/>
        </w:rPr>
        <w:t>environmental factors influencing the shift.</w:t>
      </w:r>
      <w:r w:rsidR="00082AE3" w:rsidRPr="00DE3D44">
        <w:rPr>
          <w:rFonts w:ascii="Arial" w:hAnsi="Arial" w:cs="Arial"/>
          <w:lang w:val="en-US"/>
        </w:rPr>
        <w:t xml:space="preserve"> </w:t>
      </w:r>
      <w:r w:rsidR="009A4DFC" w:rsidRPr="00DE3D44">
        <w:rPr>
          <w:rFonts w:ascii="Arial" w:hAnsi="Arial" w:cs="Arial"/>
          <w:lang w:val="en-US"/>
        </w:rPr>
        <w:t xml:space="preserve">The Natural </w:t>
      </w:r>
      <w:r w:rsidR="00671DEE" w:rsidRPr="00DE3D44">
        <w:rPr>
          <w:rFonts w:ascii="Arial" w:hAnsi="Arial" w:cs="Arial"/>
          <w:lang w:val="en-US"/>
        </w:rPr>
        <w:t xml:space="preserve">environment </w:t>
      </w:r>
      <w:r w:rsidR="00671DEE" w:rsidRPr="00DE3D44">
        <w:rPr>
          <w:rFonts w:ascii="Arial" w:hAnsi="Arial" w:cs="Arial"/>
        </w:rPr>
        <w:t xml:space="preserve">is the primary driver of change in the </w:t>
      </w:r>
      <w:proofErr w:type="gramStart"/>
      <w:r w:rsidR="00671DEE" w:rsidRPr="00DE3D44">
        <w:rPr>
          <w:rFonts w:ascii="Arial" w:hAnsi="Arial" w:cs="Arial"/>
        </w:rPr>
        <w:t>research,</w:t>
      </w:r>
      <w:proofErr w:type="gramEnd"/>
      <w:r w:rsidR="00671DEE" w:rsidRPr="00DE3D44">
        <w:rPr>
          <w:rFonts w:ascii="Arial" w:hAnsi="Arial" w:cs="Arial"/>
        </w:rPr>
        <w:t xml:space="preserve"> the Political and Legal Environment is also taken into consideration as the financial and regulatory framework that must be in place for change to occur.</w:t>
      </w:r>
    </w:p>
    <w:p w14:paraId="6A40B4E1" w14:textId="5D0B0B9D" w:rsidR="00FC2252" w:rsidRPr="00DE3D44" w:rsidRDefault="00671DEE" w:rsidP="00FC2252">
      <w:pPr>
        <w:pStyle w:val="Heading2"/>
        <w:numPr>
          <w:ilvl w:val="1"/>
          <w:numId w:val="3"/>
        </w:numPr>
        <w:rPr>
          <w:rFonts w:ascii="Arial" w:hAnsi="Arial" w:cs="Arial"/>
        </w:rPr>
      </w:pPr>
      <w:bookmarkStart w:id="1" w:name="_Toc235762369"/>
      <w:r w:rsidRPr="00DE3D44">
        <w:rPr>
          <w:rFonts w:ascii="Arial" w:hAnsi="Arial" w:cs="Arial"/>
          <w:lang w:val="en-US"/>
        </w:rPr>
        <w:t xml:space="preserve">The Natural </w:t>
      </w:r>
      <w:proofErr w:type="gramStart"/>
      <w:r w:rsidRPr="00DE3D44">
        <w:rPr>
          <w:rFonts w:ascii="Arial" w:hAnsi="Arial" w:cs="Arial"/>
          <w:lang w:val="en-US"/>
        </w:rPr>
        <w:t>Environment</w:t>
      </w:r>
      <w:r w:rsidRPr="00DE3D44">
        <w:rPr>
          <w:rFonts w:ascii="Arial" w:hAnsi="Arial" w:cs="Arial"/>
        </w:rPr>
        <w:t>:Climate</w:t>
      </w:r>
      <w:proofErr w:type="gramEnd"/>
      <w:r w:rsidRPr="00DE3D44">
        <w:rPr>
          <w:rFonts w:ascii="Arial" w:hAnsi="Arial" w:cs="Arial"/>
        </w:rPr>
        <w:t xml:space="preserve"> Imperatives and the circular </w:t>
      </w:r>
      <w:proofErr w:type="gramStart"/>
      <w:r w:rsidRPr="00DE3D44">
        <w:rPr>
          <w:rFonts w:ascii="Arial" w:hAnsi="Arial" w:cs="Arial"/>
        </w:rPr>
        <w:t>Economy</w:t>
      </w:r>
      <w:bookmarkEnd w:id="1"/>
      <w:proofErr w:type="gramEnd"/>
    </w:p>
    <w:p w14:paraId="0CD7135E" w14:textId="2C9C4B54" w:rsidR="00AE418A" w:rsidRPr="00DE3D44" w:rsidRDefault="00FC2252" w:rsidP="00AE418A">
      <w:pPr>
        <w:rPr>
          <w:rFonts w:ascii="Arial" w:hAnsi="Arial" w:cs="Arial"/>
        </w:rPr>
      </w:pPr>
      <w:r w:rsidRPr="00DE3D44">
        <w:rPr>
          <w:rFonts w:ascii="Arial" w:hAnsi="Arial" w:cs="Arial"/>
        </w:rPr>
        <w:t xml:space="preserve"> </w:t>
      </w:r>
      <w:r w:rsidR="008A7860" w:rsidRPr="00DE3D44">
        <w:rPr>
          <w:rFonts w:ascii="Arial" w:hAnsi="Arial" w:cs="Arial"/>
        </w:rPr>
        <w:t xml:space="preserve"> The physical surroundings and natural resources that are either impacted by or required as input by marketers are related to the natural environment </w:t>
      </w:r>
      <w:r w:rsidR="00450B0C" w:rsidRPr="00DE3D44">
        <w:rPr>
          <w:rFonts w:ascii="Arial" w:hAnsi="Arial" w:cs="Arial"/>
        </w:rPr>
        <w:t>actor. For big industrial companies like Tata Steel The natural environment is not an external force like wind, rather it is the primary battleground and the deciding factor for their future viability. The conventional method of producing steel is highly reliant on the use of coal powered blast furnace and it is detrimental to the environment. For instance, with about 2% of the UK’s yearly carbon emissions, Tata Steel Company situated in south Wales has historically been the country’s biggest CO2 emitter</w:t>
      </w:r>
      <w:r w:rsidR="001A61E6" w:rsidRPr="00DE3D44">
        <w:rPr>
          <w:rFonts w:ascii="Arial" w:hAnsi="Arial" w:cs="Arial"/>
        </w:rPr>
        <w:t>.</w:t>
      </w:r>
    </w:p>
    <w:p w14:paraId="320EBE56" w14:textId="4D17FEF1" w:rsidR="00AE418A" w:rsidRPr="00DE3D44" w:rsidRDefault="00AE418A" w:rsidP="00AE418A">
      <w:pPr>
        <w:rPr>
          <w:rFonts w:ascii="Arial" w:hAnsi="Arial" w:cs="Arial"/>
        </w:rPr>
      </w:pPr>
      <w:r w:rsidRPr="00DE3D44">
        <w:rPr>
          <w:rFonts w:ascii="Arial" w:hAnsi="Arial" w:cs="Arial"/>
        </w:rPr>
        <w:t>Tata Steel's shift is primarily being driven by climate change and the existential necessity to substantially reduce carbon emissions. In order to update its blast furnaces, which are operating at nearly maximum efficiency in Port Talbot, Tata Steel is investing in the newest Electric Arc Furnace (EAF) technology. In response, Tata Steel plans to update the blast furnaces at Port Talbot with the newest Electric Arc Furnace (EAF) technology, which are the oldest and most carbon-intensive while operating at maximum efficiency. With a decrease of up to 90% in the site's direct CO2 emissions, this extraordinary technological advancement is predicted to reduce the UK's industrial carbon emissions by 8%.</w:t>
      </w:r>
    </w:p>
    <w:p w14:paraId="0467D27D" w14:textId="77777777" w:rsidR="00AE418A" w:rsidRPr="00DE3D44" w:rsidRDefault="00AE418A" w:rsidP="00AE418A">
      <w:pPr>
        <w:rPr>
          <w:rFonts w:ascii="Arial" w:hAnsi="Arial" w:cs="Arial"/>
        </w:rPr>
      </w:pPr>
      <w:r w:rsidRPr="00DE3D44">
        <w:rPr>
          <w:rFonts w:ascii="Arial" w:hAnsi="Arial" w:cs="Arial"/>
        </w:rPr>
        <w:t xml:space="preserve">Furthermore, the natural environment is clearly changing from a linear economy </w:t>
      </w:r>
      <w:proofErr w:type="spellStart"/>
      <w:r w:rsidRPr="00DE3D44">
        <w:rPr>
          <w:rFonts w:ascii="Arial" w:hAnsi="Arial" w:cs="Arial"/>
        </w:rPr>
        <w:t>centered</w:t>
      </w:r>
      <w:proofErr w:type="spellEnd"/>
      <w:r w:rsidRPr="00DE3D44">
        <w:rPr>
          <w:rFonts w:ascii="Arial" w:hAnsi="Arial" w:cs="Arial"/>
        </w:rPr>
        <w:t xml:space="preserve"> on resource consumption to a circular economy with decentralized raw material usage. The utilization of imported virgin iron ore and metallurgical coal, which have enormous ecological footprints along the way, is crucial to the traditional blast furnace route. However, the conversion to EAF technology is mostly reliant on the usage of recyclable scrap steel and power. Every year, the UK sells a large amount of surplus steel overseas. The new EAF will consume up to 2-2.5 million tons of domestic scrap steel per year. International logistics and worldwide mining are greatly relieved by this development.</w:t>
      </w:r>
    </w:p>
    <w:p w14:paraId="3E60D175" w14:textId="4E3A708B" w:rsidR="00314595" w:rsidRPr="00DE3D44" w:rsidRDefault="00314595" w:rsidP="00314595">
      <w:pPr>
        <w:rPr>
          <w:rFonts w:ascii="Arial" w:hAnsi="Arial" w:cs="Arial"/>
        </w:rPr>
      </w:pPr>
      <w:r w:rsidRPr="00DE3D44">
        <w:rPr>
          <w:rFonts w:ascii="Arial" w:hAnsi="Arial" w:cs="Arial"/>
        </w:rPr>
        <w:t>All of Tata Steel's global operations reflect this move towards circularity and emission reduction. Tata Steel plans to increase the usage of scrap steel in the Netherlands from 17% to 30% by 2030. This will result in a reduction in the use of basic raw materials and a significant reduction in the energy required for pre-processing. The natural environment study should consider local effects on the environment, such as biodiversity and air quality, in addition to carbon and material inputs.</w:t>
      </w:r>
      <w:r w:rsidRPr="00DE3D44">
        <w:rPr>
          <w:rFonts w:ascii="Arial" w:eastAsia="Times New Roman" w:hAnsi="Arial" w:cs="Arial"/>
          <w:kern w:val="0"/>
          <w:sz w:val="24"/>
          <w:szCs w:val="24"/>
          <w:lang w:eastAsia="en-IN" w:bidi="gu-IN"/>
          <w14:ligatures w14:val="none"/>
        </w:rPr>
        <w:t xml:space="preserve"> </w:t>
      </w:r>
      <w:r w:rsidRPr="00DE3D44">
        <w:rPr>
          <w:rFonts w:ascii="Arial" w:hAnsi="Arial" w:cs="Arial"/>
        </w:rPr>
        <w:t xml:space="preserve">At Port Talbot, switching to EAF technology is </w:t>
      </w:r>
      <w:r w:rsidRPr="00DE3D44">
        <w:rPr>
          <w:rFonts w:ascii="Arial" w:hAnsi="Arial" w:cs="Arial"/>
        </w:rPr>
        <w:lastRenderedPageBreak/>
        <w:t xml:space="preserve">expected to reduce dust emissions by up to 90% and nitrogen oxides (NOx) by a significant amount. Additionally, the impact on biodiversity will be more than 80% positive because the highly polluting processes of coking and sintering will no longer occur. Similarly, the Netherlands' first "Roadmap Plus" project, which involves building the biggest </w:t>
      </w:r>
      <w:proofErr w:type="spellStart"/>
      <w:r w:rsidRPr="00DE3D44">
        <w:rPr>
          <w:rFonts w:ascii="Arial" w:hAnsi="Arial" w:cs="Arial"/>
        </w:rPr>
        <w:t>DeNOx</w:t>
      </w:r>
      <w:proofErr w:type="spellEnd"/>
      <w:r w:rsidRPr="00DE3D44">
        <w:rPr>
          <w:rFonts w:ascii="Arial" w:hAnsi="Arial" w:cs="Arial"/>
        </w:rPr>
        <w:t xml:space="preserve"> plant in the nation and reducing nitrogen oxide emissions by almost 80%, is located in IJmuiden.</w:t>
      </w:r>
    </w:p>
    <w:p w14:paraId="19C6D7DF" w14:textId="1893CA6C" w:rsidR="0081744B" w:rsidRPr="00DE3D44" w:rsidRDefault="0081744B" w:rsidP="00314595">
      <w:pPr>
        <w:rPr>
          <w:rFonts w:ascii="Arial" w:hAnsi="Arial" w:cs="Arial"/>
        </w:rPr>
      </w:pPr>
      <w:r w:rsidRPr="00DE3D44">
        <w:rPr>
          <w:rFonts w:ascii="Arial" w:hAnsi="Arial" w:cs="Arial"/>
        </w:rPr>
        <w:t xml:space="preserve">Using the Taskforce on Nature-related Financial Disclosures (TNFD) LEAP approach, Tata Steel is mapping its activities against ecological vulnerabilities as part of a highly localized strategy in India. The company has made major steps to save water, including a groundwater storage potential of 101.6 million cubic feet, after realizing that water shortages and biodiversity loss are systemic problems. Additionally, biochar has replaced 30 </w:t>
      </w:r>
      <w:proofErr w:type="spellStart"/>
      <w:r w:rsidRPr="00DE3D44">
        <w:rPr>
          <w:rFonts w:ascii="Arial" w:hAnsi="Arial" w:cs="Arial"/>
        </w:rPr>
        <w:t>kilotonnes</w:t>
      </w:r>
      <w:proofErr w:type="spellEnd"/>
      <w:r w:rsidRPr="00DE3D44">
        <w:rPr>
          <w:rFonts w:ascii="Arial" w:hAnsi="Arial" w:cs="Arial"/>
        </w:rPr>
        <w:t xml:space="preserve"> of fossil fuels in Indian operations, reducing CO2 emissions by more than 50 </w:t>
      </w:r>
      <w:proofErr w:type="spellStart"/>
      <w:r w:rsidRPr="00DE3D44">
        <w:rPr>
          <w:rFonts w:ascii="Arial" w:hAnsi="Arial" w:cs="Arial"/>
        </w:rPr>
        <w:t>kilotonnes</w:t>
      </w:r>
      <w:proofErr w:type="spellEnd"/>
      <w:r w:rsidRPr="00DE3D44">
        <w:rPr>
          <w:rFonts w:ascii="Arial" w:hAnsi="Arial" w:cs="Arial"/>
        </w:rPr>
        <w:t xml:space="preserve"> annually.</w:t>
      </w:r>
    </w:p>
    <w:p w14:paraId="79194E6F" w14:textId="27D2CBD5" w:rsidR="00314595" w:rsidRPr="00DE3D44" w:rsidRDefault="00314595" w:rsidP="00314595">
      <w:pPr>
        <w:pStyle w:val="Heading2"/>
        <w:numPr>
          <w:ilvl w:val="1"/>
          <w:numId w:val="3"/>
        </w:numPr>
        <w:rPr>
          <w:rFonts w:ascii="Arial" w:hAnsi="Arial" w:cs="Arial"/>
        </w:rPr>
      </w:pPr>
      <w:bookmarkStart w:id="2" w:name="_Toc235762370"/>
      <w:r w:rsidRPr="00DE3D44">
        <w:rPr>
          <w:rFonts w:ascii="Arial" w:hAnsi="Arial" w:cs="Arial"/>
        </w:rPr>
        <w:t>The Political and Legal Environment: State Intervention and Regulatory Frameworks</w:t>
      </w:r>
      <w:bookmarkEnd w:id="2"/>
    </w:p>
    <w:p w14:paraId="5B83559E" w14:textId="1C45062F" w:rsidR="0081744B" w:rsidRPr="00DE3D44" w:rsidRDefault="0081744B" w:rsidP="0081744B">
      <w:pPr>
        <w:rPr>
          <w:rFonts w:ascii="Arial" w:hAnsi="Arial" w:cs="Arial"/>
        </w:rPr>
      </w:pPr>
      <w:r w:rsidRPr="00DE3D44">
        <w:rPr>
          <w:rFonts w:ascii="Arial" w:hAnsi="Arial" w:cs="Arial"/>
        </w:rPr>
        <w:t xml:space="preserve">The natural environment provides the physical impetus for decarbonization, while the political and legal environments provide the financial means, subsidies, and regulatory frameworks. Heavy industry decarbonization is an extremely capital-intensive </w:t>
      </w:r>
      <w:proofErr w:type="spellStart"/>
      <w:r w:rsidRPr="00DE3D44">
        <w:rPr>
          <w:rFonts w:ascii="Arial" w:hAnsi="Arial" w:cs="Arial"/>
        </w:rPr>
        <w:t>endeavor</w:t>
      </w:r>
      <w:proofErr w:type="spellEnd"/>
      <w:r w:rsidRPr="00DE3D44">
        <w:rPr>
          <w:rFonts w:ascii="Arial" w:hAnsi="Arial" w:cs="Arial"/>
        </w:rPr>
        <w:t>, and the government's industrial policy has a direct impact on the companies' capacity to survive.</w:t>
      </w:r>
    </w:p>
    <w:p w14:paraId="74DCA099" w14:textId="27820AE1" w:rsidR="0081744B" w:rsidRPr="00DE3D44" w:rsidRDefault="0081744B" w:rsidP="0081744B">
      <w:pPr>
        <w:rPr>
          <w:rFonts w:ascii="Arial" w:hAnsi="Arial" w:cs="Arial"/>
        </w:rPr>
      </w:pPr>
      <w:r w:rsidRPr="00DE3D44">
        <w:rPr>
          <w:rFonts w:ascii="Arial" w:hAnsi="Arial" w:cs="Arial"/>
        </w:rPr>
        <w:t xml:space="preserve">However, the State's direct financial backing is the most significant political factor that could influence Tata Steel's change. Port Talbot will have to make a substantial capital investment of £1.25 billion to use the EAF technology in the UK. Without the unprecedented £500 million provided by the UK government, this project would not have been feasible. This intervention highlights a crucial aspect of the contemporary marketplace: The transition to green industrial products is not solely a free-market </w:t>
      </w:r>
      <w:proofErr w:type="spellStart"/>
      <w:r w:rsidRPr="00DE3D44">
        <w:rPr>
          <w:rFonts w:ascii="Arial" w:hAnsi="Arial" w:cs="Arial"/>
        </w:rPr>
        <w:t>endeavor</w:t>
      </w:r>
      <w:proofErr w:type="spellEnd"/>
      <w:r w:rsidRPr="00DE3D44">
        <w:rPr>
          <w:rFonts w:ascii="Arial" w:hAnsi="Arial" w:cs="Arial"/>
        </w:rPr>
        <w:t>, additional finance will be needed. However, this political backing requires extremely difficult socioeconomic concessions.</w:t>
      </w:r>
      <w:r w:rsidRPr="00DE3D44">
        <w:rPr>
          <w:rFonts w:ascii="Arial" w:eastAsia="Times New Roman" w:hAnsi="Arial" w:cs="Arial"/>
          <w:kern w:val="0"/>
          <w:sz w:val="24"/>
          <w:szCs w:val="24"/>
          <w:lang w:eastAsia="en-IN" w:bidi="gu-IN"/>
          <w14:ligatures w14:val="none"/>
        </w:rPr>
        <w:t xml:space="preserve"> </w:t>
      </w:r>
      <w:r w:rsidRPr="00DE3D44">
        <w:rPr>
          <w:rFonts w:ascii="Arial" w:hAnsi="Arial" w:cs="Arial"/>
        </w:rPr>
        <w:t>There are between 2,500 and 2,800 employment losses at Port Talbot as a result of the new EAF technology, which is significantly less manual than the conventional blast furnace technology. An additional £100 million Transition Board was established, with £80 million from the UK Government and £20 million from Tata Steel, to assist those who lost their employment, offer retraining, and promote local economic revitalization in an effort to lessen the political impact of this local deindustrialization.</w:t>
      </w:r>
    </w:p>
    <w:p w14:paraId="0BAD11FC" w14:textId="77777777" w:rsidR="0081744B" w:rsidRPr="00DE3D44" w:rsidRDefault="0081744B" w:rsidP="0081744B">
      <w:pPr>
        <w:rPr>
          <w:rFonts w:ascii="Arial" w:hAnsi="Arial" w:cs="Arial"/>
        </w:rPr>
      </w:pPr>
      <w:r w:rsidRPr="00DE3D44">
        <w:rPr>
          <w:rFonts w:ascii="Arial" w:hAnsi="Arial" w:cs="Arial"/>
        </w:rPr>
        <w:t>A regulatory framework is enforcing decarbonization through financial sanctions and structural market measures in addition to these direct subsidies. Strict carbon taxes and the European Union Emissions Trading System (ETS) have made the production of high-carbon steels completely unprofitable in Europe. Additionally, high carbon imports are protected by the EU and UK CBMs. Tata Steel values this regulation because it shields domestic manufacturers who have already made considerable investments in greener technologies against overseas manufacturers that charge lower costs but have a far larger carbon footprint. This gives producers of low-carbon steel an even playing field.</w:t>
      </w:r>
      <w:r w:rsidRPr="00DE3D44">
        <w:rPr>
          <w:rFonts w:ascii="Arial" w:eastAsia="Times New Roman" w:hAnsi="Arial" w:cs="Arial"/>
          <w:kern w:val="0"/>
          <w:sz w:val="24"/>
          <w:szCs w:val="24"/>
          <w:lang w:eastAsia="en-IN" w:bidi="gu-IN"/>
          <w14:ligatures w14:val="none"/>
        </w:rPr>
        <w:t xml:space="preserve"> </w:t>
      </w:r>
      <w:r w:rsidRPr="00DE3D44">
        <w:rPr>
          <w:rFonts w:ascii="Arial" w:hAnsi="Arial" w:cs="Arial"/>
        </w:rPr>
        <w:t>Additionally, the business actively lobbies the UK political establishment for greater assistance, specifically with regard to energy prices. There are requests for the implementation of a price parity system to ensure that the cost of energy is the same in both France and Germany, as the competitiveness gap between UK steel makers and their French and German counterparts is currently as high as 50%.</w:t>
      </w:r>
    </w:p>
    <w:p w14:paraId="5EF5FE9F" w14:textId="77777777" w:rsidR="0081744B" w:rsidRPr="00DE3D44" w:rsidRDefault="0081744B" w:rsidP="0081744B">
      <w:pPr>
        <w:rPr>
          <w:rFonts w:ascii="Arial" w:hAnsi="Arial" w:cs="Arial"/>
        </w:rPr>
      </w:pPr>
    </w:p>
    <w:p w14:paraId="2876A3CC" w14:textId="77777777" w:rsidR="0081744B" w:rsidRPr="00DE3D44" w:rsidRDefault="0081744B" w:rsidP="0081744B">
      <w:pPr>
        <w:rPr>
          <w:rFonts w:ascii="Arial" w:hAnsi="Arial" w:cs="Arial"/>
        </w:rPr>
      </w:pPr>
    </w:p>
    <w:p w14:paraId="7C81648D" w14:textId="0AFB81DE" w:rsidR="00386735" w:rsidRPr="00DE3D44" w:rsidRDefault="0081744B" w:rsidP="00386735">
      <w:pPr>
        <w:pStyle w:val="Heading1"/>
        <w:rPr>
          <w:rFonts w:ascii="Arial" w:hAnsi="Arial" w:cs="Arial"/>
        </w:rPr>
      </w:pPr>
      <w:bookmarkStart w:id="3" w:name="_Toc235762371"/>
      <w:r w:rsidRPr="00DE3D44">
        <w:rPr>
          <w:rFonts w:ascii="Arial" w:hAnsi="Arial" w:cs="Arial"/>
        </w:rPr>
        <w:lastRenderedPageBreak/>
        <w:t>2.Task 2: Strategic Growth and Competitive Positioning</w:t>
      </w:r>
      <w:bookmarkEnd w:id="3"/>
    </w:p>
    <w:p w14:paraId="776D1A47" w14:textId="77777777" w:rsidR="00386735" w:rsidRPr="00DE3D44" w:rsidRDefault="00386735" w:rsidP="00386735">
      <w:pPr>
        <w:rPr>
          <w:rFonts w:ascii="Arial" w:hAnsi="Arial" w:cs="Arial"/>
        </w:rPr>
      </w:pPr>
      <w:r w:rsidRPr="00DE3D44">
        <w:rPr>
          <w:rFonts w:ascii="Arial" w:hAnsi="Arial" w:cs="Arial"/>
        </w:rPr>
        <w:t>It is clear from the macro-environmental analysis that Tata Steel must go green in order to survive. The company requires extremely precise growth plans in order to successfully navigate this difficult environment and obtain a long-term competitive advantage. Tata Steel's strategic approach to the green transition can be shaped and determined with the help of the Ansoff Matrix, a strategic tool that evaluates growth potential based on the novelty of the products and market.</w:t>
      </w:r>
    </w:p>
    <w:p w14:paraId="5C225F30" w14:textId="5DC447C7" w:rsidR="00386735" w:rsidRPr="00DE3D44" w:rsidRDefault="00386735" w:rsidP="00386735">
      <w:pPr>
        <w:pStyle w:val="Heading2"/>
        <w:rPr>
          <w:rFonts w:ascii="Arial" w:hAnsi="Arial" w:cs="Arial"/>
        </w:rPr>
      </w:pPr>
      <w:bookmarkStart w:id="4" w:name="_Toc235762372"/>
      <w:r w:rsidRPr="00DE3D44">
        <w:rPr>
          <w:rFonts w:ascii="Arial" w:hAnsi="Arial" w:cs="Arial"/>
        </w:rPr>
        <w:t>2.1 Applying the Ansoff Matrix to a Lower-Carbon Transition</w:t>
      </w:r>
      <w:bookmarkEnd w:id="4"/>
    </w:p>
    <w:p w14:paraId="0B3025AC" w14:textId="77777777" w:rsidR="00AA4BF9" w:rsidRPr="00DE3D44" w:rsidRDefault="00AA4BF9" w:rsidP="00AA4BF9">
      <w:pPr>
        <w:rPr>
          <w:rFonts w:ascii="Arial" w:hAnsi="Arial" w:cs="Arial"/>
        </w:rPr>
      </w:pPr>
    </w:p>
    <w:tbl>
      <w:tblPr>
        <w:tblStyle w:val="TableGrid"/>
        <w:tblW w:w="0" w:type="auto"/>
        <w:tblLook w:val="04A0" w:firstRow="1" w:lastRow="0" w:firstColumn="1" w:lastColumn="0" w:noHBand="0" w:noVBand="1"/>
      </w:tblPr>
      <w:tblGrid>
        <w:gridCol w:w="2254"/>
        <w:gridCol w:w="2254"/>
        <w:gridCol w:w="2254"/>
        <w:gridCol w:w="2254"/>
      </w:tblGrid>
      <w:tr w:rsidR="00386735" w:rsidRPr="00DE3D44" w14:paraId="32CEEA76" w14:textId="77777777" w:rsidTr="00386735">
        <w:tc>
          <w:tcPr>
            <w:tcW w:w="2254" w:type="dxa"/>
          </w:tcPr>
          <w:p w14:paraId="19CFC640" w14:textId="059CBF4E" w:rsidR="00386735" w:rsidRPr="00DE3D44" w:rsidRDefault="00386735" w:rsidP="00386735">
            <w:pPr>
              <w:rPr>
                <w:rFonts w:ascii="Arial" w:hAnsi="Arial" w:cs="Arial"/>
                <w:b/>
                <w:bCs/>
              </w:rPr>
            </w:pPr>
            <w:r w:rsidRPr="00DE3D44">
              <w:rPr>
                <w:rFonts w:ascii="Arial" w:hAnsi="Arial" w:cs="Arial"/>
                <w:b/>
                <w:bCs/>
              </w:rPr>
              <w:t>Stra</w:t>
            </w:r>
            <w:r w:rsidR="00970931" w:rsidRPr="00DE3D44">
              <w:rPr>
                <w:rFonts w:ascii="Arial" w:hAnsi="Arial" w:cs="Arial"/>
                <w:b/>
                <w:bCs/>
              </w:rPr>
              <w:t>tegic Direction</w:t>
            </w:r>
          </w:p>
        </w:tc>
        <w:tc>
          <w:tcPr>
            <w:tcW w:w="2254" w:type="dxa"/>
          </w:tcPr>
          <w:p w14:paraId="52F53401" w14:textId="0AB0F919" w:rsidR="00386735" w:rsidRPr="00DE3D44" w:rsidRDefault="00970931" w:rsidP="00386735">
            <w:pPr>
              <w:rPr>
                <w:rFonts w:ascii="Arial" w:hAnsi="Arial" w:cs="Arial"/>
                <w:b/>
                <w:bCs/>
              </w:rPr>
            </w:pPr>
            <w:r w:rsidRPr="00DE3D44">
              <w:rPr>
                <w:rFonts w:ascii="Arial" w:hAnsi="Arial" w:cs="Arial"/>
                <w:b/>
                <w:bCs/>
              </w:rPr>
              <w:t>Market Focus</w:t>
            </w:r>
          </w:p>
        </w:tc>
        <w:tc>
          <w:tcPr>
            <w:tcW w:w="2254" w:type="dxa"/>
          </w:tcPr>
          <w:p w14:paraId="23D8F164" w14:textId="162313BF" w:rsidR="00386735" w:rsidRPr="00DE3D44" w:rsidRDefault="00970931" w:rsidP="00386735">
            <w:pPr>
              <w:rPr>
                <w:rFonts w:ascii="Arial" w:hAnsi="Arial" w:cs="Arial"/>
                <w:b/>
                <w:bCs/>
              </w:rPr>
            </w:pPr>
            <w:r w:rsidRPr="00DE3D44">
              <w:rPr>
                <w:rFonts w:ascii="Arial" w:hAnsi="Arial" w:cs="Arial"/>
                <w:b/>
                <w:bCs/>
              </w:rPr>
              <w:t>Product Focus</w:t>
            </w:r>
          </w:p>
        </w:tc>
        <w:tc>
          <w:tcPr>
            <w:tcW w:w="2254" w:type="dxa"/>
          </w:tcPr>
          <w:p w14:paraId="54B159CD" w14:textId="7B285BA9" w:rsidR="00386735" w:rsidRPr="00DE3D44" w:rsidRDefault="00970931" w:rsidP="00386735">
            <w:pPr>
              <w:rPr>
                <w:rFonts w:ascii="Arial" w:hAnsi="Arial" w:cs="Arial"/>
                <w:b/>
                <w:bCs/>
              </w:rPr>
            </w:pPr>
            <w:r w:rsidRPr="00DE3D44">
              <w:rPr>
                <w:rFonts w:ascii="Arial" w:hAnsi="Arial" w:cs="Arial"/>
                <w:b/>
                <w:bCs/>
              </w:rPr>
              <w:t>Tata Steel’s Application</w:t>
            </w:r>
          </w:p>
        </w:tc>
      </w:tr>
      <w:tr w:rsidR="00386735" w:rsidRPr="00DE3D44" w14:paraId="41EDD423" w14:textId="77777777" w:rsidTr="00386735">
        <w:tc>
          <w:tcPr>
            <w:tcW w:w="2254" w:type="dxa"/>
          </w:tcPr>
          <w:p w14:paraId="4705744D" w14:textId="7DDABC77" w:rsidR="00386735" w:rsidRPr="00DE3D44" w:rsidRDefault="00970931" w:rsidP="00386735">
            <w:pPr>
              <w:rPr>
                <w:rFonts w:ascii="Arial" w:hAnsi="Arial" w:cs="Arial"/>
                <w:b/>
                <w:bCs/>
              </w:rPr>
            </w:pPr>
            <w:r w:rsidRPr="00DE3D44">
              <w:rPr>
                <w:rFonts w:ascii="Arial" w:hAnsi="Arial" w:cs="Arial"/>
                <w:b/>
                <w:bCs/>
              </w:rPr>
              <w:t>Market Penetration</w:t>
            </w:r>
          </w:p>
        </w:tc>
        <w:tc>
          <w:tcPr>
            <w:tcW w:w="2254" w:type="dxa"/>
          </w:tcPr>
          <w:p w14:paraId="374B9A18" w14:textId="76253F1C" w:rsidR="00386735" w:rsidRPr="00DE3D44" w:rsidRDefault="00970931" w:rsidP="00386735">
            <w:pPr>
              <w:rPr>
                <w:rFonts w:ascii="Arial" w:hAnsi="Arial" w:cs="Arial"/>
              </w:rPr>
            </w:pPr>
            <w:r w:rsidRPr="00DE3D44">
              <w:rPr>
                <w:rFonts w:ascii="Arial" w:hAnsi="Arial" w:cs="Arial"/>
              </w:rPr>
              <w:t>Existing Markets</w:t>
            </w:r>
          </w:p>
        </w:tc>
        <w:tc>
          <w:tcPr>
            <w:tcW w:w="2254" w:type="dxa"/>
          </w:tcPr>
          <w:p w14:paraId="6A6368AD" w14:textId="54D9916F" w:rsidR="00386735" w:rsidRPr="00DE3D44" w:rsidRDefault="00970931" w:rsidP="00386735">
            <w:pPr>
              <w:rPr>
                <w:rFonts w:ascii="Arial" w:hAnsi="Arial" w:cs="Arial"/>
              </w:rPr>
            </w:pPr>
            <w:r w:rsidRPr="00DE3D44">
              <w:rPr>
                <w:rFonts w:ascii="Arial" w:hAnsi="Arial" w:cs="Arial"/>
              </w:rPr>
              <w:t>Existing Markets</w:t>
            </w:r>
          </w:p>
        </w:tc>
        <w:tc>
          <w:tcPr>
            <w:tcW w:w="2254" w:type="dxa"/>
          </w:tcPr>
          <w:p w14:paraId="02B3AC83" w14:textId="3E1369FB" w:rsidR="00386735" w:rsidRPr="00DE3D44" w:rsidRDefault="00970931" w:rsidP="00386735">
            <w:pPr>
              <w:rPr>
                <w:rFonts w:ascii="Arial" w:hAnsi="Arial" w:cs="Arial"/>
              </w:rPr>
            </w:pPr>
            <w:r w:rsidRPr="00DE3D44">
              <w:rPr>
                <w:rFonts w:ascii="Arial" w:hAnsi="Arial" w:cs="Arial"/>
              </w:rPr>
              <w:t xml:space="preserve">utilizing proprietary B2B and B2C digital platforms (Aashiyana, Compass, </w:t>
            </w:r>
            <w:proofErr w:type="spellStart"/>
            <w:r w:rsidRPr="00DE3D44">
              <w:rPr>
                <w:rFonts w:ascii="Arial" w:hAnsi="Arial" w:cs="Arial"/>
              </w:rPr>
              <w:t>DigECA</w:t>
            </w:r>
            <w:proofErr w:type="spellEnd"/>
            <w:r w:rsidRPr="00DE3D44">
              <w:rPr>
                <w:rFonts w:ascii="Arial" w:hAnsi="Arial" w:cs="Arial"/>
              </w:rPr>
              <w:t>) to increase traditional steel's market share and supply chain efficiency.</w:t>
            </w:r>
          </w:p>
        </w:tc>
      </w:tr>
      <w:tr w:rsidR="00386735" w:rsidRPr="00DE3D44" w14:paraId="0381E329" w14:textId="77777777" w:rsidTr="00386735">
        <w:tc>
          <w:tcPr>
            <w:tcW w:w="2254" w:type="dxa"/>
          </w:tcPr>
          <w:p w14:paraId="5BF0258C" w14:textId="2B1F69CF" w:rsidR="00386735" w:rsidRPr="00DE3D44" w:rsidRDefault="00970931" w:rsidP="00386735">
            <w:pPr>
              <w:rPr>
                <w:rFonts w:ascii="Arial" w:hAnsi="Arial" w:cs="Arial"/>
                <w:b/>
                <w:bCs/>
              </w:rPr>
            </w:pPr>
            <w:r w:rsidRPr="00DE3D44">
              <w:rPr>
                <w:rFonts w:ascii="Arial" w:hAnsi="Arial" w:cs="Arial"/>
                <w:b/>
                <w:bCs/>
              </w:rPr>
              <w:t>Product Development</w:t>
            </w:r>
          </w:p>
        </w:tc>
        <w:tc>
          <w:tcPr>
            <w:tcW w:w="2254" w:type="dxa"/>
          </w:tcPr>
          <w:p w14:paraId="26DD4CBE" w14:textId="73215072" w:rsidR="00386735" w:rsidRPr="00DE3D44" w:rsidRDefault="00970931" w:rsidP="00386735">
            <w:pPr>
              <w:rPr>
                <w:rFonts w:ascii="Arial" w:hAnsi="Arial" w:cs="Arial"/>
              </w:rPr>
            </w:pPr>
            <w:r w:rsidRPr="00DE3D44">
              <w:rPr>
                <w:rFonts w:ascii="Arial" w:hAnsi="Arial" w:cs="Arial"/>
              </w:rPr>
              <w:t>Existing Markets</w:t>
            </w:r>
          </w:p>
        </w:tc>
        <w:tc>
          <w:tcPr>
            <w:tcW w:w="2254" w:type="dxa"/>
          </w:tcPr>
          <w:p w14:paraId="12D5E98C" w14:textId="43008DAF" w:rsidR="00386735" w:rsidRPr="00DE3D44" w:rsidRDefault="00970931" w:rsidP="00386735">
            <w:pPr>
              <w:rPr>
                <w:rFonts w:ascii="Arial" w:hAnsi="Arial" w:cs="Arial"/>
              </w:rPr>
            </w:pPr>
            <w:r w:rsidRPr="00DE3D44">
              <w:rPr>
                <w:rFonts w:ascii="Arial" w:hAnsi="Arial" w:cs="Arial"/>
              </w:rPr>
              <w:t>Existing Markets</w:t>
            </w:r>
          </w:p>
        </w:tc>
        <w:tc>
          <w:tcPr>
            <w:tcW w:w="2254" w:type="dxa"/>
          </w:tcPr>
          <w:p w14:paraId="336D4F24" w14:textId="66E35B60" w:rsidR="00386735" w:rsidRPr="00DE3D44" w:rsidRDefault="00970931" w:rsidP="00386735">
            <w:pPr>
              <w:rPr>
                <w:rFonts w:ascii="Arial" w:hAnsi="Arial" w:cs="Arial"/>
              </w:rPr>
            </w:pPr>
            <w:r w:rsidRPr="00DE3D44">
              <w:rPr>
                <w:rFonts w:ascii="Arial" w:hAnsi="Arial" w:cs="Arial"/>
              </w:rPr>
              <w:t xml:space="preserve">launching the </w:t>
            </w:r>
            <w:proofErr w:type="spellStart"/>
            <w:r w:rsidRPr="00DE3D44">
              <w:rPr>
                <w:rFonts w:ascii="Arial" w:hAnsi="Arial" w:cs="Arial"/>
              </w:rPr>
              <w:t>Zeremis</w:t>
            </w:r>
            <w:proofErr w:type="spellEnd"/>
            <w:r w:rsidRPr="00DE3D44">
              <w:rPr>
                <w:rFonts w:ascii="Arial" w:hAnsi="Arial" w:cs="Arial"/>
              </w:rPr>
              <w:t xml:space="preserve"> brand (low-carbon steel) and introducing EAF steel to current B2B clients in the construction and automotive sectors.</w:t>
            </w:r>
          </w:p>
        </w:tc>
      </w:tr>
      <w:tr w:rsidR="00386735" w:rsidRPr="00DE3D44" w14:paraId="6C5A02FE" w14:textId="77777777" w:rsidTr="00386735">
        <w:tc>
          <w:tcPr>
            <w:tcW w:w="2254" w:type="dxa"/>
          </w:tcPr>
          <w:p w14:paraId="28F44F86" w14:textId="1212FDA1" w:rsidR="00386735" w:rsidRPr="00DE3D44" w:rsidRDefault="00970931" w:rsidP="00386735">
            <w:pPr>
              <w:rPr>
                <w:rFonts w:ascii="Arial" w:hAnsi="Arial" w:cs="Arial"/>
                <w:b/>
                <w:bCs/>
              </w:rPr>
            </w:pPr>
            <w:r w:rsidRPr="00DE3D44">
              <w:rPr>
                <w:rFonts w:ascii="Arial" w:hAnsi="Arial" w:cs="Arial"/>
                <w:b/>
                <w:bCs/>
              </w:rPr>
              <w:t>Market Development</w:t>
            </w:r>
          </w:p>
        </w:tc>
        <w:tc>
          <w:tcPr>
            <w:tcW w:w="2254" w:type="dxa"/>
          </w:tcPr>
          <w:p w14:paraId="3F9B80ED" w14:textId="42792F66" w:rsidR="00386735" w:rsidRPr="00DE3D44" w:rsidRDefault="00970931" w:rsidP="00386735">
            <w:pPr>
              <w:rPr>
                <w:rFonts w:ascii="Arial" w:hAnsi="Arial" w:cs="Arial"/>
              </w:rPr>
            </w:pPr>
            <w:r w:rsidRPr="00DE3D44">
              <w:rPr>
                <w:rFonts w:ascii="Arial" w:hAnsi="Arial" w:cs="Arial"/>
              </w:rPr>
              <w:t>New Markets</w:t>
            </w:r>
          </w:p>
        </w:tc>
        <w:tc>
          <w:tcPr>
            <w:tcW w:w="2254" w:type="dxa"/>
          </w:tcPr>
          <w:p w14:paraId="4BADD53F" w14:textId="67C5986C" w:rsidR="00386735" w:rsidRPr="00DE3D44" w:rsidRDefault="00970931" w:rsidP="00386735">
            <w:pPr>
              <w:rPr>
                <w:rFonts w:ascii="Arial" w:hAnsi="Arial" w:cs="Arial"/>
              </w:rPr>
            </w:pPr>
            <w:r w:rsidRPr="00DE3D44">
              <w:rPr>
                <w:rFonts w:ascii="Arial" w:hAnsi="Arial" w:cs="Arial"/>
              </w:rPr>
              <w:t>Existing Markets</w:t>
            </w:r>
          </w:p>
        </w:tc>
        <w:tc>
          <w:tcPr>
            <w:tcW w:w="2254" w:type="dxa"/>
          </w:tcPr>
          <w:p w14:paraId="66DAA0DC" w14:textId="1F556DBF" w:rsidR="00386735" w:rsidRPr="00DE3D44" w:rsidRDefault="00970931" w:rsidP="00386735">
            <w:pPr>
              <w:rPr>
                <w:rFonts w:ascii="Arial" w:hAnsi="Arial" w:cs="Arial"/>
              </w:rPr>
            </w:pPr>
            <w:r w:rsidRPr="00DE3D44">
              <w:rPr>
                <w:rFonts w:ascii="Arial" w:hAnsi="Arial" w:cs="Arial"/>
              </w:rPr>
              <w:t>introducing low-carbon steel solutions to new international markets with carbon border taxes (CBAM) and new environmental requirements.</w:t>
            </w:r>
          </w:p>
        </w:tc>
      </w:tr>
      <w:tr w:rsidR="00386735" w:rsidRPr="00DE3D44" w14:paraId="1B961704" w14:textId="77777777" w:rsidTr="00386735">
        <w:tc>
          <w:tcPr>
            <w:tcW w:w="2254" w:type="dxa"/>
          </w:tcPr>
          <w:p w14:paraId="5431B9C4" w14:textId="1CAC3722" w:rsidR="00386735" w:rsidRPr="00DE3D44" w:rsidRDefault="00970931" w:rsidP="00386735">
            <w:pPr>
              <w:rPr>
                <w:rFonts w:ascii="Arial" w:hAnsi="Arial" w:cs="Arial"/>
                <w:b/>
                <w:bCs/>
              </w:rPr>
            </w:pPr>
            <w:r w:rsidRPr="00DE3D44">
              <w:rPr>
                <w:rFonts w:ascii="Arial" w:hAnsi="Arial" w:cs="Arial"/>
                <w:b/>
                <w:bCs/>
              </w:rPr>
              <w:t>Diversification</w:t>
            </w:r>
          </w:p>
        </w:tc>
        <w:tc>
          <w:tcPr>
            <w:tcW w:w="2254" w:type="dxa"/>
          </w:tcPr>
          <w:p w14:paraId="12B078D6" w14:textId="5B077341" w:rsidR="00386735" w:rsidRPr="00DE3D44" w:rsidRDefault="00970931" w:rsidP="00386735">
            <w:pPr>
              <w:rPr>
                <w:rFonts w:ascii="Arial" w:hAnsi="Arial" w:cs="Arial"/>
              </w:rPr>
            </w:pPr>
            <w:r w:rsidRPr="00DE3D44">
              <w:rPr>
                <w:rFonts w:ascii="Arial" w:hAnsi="Arial" w:cs="Arial"/>
              </w:rPr>
              <w:t>New Markets</w:t>
            </w:r>
          </w:p>
        </w:tc>
        <w:tc>
          <w:tcPr>
            <w:tcW w:w="2254" w:type="dxa"/>
          </w:tcPr>
          <w:p w14:paraId="17185B0C" w14:textId="0E081D56" w:rsidR="00386735" w:rsidRPr="00DE3D44" w:rsidRDefault="00970931" w:rsidP="00386735">
            <w:pPr>
              <w:rPr>
                <w:rFonts w:ascii="Arial" w:hAnsi="Arial" w:cs="Arial"/>
              </w:rPr>
            </w:pPr>
            <w:r w:rsidRPr="00DE3D44">
              <w:rPr>
                <w:rFonts w:ascii="Arial" w:hAnsi="Arial" w:cs="Arial"/>
              </w:rPr>
              <w:t>New Markets</w:t>
            </w:r>
          </w:p>
        </w:tc>
        <w:tc>
          <w:tcPr>
            <w:tcW w:w="2254" w:type="dxa"/>
          </w:tcPr>
          <w:p w14:paraId="1C69A2C5" w14:textId="32BB4B1D" w:rsidR="00386735" w:rsidRPr="00DE3D44" w:rsidRDefault="00970931" w:rsidP="00386735">
            <w:pPr>
              <w:rPr>
                <w:rFonts w:ascii="Arial" w:hAnsi="Arial" w:cs="Arial"/>
              </w:rPr>
            </w:pPr>
            <w:r w:rsidRPr="00DE3D44">
              <w:rPr>
                <w:rFonts w:ascii="Arial" w:hAnsi="Arial" w:cs="Arial"/>
              </w:rPr>
              <w:t xml:space="preserve">establishing a new company in the scrap metal sector with Tata </w:t>
            </w:r>
            <w:proofErr w:type="spellStart"/>
            <w:r w:rsidRPr="00DE3D44">
              <w:rPr>
                <w:rFonts w:ascii="Arial" w:hAnsi="Arial" w:cs="Arial"/>
              </w:rPr>
              <w:t>FerroBaling</w:t>
            </w:r>
            <w:proofErr w:type="spellEnd"/>
            <w:r w:rsidRPr="00DE3D44">
              <w:rPr>
                <w:rFonts w:ascii="Arial" w:hAnsi="Arial" w:cs="Arial"/>
              </w:rPr>
              <w:t>; constructing a virtual "Carbon Bank" for credit trading; and researching carbon capture methods.</w:t>
            </w:r>
          </w:p>
        </w:tc>
      </w:tr>
    </w:tbl>
    <w:p w14:paraId="23FD00BD" w14:textId="77777777" w:rsidR="00386735" w:rsidRPr="00DE3D44" w:rsidRDefault="00386735" w:rsidP="00386735">
      <w:pPr>
        <w:rPr>
          <w:rFonts w:ascii="Arial" w:hAnsi="Arial" w:cs="Arial"/>
        </w:rPr>
      </w:pPr>
    </w:p>
    <w:p w14:paraId="0DD33EA3" w14:textId="77777777" w:rsidR="0081744B" w:rsidRPr="00DE3D44" w:rsidRDefault="0081744B" w:rsidP="0081744B">
      <w:pPr>
        <w:rPr>
          <w:rFonts w:ascii="Arial" w:hAnsi="Arial" w:cs="Arial"/>
        </w:rPr>
      </w:pPr>
    </w:p>
    <w:p w14:paraId="70B434B5" w14:textId="24361054" w:rsidR="0081744B" w:rsidRPr="00DE3D44" w:rsidRDefault="00AA4BF9" w:rsidP="006E1264">
      <w:pPr>
        <w:pStyle w:val="Heading3"/>
        <w:rPr>
          <w:rFonts w:ascii="Arial" w:hAnsi="Arial" w:cs="Arial"/>
        </w:rPr>
      </w:pPr>
      <w:bookmarkStart w:id="5" w:name="_Toc235762373"/>
      <w:r w:rsidRPr="00DE3D44">
        <w:rPr>
          <w:rFonts w:ascii="Arial" w:hAnsi="Arial" w:cs="Arial"/>
        </w:rPr>
        <w:t xml:space="preserve">2.1.1 Product Development: The Core Engine </w:t>
      </w:r>
      <w:proofErr w:type="gramStart"/>
      <w:r w:rsidRPr="00DE3D44">
        <w:rPr>
          <w:rFonts w:ascii="Arial" w:hAnsi="Arial" w:cs="Arial"/>
        </w:rPr>
        <w:t>Of</w:t>
      </w:r>
      <w:proofErr w:type="gramEnd"/>
      <w:r w:rsidRPr="00DE3D44">
        <w:rPr>
          <w:rFonts w:ascii="Arial" w:hAnsi="Arial" w:cs="Arial"/>
        </w:rPr>
        <w:t xml:space="preserve"> </w:t>
      </w:r>
      <w:proofErr w:type="gramStart"/>
      <w:r w:rsidRPr="00DE3D44">
        <w:rPr>
          <w:rFonts w:ascii="Arial" w:hAnsi="Arial" w:cs="Arial"/>
        </w:rPr>
        <w:t>The</w:t>
      </w:r>
      <w:proofErr w:type="gramEnd"/>
      <w:r w:rsidRPr="00DE3D44">
        <w:rPr>
          <w:rFonts w:ascii="Arial" w:hAnsi="Arial" w:cs="Arial"/>
        </w:rPr>
        <w:t xml:space="preserve"> Green Tra</w:t>
      </w:r>
      <w:r w:rsidR="006E1264" w:rsidRPr="00DE3D44">
        <w:rPr>
          <w:rFonts w:ascii="Arial" w:hAnsi="Arial" w:cs="Arial"/>
        </w:rPr>
        <w:t>nsition</w:t>
      </w:r>
      <w:bookmarkEnd w:id="5"/>
    </w:p>
    <w:p w14:paraId="79EDD006" w14:textId="77777777" w:rsidR="006E1264" w:rsidRPr="00DE3D44" w:rsidRDefault="006E1264" w:rsidP="006E1264">
      <w:pPr>
        <w:rPr>
          <w:rFonts w:ascii="Arial" w:hAnsi="Arial" w:cs="Arial"/>
        </w:rPr>
      </w:pPr>
      <w:r w:rsidRPr="00DE3D44">
        <w:rPr>
          <w:rFonts w:ascii="Arial" w:hAnsi="Arial" w:cs="Arial"/>
        </w:rPr>
        <w:t xml:space="preserve">The Product Development quadrant is the core of Tata Steel's lower carbon growth strategy. The company is actively seeking business innovation in order to offer drop-in solutions that provide sustainable solutions to its current, demanding clientele in the automotive, construction, and packaging sectors. With the introduction of </w:t>
      </w:r>
      <w:proofErr w:type="spellStart"/>
      <w:r w:rsidRPr="00DE3D44">
        <w:rPr>
          <w:rFonts w:ascii="Arial" w:hAnsi="Arial" w:cs="Arial"/>
        </w:rPr>
        <w:t>Zeremis</w:t>
      </w:r>
      <w:proofErr w:type="spellEnd"/>
      <w:r w:rsidRPr="00DE3D44">
        <w:rPr>
          <w:rFonts w:ascii="Arial" w:hAnsi="Arial" w:cs="Arial"/>
        </w:rPr>
        <w:t xml:space="preserve"> Carbon Lite, a premium steel product, to Europe, Tata Steel Nederland has reduced its carbon footprint by up to 90%. In order to ensure carbon accounting integrity and avoid double counting, the company introduced </w:t>
      </w:r>
      <w:proofErr w:type="spellStart"/>
      <w:r w:rsidRPr="00DE3D44">
        <w:rPr>
          <w:rFonts w:ascii="Arial" w:hAnsi="Arial" w:cs="Arial"/>
        </w:rPr>
        <w:t>Zeremis</w:t>
      </w:r>
      <w:proofErr w:type="spellEnd"/>
      <w:r w:rsidRPr="00DE3D44">
        <w:rPr>
          <w:rFonts w:ascii="Arial" w:hAnsi="Arial" w:cs="Arial"/>
        </w:rPr>
        <w:t xml:space="preserve"> Recycled, a mass-balanced product that is independently validated by Det Norske Veritas (DNV).</w:t>
      </w:r>
    </w:p>
    <w:p w14:paraId="021D0796" w14:textId="77777777" w:rsidR="006E1264" w:rsidRPr="00DE3D44" w:rsidRDefault="006E1264" w:rsidP="006E1264">
      <w:pPr>
        <w:rPr>
          <w:rFonts w:ascii="Arial" w:hAnsi="Arial" w:cs="Arial"/>
        </w:rPr>
      </w:pPr>
      <w:r w:rsidRPr="00DE3D44">
        <w:rPr>
          <w:rFonts w:ascii="Arial" w:hAnsi="Arial" w:cs="Arial"/>
        </w:rPr>
        <w:t>Because their current customers are under intense pressure to reduce their Scope 3 emissions due to regulatory and stakeholder requirements, this approach allows customers to meet their sustainability goals while maintaining their material supplier and not sacrificing material strength. One example of how product development is being utilized to establish, develop, and deepen existing B2B partnerships is the signing of a Memorandum of Understanding (MoU) with heavy machinery manufacturer JCB to supply low-CO2 steel during a moment of market disruption.</w:t>
      </w:r>
    </w:p>
    <w:p w14:paraId="481FDA1A" w14:textId="5B17FCBF" w:rsidR="006E1264" w:rsidRPr="00DE3D44" w:rsidRDefault="006E1264" w:rsidP="006E1264">
      <w:pPr>
        <w:rPr>
          <w:rFonts w:ascii="Arial" w:hAnsi="Arial" w:cs="Arial"/>
        </w:rPr>
      </w:pPr>
    </w:p>
    <w:p w14:paraId="736CD448" w14:textId="5CE88038" w:rsidR="006E1264" w:rsidRPr="00DE3D44" w:rsidRDefault="006E1264" w:rsidP="006E1264">
      <w:pPr>
        <w:rPr>
          <w:rFonts w:ascii="Arial" w:hAnsi="Arial" w:cs="Arial"/>
        </w:rPr>
      </w:pPr>
      <w:r w:rsidRPr="00DE3D44">
        <w:rPr>
          <w:rFonts w:ascii="Arial" w:hAnsi="Arial" w:cs="Arial"/>
          <w:noProof/>
        </w:rPr>
        <w:drawing>
          <wp:inline distT="0" distB="0" distL="0" distR="0" wp14:anchorId="6D217D45" wp14:editId="1A557EA7">
            <wp:extent cx="5729605" cy="3243580"/>
            <wp:effectExtent l="0" t="0" r="4445" b="0"/>
            <wp:docPr id="11505170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9605" cy="3243580"/>
                    </a:xfrm>
                    <a:prstGeom prst="rect">
                      <a:avLst/>
                    </a:prstGeom>
                    <a:noFill/>
                    <a:ln>
                      <a:noFill/>
                    </a:ln>
                  </pic:spPr>
                </pic:pic>
              </a:graphicData>
            </a:graphic>
          </wp:inline>
        </w:drawing>
      </w:r>
    </w:p>
    <w:p w14:paraId="42FB51F8" w14:textId="77777777" w:rsidR="006E1264" w:rsidRPr="00DE3D44" w:rsidRDefault="006E1264" w:rsidP="006E1264">
      <w:pPr>
        <w:pBdr>
          <w:top w:val="nil"/>
          <w:left w:val="nil"/>
          <w:bottom w:val="nil"/>
          <w:right w:val="nil"/>
          <w:between w:val="nil"/>
        </w:pBdr>
        <w:spacing w:line="275" w:lineRule="auto"/>
        <w:rPr>
          <w:rFonts w:ascii="Arial" w:eastAsia="Google Sans" w:hAnsi="Arial" w:cs="Arial"/>
          <w:i/>
          <w:iCs/>
          <w:color w:val="1F1F1F"/>
        </w:rPr>
      </w:pPr>
      <w:r w:rsidRPr="00DE3D44">
        <w:rPr>
          <w:rFonts w:ascii="Arial" w:eastAsia="Google Sans" w:hAnsi="Arial" w:cs="Arial"/>
          <w:i/>
          <w:iCs/>
          <w:color w:val="1F1F1F"/>
        </w:rPr>
        <w:t xml:space="preserve">Figure: Infographic detailing EAF steelmaking and the circular economy, demonstrating how scrap steel is recycled into new products. (Source URL: </w:t>
      </w:r>
      <w:proofErr w:type="gramStart"/>
      <w:r w:rsidRPr="00DE3D44">
        <w:rPr>
          <w:rFonts w:ascii="Arial" w:eastAsia="Google Sans" w:hAnsi="Arial" w:cs="Arial"/>
          <w:i/>
          <w:iCs/>
          <w:color w:val="1F1F1F"/>
        </w:rPr>
        <w:t>https://www.tatasteeluk.com/green-steel-future )</w:t>
      </w:r>
      <w:proofErr w:type="gramEnd"/>
    </w:p>
    <w:p w14:paraId="7E5FF9B3" w14:textId="77777777" w:rsidR="006E1264" w:rsidRPr="00DE3D44" w:rsidRDefault="006E1264" w:rsidP="006E1264">
      <w:pPr>
        <w:rPr>
          <w:rFonts w:ascii="Arial" w:hAnsi="Arial" w:cs="Arial"/>
        </w:rPr>
      </w:pPr>
    </w:p>
    <w:p w14:paraId="31DDE4D1" w14:textId="77777777" w:rsidR="006E1264" w:rsidRPr="00DE3D44" w:rsidRDefault="006E1264" w:rsidP="006E1264">
      <w:pPr>
        <w:rPr>
          <w:rFonts w:ascii="Arial" w:hAnsi="Arial" w:cs="Arial"/>
        </w:rPr>
      </w:pPr>
    </w:p>
    <w:p w14:paraId="776A7BDC" w14:textId="6CCB1C43" w:rsidR="00314595" w:rsidRPr="00DE3D44" w:rsidRDefault="006E1264" w:rsidP="006E1264">
      <w:pPr>
        <w:pStyle w:val="Heading3"/>
        <w:rPr>
          <w:rFonts w:ascii="Arial" w:hAnsi="Arial" w:cs="Arial"/>
        </w:rPr>
      </w:pPr>
      <w:bookmarkStart w:id="6" w:name="_Toc235762374"/>
      <w:r w:rsidRPr="00DE3D44">
        <w:rPr>
          <w:rFonts w:ascii="Arial" w:hAnsi="Arial" w:cs="Arial"/>
        </w:rPr>
        <w:lastRenderedPageBreak/>
        <w:t>2.1.2 Diversification: Redefining the Value Chain</w:t>
      </w:r>
      <w:bookmarkEnd w:id="6"/>
    </w:p>
    <w:p w14:paraId="62CC4172" w14:textId="77777777" w:rsidR="006E1264" w:rsidRPr="00DE3D44" w:rsidRDefault="006E1264" w:rsidP="006E1264">
      <w:pPr>
        <w:rPr>
          <w:rFonts w:ascii="Arial" w:hAnsi="Arial" w:cs="Arial"/>
        </w:rPr>
      </w:pPr>
    </w:p>
    <w:p w14:paraId="4235CEC3" w14:textId="07A6F2D2" w:rsidR="001A61E6" w:rsidRPr="00DE3D44" w:rsidRDefault="0020709C" w:rsidP="00AE418A">
      <w:pPr>
        <w:rPr>
          <w:rFonts w:ascii="Arial" w:hAnsi="Arial" w:cs="Arial"/>
        </w:rPr>
      </w:pPr>
      <w:r w:rsidRPr="00DE3D44">
        <w:rPr>
          <w:rFonts w:ascii="Arial" w:hAnsi="Arial" w:cs="Arial"/>
        </w:rPr>
        <w:t xml:space="preserve">In order to secure green steel supply chains and take advantage of new regulations, Tata Steel is expanding into entirely new markets and business models. The company's involvement in the scrap processing and recycling of steel is the most significant. In order to create an unorganized scrap market in India, Tata Steel launched the Tata </w:t>
      </w:r>
      <w:proofErr w:type="spellStart"/>
      <w:r w:rsidRPr="00DE3D44">
        <w:rPr>
          <w:rFonts w:ascii="Arial" w:hAnsi="Arial" w:cs="Arial"/>
        </w:rPr>
        <w:t>FerroBaling</w:t>
      </w:r>
      <w:proofErr w:type="spellEnd"/>
      <w:r w:rsidRPr="00DE3D44">
        <w:rPr>
          <w:rFonts w:ascii="Arial" w:hAnsi="Arial" w:cs="Arial"/>
        </w:rPr>
        <w:t xml:space="preserve"> initiative and put the nation's first 0.5 </w:t>
      </w:r>
      <w:proofErr w:type="spellStart"/>
      <w:r w:rsidRPr="00DE3D44">
        <w:rPr>
          <w:rFonts w:ascii="Arial" w:hAnsi="Arial" w:cs="Arial"/>
        </w:rPr>
        <w:t>MnTPA</w:t>
      </w:r>
      <w:proofErr w:type="spellEnd"/>
      <w:r w:rsidRPr="00DE3D44">
        <w:rPr>
          <w:rFonts w:ascii="Arial" w:hAnsi="Arial" w:cs="Arial"/>
        </w:rPr>
        <w:t xml:space="preserve"> shredding facilities into service.16th In order to locate a dependable, high-quality supply for its EAFs in the future, the company incorporates backward into the scrap collection process, creating a formal circular economy.</w:t>
      </w:r>
    </w:p>
    <w:p w14:paraId="1980BF7D" w14:textId="1AA109DB" w:rsidR="0020709C" w:rsidRPr="00DE3D44" w:rsidRDefault="0020709C" w:rsidP="0020709C">
      <w:pPr>
        <w:rPr>
          <w:rFonts w:ascii="Arial" w:hAnsi="Arial" w:cs="Arial"/>
        </w:rPr>
      </w:pPr>
      <w:r w:rsidRPr="00DE3D44">
        <w:rPr>
          <w:rFonts w:ascii="Arial" w:hAnsi="Arial" w:cs="Arial"/>
        </w:rPr>
        <w:t>Additionally, the business is growing into commodities and environmental technology. Tata Steel is actively working on carbon credit trading in the Indian Carbon Market and has established the country's first virtual carbon bank. Tata Steel is actively investigating the trade of carbon credits with the forthcoming Indian Carbon Market and has established the first virtual carbon bank in India. In the area of Carbon Capture, Utilization, and Storage (CCUS), the company has established a pilot plant with a capacity of 5 tonnes per day (</w:t>
      </w:r>
      <w:proofErr w:type="spellStart"/>
      <w:r w:rsidRPr="00DE3D44">
        <w:rPr>
          <w:rFonts w:ascii="Arial" w:hAnsi="Arial" w:cs="Arial"/>
        </w:rPr>
        <w:t>tpd</w:t>
      </w:r>
      <w:proofErr w:type="spellEnd"/>
      <w:r w:rsidRPr="00DE3D44">
        <w:rPr>
          <w:rFonts w:ascii="Arial" w:hAnsi="Arial" w:cs="Arial"/>
        </w:rPr>
        <w:t>) for CO2 capture straight from blast furnace gas.</w:t>
      </w:r>
    </w:p>
    <w:p w14:paraId="32DC25A1" w14:textId="77777777" w:rsidR="0020709C" w:rsidRPr="00DE3D44" w:rsidRDefault="0020709C" w:rsidP="0020709C">
      <w:pPr>
        <w:rPr>
          <w:rFonts w:ascii="Arial" w:hAnsi="Arial" w:cs="Arial"/>
        </w:rPr>
      </w:pPr>
    </w:p>
    <w:p w14:paraId="05A04943" w14:textId="700040E0" w:rsidR="0020709C" w:rsidRPr="00DE3D44" w:rsidRDefault="0020709C" w:rsidP="0020709C">
      <w:pPr>
        <w:pStyle w:val="Heading3"/>
        <w:rPr>
          <w:rFonts w:ascii="Arial" w:hAnsi="Arial" w:cs="Arial"/>
        </w:rPr>
      </w:pPr>
      <w:bookmarkStart w:id="7" w:name="_Toc235762375"/>
      <w:r w:rsidRPr="00DE3D44">
        <w:rPr>
          <w:rFonts w:ascii="Arial" w:hAnsi="Arial" w:cs="Arial"/>
        </w:rPr>
        <w:t>2.1.3 Market Penetration and Market Development</w:t>
      </w:r>
      <w:bookmarkEnd w:id="7"/>
    </w:p>
    <w:p w14:paraId="74B72F4B" w14:textId="77777777" w:rsidR="0020709C" w:rsidRPr="00DE3D44" w:rsidRDefault="0020709C" w:rsidP="0020709C">
      <w:pPr>
        <w:rPr>
          <w:rFonts w:ascii="Arial" w:hAnsi="Arial" w:cs="Arial"/>
        </w:rPr>
      </w:pPr>
      <w:r w:rsidRPr="00DE3D44">
        <w:rPr>
          <w:rFonts w:ascii="Arial" w:hAnsi="Arial" w:cs="Arial"/>
        </w:rPr>
        <w:t xml:space="preserve">Steel will undoubtedly go green in the long run, but Tata Steel is still trying to gain market share by offering more conventional products to current customers through a variety of cutting-edge proprietary digital ecosystems. Platforms like Aashiyana (for individual homebuilders), Compass (for real-time supply chain visibility), and </w:t>
      </w:r>
      <w:proofErr w:type="spellStart"/>
      <w:r w:rsidRPr="00DE3D44">
        <w:rPr>
          <w:rFonts w:ascii="Arial" w:hAnsi="Arial" w:cs="Arial"/>
        </w:rPr>
        <w:t>DigECA</w:t>
      </w:r>
      <w:proofErr w:type="spellEnd"/>
      <w:r w:rsidRPr="00DE3D44">
        <w:rPr>
          <w:rFonts w:ascii="Arial" w:hAnsi="Arial" w:cs="Arial"/>
        </w:rPr>
        <w:t xml:space="preserve"> (for MSMEs) are being used to gain market share in their present segments, enhance customer loyalty, and optimize business processes.</w:t>
      </w:r>
    </w:p>
    <w:p w14:paraId="736B8D5D" w14:textId="77777777" w:rsidR="0020709C" w:rsidRPr="00DE3D44" w:rsidRDefault="0020709C" w:rsidP="0020709C">
      <w:pPr>
        <w:rPr>
          <w:rFonts w:ascii="Arial" w:hAnsi="Arial" w:cs="Arial"/>
        </w:rPr>
      </w:pPr>
      <w:r w:rsidRPr="00DE3D44">
        <w:rPr>
          <w:rFonts w:ascii="Arial" w:hAnsi="Arial" w:cs="Arial"/>
        </w:rPr>
        <w:t xml:space="preserve">Market Development will sell </w:t>
      </w:r>
      <w:proofErr w:type="spellStart"/>
      <w:r w:rsidRPr="00DE3D44">
        <w:rPr>
          <w:rFonts w:ascii="Arial" w:hAnsi="Arial" w:cs="Arial"/>
        </w:rPr>
        <w:t>Zeremis</w:t>
      </w:r>
      <w:proofErr w:type="spellEnd"/>
      <w:r w:rsidRPr="00DE3D44">
        <w:rPr>
          <w:rFonts w:ascii="Arial" w:hAnsi="Arial" w:cs="Arial"/>
        </w:rPr>
        <w:t xml:space="preserve"> and EAF-produced steel to new international markets where new green procurement laws and regulations are being implemented as the portfolio of lower-carbon products expands. Additionally, Tata Steel's sustainable building envelope solutions have a huge market opportunity due to the UK government's goal to create 1,500,000 new houses, which builds on the early mover advantage obtained through the UK government's green transition.</w:t>
      </w:r>
    </w:p>
    <w:p w14:paraId="3F81E195" w14:textId="77777777" w:rsidR="0020709C" w:rsidRPr="00DE3D44" w:rsidRDefault="0020709C" w:rsidP="0020709C">
      <w:pPr>
        <w:rPr>
          <w:rFonts w:ascii="Arial" w:hAnsi="Arial" w:cs="Arial"/>
        </w:rPr>
      </w:pPr>
    </w:p>
    <w:p w14:paraId="4D0351AE" w14:textId="48041D52" w:rsidR="0020709C" w:rsidRPr="00DE3D44" w:rsidRDefault="0020709C" w:rsidP="0020709C">
      <w:pPr>
        <w:pStyle w:val="Heading2"/>
        <w:rPr>
          <w:rFonts w:ascii="Arial" w:hAnsi="Arial" w:cs="Arial"/>
        </w:rPr>
      </w:pPr>
      <w:bookmarkStart w:id="8" w:name="_Toc235762376"/>
      <w:r w:rsidRPr="00DE3D44">
        <w:rPr>
          <w:rFonts w:ascii="Arial" w:hAnsi="Arial" w:cs="Arial"/>
        </w:rPr>
        <w:t>2.2 Achieving Competitive Advantage via Porter’s Generic Strategies</w:t>
      </w:r>
      <w:bookmarkEnd w:id="8"/>
    </w:p>
    <w:p w14:paraId="72A0405D" w14:textId="77777777" w:rsidR="0020709C" w:rsidRPr="00DE3D44" w:rsidRDefault="0020709C" w:rsidP="0020709C">
      <w:pPr>
        <w:rPr>
          <w:rFonts w:ascii="Arial" w:hAnsi="Arial" w:cs="Arial"/>
        </w:rPr>
      </w:pPr>
    </w:p>
    <w:p w14:paraId="01E9B5B3" w14:textId="6B5321EB" w:rsidR="0020709C" w:rsidRPr="00DE3D44" w:rsidRDefault="00B61E13" w:rsidP="0020709C">
      <w:pPr>
        <w:rPr>
          <w:rFonts w:ascii="Arial" w:hAnsi="Arial" w:cs="Arial"/>
        </w:rPr>
      </w:pPr>
      <w:r w:rsidRPr="00DE3D44">
        <w:rPr>
          <w:rFonts w:ascii="Arial" w:hAnsi="Arial" w:cs="Arial"/>
        </w:rPr>
        <w:t>Tata Steel must carefully coordinate its expansion plans to align with Porter's Generic Strategies during this shift. Due to the organization's extensive multi-regional presence, the competitive strategy appears to be hybrid, tailoring positioning to local market conditions.</w:t>
      </w:r>
    </w:p>
    <w:p w14:paraId="6619A115" w14:textId="01B9B4FF" w:rsidR="00B61E13" w:rsidRPr="00DE3D44" w:rsidRDefault="00B61E13" w:rsidP="0020709C">
      <w:pPr>
        <w:rPr>
          <w:rFonts w:ascii="Arial" w:hAnsi="Arial" w:cs="Arial"/>
        </w:rPr>
      </w:pPr>
      <w:r w:rsidRPr="00DE3D44">
        <w:rPr>
          <w:rFonts w:ascii="Arial" w:hAnsi="Arial" w:cs="Arial"/>
        </w:rPr>
        <w:t xml:space="preserve">In the European and UK markets, differentiation is the sole tactic employed. In addition to structural disadvantages for domestic producers, such as higher electricity prices, the European market is heavily regulated and subject to carbon taxes. Tata Steel must avoid being a low-cost rival to nations with laxer regulations. Instead, the firm invests £1.25 billion in EAF technology at Port Talbot and actively markets the </w:t>
      </w:r>
      <w:proofErr w:type="spellStart"/>
      <w:r w:rsidRPr="00DE3D44">
        <w:rPr>
          <w:rFonts w:ascii="Arial" w:hAnsi="Arial" w:cs="Arial"/>
        </w:rPr>
        <w:t>Zeremis</w:t>
      </w:r>
      <w:proofErr w:type="spellEnd"/>
      <w:r w:rsidRPr="00DE3D44">
        <w:rPr>
          <w:rFonts w:ascii="Arial" w:hAnsi="Arial" w:cs="Arial"/>
        </w:rPr>
        <w:t xml:space="preserve"> brand in the Netherlands, establishing the company as a high-end, sustainable, and dependable provider.</w:t>
      </w:r>
      <w:r w:rsidRPr="00DE3D44">
        <w:rPr>
          <w:rFonts w:ascii="Arial" w:eastAsia="Times New Roman" w:hAnsi="Arial" w:cs="Arial"/>
          <w:kern w:val="0"/>
          <w:sz w:val="24"/>
          <w:szCs w:val="24"/>
          <w:lang w:eastAsia="en-IN" w:bidi="gu-IN"/>
          <w14:ligatures w14:val="none"/>
        </w:rPr>
        <w:t xml:space="preserve"> </w:t>
      </w:r>
      <w:r w:rsidRPr="00DE3D44">
        <w:rPr>
          <w:rFonts w:ascii="Arial" w:hAnsi="Arial" w:cs="Arial"/>
        </w:rPr>
        <w:t xml:space="preserve">Giving smart </w:t>
      </w:r>
      <w:r w:rsidRPr="00DE3D44">
        <w:rPr>
          <w:rFonts w:ascii="Arial" w:hAnsi="Arial" w:cs="Arial"/>
        </w:rPr>
        <w:lastRenderedPageBreak/>
        <w:t>B2B clients 100% traceable, low-carbon steel that helps them decarbonize their own supply chains gives them a competitive edge. Customers are far more ready to pay what is known as a "green premium" for this unique product in the automotive and advanced manufacturing industries, which helps Tata Steel retain its profit margins in an expensive operating environment.</w:t>
      </w:r>
    </w:p>
    <w:p w14:paraId="723D64E0" w14:textId="77777777" w:rsidR="00B61E13" w:rsidRPr="00DE3D44" w:rsidRDefault="00B61E13" w:rsidP="00B61E13">
      <w:pPr>
        <w:rPr>
          <w:rFonts w:ascii="Arial" w:hAnsi="Arial" w:cs="Arial"/>
        </w:rPr>
      </w:pPr>
      <w:r w:rsidRPr="00DE3D44">
        <w:rPr>
          <w:rFonts w:ascii="Arial" w:hAnsi="Arial" w:cs="Arial"/>
        </w:rPr>
        <w:t xml:space="preserve">However, in India's dynamic market, the Cost Leadership strategy, supported by downstream differentiation, has a competitive advantage. The Indian market needs a significant increase in capacity to accommodate the country's fast infrastructure development and urbanization. Because of its complete vertical integration, which includes iron ore mines, an effective logistical network, and enormous economies of scale—such as the </w:t>
      </w:r>
      <w:proofErr w:type="spellStart"/>
      <w:r w:rsidRPr="00DE3D44">
        <w:rPr>
          <w:rFonts w:ascii="Arial" w:hAnsi="Arial" w:cs="Arial"/>
        </w:rPr>
        <w:t>Kalinganagar</w:t>
      </w:r>
      <w:proofErr w:type="spellEnd"/>
      <w:r w:rsidRPr="00DE3D44">
        <w:rPr>
          <w:rFonts w:ascii="Arial" w:hAnsi="Arial" w:cs="Arial"/>
        </w:rPr>
        <w:t xml:space="preserve"> plant's expansion to 8 MTPA—Tata Steel's one-time cost advantage has been extended in this context.</w:t>
      </w:r>
      <w:r w:rsidRPr="00DE3D44">
        <w:rPr>
          <w:rFonts w:ascii="Arial" w:eastAsia="Times New Roman" w:hAnsi="Arial" w:cs="Arial"/>
          <w:kern w:val="0"/>
          <w:sz w:val="24"/>
          <w:szCs w:val="24"/>
          <w:lang w:eastAsia="en-IN" w:bidi="gu-IN"/>
          <w14:ligatures w14:val="none"/>
        </w:rPr>
        <w:t xml:space="preserve"> </w:t>
      </w:r>
      <w:r w:rsidRPr="00DE3D44">
        <w:rPr>
          <w:rFonts w:ascii="Arial" w:hAnsi="Arial" w:cs="Arial"/>
        </w:rPr>
        <w:t>Although the Indian businesses are becoming more carbon neutral, their main competitive advantage is their scale, effective procedures, and unwavering commitment to cost containment, which will give them a commanding presence in a developing nation where prices are crucial. For the long-term, worldwide shift to a future with zero carbon emissions, Tata Steel intends to secure solid cash flows through its large, cost-effective capacity in India and develop brand superiority and technological leadership through state-supported green innovation in Europe.</w:t>
      </w:r>
    </w:p>
    <w:p w14:paraId="5674E5CE" w14:textId="110B00F9" w:rsidR="008B640D" w:rsidRPr="00DE3D44" w:rsidRDefault="008B640D" w:rsidP="00B61E13">
      <w:pPr>
        <w:rPr>
          <w:rFonts w:ascii="Arial" w:hAnsi="Arial" w:cs="Arial"/>
        </w:rPr>
      </w:pPr>
      <w:r w:rsidRPr="00DE3D44">
        <w:rPr>
          <w:rFonts w:ascii="Arial" w:hAnsi="Arial" w:cs="Arial"/>
        </w:rPr>
        <w:t>Ultimately, this sophisticated dual positioning will allow Tata Steel to leverage its enormous, low-cost capacity in India to generate the cash flow required for the long-term global transition towards a net-zero future, while also leveraging Europe's state-subsidized green innovation to position the brand as superior and technological leaders.</w:t>
      </w:r>
    </w:p>
    <w:p w14:paraId="685CC5E9" w14:textId="77777777" w:rsidR="008B640D" w:rsidRPr="00DE3D44" w:rsidRDefault="008B640D" w:rsidP="00B61E13">
      <w:pPr>
        <w:rPr>
          <w:rFonts w:ascii="Arial" w:hAnsi="Arial" w:cs="Arial"/>
        </w:rPr>
      </w:pPr>
    </w:p>
    <w:p w14:paraId="7D99B38A" w14:textId="4EF5E0C4" w:rsidR="008B640D" w:rsidRPr="00DE3D44" w:rsidRDefault="008B640D" w:rsidP="008B640D">
      <w:pPr>
        <w:pStyle w:val="Heading1"/>
        <w:rPr>
          <w:rFonts w:ascii="Arial" w:hAnsi="Arial" w:cs="Arial"/>
        </w:rPr>
      </w:pPr>
      <w:bookmarkStart w:id="9" w:name="_Toc235762377"/>
      <w:r w:rsidRPr="00DE3D44">
        <w:rPr>
          <w:rFonts w:ascii="Arial" w:hAnsi="Arial" w:cs="Arial"/>
        </w:rPr>
        <w:t xml:space="preserve">3. Task 3: Critical Reflection </w:t>
      </w:r>
      <w:proofErr w:type="gramStart"/>
      <w:r w:rsidRPr="00DE3D44">
        <w:rPr>
          <w:rFonts w:ascii="Arial" w:hAnsi="Arial" w:cs="Arial"/>
        </w:rPr>
        <w:t>On</w:t>
      </w:r>
      <w:proofErr w:type="gramEnd"/>
      <w:r w:rsidRPr="00DE3D44">
        <w:rPr>
          <w:rFonts w:ascii="Arial" w:hAnsi="Arial" w:cs="Arial"/>
        </w:rPr>
        <w:t xml:space="preserve"> AI Usage</w:t>
      </w:r>
      <w:bookmarkEnd w:id="9"/>
    </w:p>
    <w:p w14:paraId="011BF74F" w14:textId="77777777" w:rsidR="00005024" w:rsidRPr="00DE3D44" w:rsidRDefault="00005024" w:rsidP="00005024">
      <w:pPr>
        <w:rPr>
          <w:rFonts w:ascii="Arial" w:hAnsi="Arial" w:cs="Arial"/>
        </w:rPr>
      </w:pPr>
    </w:p>
    <w:p w14:paraId="4AAE9E7D" w14:textId="48F7E2F0" w:rsidR="008B640D" w:rsidRPr="00DE3D44" w:rsidRDefault="008B640D" w:rsidP="008B640D">
      <w:pPr>
        <w:pStyle w:val="Heading2"/>
        <w:rPr>
          <w:rFonts w:ascii="Arial" w:hAnsi="Arial" w:cs="Arial"/>
        </w:rPr>
      </w:pPr>
      <w:bookmarkStart w:id="10" w:name="_Toc235762378"/>
      <w:r w:rsidRPr="00DE3D44">
        <w:rPr>
          <w:rFonts w:ascii="Arial" w:hAnsi="Arial" w:cs="Arial"/>
        </w:rPr>
        <w:t>3.1 Tool Disclosure</w:t>
      </w:r>
      <w:bookmarkEnd w:id="10"/>
    </w:p>
    <w:p w14:paraId="783E780A" w14:textId="4AD2B1DE" w:rsidR="00005024" w:rsidRPr="00DE3D44" w:rsidRDefault="00D62E0C" w:rsidP="00005024">
      <w:pPr>
        <w:rPr>
          <w:rFonts w:ascii="Arial" w:hAnsi="Arial" w:cs="Arial"/>
        </w:rPr>
      </w:pPr>
      <w:r w:rsidRPr="00DE3D44">
        <w:rPr>
          <w:rFonts w:ascii="Arial" w:hAnsi="Arial" w:cs="Arial"/>
        </w:rPr>
        <w:t>Artificial intelligence (AI) was only used as a research and data collection technique for this strategic marketing analysis. Early on in the project, AI-powered search interfaces and conversational models were used to locate literature, collect and process extremely complex data from regulations, and filter out a large number of macroenvironmental statistics from corporate disclosure statements (such as Tata Steel reports or media releases from the UK government).</w:t>
      </w:r>
      <w:r w:rsidR="00005024" w:rsidRPr="00DE3D44">
        <w:rPr>
          <w:rFonts w:ascii="Arial" w:hAnsi="Arial" w:cs="Arial"/>
        </w:rPr>
        <w:t>The AI's role was extremely restricted</w:t>
      </w:r>
      <w:r w:rsidRPr="00DE3D44">
        <w:rPr>
          <w:rFonts w:ascii="Arial" w:hAnsi="Arial" w:cs="Arial"/>
        </w:rPr>
        <w:t>,</w:t>
      </w:r>
      <w:r w:rsidR="00005024" w:rsidRPr="00DE3D44">
        <w:rPr>
          <w:rFonts w:ascii="Arial" w:hAnsi="Arial" w:cs="Arial"/>
        </w:rPr>
        <w:t xml:space="preserve"> it was merely an extremely intelligent search engine that could rapidly locate pertinent information from the source material, in this case particular numbers for capital investment quantities and carbon emission reductions.</w:t>
      </w:r>
    </w:p>
    <w:p w14:paraId="25C1408F" w14:textId="1641EC34" w:rsidR="00005024" w:rsidRPr="00DE3D44" w:rsidRDefault="00005024" w:rsidP="00005024">
      <w:pPr>
        <w:pStyle w:val="Heading2"/>
        <w:rPr>
          <w:rFonts w:ascii="Arial" w:hAnsi="Arial" w:cs="Arial"/>
        </w:rPr>
      </w:pPr>
      <w:bookmarkStart w:id="11" w:name="_Toc235762379"/>
      <w:r w:rsidRPr="00DE3D44">
        <w:rPr>
          <w:rFonts w:ascii="Arial" w:hAnsi="Arial" w:cs="Arial"/>
        </w:rPr>
        <w:t>3.2 Critical Evaluation of AI Output</w:t>
      </w:r>
      <w:bookmarkEnd w:id="11"/>
    </w:p>
    <w:p w14:paraId="545A4550" w14:textId="196B19E3" w:rsidR="00B61E13" w:rsidRPr="00DE3D44" w:rsidRDefault="00C36D97" w:rsidP="0020709C">
      <w:pPr>
        <w:rPr>
          <w:rFonts w:ascii="Arial" w:hAnsi="Arial" w:cs="Arial"/>
        </w:rPr>
      </w:pPr>
      <w:r w:rsidRPr="00DE3D44">
        <w:rPr>
          <w:rFonts w:ascii="Arial" w:hAnsi="Arial" w:cs="Arial"/>
        </w:rPr>
        <w:t xml:space="preserve">To ensure the validity and dependability of the original data collected using AI's technologies, the verification procedure was essential. Because of the subtlety of context, the surface information may not be accurate enough when it comes to quantitative economic data or complex information from public policy, which might provide a problem for AI research models. For example, an early AI data extraction during the Port Talbot transition study stage thought that the UK Government's £500 million contribution was connected to 8,000 job losses. Tata Steel employed 8,000 people in the UK overall, however there were between 2,500 and 2,8003 layoffs directly related to the closing of the blast furnaces at Port Talbot, according to a manual cross-reference of this output with the original sources of information. </w:t>
      </w:r>
      <w:r w:rsidRPr="00DE3D44">
        <w:rPr>
          <w:rFonts w:ascii="Arial" w:hAnsi="Arial" w:cs="Arial"/>
        </w:rPr>
        <w:lastRenderedPageBreak/>
        <w:t>To make sure that the crucial element of the regional shift was accurately recorded, information about the strategic differences between Europe and India as well as the consequences of the "multi-speed" transition between the two were manually cross-checked with statements made by Tata Steel CEO T.V. Narendran.</w:t>
      </w:r>
    </w:p>
    <w:p w14:paraId="1C14FABA" w14:textId="77777777" w:rsidR="00C36D97" w:rsidRPr="00DE3D44" w:rsidRDefault="00C36D97" w:rsidP="0020709C">
      <w:pPr>
        <w:rPr>
          <w:rFonts w:ascii="Arial" w:hAnsi="Arial" w:cs="Arial"/>
        </w:rPr>
      </w:pPr>
    </w:p>
    <w:p w14:paraId="11B60059" w14:textId="4915069A" w:rsidR="00C36D97" w:rsidRPr="00DE3D44" w:rsidRDefault="00C36D97" w:rsidP="00C36D97">
      <w:pPr>
        <w:pStyle w:val="Heading2"/>
        <w:rPr>
          <w:rFonts w:ascii="Arial" w:hAnsi="Arial" w:cs="Arial"/>
        </w:rPr>
      </w:pPr>
      <w:bookmarkStart w:id="12" w:name="_Toc235762380"/>
      <w:r w:rsidRPr="00DE3D44">
        <w:rPr>
          <w:rFonts w:ascii="Arial" w:hAnsi="Arial" w:cs="Arial"/>
        </w:rPr>
        <w:t>3.3 Contribution Analysis</w:t>
      </w:r>
      <w:bookmarkEnd w:id="12"/>
    </w:p>
    <w:p w14:paraId="40F47469" w14:textId="0422DC88" w:rsidR="00C36D97" w:rsidRPr="00DE3D44" w:rsidRDefault="00C36D97" w:rsidP="00C36D97">
      <w:pPr>
        <w:rPr>
          <w:rFonts w:ascii="Arial" w:hAnsi="Arial" w:cs="Arial"/>
        </w:rPr>
      </w:pPr>
      <w:r w:rsidRPr="00DE3D44">
        <w:rPr>
          <w:rFonts w:ascii="Arial" w:hAnsi="Arial" w:cs="Arial"/>
        </w:rPr>
        <w:t xml:space="preserve">Tasks required for the academic assessment and anticipated original intellectual contribution of the AI were clearly separated. It's important to note that AI was not used to write the report, produce the report, or arrange the report—only to find scholarly sources and to collect simple, unstructured data. All human individuals were engaged in critical examination, storytelling, synthesis strategy and application of marketing theory concepts. One of the two competitive positions that Tata Steel chose to operate from was very specific, developed from individual, human academic reasoning using Porter's Generic Strategies; The mapping of the </w:t>
      </w:r>
      <w:proofErr w:type="spellStart"/>
      <w:r w:rsidRPr="00DE3D44">
        <w:rPr>
          <w:rFonts w:ascii="Arial" w:hAnsi="Arial" w:cs="Arial"/>
        </w:rPr>
        <w:t>Zeremis</w:t>
      </w:r>
      <w:proofErr w:type="spellEnd"/>
      <w:r w:rsidRPr="00DE3D44">
        <w:rPr>
          <w:rFonts w:ascii="Arial" w:hAnsi="Arial" w:cs="Arial"/>
        </w:rPr>
        <w:t xml:space="preserve"> brand was developed independently, not with the help of other human academics, using the Ansoff Matrix quadrant of Product Development; The meaning of the CBAM policy as a barrier to entry was developed independently by the human academics themselves, rather than relying on the support of other human academics.</w:t>
      </w:r>
    </w:p>
    <w:p w14:paraId="735EF915" w14:textId="77777777" w:rsidR="00C36D97" w:rsidRPr="00DE3D44" w:rsidRDefault="00C36D97" w:rsidP="00C36D97">
      <w:pPr>
        <w:rPr>
          <w:rFonts w:ascii="Arial" w:hAnsi="Arial" w:cs="Arial"/>
        </w:rPr>
      </w:pPr>
    </w:p>
    <w:p w14:paraId="4FCCDF8D" w14:textId="01A8F35A" w:rsidR="00EA15B0" w:rsidRPr="00DE3D44" w:rsidRDefault="00C36D97" w:rsidP="00EA15B0">
      <w:pPr>
        <w:pStyle w:val="Heading2"/>
        <w:rPr>
          <w:rFonts w:ascii="Arial" w:hAnsi="Arial" w:cs="Arial"/>
        </w:rPr>
      </w:pPr>
      <w:bookmarkStart w:id="13" w:name="_Toc235762381"/>
      <w:r w:rsidRPr="00DE3D44">
        <w:rPr>
          <w:rFonts w:ascii="Arial" w:hAnsi="Arial" w:cs="Arial"/>
        </w:rPr>
        <w:t>3.4 Ethical &amp; Professional Reflection</w:t>
      </w:r>
      <w:bookmarkEnd w:id="13"/>
    </w:p>
    <w:p w14:paraId="0B13F4AA" w14:textId="1D878FED" w:rsidR="00EA15B0" w:rsidRPr="00DE3D44" w:rsidRDefault="00EA15B0" w:rsidP="00EA15B0">
      <w:pPr>
        <w:rPr>
          <w:rFonts w:ascii="Arial" w:hAnsi="Arial" w:cs="Arial"/>
        </w:rPr>
      </w:pPr>
      <w:r w:rsidRPr="00DE3D44">
        <w:rPr>
          <w:rFonts w:ascii="Arial" w:hAnsi="Arial" w:cs="Arial"/>
        </w:rPr>
        <w:t>There are serious ethical issues with the use of AI in strategic marketing analysis study. Those who heavily depend on algorithmic search engines risk losing the competitive edge they need by not capturing important outlier data. Additionally, the study's findings might still be biased towards a more Western-centric environmental policy since AI search algorithms are often developed with socioeconomic factors of industrial development in affluent countries in mind.</w:t>
      </w:r>
    </w:p>
    <w:p w14:paraId="22C97304" w14:textId="179DD881" w:rsidR="0020709C" w:rsidRPr="00DE3D44" w:rsidRDefault="00EA15B0" w:rsidP="00EA15B0">
      <w:pPr>
        <w:rPr>
          <w:rFonts w:ascii="Arial" w:hAnsi="Arial" w:cs="Arial"/>
        </w:rPr>
      </w:pPr>
      <w:r w:rsidRPr="00DE3D44">
        <w:rPr>
          <w:rFonts w:ascii="Arial" w:hAnsi="Arial" w:cs="Arial"/>
        </w:rPr>
        <w:t>The moral paradox is this particular scientific subject. The projected shift of heavy industry to decarbonization and GHG emission reduction is examined in this report. The systems that can perform a sophisticated query for an AI search, however, consume a lot of power, water and electricity, making the environmental impact they are aiming to reduce even worse. Due to the expense of research, it is crucial that everyone understands how to use AI tools and that using them to collect data doesn't have a major negative impact on the environment.</w:t>
      </w:r>
    </w:p>
    <w:p w14:paraId="1ABE2F1E" w14:textId="77777777" w:rsidR="00DE3D44" w:rsidRPr="00DE3D44" w:rsidRDefault="00DE3D44" w:rsidP="00EA15B0">
      <w:pPr>
        <w:rPr>
          <w:rFonts w:ascii="Arial" w:hAnsi="Arial" w:cs="Arial"/>
        </w:rPr>
      </w:pPr>
    </w:p>
    <w:p w14:paraId="49EAC751" w14:textId="77777777" w:rsidR="00DE3D44" w:rsidRPr="00DE3D44" w:rsidRDefault="00DE3D44" w:rsidP="00EA15B0">
      <w:pPr>
        <w:rPr>
          <w:rFonts w:ascii="Arial" w:hAnsi="Arial" w:cs="Arial"/>
        </w:rPr>
      </w:pPr>
    </w:p>
    <w:p w14:paraId="0087040B" w14:textId="77777777" w:rsidR="00DE3D44" w:rsidRPr="00DE3D44" w:rsidRDefault="00DE3D44" w:rsidP="00EA15B0">
      <w:pPr>
        <w:rPr>
          <w:rFonts w:ascii="Arial" w:hAnsi="Arial" w:cs="Arial"/>
        </w:rPr>
      </w:pPr>
    </w:p>
    <w:p w14:paraId="616C590B" w14:textId="77777777" w:rsidR="006F21C6" w:rsidRDefault="006F21C6" w:rsidP="00DE3D44">
      <w:pPr>
        <w:pStyle w:val="Heading1"/>
        <w:rPr>
          <w:rFonts w:ascii="Arial" w:hAnsi="Arial" w:cs="Arial"/>
        </w:rPr>
      </w:pPr>
      <w:bookmarkStart w:id="14" w:name="_Toc235762382"/>
    </w:p>
    <w:p w14:paraId="61DF8463" w14:textId="77777777" w:rsidR="006F21C6" w:rsidRDefault="006F21C6" w:rsidP="006F21C6"/>
    <w:p w14:paraId="6B34EFD7" w14:textId="77777777" w:rsidR="006F21C6" w:rsidRPr="006F21C6" w:rsidRDefault="006F21C6" w:rsidP="006F21C6"/>
    <w:p w14:paraId="20AC6F24" w14:textId="14A0D510" w:rsidR="00DE3D44" w:rsidRPr="00DE3D44" w:rsidRDefault="00DE3D44" w:rsidP="00DE3D44">
      <w:pPr>
        <w:pStyle w:val="Heading1"/>
        <w:rPr>
          <w:rFonts w:ascii="Arial" w:hAnsi="Arial" w:cs="Arial"/>
        </w:rPr>
      </w:pPr>
      <w:r w:rsidRPr="00DE3D44">
        <w:rPr>
          <w:rFonts w:ascii="Arial" w:hAnsi="Arial" w:cs="Arial"/>
        </w:rPr>
        <w:lastRenderedPageBreak/>
        <w:t>References</w:t>
      </w:r>
      <w:bookmarkEnd w:id="14"/>
    </w:p>
    <w:p w14:paraId="6E35DA6F" w14:textId="7BD14772" w:rsidR="00DE3D44" w:rsidRPr="00DE3D44" w:rsidRDefault="00DE3D44" w:rsidP="00DE3D44">
      <w:pPr>
        <w:rPr>
          <w:rFonts w:ascii="Arial" w:hAnsi="Arial" w:cs="Arial"/>
        </w:rPr>
      </w:pPr>
      <w:proofErr w:type="spellStart"/>
      <w:r w:rsidRPr="00DE3D44">
        <w:rPr>
          <w:rFonts w:ascii="Arial" w:hAnsi="Arial" w:cs="Arial"/>
        </w:rPr>
        <w:t>BusinessGreen</w:t>
      </w:r>
      <w:proofErr w:type="spellEnd"/>
      <w:r w:rsidRPr="00DE3D44">
        <w:rPr>
          <w:rFonts w:ascii="Arial" w:hAnsi="Arial" w:cs="Arial"/>
        </w:rPr>
        <w:t xml:space="preserve"> (2023). </w:t>
      </w:r>
      <w:r w:rsidRPr="00DE3D44">
        <w:rPr>
          <w:rFonts w:ascii="Arial" w:hAnsi="Arial" w:cs="Arial"/>
          <w:i/>
          <w:iCs/>
        </w:rPr>
        <w:t>Tata Steel secures “historic” £500m government aid package for Port Talbot green upgrade</w:t>
      </w:r>
      <w:r w:rsidRPr="00DE3D44">
        <w:rPr>
          <w:rFonts w:ascii="Arial" w:hAnsi="Arial" w:cs="Arial"/>
        </w:rPr>
        <w:t xml:space="preserve">. [online] Available at: </w:t>
      </w:r>
      <w:hyperlink r:id="rId8" w:history="1">
        <w:r w:rsidRPr="00DE3D44">
          <w:rPr>
            <w:rStyle w:val="Hyperlink"/>
            <w:rFonts w:ascii="Arial" w:hAnsi="Arial" w:cs="Arial"/>
          </w:rPr>
          <w:t>https://www.businessgreen.com/news/4125912/tata-steel-secures-historic-gbp500m-government-aid-package-port-talbot-green-upgrade</w:t>
        </w:r>
      </w:hyperlink>
      <w:r w:rsidRPr="00DE3D44">
        <w:rPr>
          <w:rFonts w:ascii="Arial" w:hAnsi="Arial" w:cs="Arial"/>
        </w:rPr>
        <w:t>.</w:t>
      </w:r>
    </w:p>
    <w:p w14:paraId="0EA8E6A6" w14:textId="77777777" w:rsidR="00DE3D44" w:rsidRPr="00DE3D44" w:rsidRDefault="00DE3D44" w:rsidP="00DE3D44">
      <w:pPr>
        <w:rPr>
          <w:rFonts w:ascii="Arial" w:hAnsi="Arial" w:cs="Arial"/>
        </w:rPr>
      </w:pPr>
      <w:proofErr w:type="spellStart"/>
      <w:r w:rsidRPr="00DE3D44">
        <w:rPr>
          <w:rFonts w:ascii="Arial" w:hAnsi="Arial" w:cs="Arial"/>
        </w:rPr>
        <w:t>Eurometal</w:t>
      </w:r>
      <w:proofErr w:type="spellEnd"/>
      <w:r w:rsidRPr="00DE3D44">
        <w:rPr>
          <w:rFonts w:ascii="Arial" w:hAnsi="Arial" w:cs="Arial"/>
        </w:rPr>
        <w:t xml:space="preserve"> (2024) 'Tata Steel adopts differing European, Indian decarbonisation strategy.,' in </w:t>
      </w:r>
      <w:proofErr w:type="spellStart"/>
      <w:r w:rsidRPr="00DE3D44">
        <w:rPr>
          <w:rFonts w:ascii="Arial" w:hAnsi="Arial" w:cs="Arial"/>
        </w:rPr>
        <w:t>Eurometal</w:t>
      </w:r>
      <w:proofErr w:type="spellEnd"/>
      <w:r w:rsidRPr="00DE3D44">
        <w:rPr>
          <w:rFonts w:ascii="Arial" w:hAnsi="Arial" w:cs="Arial"/>
        </w:rPr>
        <w:t xml:space="preserve">. </w:t>
      </w:r>
      <w:hyperlink r:id="rId9" w:tgtFrame="_blank" w:history="1">
        <w:r w:rsidRPr="00DE3D44">
          <w:rPr>
            <w:rStyle w:val="Hyperlink"/>
            <w:rFonts w:ascii="Arial" w:hAnsi="Arial" w:cs="Arial"/>
          </w:rPr>
          <w:t>https://eurometal.net/tata-steel-adopts-differing-european-indian-decarbonisation-strategy/</w:t>
        </w:r>
      </w:hyperlink>
      <w:r w:rsidRPr="00DE3D44">
        <w:rPr>
          <w:rFonts w:ascii="Arial" w:hAnsi="Arial" w:cs="Arial"/>
        </w:rPr>
        <w:t>.</w:t>
      </w:r>
    </w:p>
    <w:p w14:paraId="00A520F6" w14:textId="77777777" w:rsidR="00DE3D44" w:rsidRPr="00DE3D44" w:rsidRDefault="00DE3D44" w:rsidP="00DE3D44">
      <w:pPr>
        <w:rPr>
          <w:rFonts w:ascii="Arial" w:hAnsi="Arial" w:cs="Arial"/>
        </w:rPr>
      </w:pPr>
      <w:r w:rsidRPr="00DE3D44">
        <w:rPr>
          <w:rFonts w:ascii="Arial" w:hAnsi="Arial" w:cs="Arial"/>
        </w:rPr>
        <w:t xml:space="preserve">Kotler, P., Armstrong, G., Harris, L.C. and He, H. (2024) 'Principles of marketing.,' 19th </w:t>
      </w:r>
      <w:proofErr w:type="spellStart"/>
      <w:r w:rsidRPr="00DE3D44">
        <w:rPr>
          <w:rFonts w:ascii="Arial" w:hAnsi="Arial" w:cs="Arial"/>
        </w:rPr>
        <w:t>edn</w:t>
      </w:r>
      <w:proofErr w:type="spellEnd"/>
      <w:r w:rsidRPr="00DE3D44">
        <w:rPr>
          <w:rFonts w:ascii="Arial" w:hAnsi="Arial" w:cs="Arial"/>
        </w:rPr>
        <w:t>., in Pearson, pp. 115-117.</w:t>
      </w:r>
    </w:p>
    <w:p w14:paraId="59EE28C0" w14:textId="77777777" w:rsidR="00DE3D44" w:rsidRPr="00DE3D44" w:rsidRDefault="00DE3D44" w:rsidP="00DE3D44">
      <w:pPr>
        <w:rPr>
          <w:rFonts w:ascii="Arial" w:hAnsi="Arial" w:cs="Arial"/>
        </w:rPr>
      </w:pPr>
      <w:r w:rsidRPr="00DE3D44">
        <w:rPr>
          <w:rFonts w:ascii="Arial" w:hAnsi="Arial" w:cs="Arial"/>
        </w:rPr>
        <w:t xml:space="preserve">Tata Steel (2020) 'Tata Steel launches </w:t>
      </w:r>
      <w:proofErr w:type="spellStart"/>
      <w:r w:rsidRPr="00DE3D44">
        <w:rPr>
          <w:rFonts w:ascii="Arial" w:hAnsi="Arial" w:cs="Arial"/>
        </w:rPr>
        <w:t>FerroHaat</w:t>
      </w:r>
      <w:proofErr w:type="spellEnd"/>
      <w:r w:rsidRPr="00DE3D44">
        <w:rPr>
          <w:rFonts w:ascii="Arial" w:hAnsi="Arial" w:cs="Arial"/>
        </w:rPr>
        <w:t xml:space="preserve">™ App for sourcing steel scrap.,' in Tata Steel Press Releases. </w:t>
      </w:r>
      <w:hyperlink r:id="rId10" w:tgtFrame="_blank" w:history="1">
        <w:r w:rsidRPr="00DE3D44">
          <w:rPr>
            <w:rStyle w:val="Hyperlink"/>
            <w:rFonts w:ascii="Arial" w:hAnsi="Arial" w:cs="Arial"/>
          </w:rPr>
          <w:t>https://www.tatasteel.com/newsroom/press-releases/india/2020/tata-steel-launches-ferrohaat-app-for-sourcing-steel-scrap/</w:t>
        </w:r>
      </w:hyperlink>
      <w:r w:rsidRPr="00DE3D44">
        <w:rPr>
          <w:rFonts w:ascii="Arial" w:hAnsi="Arial" w:cs="Arial"/>
        </w:rPr>
        <w:t>.</w:t>
      </w:r>
    </w:p>
    <w:p w14:paraId="209E2E1C" w14:textId="77777777" w:rsidR="00DE3D44" w:rsidRPr="00DE3D44" w:rsidRDefault="00DE3D44" w:rsidP="00DE3D44">
      <w:pPr>
        <w:rPr>
          <w:rFonts w:ascii="Arial" w:hAnsi="Arial" w:cs="Arial"/>
        </w:rPr>
      </w:pPr>
      <w:r w:rsidRPr="00DE3D44">
        <w:rPr>
          <w:rFonts w:ascii="Arial" w:hAnsi="Arial" w:cs="Arial"/>
        </w:rPr>
        <w:t xml:space="preserve">Tata Steel (2024) 'Business Responsibility and Sustainability Report.,' in Tata Steel Publications. </w:t>
      </w:r>
      <w:hyperlink r:id="rId11" w:tgtFrame="_blank" w:history="1">
        <w:r w:rsidRPr="00DE3D44">
          <w:rPr>
            <w:rStyle w:val="Hyperlink"/>
            <w:rFonts w:ascii="Arial" w:hAnsi="Arial" w:cs="Arial"/>
          </w:rPr>
          <w:t>https://www.scribd.com/document/955106487/Tata-Steel-BRSR-Report-Section-A</w:t>
        </w:r>
      </w:hyperlink>
      <w:r w:rsidRPr="00DE3D44">
        <w:rPr>
          <w:rFonts w:ascii="Arial" w:hAnsi="Arial" w:cs="Arial"/>
        </w:rPr>
        <w:t>.</w:t>
      </w:r>
    </w:p>
    <w:p w14:paraId="6F5BBDBD" w14:textId="77777777" w:rsidR="00DE3D44" w:rsidRPr="00DE3D44" w:rsidRDefault="00DE3D44" w:rsidP="00DE3D44">
      <w:pPr>
        <w:rPr>
          <w:rFonts w:ascii="Arial" w:hAnsi="Arial" w:cs="Arial"/>
        </w:rPr>
      </w:pPr>
      <w:r w:rsidRPr="00DE3D44">
        <w:rPr>
          <w:rFonts w:ascii="Arial" w:hAnsi="Arial" w:cs="Arial"/>
        </w:rPr>
        <w:t xml:space="preserve">Tata Steel (2025) 'Climate Action.,' in Tata Steel Sustainability. </w:t>
      </w:r>
      <w:hyperlink r:id="rId12" w:tgtFrame="_blank" w:history="1">
        <w:r w:rsidRPr="00DE3D44">
          <w:rPr>
            <w:rStyle w:val="Hyperlink"/>
            <w:rFonts w:ascii="Arial" w:hAnsi="Arial" w:cs="Arial"/>
          </w:rPr>
          <w:t>https://www.tatasteel.com/sustainability/environment/climate-action/</w:t>
        </w:r>
      </w:hyperlink>
      <w:r w:rsidRPr="00DE3D44">
        <w:rPr>
          <w:rFonts w:ascii="Arial" w:hAnsi="Arial" w:cs="Arial"/>
        </w:rPr>
        <w:t>.</w:t>
      </w:r>
    </w:p>
    <w:p w14:paraId="2D8AE622" w14:textId="77777777" w:rsidR="00DE3D44" w:rsidRPr="00DE3D44" w:rsidRDefault="00DE3D44" w:rsidP="00DE3D44">
      <w:pPr>
        <w:rPr>
          <w:rFonts w:ascii="Arial" w:hAnsi="Arial" w:cs="Arial"/>
        </w:rPr>
      </w:pPr>
      <w:r w:rsidRPr="00DE3D44">
        <w:rPr>
          <w:rFonts w:ascii="Arial" w:hAnsi="Arial" w:cs="Arial"/>
        </w:rPr>
        <w:t xml:space="preserve">Tata Steel (2025) 'Climate Change Report 2024-25.,' in Tata Steel Investors. </w:t>
      </w:r>
      <w:hyperlink r:id="rId13" w:tgtFrame="_blank" w:history="1">
        <w:r w:rsidRPr="00DE3D44">
          <w:rPr>
            <w:rStyle w:val="Hyperlink"/>
            <w:rFonts w:ascii="Arial" w:hAnsi="Arial" w:cs="Arial"/>
          </w:rPr>
          <w:t>https://www.tatasteel.com/investors/integrated-report-2024-25/climate-change-report.html</w:t>
        </w:r>
      </w:hyperlink>
      <w:r w:rsidRPr="00DE3D44">
        <w:rPr>
          <w:rFonts w:ascii="Arial" w:hAnsi="Arial" w:cs="Arial"/>
        </w:rPr>
        <w:t>.</w:t>
      </w:r>
    </w:p>
    <w:p w14:paraId="44AB8489" w14:textId="77777777" w:rsidR="00DE3D44" w:rsidRPr="00DE3D44" w:rsidRDefault="00DE3D44" w:rsidP="00DE3D44">
      <w:pPr>
        <w:rPr>
          <w:rFonts w:ascii="Arial" w:hAnsi="Arial" w:cs="Arial"/>
        </w:rPr>
      </w:pPr>
      <w:r w:rsidRPr="00DE3D44">
        <w:rPr>
          <w:rFonts w:ascii="Arial" w:hAnsi="Arial" w:cs="Arial"/>
        </w:rPr>
        <w:t xml:space="preserve">Tata Steel (2025) 'Integrated Report </w:t>
      </w:r>
      <w:proofErr w:type="gramStart"/>
      <w:r w:rsidRPr="00DE3D44">
        <w:rPr>
          <w:rFonts w:ascii="Arial" w:hAnsi="Arial" w:cs="Arial"/>
        </w:rPr>
        <w:t>And</w:t>
      </w:r>
      <w:proofErr w:type="gramEnd"/>
      <w:r w:rsidRPr="00DE3D44">
        <w:rPr>
          <w:rFonts w:ascii="Arial" w:hAnsi="Arial" w:cs="Arial"/>
        </w:rPr>
        <w:t xml:space="preserve"> Annual Accounts 2024-2025.,' in Tata Steel Investors. </w:t>
      </w:r>
      <w:hyperlink r:id="rId14" w:tgtFrame="_blank" w:history="1">
        <w:r w:rsidRPr="00DE3D44">
          <w:rPr>
            <w:rStyle w:val="Hyperlink"/>
            <w:rFonts w:ascii="Arial" w:hAnsi="Arial" w:cs="Arial"/>
          </w:rPr>
          <w:t>https://www.sustainabilityreports.com/tata-steel/2025/integrated-report</w:t>
        </w:r>
      </w:hyperlink>
      <w:r w:rsidRPr="00DE3D44">
        <w:rPr>
          <w:rFonts w:ascii="Arial" w:hAnsi="Arial" w:cs="Arial"/>
        </w:rPr>
        <w:t>.</w:t>
      </w:r>
    </w:p>
    <w:p w14:paraId="030861FA" w14:textId="77777777" w:rsidR="00DE3D44" w:rsidRPr="00DE3D44" w:rsidRDefault="00DE3D44" w:rsidP="00DE3D44">
      <w:pPr>
        <w:rPr>
          <w:rFonts w:ascii="Arial" w:hAnsi="Arial" w:cs="Arial"/>
        </w:rPr>
      </w:pPr>
      <w:r w:rsidRPr="00DE3D44">
        <w:rPr>
          <w:rFonts w:ascii="Arial" w:hAnsi="Arial" w:cs="Arial"/>
        </w:rPr>
        <w:t xml:space="preserve">Tata Steel Nederland (2023) 'Sustainability Report 2022-2023.,' in Tata Steel Nederland. </w:t>
      </w:r>
      <w:hyperlink r:id="rId15" w:tgtFrame="_blank" w:history="1">
        <w:r w:rsidRPr="00DE3D44">
          <w:rPr>
            <w:rStyle w:val="Hyperlink"/>
            <w:rFonts w:ascii="Arial" w:hAnsi="Arial" w:cs="Arial"/>
          </w:rPr>
          <w:t>https://www.tatasteelnederland.com/en/sustainability/report</w:t>
        </w:r>
      </w:hyperlink>
      <w:r w:rsidRPr="00DE3D44">
        <w:rPr>
          <w:rFonts w:ascii="Arial" w:hAnsi="Arial" w:cs="Arial"/>
        </w:rPr>
        <w:t>.</w:t>
      </w:r>
    </w:p>
    <w:p w14:paraId="73A35E01" w14:textId="77777777" w:rsidR="00DE3D44" w:rsidRPr="00DE3D44" w:rsidRDefault="00DE3D44" w:rsidP="00DE3D44">
      <w:pPr>
        <w:rPr>
          <w:rFonts w:ascii="Arial" w:hAnsi="Arial" w:cs="Arial"/>
        </w:rPr>
      </w:pPr>
      <w:r w:rsidRPr="00DE3D44">
        <w:rPr>
          <w:rFonts w:ascii="Arial" w:hAnsi="Arial" w:cs="Arial"/>
        </w:rPr>
        <w:t>Tata Steel Nederland (2024) '</w:t>
      </w:r>
      <w:proofErr w:type="spellStart"/>
      <w:r w:rsidRPr="00DE3D44">
        <w:rPr>
          <w:rFonts w:ascii="Arial" w:hAnsi="Arial" w:cs="Arial"/>
        </w:rPr>
        <w:t>Zeremis</w:t>
      </w:r>
      <w:proofErr w:type="spellEnd"/>
      <w:r w:rsidRPr="00DE3D44">
        <w:rPr>
          <w:rFonts w:ascii="Arial" w:hAnsi="Arial" w:cs="Arial"/>
        </w:rPr>
        <w:t xml:space="preserve"> Carbon Lite.,' in Tata Steel Nederland Services. </w:t>
      </w:r>
      <w:hyperlink r:id="rId16" w:tgtFrame="_blank" w:history="1">
        <w:r w:rsidRPr="00DE3D44">
          <w:rPr>
            <w:rStyle w:val="Hyperlink"/>
            <w:rFonts w:ascii="Arial" w:hAnsi="Arial" w:cs="Arial"/>
          </w:rPr>
          <w:t>https://products.tatasteelnederland.com/services/sustainable-solutions/zeremis/carbon-lite</w:t>
        </w:r>
      </w:hyperlink>
      <w:r w:rsidRPr="00DE3D44">
        <w:rPr>
          <w:rFonts w:ascii="Arial" w:hAnsi="Arial" w:cs="Arial"/>
        </w:rPr>
        <w:t>.</w:t>
      </w:r>
    </w:p>
    <w:p w14:paraId="5D5A3052" w14:textId="77777777" w:rsidR="00DE3D44" w:rsidRPr="00DE3D44" w:rsidRDefault="00DE3D44" w:rsidP="00DE3D44">
      <w:pPr>
        <w:rPr>
          <w:rFonts w:ascii="Arial" w:hAnsi="Arial" w:cs="Arial"/>
        </w:rPr>
      </w:pPr>
      <w:r w:rsidRPr="00DE3D44">
        <w:rPr>
          <w:rFonts w:ascii="Arial" w:hAnsi="Arial" w:cs="Arial"/>
        </w:rPr>
        <w:t>Tata Steel Nederland (2024) '</w:t>
      </w:r>
      <w:proofErr w:type="spellStart"/>
      <w:r w:rsidRPr="00DE3D44">
        <w:rPr>
          <w:rFonts w:ascii="Arial" w:hAnsi="Arial" w:cs="Arial"/>
        </w:rPr>
        <w:t>Zeremis</w:t>
      </w:r>
      <w:proofErr w:type="spellEnd"/>
      <w:r w:rsidRPr="00DE3D44">
        <w:rPr>
          <w:rFonts w:ascii="Arial" w:hAnsi="Arial" w:cs="Arial"/>
        </w:rPr>
        <w:t xml:space="preserve"> Recycled.,' in Tata Steel Nederland Services. </w:t>
      </w:r>
      <w:hyperlink r:id="rId17" w:tgtFrame="_blank" w:history="1">
        <w:r w:rsidRPr="00DE3D44">
          <w:rPr>
            <w:rStyle w:val="Hyperlink"/>
            <w:rFonts w:ascii="Arial" w:hAnsi="Arial" w:cs="Arial"/>
          </w:rPr>
          <w:t>https://products.tatasteelnederland.com/services/sustainable-solutions/zeremis/recycled</w:t>
        </w:r>
      </w:hyperlink>
      <w:r w:rsidRPr="00DE3D44">
        <w:rPr>
          <w:rFonts w:ascii="Arial" w:hAnsi="Arial" w:cs="Arial"/>
        </w:rPr>
        <w:t>.</w:t>
      </w:r>
    </w:p>
    <w:p w14:paraId="67FC902E" w14:textId="77777777" w:rsidR="00DE3D44" w:rsidRPr="00DE3D44" w:rsidRDefault="00DE3D44" w:rsidP="00DE3D44">
      <w:pPr>
        <w:rPr>
          <w:rFonts w:ascii="Arial" w:hAnsi="Arial" w:cs="Arial"/>
        </w:rPr>
      </w:pPr>
      <w:r w:rsidRPr="00DE3D44">
        <w:rPr>
          <w:rFonts w:ascii="Arial" w:hAnsi="Arial" w:cs="Arial"/>
        </w:rPr>
        <w:t xml:space="preserve">Tata Steel UK (2024) 'Green Steel Future: Electric Arc Furnace steelmaking and the circular economy.,' in Tata Steel UK Corporate. </w:t>
      </w:r>
      <w:hyperlink r:id="rId18" w:tgtFrame="_blank" w:history="1">
        <w:r w:rsidRPr="00DE3D44">
          <w:rPr>
            <w:rStyle w:val="Hyperlink"/>
            <w:rFonts w:ascii="Arial" w:hAnsi="Arial" w:cs="Arial"/>
          </w:rPr>
          <w:t>https://www.tatasteeluk.com/green-steel-future</w:t>
        </w:r>
      </w:hyperlink>
      <w:r w:rsidRPr="00DE3D44">
        <w:rPr>
          <w:rFonts w:ascii="Arial" w:hAnsi="Arial" w:cs="Arial"/>
        </w:rPr>
        <w:t>.</w:t>
      </w:r>
    </w:p>
    <w:p w14:paraId="5F341F1C" w14:textId="77777777" w:rsidR="00DE3D44" w:rsidRPr="00DE3D44" w:rsidRDefault="00DE3D44" w:rsidP="00DE3D44">
      <w:pPr>
        <w:rPr>
          <w:rFonts w:ascii="Arial" w:hAnsi="Arial" w:cs="Arial"/>
        </w:rPr>
      </w:pPr>
      <w:r w:rsidRPr="00DE3D44">
        <w:rPr>
          <w:rFonts w:ascii="Arial" w:hAnsi="Arial" w:cs="Arial"/>
        </w:rPr>
        <w:t xml:space="preserve">Tata Steel UK (2024) 'Plans approved for Electric Arc Furnace.,' in Tata Steel UK News. </w:t>
      </w:r>
      <w:hyperlink r:id="rId19" w:tgtFrame="_blank" w:history="1">
        <w:r w:rsidRPr="00DE3D44">
          <w:rPr>
            <w:rStyle w:val="Hyperlink"/>
            <w:rFonts w:ascii="Arial" w:hAnsi="Arial" w:cs="Arial"/>
          </w:rPr>
          <w:t>https://www.tatasteeluk.com/corporate/news/plans-approved-for-electric-arc-furnace</w:t>
        </w:r>
      </w:hyperlink>
      <w:r w:rsidRPr="00DE3D44">
        <w:rPr>
          <w:rFonts w:ascii="Arial" w:hAnsi="Arial" w:cs="Arial"/>
        </w:rPr>
        <w:t>.</w:t>
      </w:r>
    </w:p>
    <w:p w14:paraId="6D9A4C50" w14:textId="77777777" w:rsidR="00DE3D44" w:rsidRPr="00DE3D44" w:rsidRDefault="00DE3D44" w:rsidP="00DE3D44">
      <w:pPr>
        <w:rPr>
          <w:rFonts w:ascii="Arial" w:hAnsi="Arial" w:cs="Arial"/>
        </w:rPr>
      </w:pPr>
      <w:r w:rsidRPr="00DE3D44">
        <w:rPr>
          <w:rFonts w:ascii="Arial" w:hAnsi="Arial" w:cs="Arial"/>
        </w:rPr>
        <w:t xml:space="preserve">Tata Steel UK (2024) 'Tata Steel signs £500 million Grant Funding Agreement with UK Government.,' in Tata Steel UK News. </w:t>
      </w:r>
      <w:hyperlink r:id="rId20" w:tgtFrame="_blank" w:history="1">
        <w:r w:rsidRPr="00DE3D44">
          <w:rPr>
            <w:rStyle w:val="Hyperlink"/>
            <w:rFonts w:ascii="Arial" w:hAnsi="Arial" w:cs="Arial"/>
          </w:rPr>
          <w:t>https://www.tatasteeluk.com/corporate/news/tata-steel-signs-%C2%A3500-million-grant-funding-agreement-with-uk-government-</w:t>
        </w:r>
      </w:hyperlink>
      <w:r w:rsidRPr="00DE3D44">
        <w:rPr>
          <w:rFonts w:ascii="Arial" w:hAnsi="Arial" w:cs="Arial"/>
        </w:rPr>
        <w:t>.</w:t>
      </w:r>
    </w:p>
    <w:p w14:paraId="536E7C6B" w14:textId="77777777" w:rsidR="00DE3D44" w:rsidRPr="00DE3D44" w:rsidRDefault="00DE3D44" w:rsidP="00DE3D44">
      <w:pPr>
        <w:rPr>
          <w:rFonts w:ascii="Arial" w:hAnsi="Arial" w:cs="Arial"/>
        </w:rPr>
      </w:pPr>
      <w:r w:rsidRPr="00DE3D44">
        <w:rPr>
          <w:rFonts w:ascii="Arial" w:hAnsi="Arial" w:cs="Arial"/>
        </w:rPr>
        <w:t xml:space="preserve">Tata Steel UK (2025) 'Briefing - Challenges and Opportunities for Decarbonising.,' in Tata Steel UK Publications. </w:t>
      </w:r>
      <w:hyperlink r:id="rId21" w:tgtFrame="_blank" w:history="1">
        <w:r w:rsidRPr="00DE3D44">
          <w:rPr>
            <w:rStyle w:val="Hyperlink"/>
            <w:rFonts w:ascii="Arial" w:hAnsi="Arial" w:cs="Arial"/>
          </w:rPr>
          <w:t>https://www.tatasteeluk.com/sites/default/files/tata-steel-uk-briefing---challenges-and-opportunies-for-decarbonising%2C-june-2025.pdf</w:t>
        </w:r>
      </w:hyperlink>
      <w:r w:rsidRPr="00DE3D44">
        <w:rPr>
          <w:rFonts w:ascii="Arial" w:hAnsi="Arial" w:cs="Arial"/>
        </w:rPr>
        <w:t>.</w:t>
      </w:r>
    </w:p>
    <w:p w14:paraId="50A7E951" w14:textId="77777777" w:rsidR="00DE3D44" w:rsidRPr="00DE3D44" w:rsidRDefault="00DE3D44" w:rsidP="00DE3D44">
      <w:pPr>
        <w:rPr>
          <w:rFonts w:ascii="Arial" w:hAnsi="Arial" w:cs="Arial"/>
        </w:rPr>
      </w:pPr>
      <w:r w:rsidRPr="00DE3D44">
        <w:rPr>
          <w:rFonts w:ascii="Arial" w:hAnsi="Arial" w:cs="Arial"/>
        </w:rPr>
        <w:t xml:space="preserve">Tata Steel UK (2025) 'Sustainability Report 2023-2025.,' in Tata Steel UK Publications. </w:t>
      </w:r>
      <w:hyperlink r:id="rId22" w:tgtFrame="_blank" w:history="1">
        <w:r w:rsidRPr="00DE3D44">
          <w:rPr>
            <w:rStyle w:val="Hyperlink"/>
            <w:rFonts w:ascii="Arial" w:hAnsi="Arial" w:cs="Arial"/>
          </w:rPr>
          <w:t>https://www.tatasteeluk.com/sites/default/files/pimcore_doc/tata-steel-uk-sustainability-report-2023-2025.pdf</w:t>
        </w:r>
      </w:hyperlink>
      <w:r w:rsidRPr="00DE3D44">
        <w:rPr>
          <w:rFonts w:ascii="Arial" w:hAnsi="Arial" w:cs="Arial"/>
        </w:rPr>
        <w:t>.</w:t>
      </w:r>
    </w:p>
    <w:p w14:paraId="54AE9719" w14:textId="7C59D484" w:rsidR="00DE3D44" w:rsidRPr="00DE3D44" w:rsidRDefault="00DE3D44" w:rsidP="00DE3D44">
      <w:pPr>
        <w:rPr>
          <w:rFonts w:ascii="Arial" w:hAnsi="Arial" w:cs="Arial"/>
        </w:rPr>
      </w:pPr>
      <w:r w:rsidRPr="00DE3D44">
        <w:rPr>
          <w:rFonts w:ascii="Arial" w:hAnsi="Arial" w:cs="Arial"/>
        </w:rPr>
        <w:lastRenderedPageBreak/>
        <w:t>The Chemical Engineer (2024) '£500m for Port Talbot electric arc furnace with 2,500 jobs still set to go</w:t>
      </w:r>
      <w:r>
        <w:rPr>
          <w:rFonts w:ascii="Arial" w:hAnsi="Arial" w:cs="Arial"/>
        </w:rPr>
        <w:t>.</w:t>
      </w:r>
      <w:r w:rsidRPr="00DE3D44">
        <w:rPr>
          <w:rFonts w:ascii="Arial" w:hAnsi="Arial" w:cs="Arial"/>
        </w:rPr>
        <w:t xml:space="preserve">,' in The Chemical Engineer News. </w:t>
      </w:r>
      <w:hyperlink r:id="rId23" w:tgtFrame="_blank" w:history="1">
        <w:r w:rsidRPr="00DE3D44">
          <w:rPr>
            <w:rStyle w:val="Hyperlink"/>
            <w:rFonts w:ascii="Arial" w:hAnsi="Arial" w:cs="Arial"/>
          </w:rPr>
          <w:t>https://www.thechemicalengineer.com/news/500m-for-port-talbot-electric-arc-furnace-with-2-500-jobs-still-set-to-go/</w:t>
        </w:r>
      </w:hyperlink>
      <w:r w:rsidRPr="00DE3D44">
        <w:rPr>
          <w:rFonts w:ascii="Arial" w:hAnsi="Arial" w:cs="Arial"/>
        </w:rPr>
        <w:t>.</w:t>
      </w:r>
    </w:p>
    <w:p w14:paraId="48E78FA5" w14:textId="77777777" w:rsidR="00DE3D44" w:rsidRPr="00DE3D44" w:rsidRDefault="00DE3D44" w:rsidP="00DE3D44">
      <w:pPr>
        <w:rPr>
          <w:rFonts w:ascii="Arial" w:hAnsi="Arial" w:cs="Arial"/>
        </w:rPr>
      </w:pPr>
      <w:r w:rsidRPr="00DE3D44">
        <w:rPr>
          <w:rFonts w:ascii="Arial" w:hAnsi="Arial" w:cs="Arial"/>
        </w:rPr>
        <w:t xml:space="preserve">UK Government (2023) 'Tata Steel Port Talbot steelworks Q&amp;A.,' in GOV.UK. </w:t>
      </w:r>
      <w:hyperlink r:id="rId24" w:tgtFrame="_blank" w:history="1">
        <w:r w:rsidRPr="00DE3D44">
          <w:rPr>
            <w:rStyle w:val="Hyperlink"/>
            <w:rFonts w:ascii="Arial" w:hAnsi="Arial" w:cs="Arial"/>
          </w:rPr>
          <w:t>https://www.gov.uk/government/news/tata-steel-port-talbot-steelworks-qa</w:t>
        </w:r>
      </w:hyperlink>
      <w:r w:rsidRPr="00DE3D44">
        <w:rPr>
          <w:rFonts w:ascii="Arial" w:hAnsi="Arial" w:cs="Arial"/>
        </w:rPr>
        <w:t>.</w:t>
      </w:r>
    </w:p>
    <w:p w14:paraId="767E868D" w14:textId="77777777" w:rsidR="00DE3D44" w:rsidRPr="00DE3D44" w:rsidRDefault="00DE3D44" w:rsidP="00DE3D44">
      <w:pPr>
        <w:rPr>
          <w:rFonts w:ascii="Arial" w:hAnsi="Arial" w:cs="Arial"/>
        </w:rPr>
      </w:pPr>
      <w:r w:rsidRPr="00DE3D44">
        <w:rPr>
          <w:rFonts w:ascii="Arial" w:hAnsi="Arial" w:cs="Arial"/>
        </w:rPr>
        <w:t xml:space="preserve">UK Government (2024) 'The steel strategy – the plan for steel.,' in GOV.UK. </w:t>
      </w:r>
      <w:hyperlink r:id="rId25" w:tgtFrame="_blank" w:history="1">
        <w:r w:rsidRPr="00DE3D44">
          <w:rPr>
            <w:rStyle w:val="Hyperlink"/>
            <w:rFonts w:ascii="Arial" w:hAnsi="Arial" w:cs="Arial"/>
          </w:rPr>
          <w:t>https://www.gov.uk/government/consultations/input-into-the-steel-strategy/the-steel-strategy-the-plan-for-steel</w:t>
        </w:r>
      </w:hyperlink>
      <w:r w:rsidRPr="00DE3D44">
        <w:rPr>
          <w:rFonts w:ascii="Arial" w:hAnsi="Arial" w:cs="Arial"/>
        </w:rPr>
        <w:t>.</w:t>
      </w:r>
    </w:p>
    <w:p w14:paraId="6EFCD8B7" w14:textId="77777777" w:rsidR="00DE3D44" w:rsidRPr="00DE3D44" w:rsidRDefault="00DE3D44" w:rsidP="00DE3D44">
      <w:pPr>
        <w:rPr>
          <w:rFonts w:ascii="Arial" w:hAnsi="Arial" w:cs="Arial"/>
        </w:rPr>
      </w:pPr>
      <w:proofErr w:type="spellStart"/>
      <w:r w:rsidRPr="00DE3D44">
        <w:rPr>
          <w:rFonts w:ascii="Arial" w:hAnsi="Arial" w:cs="Arial"/>
        </w:rPr>
        <w:t>Umbrex</w:t>
      </w:r>
      <w:proofErr w:type="spellEnd"/>
      <w:r w:rsidRPr="00DE3D44">
        <w:rPr>
          <w:rFonts w:ascii="Arial" w:hAnsi="Arial" w:cs="Arial"/>
        </w:rPr>
        <w:t xml:space="preserve"> (2024) 'Company Profile: Tata Steel Ltd.,' in </w:t>
      </w:r>
      <w:proofErr w:type="spellStart"/>
      <w:r w:rsidRPr="00DE3D44">
        <w:rPr>
          <w:rFonts w:ascii="Arial" w:hAnsi="Arial" w:cs="Arial"/>
        </w:rPr>
        <w:t>Umbrex</w:t>
      </w:r>
      <w:proofErr w:type="spellEnd"/>
      <w:r w:rsidRPr="00DE3D44">
        <w:rPr>
          <w:rFonts w:ascii="Arial" w:hAnsi="Arial" w:cs="Arial"/>
        </w:rPr>
        <w:t xml:space="preserve"> Resources. </w:t>
      </w:r>
      <w:hyperlink r:id="rId26" w:tgtFrame="_blank" w:history="1">
        <w:r w:rsidRPr="00DE3D44">
          <w:rPr>
            <w:rStyle w:val="Hyperlink"/>
            <w:rFonts w:ascii="Arial" w:hAnsi="Arial" w:cs="Arial"/>
          </w:rPr>
          <w:t>https://umbrex.com/resources/company-profiles/tata-steel-ltd/</w:t>
        </w:r>
      </w:hyperlink>
      <w:r w:rsidRPr="00DE3D44">
        <w:rPr>
          <w:rFonts w:ascii="Arial" w:hAnsi="Arial" w:cs="Arial"/>
        </w:rPr>
        <w:t>.</w:t>
      </w:r>
    </w:p>
    <w:p w14:paraId="590EA07D" w14:textId="77777777" w:rsidR="00DE3D44" w:rsidRPr="00DE3D44" w:rsidRDefault="00DE3D44" w:rsidP="00DE3D44">
      <w:pPr>
        <w:rPr>
          <w:rFonts w:ascii="Arial" w:hAnsi="Arial" w:cs="Arial"/>
        </w:rPr>
      </w:pPr>
    </w:p>
    <w:p w14:paraId="2EFE3835" w14:textId="77777777" w:rsidR="00DE3D44" w:rsidRPr="00DE3D44" w:rsidRDefault="00DE3D44" w:rsidP="00DE3D44">
      <w:pPr>
        <w:rPr>
          <w:rFonts w:ascii="Arial" w:hAnsi="Arial" w:cs="Arial"/>
        </w:rPr>
      </w:pPr>
    </w:p>
    <w:p w14:paraId="5449C514" w14:textId="77777777" w:rsidR="00DE3D44" w:rsidRPr="00DE3D44" w:rsidRDefault="00DE3D44" w:rsidP="00DE3D44">
      <w:pPr>
        <w:rPr>
          <w:rFonts w:ascii="Arial" w:hAnsi="Arial" w:cs="Arial"/>
        </w:rPr>
      </w:pPr>
    </w:p>
    <w:sectPr w:rsidR="00DE3D44" w:rsidRPr="00DE3D4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Google Sans">
    <w:altName w:val="Calibri"/>
    <w:charset w:val="00"/>
    <w:family w:val="auto"/>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20F18"/>
    <w:multiLevelType w:val="multilevel"/>
    <w:tmpl w:val="9738EEDA"/>
    <w:lvl w:ilvl="0">
      <w:start w:val="1"/>
      <w:numFmt w:val="decimal"/>
      <w:lvlText w:val="%1"/>
      <w:lvlJc w:val="left"/>
      <w:pPr>
        <w:ind w:left="525" w:hanging="525"/>
      </w:pPr>
      <w:rPr>
        <w:rFonts w:ascii="Arial" w:hAnsi="Arial" w:cs="Arial" w:hint="default"/>
      </w:rPr>
    </w:lvl>
    <w:lvl w:ilvl="1">
      <w:start w:val="1"/>
      <w:numFmt w:val="decimal"/>
      <w:lvlText w:val="%1.%2"/>
      <w:lvlJc w:val="left"/>
      <w:pPr>
        <w:ind w:left="525" w:hanging="525"/>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440" w:hanging="1440"/>
      </w:pPr>
      <w:rPr>
        <w:rFonts w:ascii="Arial" w:hAnsi="Arial" w:cs="Arial" w:hint="default"/>
      </w:rPr>
    </w:lvl>
  </w:abstractNum>
  <w:abstractNum w:abstractNumId="1" w15:restartNumberingAfterBreak="0">
    <w:nsid w:val="3B084F54"/>
    <w:multiLevelType w:val="hybridMultilevel"/>
    <w:tmpl w:val="65F00474"/>
    <w:lvl w:ilvl="0" w:tplc="62F4A236">
      <w:start w:val="1"/>
      <w:numFmt w:val="decimal"/>
      <w:lvlText w:val="%1."/>
      <w:lvlJc w:val="left"/>
      <w:pPr>
        <w:ind w:left="750" w:hanging="39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4D99300A"/>
    <w:multiLevelType w:val="hybridMultilevel"/>
    <w:tmpl w:val="51CA388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65117983">
    <w:abstractNumId w:val="1"/>
  </w:num>
  <w:num w:numId="2" w16cid:durableId="1838033199">
    <w:abstractNumId w:val="2"/>
  </w:num>
  <w:num w:numId="3" w16cid:durableId="1871256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28A"/>
    <w:rsid w:val="00005024"/>
    <w:rsid w:val="00082AE3"/>
    <w:rsid w:val="00137B07"/>
    <w:rsid w:val="001A61E6"/>
    <w:rsid w:val="0020709C"/>
    <w:rsid w:val="0024027E"/>
    <w:rsid w:val="00314595"/>
    <w:rsid w:val="00386735"/>
    <w:rsid w:val="003D1D00"/>
    <w:rsid w:val="00450B0C"/>
    <w:rsid w:val="0058628A"/>
    <w:rsid w:val="00627C8F"/>
    <w:rsid w:val="00671DEE"/>
    <w:rsid w:val="006E1264"/>
    <w:rsid w:val="006F21C6"/>
    <w:rsid w:val="007410AC"/>
    <w:rsid w:val="007C2623"/>
    <w:rsid w:val="0081744B"/>
    <w:rsid w:val="008A7860"/>
    <w:rsid w:val="008B32FB"/>
    <w:rsid w:val="008B640D"/>
    <w:rsid w:val="008F2479"/>
    <w:rsid w:val="009244F3"/>
    <w:rsid w:val="00970931"/>
    <w:rsid w:val="009A4DFC"/>
    <w:rsid w:val="00AA4BF9"/>
    <w:rsid w:val="00AB1385"/>
    <w:rsid w:val="00AE418A"/>
    <w:rsid w:val="00B61E13"/>
    <w:rsid w:val="00C36D97"/>
    <w:rsid w:val="00D62E0C"/>
    <w:rsid w:val="00D9436B"/>
    <w:rsid w:val="00DA160A"/>
    <w:rsid w:val="00DE3D44"/>
    <w:rsid w:val="00E06F87"/>
    <w:rsid w:val="00EA15B0"/>
    <w:rsid w:val="00F04929"/>
    <w:rsid w:val="00FC2252"/>
    <w:rsid w:val="00FD0CFA"/>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5D5D7"/>
  <w15:chartTrackingRefBased/>
  <w15:docId w15:val="{EBAF4A95-B6E0-4D07-945C-A7F69C4ADD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628A"/>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8628A"/>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8628A"/>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8628A"/>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8628A"/>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862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862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862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862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628A"/>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8628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8628A"/>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8628A"/>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8628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862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862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862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8628A"/>
    <w:rPr>
      <w:rFonts w:eastAsiaTheme="majorEastAsia" w:cstheme="majorBidi"/>
      <w:color w:val="272727" w:themeColor="text1" w:themeTint="D8"/>
    </w:rPr>
  </w:style>
  <w:style w:type="paragraph" w:styleId="Title">
    <w:name w:val="Title"/>
    <w:basedOn w:val="Normal"/>
    <w:next w:val="Normal"/>
    <w:link w:val="TitleChar"/>
    <w:uiPriority w:val="10"/>
    <w:qFormat/>
    <w:rsid w:val="005862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62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862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862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8628A"/>
    <w:pPr>
      <w:spacing w:before="160"/>
      <w:jc w:val="center"/>
    </w:pPr>
    <w:rPr>
      <w:i/>
      <w:iCs/>
      <w:color w:val="404040" w:themeColor="text1" w:themeTint="BF"/>
    </w:rPr>
  </w:style>
  <w:style w:type="character" w:customStyle="1" w:styleId="QuoteChar">
    <w:name w:val="Quote Char"/>
    <w:basedOn w:val="DefaultParagraphFont"/>
    <w:link w:val="Quote"/>
    <w:uiPriority w:val="29"/>
    <w:rsid w:val="0058628A"/>
    <w:rPr>
      <w:i/>
      <w:iCs/>
      <w:color w:val="404040" w:themeColor="text1" w:themeTint="BF"/>
    </w:rPr>
  </w:style>
  <w:style w:type="paragraph" w:styleId="ListParagraph">
    <w:name w:val="List Paragraph"/>
    <w:basedOn w:val="Normal"/>
    <w:uiPriority w:val="34"/>
    <w:qFormat/>
    <w:rsid w:val="0058628A"/>
    <w:pPr>
      <w:ind w:left="720"/>
      <w:contextualSpacing/>
    </w:pPr>
  </w:style>
  <w:style w:type="character" w:styleId="IntenseEmphasis">
    <w:name w:val="Intense Emphasis"/>
    <w:basedOn w:val="DefaultParagraphFont"/>
    <w:uiPriority w:val="21"/>
    <w:qFormat/>
    <w:rsid w:val="0058628A"/>
    <w:rPr>
      <w:i/>
      <w:iCs/>
      <w:color w:val="2F5496" w:themeColor="accent1" w:themeShade="BF"/>
    </w:rPr>
  </w:style>
  <w:style w:type="paragraph" w:styleId="IntenseQuote">
    <w:name w:val="Intense Quote"/>
    <w:basedOn w:val="Normal"/>
    <w:next w:val="Normal"/>
    <w:link w:val="IntenseQuoteChar"/>
    <w:uiPriority w:val="30"/>
    <w:qFormat/>
    <w:rsid w:val="0058628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8628A"/>
    <w:rPr>
      <w:i/>
      <w:iCs/>
      <w:color w:val="2F5496" w:themeColor="accent1" w:themeShade="BF"/>
    </w:rPr>
  </w:style>
  <w:style w:type="character" w:styleId="IntenseReference">
    <w:name w:val="Intense Reference"/>
    <w:basedOn w:val="DefaultParagraphFont"/>
    <w:uiPriority w:val="32"/>
    <w:qFormat/>
    <w:rsid w:val="0058628A"/>
    <w:rPr>
      <w:b/>
      <w:bCs/>
      <w:smallCaps/>
      <w:color w:val="2F5496" w:themeColor="accent1" w:themeShade="BF"/>
      <w:spacing w:val="5"/>
    </w:rPr>
  </w:style>
  <w:style w:type="paragraph" w:styleId="TOCHeading">
    <w:name w:val="TOC Heading"/>
    <w:basedOn w:val="Heading1"/>
    <w:next w:val="Normal"/>
    <w:uiPriority w:val="39"/>
    <w:unhideWhenUsed/>
    <w:qFormat/>
    <w:rsid w:val="0058628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8628A"/>
    <w:pPr>
      <w:spacing w:after="100"/>
    </w:pPr>
  </w:style>
  <w:style w:type="character" w:styleId="Hyperlink">
    <w:name w:val="Hyperlink"/>
    <w:basedOn w:val="DefaultParagraphFont"/>
    <w:uiPriority w:val="99"/>
    <w:unhideWhenUsed/>
    <w:rsid w:val="0058628A"/>
    <w:rPr>
      <w:color w:val="0563C1" w:themeColor="hyperlink"/>
      <w:u w:val="single"/>
    </w:rPr>
  </w:style>
  <w:style w:type="paragraph" w:styleId="TOC2">
    <w:name w:val="toc 2"/>
    <w:basedOn w:val="Normal"/>
    <w:next w:val="Normal"/>
    <w:autoRedefine/>
    <w:uiPriority w:val="39"/>
    <w:unhideWhenUsed/>
    <w:rsid w:val="00FC2252"/>
    <w:pPr>
      <w:spacing w:after="100"/>
      <w:ind w:left="220"/>
    </w:pPr>
  </w:style>
  <w:style w:type="table" w:styleId="TableGrid">
    <w:name w:val="Table Grid"/>
    <w:basedOn w:val="TableNormal"/>
    <w:uiPriority w:val="39"/>
    <w:rsid w:val="003867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6E1264"/>
    <w:pPr>
      <w:spacing w:after="100"/>
      <w:ind w:left="440"/>
    </w:pPr>
  </w:style>
  <w:style w:type="character" w:styleId="UnresolvedMention">
    <w:name w:val="Unresolved Mention"/>
    <w:basedOn w:val="DefaultParagraphFont"/>
    <w:uiPriority w:val="99"/>
    <w:semiHidden/>
    <w:unhideWhenUsed/>
    <w:rsid w:val="00DE3D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usinessgreen.com/news/4125912/tata-steel-secures-historic-gbp500m-government-aid-package-port-talbot-green-upgrade" TargetMode="External"/><Relationship Id="rId13" Type="http://schemas.openxmlformats.org/officeDocument/2006/relationships/hyperlink" Target="https://www.tatasteel.com/investors/integrated-report-2024-25/climate-change-report.html" TargetMode="External"/><Relationship Id="rId18" Type="http://schemas.openxmlformats.org/officeDocument/2006/relationships/hyperlink" Target="https://www.tatasteeluk.com/green-steel-future" TargetMode="External"/><Relationship Id="rId26" Type="http://schemas.openxmlformats.org/officeDocument/2006/relationships/hyperlink" Target="https://umbrex.com/resources/company-profiles/tata-steel-ltd/" TargetMode="External"/><Relationship Id="rId3" Type="http://schemas.openxmlformats.org/officeDocument/2006/relationships/styles" Target="styles.xml"/><Relationship Id="rId21" Type="http://schemas.openxmlformats.org/officeDocument/2006/relationships/hyperlink" Target="https://www.tatasteeluk.com/sites/default/files/tata-steel-uk-briefing---challenges-and-opportunies-for-decarbonising%2C-june-2025.pdf" TargetMode="External"/><Relationship Id="rId7" Type="http://schemas.openxmlformats.org/officeDocument/2006/relationships/image" Target="media/image2.jpeg"/><Relationship Id="rId12" Type="http://schemas.openxmlformats.org/officeDocument/2006/relationships/hyperlink" Target="https://www.tatasteel.com/sustainability/environment/climate-action/" TargetMode="External"/><Relationship Id="rId17" Type="http://schemas.openxmlformats.org/officeDocument/2006/relationships/hyperlink" Target="https://products.tatasteelnederland.com/services/sustainable-solutions/zeremis/recycled" TargetMode="External"/><Relationship Id="rId25" Type="http://schemas.openxmlformats.org/officeDocument/2006/relationships/hyperlink" Target="https://www.gov.uk/government/consultations/input-into-the-steel-strategy/the-steel-strategy-the-plan-for-steel" TargetMode="External"/><Relationship Id="rId2" Type="http://schemas.openxmlformats.org/officeDocument/2006/relationships/numbering" Target="numbering.xml"/><Relationship Id="rId16" Type="http://schemas.openxmlformats.org/officeDocument/2006/relationships/hyperlink" Target="https://products.tatasteelnederland.com/services/sustainable-solutions/zeremis/carbon-lite" TargetMode="External"/><Relationship Id="rId20" Type="http://schemas.openxmlformats.org/officeDocument/2006/relationships/hyperlink" Target="https://www.tatasteeluk.com/corporate/news/tata-steel-signs-%C2%A3500-million-grant-funding-agreement-with-uk-government-"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scribd.com/document/955106487/Tata-Steel-BRSR-Report-Section-A" TargetMode="External"/><Relationship Id="rId24" Type="http://schemas.openxmlformats.org/officeDocument/2006/relationships/hyperlink" Target="https://www.gov.uk/government/news/tata-steel-port-talbot-steelworks-qa" TargetMode="External"/><Relationship Id="rId5" Type="http://schemas.openxmlformats.org/officeDocument/2006/relationships/webSettings" Target="webSettings.xml"/><Relationship Id="rId15" Type="http://schemas.openxmlformats.org/officeDocument/2006/relationships/hyperlink" Target="https://www.tatasteelnederland.com/en/sustainability/report" TargetMode="External"/><Relationship Id="rId23" Type="http://schemas.openxmlformats.org/officeDocument/2006/relationships/hyperlink" Target="https://www.thechemicalengineer.com/news/500m-for-port-talbot-electric-arc-furnace-with-2-500-jobs-still-set-to-go/" TargetMode="External"/><Relationship Id="rId28" Type="http://schemas.openxmlformats.org/officeDocument/2006/relationships/theme" Target="theme/theme1.xml"/><Relationship Id="rId10" Type="http://schemas.openxmlformats.org/officeDocument/2006/relationships/hyperlink" Target="https://www.tatasteel.com/newsroom/press-releases/india/2020/tata-steel-launches-ferrohaat-app-for-sourcing-steel-scrap/" TargetMode="External"/><Relationship Id="rId19" Type="http://schemas.openxmlformats.org/officeDocument/2006/relationships/hyperlink" Target="https://www.tatasteeluk.com/corporate/news/plans-approved-for-electric-arc-furnace" TargetMode="External"/><Relationship Id="rId4" Type="http://schemas.openxmlformats.org/officeDocument/2006/relationships/settings" Target="settings.xml"/><Relationship Id="rId9" Type="http://schemas.openxmlformats.org/officeDocument/2006/relationships/hyperlink" Target="https://eurometal.net/tata-steel-adopts-differing-european-indian-decarbonisation-strategy/" TargetMode="External"/><Relationship Id="rId14" Type="http://schemas.openxmlformats.org/officeDocument/2006/relationships/hyperlink" Target="https://www.sustainabilityreports.com/tata-steel/2025/integrated-report" TargetMode="External"/><Relationship Id="rId22" Type="http://schemas.openxmlformats.org/officeDocument/2006/relationships/hyperlink" Target="https://www.tatasteeluk.com/sites/default/files/pimcore_doc/tata-steel-uk-sustainability-report-2023-2025.pdf"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F5548F-7F7A-4C0B-8BE3-A72874552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11</Pages>
  <Words>4116</Words>
  <Characters>23467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chahil italiya</dc:creator>
  <cp:keywords/>
  <dc:description/>
  <cp:lastModifiedBy>chahil italiya</cp:lastModifiedBy>
  <cp:revision>13</cp:revision>
  <dcterms:created xsi:type="dcterms:W3CDTF">2026-07-22T23:47:00Z</dcterms:created>
  <dcterms:modified xsi:type="dcterms:W3CDTF">2026-07-23T23:51:00Z</dcterms:modified>
</cp:coreProperties>
</file>