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6288F3" w14:textId="6CA5ED37" w:rsidR="004E4F5C" w:rsidRDefault="00352124" w:rsidP="00CF2213">
      <w:pPr>
        <w:jc w:val="left"/>
      </w:pPr>
      <w:r>
        <w:t>David Bonagura</w:t>
      </w:r>
    </w:p>
    <w:p w14:paraId="348A57C9" w14:textId="5DDE23C7" w:rsidR="00352124" w:rsidRDefault="00634C0B" w:rsidP="00CF2213">
      <w:pPr>
        <w:jc w:val="left"/>
      </w:pPr>
      <w:r>
        <w:t>CLCL 7005</w:t>
      </w:r>
    </w:p>
    <w:p w14:paraId="2E0F6D53" w14:textId="7D79A7A4" w:rsidR="00634C0B" w:rsidRDefault="00634C0B" w:rsidP="00CF2213">
      <w:pPr>
        <w:jc w:val="left"/>
      </w:pPr>
      <w:r>
        <w:t>Dissertation Abstract and Bibliography</w:t>
      </w:r>
    </w:p>
    <w:p w14:paraId="3F212A66" w14:textId="1F213635" w:rsidR="006440EA" w:rsidRDefault="006440EA" w:rsidP="00CF2213">
      <w:pPr>
        <w:jc w:val="left"/>
      </w:pPr>
      <w:r>
        <w:t>November 15, 2018</w:t>
      </w:r>
    </w:p>
    <w:p w14:paraId="6A5B1200" w14:textId="13AA050C" w:rsidR="004E4F5C" w:rsidRDefault="004E4F5C" w:rsidP="00CF2213">
      <w:pPr>
        <w:jc w:val="left"/>
        <w:rPr>
          <w:u w:val="single"/>
        </w:rPr>
      </w:pPr>
    </w:p>
    <w:p w14:paraId="7C9046DE" w14:textId="1D98BF59" w:rsidR="00011823" w:rsidRDefault="00011823" w:rsidP="00011823">
      <w:pPr>
        <w:rPr>
          <w:u w:val="single"/>
        </w:rPr>
      </w:pPr>
      <w:r>
        <w:rPr>
          <w:u w:val="single"/>
        </w:rPr>
        <w:t>Virgilian Intertexts</w:t>
      </w:r>
      <w:r w:rsidR="00421714">
        <w:rPr>
          <w:u w:val="single"/>
        </w:rPr>
        <w:t xml:space="preserve"> in Jerome’s Letters of Consolation: Motives, </w:t>
      </w:r>
      <w:r w:rsidR="00A12757">
        <w:rPr>
          <w:u w:val="single"/>
        </w:rPr>
        <w:t xml:space="preserve">Audience, </w:t>
      </w:r>
      <w:r w:rsidR="00421714">
        <w:rPr>
          <w:u w:val="single"/>
        </w:rPr>
        <w:t>Purpose, Effects</w:t>
      </w:r>
    </w:p>
    <w:p w14:paraId="2EC2827D" w14:textId="6571707E" w:rsidR="00421714" w:rsidRDefault="00421714" w:rsidP="00CF2213">
      <w:pPr>
        <w:jc w:val="left"/>
      </w:pPr>
    </w:p>
    <w:p w14:paraId="4BF570EF" w14:textId="0D5C6D6A" w:rsidR="00421714" w:rsidRDefault="00421714" w:rsidP="008541F2">
      <w:pPr>
        <w:spacing w:line="480" w:lineRule="auto"/>
        <w:jc w:val="left"/>
      </w:pPr>
      <w:r>
        <w:tab/>
      </w:r>
      <w:r w:rsidR="00E93E1C">
        <w:t xml:space="preserve">Jerome of </w:t>
      </w:r>
      <w:proofErr w:type="spellStart"/>
      <w:r w:rsidR="00E93E1C">
        <w:t>Stridon’s</w:t>
      </w:r>
      <w:proofErr w:type="spellEnd"/>
      <w:r w:rsidR="00E93E1C">
        <w:t xml:space="preserve"> attitude toward the pagan classics</w:t>
      </w:r>
      <w:r w:rsidR="00A12757">
        <w:t xml:space="preserve"> has been the subject of much study</w:t>
      </w:r>
      <w:r w:rsidR="006440EA">
        <w:t xml:space="preserve">, </w:t>
      </w:r>
      <w:r w:rsidR="00E93E1C">
        <w:t xml:space="preserve">largely </w:t>
      </w:r>
      <w:r w:rsidR="006440EA">
        <w:t xml:space="preserve">due </w:t>
      </w:r>
      <w:r w:rsidR="00E93E1C">
        <w:t xml:space="preserve">to his vivid recounting of </w:t>
      </w:r>
      <w:r w:rsidR="006440EA">
        <w:t>a</w:t>
      </w:r>
      <w:r w:rsidR="00E93E1C">
        <w:t xml:space="preserve"> famous dream in which he was brought before the divine judgment and chastised for being “</w:t>
      </w:r>
      <w:proofErr w:type="spellStart"/>
      <w:r w:rsidR="00E93E1C">
        <w:t>Ciceronianus</w:t>
      </w:r>
      <w:proofErr w:type="spellEnd"/>
      <w:r w:rsidR="00E93E1C">
        <w:t xml:space="preserve">, non </w:t>
      </w:r>
      <w:proofErr w:type="spellStart"/>
      <w:r w:rsidR="00E93E1C">
        <w:t>Christianus</w:t>
      </w:r>
      <w:proofErr w:type="spellEnd"/>
      <w:r w:rsidR="00E93E1C">
        <w:t>.”</w:t>
      </w:r>
      <w:r w:rsidR="00A12757">
        <w:t xml:space="preserve"> Jerome was so terrified by the dream that he swore never to read pagan literature again, a vow he </w:t>
      </w:r>
      <w:r w:rsidR="008811ED">
        <w:t>kept for more than fifteen years</w:t>
      </w:r>
      <w:r w:rsidR="003304E6">
        <w:t xml:space="preserve"> (Pease, 1919, p. 155)</w:t>
      </w:r>
      <w:r w:rsidR="008811ED">
        <w:t xml:space="preserve">. </w:t>
      </w:r>
      <w:r w:rsidR="00C020EA">
        <w:t>Yet in this time period Jerome continued to write, and his quotations and allusions to pagan writings continued. Of his writings, his corpus of 123 surviving letters has made him widely recognized among modern scholars as a master of the epistolograph</w:t>
      </w:r>
      <w:r w:rsidR="00855C71">
        <w:t>y</w:t>
      </w:r>
      <w:r w:rsidR="00BC302B">
        <w:t xml:space="preserve"> (Cain</w:t>
      </w:r>
      <w:r w:rsidR="0071366E">
        <w:t>,</w:t>
      </w:r>
      <w:r w:rsidR="00BC302B">
        <w:t xml:space="preserve"> 2017</w:t>
      </w:r>
      <w:r w:rsidR="0071366E">
        <w:t>, p.</w:t>
      </w:r>
      <w:r w:rsidR="00BC302B">
        <w:t xml:space="preserve"> 221)</w:t>
      </w:r>
      <w:r w:rsidR="00855C71">
        <w:t>;</w:t>
      </w:r>
      <w:r w:rsidR="00BC302B">
        <w:t xml:space="preserve"> </w:t>
      </w:r>
      <w:r w:rsidR="00855C71">
        <w:t>and of these letters, his thirteen letters of consolation make him “the foremost representative in Latin Christian literature of this genre”</w:t>
      </w:r>
      <w:r w:rsidR="003304E6">
        <w:t xml:space="preserve"> (</w:t>
      </w:r>
      <w:proofErr w:type="spellStart"/>
      <w:r w:rsidR="003304E6">
        <w:t>Hagendahl</w:t>
      </w:r>
      <w:proofErr w:type="spellEnd"/>
      <w:r w:rsidR="003304E6">
        <w:t>, 1974, p. 224).</w:t>
      </w:r>
    </w:p>
    <w:p w14:paraId="096E0C34" w14:textId="0DBD5853" w:rsidR="005309D9" w:rsidRPr="00A6190A" w:rsidRDefault="0082433A" w:rsidP="008541F2">
      <w:pPr>
        <w:spacing w:line="480" w:lineRule="auto"/>
        <w:jc w:val="left"/>
      </w:pPr>
      <w:r>
        <w:tab/>
      </w:r>
      <w:r w:rsidR="00700842">
        <w:t xml:space="preserve">This paper argues that a close reading of the Virgilian intertexts within </w:t>
      </w:r>
      <w:r>
        <w:t>these thirteen consolatory epistles,</w:t>
      </w:r>
      <w:r w:rsidR="005309D9">
        <w:t xml:space="preserve"> </w:t>
      </w:r>
      <w:r w:rsidR="00700842">
        <w:t xml:space="preserve">given their lofty stature within Jerome’s </w:t>
      </w:r>
      <w:r w:rsidR="00700842">
        <w:rPr>
          <w:i/>
        </w:rPr>
        <w:t>opera omnia</w:t>
      </w:r>
      <w:r w:rsidR="00700842">
        <w:t>, reveals that Jerome maintained in practice a functional approach to pagan literature</w:t>
      </w:r>
      <w:r w:rsidR="0049077A">
        <w:t xml:space="preserve">, and </w:t>
      </w:r>
      <w:r w:rsidR="004B40AC">
        <w:t xml:space="preserve">an </w:t>
      </w:r>
      <w:r w:rsidR="0049077A">
        <w:t xml:space="preserve">approach </w:t>
      </w:r>
      <w:r w:rsidR="004B40AC">
        <w:t>that is consistent</w:t>
      </w:r>
      <w:r w:rsidR="0049077A">
        <w:t xml:space="preserve"> with</w:t>
      </w:r>
      <w:r w:rsidR="00700842">
        <w:t xml:space="preserve"> his </w:t>
      </w:r>
      <w:r w:rsidR="0049077A">
        <w:t xml:space="preserve">few </w:t>
      </w:r>
      <w:r w:rsidR="00700842">
        <w:t xml:space="preserve">philosophical </w:t>
      </w:r>
      <w:r w:rsidR="0049077A">
        <w:t>pronouncements</w:t>
      </w:r>
      <w:r w:rsidR="004B40AC">
        <w:t>, written latter in his life,</w:t>
      </w:r>
      <w:r w:rsidR="0049077A">
        <w:t xml:space="preserve"> on how he and other Christians ought to </w:t>
      </w:r>
      <w:r w:rsidR="004B40AC">
        <w:t>treat</w:t>
      </w:r>
      <w:r w:rsidR="0049077A">
        <w:t xml:space="preserve"> the classics</w:t>
      </w:r>
      <w:r w:rsidR="003304E6">
        <w:t xml:space="preserve"> found in </w:t>
      </w:r>
      <w:proofErr w:type="spellStart"/>
      <w:r w:rsidR="003304E6">
        <w:rPr>
          <w:i/>
        </w:rPr>
        <w:t>Epistola</w:t>
      </w:r>
      <w:proofErr w:type="spellEnd"/>
      <w:r w:rsidR="003304E6">
        <w:rPr>
          <w:i/>
        </w:rPr>
        <w:t xml:space="preserve"> LXX</w:t>
      </w:r>
      <w:r w:rsidR="003304E6">
        <w:t xml:space="preserve"> and </w:t>
      </w:r>
      <w:proofErr w:type="spellStart"/>
      <w:r w:rsidR="003304E6">
        <w:rPr>
          <w:i/>
        </w:rPr>
        <w:t>Adversus</w:t>
      </w:r>
      <w:proofErr w:type="spellEnd"/>
      <w:r w:rsidR="003304E6">
        <w:rPr>
          <w:i/>
        </w:rPr>
        <w:t xml:space="preserve"> </w:t>
      </w:r>
      <w:proofErr w:type="spellStart"/>
      <w:r w:rsidR="003304E6">
        <w:rPr>
          <w:i/>
        </w:rPr>
        <w:t>Rufinum</w:t>
      </w:r>
      <w:proofErr w:type="spellEnd"/>
      <w:r w:rsidR="00700842">
        <w:t>.</w:t>
      </w:r>
      <w:r w:rsidR="0049077A">
        <w:t xml:space="preserve"> The consolatory epistles</w:t>
      </w:r>
      <w:r w:rsidR="005309D9">
        <w:t xml:space="preserve"> were </w:t>
      </w:r>
      <w:r w:rsidR="00F84740">
        <w:t xml:space="preserve">all </w:t>
      </w:r>
      <w:r w:rsidR="005309D9">
        <w:t xml:space="preserve">written between 384-412, </w:t>
      </w:r>
      <w:r w:rsidR="00F84740">
        <w:t xml:space="preserve">the second half of Jerome’s long </w:t>
      </w:r>
      <w:r w:rsidR="004B40AC">
        <w:t>and prolific</w:t>
      </w:r>
      <w:r w:rsidR="00F84740">
        <w:t xml:space="preserve"> career, </w:t>
      </w:r>
      <w:r w:rsidR="0049077A">
        <w:t xml:space="preserve">with the earliest one occurring a full ten years after his famous dream had taken place. </w:t>
      </w:r>
      <w:r w:rsidR="00A6190A">
        <w:t xml:space="preserve">Of these thirteen epistles, there are eighteen total intertexts to Virgil occurring in seven of these letters. Seventeen of these intertexts are to the </w:t>
      </w:r>
      <w:r w:rsidR="00A6190A">
        <w:rPr>
          <w:i/>
        </w:rPr>
        <w:t>Aeneid</w:t>
      </w:r>
      <w:r w:rsidR="00A6190A">
        <w:t xml:space="preserve"> and one is to the </w:t>
      </w:r>
      <w:r w:rsidR="00A6190A">
        <w:rPr>
          <w:i/>
        </w:rPr>
        <w:t>Georgics</w:t>
      </w:r>
      <w:r w:rsidR="00A6190A">
        <w:t>; one of these texts is cited twice</w:t>
      </w:r>
      <w:r w:rsidR="000D610A">
        <w:t xml:space="preserve"> within a span of four years. </w:t>
      </w:r>
      <w:r w:rsidR="00683630">
        <w:t xml:space="preserve">Jerome uses these intertexts in </w:t>
      </w:r>
      <w:r w:rsidR="005309D9">
        <w:t>three</w:t>
      </w:r>
      <w:r w:rsidR="00683630">
        <w:t xml:space="preserve"> distinct </w:t>
      </w:r>
      <w:r w:rsidR="00683630">
        <w:lastRenderedPageBreak/>
        <w:t>manners. First, there are single line intertexts that are referenced as passing allusions insofar as their content</w:t>
      </w:r>
      <w:r w:rsidR="004B40AC">
        <w:t xml:space="preserve"> is reminiscent</w:t>
      </w:r>
      <w:r w:rsidR="00683630">
        <w:t xml:space="preserve"> </w:t>
      </w:r>
      <w:r w:rsidR="004B40AC">
        <w:t>of</w:t>
      </w:r>
      <w:r w:rsidR="00683630">
        <w:t xml:space="preserve"> what Jerome is discussing. Second</w:t>
      </w:r>
      <w:r w:rsidR="005309D9">
        <w:t>, there are intertexts quoted directly as proverbs intended for instruction. Third, there are four longer quotations that Jerome engages directly rather than merely allude to them.</w:t>
      </w:r>
      <w:r w:rsidR="00980E37">
        <w:t xml:space="preserve"> </w:t>
      </w:r>
      <w:r w:rsidR="00F84740">
        <w:t xml:space="preserve">Since all these intertexts are used within the broader genre of consolation, the specific identities and backgrounds of the thirteen different addressees (seven women and six men), though not unimportant, do not have a significant effect on the manner in which the intertexts are used. Taken together, the intertexts in these thirteen epistles, despite the four decades that separate their composition, reveal Jerome’s consistent attitude toward the </w:t>
      </w:r>
      <w:r w:rsidR="003304E6">
        <w:t xml:space="preserve">role of the </w:t>
      </w:r>
      <w:r w:rsidR="00F84740">
        <w:t>pagan classics: that they serve as ancillary complements</w:t>
      </w:r>
      <w:r w:rsidR="00112688">
        <w:t>, providing color and vigor, to Jerome’s broader goal of bringing solace to the grieved within the context of Christian faith.</w:t>
      </w:r>
    </w:p>
    <w:p w14:paraId="71B93A71" w14:textId="3D862E3E" w:rsidR="00421714" w:rsidRDefault="00421714" w:rsidP="00CF2213">
      <w:pPr>
        <w:jc w:val="left"/>
        <w:rPr>
          <w:u w:val="single"/>
        </w:rPr>
      </w:pPr>
    </w:p>
    <w:p w14:paraId="5FA8D03F" w14:textId="6A49E4EA" w:rsidR="008541F2" w:rsidRDefault="008541F2" w:rsidP="00CF2213">
      <w:pPr>
        <w:jc w:val="left"/>
        <w:rPr>
          <w:u w:val="single"/>
        </w:rPr>
      </w:pPr>
    </w:p>
    <w:p w14:paraId="2FDFD1A8" w14:textId="387ADC0B" w:rsidR="008541F2" w:rsidRDefault="008541F2" w:rsidP="00CF2213">
      <w:pPr>
        <w:jc w:val="left"/>
        <w:rPr>
          <w:u w:val="single"/>
        </w:rPr>
      </w:pPr>
    </w:p>
    <w:p w14:paraId="5C586CCF" w14:textId="475320BC" w:rsidR="008541F2" w:rsidRDefault="008541F2" w:rsidP="00CF2213">
      <w:pPr>
        <w:jc w:val="left"/>
        <w:rPr>
          <w:u w:val="single"/>
        </w:rPr>
      </w:pPr>
    </w:p>
    <w:p w14:paraId="5B1B9679" w14:textId="4C68996A" w:rsidR="008541F2" w:rsidRDefault="008541F2" w:rsidP="00CF2213">
      <w:pPr>
        <w:jc w:val="left"/>
        <w:rPr>
          <w:u w:val="single"/>
        </w:rPr>
      </w:pPr>
    </w:p>
    <w:p w14:paraId="63D26234" w14:textId="190E57E9" w:rsidR="008541F2" w:rsidRDefault="008541F2" w:rsidP="00CF2213">
      <w:pPr>
        <w:jc w:val="left"/>
        <w:rPr>
          <w:u w:val="single"/>
        </w:rPr>
      </w:pPr>
    </w:p>
    <w:p w14:paraId="564F3227" w14:textId="3743D7F6" w:rsidR="008541F2" w:rsidRDefault="008541F2" w:rsidP="00CF2213">
      <w:pPr>
        <w:jc w:val="left"/>
        <w:rPr>
          <w:u w:val="single"/>
        </w:rPr>
      </w:pPr>
    </w:p>
    <w:p w14:paraId="40C0D162" w14:textId="402D6E59" w:rsidR="008541F2" w:rsidRDefault="008541F2" w:rsidP="00CF2213">
      <w:pPr>
        <w:jc w:val="left"/>
        <w:rPr>
          <w:u w:val="single"/>
        </w:rPr>
      </w:pPr>
    </w:p>
    <w:p w14:paraId="29EF2CB1" w14:textId="57924C67" w:rsidR="008541F2" w:rsidRDefault="008541F2" w:rsidP="00CF2213">
      <w:pPr>
        <w:jc w:val="left"/>
        <w:rPr>
          <w:u w:val="single"/>
        </w:rPr>
      </w:pPr>
    </w:p>
    <w:p w14:paraId="2289FDE9" w14:textId="22DE9C1A" w:rsidR="008541F2" w:rsidRDefault="008541F2" w:rsidP="00CF2213">
      <w:pPr>
        <w:jc w:val="left"/>
        <w:rPr>
          <w:u w:val="single"/>
        </w:rPr>
      </w:pPr>
    </w:p>
    <w:p w14:paraId="51175DB9" w14:textId="0873589A" w:rsidR="008541F2" w:rsidRDefault="008541F2" w:rsidP="00CF2213">
      <w:pPr>
        <w:jc w:val="left"/>
        <w:rPr>
          <w:u w:val="single"/>
        </w:rPr>
      </w:pPr>
    </w:p>
    <w:p w14:paraId="4C1ACFFB" w14:textId="3BA9A753" w:rsidR="008541F2" w:rsidRDefault="008541F2" w:rsidP="00CF2213">
      <w:pPr>
        <w:jc w:val="left"/>
        <w:rPr>
          <w:u w:val="single"/>
        </w:rPr>
      </w:pPr>
    </w:p>
    <w:p w14:paraId="7684FE81" w14:textId="67249585" w:rsidR="008541F2" w:rsidRDefault="008541F2" w:rsidP="00CF2213">
      <w:pPr>
        <w:jc w:val="left"/>
        <w:rPr>
          <w:u w:val="single"/>
        </w:rPr>
      </w:pPr>
    </w:p>
    <w:p w14:paraId="0188F67F" w14:textId="7E651E2E" w:rsidR="008541F2" w:rsidRDefault="008541F2" w:rsidP="00CF2213">
      <w:pPr>
        <w:jc w:val="left"/>
        <w:rPr>
          <w:u w:val="single"/>
        </w:rPr>
      </w:pPr>
    </w:p>
    <w:p w14:paraId="0843C5D3" w14:textId="2B08D917" w:rsidR="008541F2" w:rsidRDefault="008541F2" w:rsidP="00CF2213">
      <w:pPr>
        <w:jc w:val="left"/>
        <w:rPr>
          <w:u w:val="single"/>
        </w:rPr>
      </w:pPr>
    </w:p>
    <w:p w14:paraId="0D7D0BFE" w14:textId="1141D170" w:rsidR="008541F2" w:rsidRDefault="008541F2" w:rsidP="00CF2213">
      <w:pPr>
        <w:jc w:val="left"/>
        <w:rPr>
          <w:u w:val="single"/>
        </w:rPr>
      </w:pPr>
    </w:p>
    <w:p w14:paraId="250C7813" w14:textId="6A674831" w:rsidR="008541F2" w:rsidRDefault="008541F2" w:rsidP="00CF2213">
      <w:pPr>
        <w:jc w:val="left"/>
        <w:rPr>
          <w:u w:val="single"/>
        </w:rPr>
      </w:pPr>
    </w:p>
    <w:p w14:paraId="17497118" w14:textId="778471C5" w:rsidR="008541F2" w:rsidRDefault="008541F2" w:rsidP="00CF2213">
      <w:pPr>
        <w:jc w:val="left"/>
        <w:rPr>
          <w:u w:val="single"/>
        </w:rPr>
      </w:pPr>
    </w:p>
    <w:p w14:paraId="2F0D7A6B" w14:textId="331E2B6C" w:rsidR="008541F2" w:rsidRDefault="008541F2" w:rsidP="00CF2213">
      <w:pPr>
        <w:jc w:val="left"/>
        <w:rPr>
          <w:u w:val="single"/>
        </w:rPr>
      </w:pPr>
    </w:p>
    <w:p w14:paraId="27748BD4" w14:textId="3D250355" w:rsidR="008541F2" w:rsidRDefault="008541F2" w:rsidP="00CF2213">
      <w:pPr>
        <w:jc w:val="left"/>
        <w:rPr>
          <w:u w:val="single"/>
        </w:rPr>
      </w:pPr>
    </w:p>
    <w:p w14:paraId="4FFD9A03" w14:textId="4F0A3F87" w:rsidR="008541F2" w:rsidRDefault="008541F2" w:rsidP="00CF2213">
      <w:pPr>
        <w:jc w:val="left"/>
        <w:rPr>
          <w:u w:val="single"/>
        </w:rPr>
      </w:pPr>
    </w:p>
    <w:p w14:paraId="57340119" w14:textId="011AFADF" w:rsidR="008541F2" w:rsidRDefault="008541F2" w:rsidP="00CF2213">
      <w:pPr>
        <w:jc w:val="left"/>
        <w:rPr>
          <w:u w:val="single"/>
        </w:rPr>
      </w:pPr>
    </w:p>
    <w:p w14:paraId="0316E7E0" w14:textId="77777777" w:rsidR="008541F2" w:rsidRDefault="008541F2" w:rsidP="00CF2213">
      <w:pPr>
        <w:jc w:val="left"/>
        <w:rPr>
          <w:u w:val="single"/>
        </w:rPr>
      </w:pPr>
    </w:p>
    <w:p w14:paraId="32EB17D1" w14:textId="77777777" w:rsidR="00421714" w:rsidRDefault="00421714" w:rsidP="00CF2213">
      <w:pPr>
        <w:jc w:val="left"/>
        <w:rPr>
          <w:u w:val="single"/>
        </w:rPr>
      </w:pPr>
    </w:p>
    <w:p w14:paraId="378EB2E2" w14:textId="42CE7705" w:rsidR="00113080" w:rsidRPr="00113080" w:rsidRDefault="004366BD" w:rsidP="0082433A">
      <w:pPr>
        <w:rPr>
          <w:u w:val="single"/>
        </w:rPr>
      </w:pPr>
      <w:r w:rsidRPr="00113080">
        <w:rPr>
          <w:u w:val="single"/>
        </w:rPr>
        <w:lastRenderedPageBreak/>
        <w:t>Bibliography</w:t>
      </w:r>
    </w:p>
    <w:p w14:paraId="5E43B40E" w14:textId="665F5726" w:rsidR="00113080" w:rsidRDefault="00113080" w:rsidP="00CF2213">
      <w:pPr>
        <w:jc w:val="left"/>
      </w:pPr>
    </w:p>
    <w:p w14:paraId="228CB46B" w14:textId="10302A90" w:rsidR="00013160" w:rsidRDefault="00013160" w:rsidP="00CF2213">
      <w:pPr>
        <w:jc w:val="left"/>
      </w:pPr>
      <w:r>
        <w:rPr>
          <w:u w:val="single"/>
        </w:rPr>
        <w:t>Primary Sources</w:t>
      </w:r>
    </w:p>
    <w:p w14:paraId="65DC20C5" w14:textId="65C6E5C6" w:rsidR="000205CF" w:rsidRPr="000205CF" w:rsidRDefault="000205CF" w:rsidP="00CF2213">
      <w:pPr>
        <w:jc w:val="left"/>
        <w:rPr>
          <w:color w:val="000000"/>
          <w:sz w:val="27"/>
          <w:szCs w:val="27"/>
          <w:shd w:val="clear" w:color="auto" w:fill="FFFFFF"/>
        </w:rPr>
      </w:pPr>
      <w:r>
        <w:t xml:space="preserve">E. Hieronymus </w:t>
      </w:r>
      <w:proofErr w:type="spellStart"/>
      <w:r>
        <w:t>Stridon</w:t>
      </w:r>
      <w:proofErr w:type="spellEnd"/>
      <w:r>
        <w:t>. ‘</w:t>
      </w:r>
      <w:r w:rsidRPr="000205CF">
        <w:t xml:space="preserve">Sancti </w:t>
      </w:r>
      <w:proofErr w:type="spellStart"/>
      <w:r w:rsidRPr="000205CF">
        <w:t>Eusebii</w:t>
      </w:r>
      <w:proofErr w:type="spellEnd"/>
      <w:r w:rsidRPr="000205CF">
        <w:t xml:space="preserve"> </w:t>
      </w:r>
      <w:proofErr w:type="spellStart"/>
      <w:r w:rsidRPr="000205CF">
        <w:t>Hieronymi</w:t>
      </w:r>
      <w:proofErr w:type="spellEnd"/>
      <w:r w:rsidRPr="000205CF">
        <w:t xml:space="preserve"> </w:t>
      </w:r>
      <w:proofErr w:type="spellStart"/>
      <w:r w:rsidRPr="000205CF">
        <w:t>Stridonensis</w:t>
      </w:r>
      <w:proofErr w:type="spellEnd"/>
      <w:r w:rsidRPr="000205CF">
        <w:t xml:space="preserve"> </w:t>
      </w:r>
      <w:proofErr w:type="spellStart"/>
      <w:r w:rsidRPr="000205CF">
        <w:t>Presbyteri</w:t>
      </w:r>
      <w:proofErr w:type="spellEnd"/>
      <w:r w:rsidRPr="000205CF">
        <w:t xml:space="preserve"> </w:t>
      </w:r>
      <w:proofErr w:type="spellStart"/>
      <w:r w:rsidRPr="000205CF">
        <w:t>Epistolae</w:t>
      </w:r>
      <w:proofErr w:type="spellEnd"/>
      <w:r w:rsidRPr="000205CF">
        <w:t xml:space="preserve"> </w:t>
      </w:r>
      <w:proofErr w:type="spellStart"/>
      <w:r w:rsidRPr="000205CF">
        <w:t>Secundum</w:t>
      </w:r>
      <w:proofErr w:type="spellEnd"/>
      <w:r w:rsidRPr="000205CF">
        <w:t xml:space="preserve"> </w:t>
      </w:r>
      <w:proofErr w:type="spellStart"/>
      <w:r w:rsidRPr="000205CF">
        <w:t>Ordinem</w:t>
      </w:r>
      <w:proofErr w:type="spellEnd"/>
      <w:r w:rsidRPr="000205CF">
        <w:t xml:space="preserve"> </w:t>
      </w:r>
      <w:proofErr w:type="spellStart"/>
      <w:r w:rsidRPr="000205CF">
        <w:t>Temporum</w:t>
      </w:r>
      <w:proofErr w:type="spellEnd"/>
      <w:r w:rsidRPr="000205CF">
        <w:t xml:space="preserve"> </w:t>
      </w:r>
      <w:proofErr w:type="spellStart"/>
      <w:r w:rsidRPr="000205CF">
        <w:t>Ad</w:t>
      </w:r>
      <w:proofErr w:type="spellEnd"/>
      <w:r w:rsidRPr="000205CF">
        <w:t xml:space="preserve"> </w:t>
      </w:r>
      <w:proofErr w:type="spellStart"/>
      <w:r w:rsidRPr="000205CF">
        <w:t>Amussim</w:t>
      </w:r>
      <w:proofErr w:type="spellEnd"/>
      <w:r w:rsidRPr="000205CF">
        <w:t xml:space="preserve"> </w:t>
      </w:r>
      <w:proofErr w:type="spellStart"/>
      <w:r w:rsidRPr="000205CF">
        <w:t>Digestae</w:t>
      </w:r>
      <w:proofErr w:type="spellEnd"/>
      <w:r w:rsidRPr="000205CF">
        <w:t xml:space="preserve"> et in </w:t>
      </w:r>
      <w:proofErr w:type="spellStart"/>
      <w:r w:rsidRPr="000205CF">
        <w:t>Quatuor</w:t>
      </w:r>
      <w:proofErr w:type="spellEnd"/>
      <w:r w:rsidRPr="000205CF">
        <w:t xml:space="preserve"> Classes </w:t>
      </w:r>
      <w:proofErr w:type="spellStart"/>
      <w:r w:rsidRPr="000205CF">
        <w:t>Distributae</w:t>
      </w:r>
      <w:proofErr w:type="spellEnd"/>
      <w:r>
        <w:t xml:space="preserve">,’ in </w:t>
      </w:r>
      <w:proofErr w:type="spellStart"/>
      <w:r>
        <w:t>Migne</w:t>
      </w:r>
      <w:proofErr w:type="spellEnd"/>
      <w:r>
        <w:t xml:space="preserve">, J.-P. (ed.) </w:t>
      </w:r>
      <w:proofErr w:type="spellStart"/>
      <w:r w:rsidRPr="000205CF">
        <w:rPr>
          <w:i/>
          <w:szCs w:val="24"/>
          <w:shd w:val="clear" w:color="auto" w:fill="FFFFFF"/>
        </w:rPr>
        <w:t>Patrologiae</w:t>
      </w:r>
      <w:proofErr w:type="spellEnd"/>
      <w:r w:rsidRPr="000205CF">
        <w:rPr>
          <w:i/>
          <w:szCs w:val="24"/>
          <w:shd w:val="clear" w:color="auto" w:fill="FFFFFF"/>
        </w:rPr>
        <w:t xml:space="preserve"> </w:t>
      </w:r>
      <w:r>
        <w:rPr>
          <w:i/>
          <w:szCs w:val="24"/>
          <w:shd w:val="clear" w:color="auto" w:fill="FFFFFF"/>
        </w:rPr>
        <w:t>C</w:t>
      </w:r>
      <w:r w:rsidRPr="000205CF">
        <w:rPr>
          <w:i/>
          <w:szCs w:val="24"/>
          <w:shd w:val="clear" w:color="auto" w:fill="FFFFFF"/>
        </w:rPr>
        <w:t xml:space="preserve">ursus </w:t>
      </w:r>
      <w:proofErr w:type="spellStart"/>
      <w:r>
        <w:rPr>
          <w:i/>
          <w:szCs w:val="24"/>
          <w:shd w:val="clear" w:color="auto" w:fill="FFFFFF"/>
        </w:rPr>
        <w:t>C</w:t>
      </w:r>
      <w:r w:rsidRPr="000205CF">
        <w:rPr>
          <w:i/>
          <w:szCs w:val="24"/>
          <w:shd w:val="clear" w:color="auto" w:fill="FFFFFF"/>
        </w:rPr>
        <w:t>ompletus</w:t>
      </w:r>
      <w:proofErr w:type="spellEnd"/>
      <w:r w:rsidRPr="000205CF">
        <w:rPr>
          <w:i/>
          <w:szCs w:val="24"/>
          <w:shd w:val="clear" w:color="auto" w:fill="FFFFFF"/>
        </w:rPr>
        <w:t xml:space="preserve">. Series </w:t>
      </w:r>
      <w:r>
        <w:rPr>
          <w:i/>
          <w:szCs w:val="24"/>
          <w:shd w:val="clear" w:color="auto" w:fill="FFFFFF"/>
        </w:rPr>
        <w:t>Latina</w:t>
      </w:r>
      <w:r>
        <w:rPr>
          <w:szCs w:val="24"/>
          <w:shd w:val="clear" w:color="auto" w:fill="FFFFFF"/>
        </w:rPr>
        <w:t>, 22. Paris</w:t>
      </w:r>
      <w:r w:rsidR="00786DE1">
        <w:rPr>
          <w:szCs w:val="24"/>
          <w:shd w:val="clear" w:color="auto" w:fill="FFFFFF"/>
        </w:rPr>
        <w:t xml:space="preserve"> (1859), pp. 325-1224.</w:t>
      </w:r>
    </w:p>
    <w:p w14:paraId="23A80C95" w14:textId="20CA2BF5" w:rsidR="000205CF" w:rsidRDefault="000205CF" w:rsidP="00CF2213">
      <w:pPr>
        <w:jc w:val="left"/>
      </w:pPr>
    </w:p>
    <w:p w14:paraId="07052218" w14:textId="77777777" w:rsidR="008541F2" w:rsidRDefault="008541F2" w:rsidP="00CF2213">
      <w:pPr>
        <w:jc w:val="left"/>
      </w:pPr>
      <w:bookmarkStart w:id="0" w:name="_GoBack"/>
      <w:bookmarkEnd w:id="0"/>
    </w:p>
    <w:p w14:paraId="2EB4D779" w14:textId="713DE5C8" w:rsidR="000205CF" w:rsidRPr="000205CF" w:rsidRDefault="000205CF" w:rsidP="00CF2213">
      <w:pPr>
        <w:jc w:val="left"/>
      </w:pPr>
      <w:r>
        <w:rPr>
          <w:u w:val="single"/>
        </w:rPr>
        <w:t>Secondary Sources</w:t>
      </w:r>
    </w:p>
    <w:p w14:paraId="728AE0FB" w14:textId="00F76A47" w:rsidR="00113080" w:rsidRDefault="00113080" w:rsidP="00CF2213">
      <w:pPr>
        <w:jc w:val="left"/>
      </w:pPr>
      <w:r>
        <w:t xml:space="preserve">Cain, A. </w:t>
      </w:r>
      <w:r w:rsidR="00BD1B30">
        <w:t>(</w:t>
      </w:r>
      <w:r>
        <w:t>2010</w:t>
      </w:r>
      <w:r w:rsidR="00BD1B30">
        <w:t>)</w:t>
      </w:r>
      <w:r>
        <w:t xml:space="preserve"> </w:t>
      </w:r>
      <w:r>
        <w:rPr>
          <w:i/>
        </w:rPr>
        <w:t>The Letters of Jerome</w:t>
      </w:r>
      <w:r>
        <w:t>. New York: Oxford University Press.</w:t>
      </w:r>
    </w:p>
    <w:p w14:paraId="6C89F399" w14:textId="03531458" w:rsidR="00BD1B30" w:rsidRDefault="00BD1B30" w:rsidP="00CF2213">
      <w:pPr>
        <w:jc w:val="left"/>
      </w:pPr>
    </w:p>
    <w:p w14:paraId="25402CD7" w14:textId="1AF2885F" w:rsidR="00BD1B30" w:rsidRDefault="00BD1B30" w:rsidP="00CF2213">
      <w:pPr>
        <w:jc w:val="left"/>
      </w:pPr>
      <w:r>
        <w:t xml:space="preserve">Cain, A. (2017) ‘The Letter Collections of Jerome of </w:t>
      </w:r>
      <w:proofErr w:type="spellStart"/>
      <w:r>
        <w:t>Stridon</w:t>
      </w:r>
      <w:proofErr w:type="spellEnd"/>
      <w:r>
        <w:t xml:space="preserve">,’ in </w:t>
      </w:r>
      <w:proofErr w:type="spellStart"/>
      <w:r>
        <w:t>Sogno</w:t>
      </w:r>
      <w:proofErr w:type="spellEnd"/>
      <w:r>
        <w:t xml:space="preserve">, C. et al. (ed.) </w:t>
      </w:r>
      <w:r>
        <w:rPr>
          <w:i/>
        </w:rPr>
        <w:t>Late Antique Letter Collections</w:t>
      </w:r>
      <w:r>
        <w:t xml:space="preserve">. </w:t>
      </w:r>
      <w:r w:rsidR="00CF2213">
        <w:t>Berkeley</w:t>
      </w:r>
      <w:r>
        <w:t>: University of California Press.</w:t>
      </w:r>
    </w:p>
    <w:p w14:paraId="65665F54" w14:textId="236409E9" w:rsidR="0032470A" w:rsidRDefault="0032470A" w:rsidP="00CF2213">
      <w:pPr>
        <w:jc w:val="left"/>
      </w:pPr>
    </w:p>
    <w:p w14:paraId="4FDCF4CD" w14:textId="1DDD1A3F" w:rsidR="0032470A" w:rsidRPr="0032470A" w:rsidRDefault="0032470A" w:rsidP="00CF2213">
      <w:pPr>
        <w:jc w:val="left"/>
      </w:pPr>
      <w:proofErr w:type="spellStart"/>
      <w:r>
        <w:t>Eiswirth</w:t>
      </w:r>
      <w:proofErr w:type="spellEnd"/>
      <w:r>
        <w:t xml:space="preserve">, R. (1955) </w:t>
      </w:r>
      <w:r>
        <w:rPr>
          <w:i/>
        </w:rPr>
        <w:t xml:space="preserve">Hieronymus’ </w:t>
      </w:r>
      <w:proofErr w:type="spellStart"/>
      <w:r>
        <w:rPr>
          <w:i/>
        </w:rPr>
        <w:t>Stellung</w:t>
      </w:r>
      <w:proofErr w:type="spellEnd"/>
      <w:r>
        <w:rPr>
          <w:i/>
        </w:rPr>
        <w:t xml:space="preserve"> </w:t>
      </w:r>
      <w:proofErr w:type="spellStart"/>
      <w:r>
        <w:rPr>
          <w:i/>
        </w:rPr>
        <w:t>zur</w:t>
      </w:r>
      <w:proofErr w:type="spellEnd"/>
      <w:r>
        <w:rPr>
          <w:i/>
        </w:rPr>
        <w:t xml:space="preserve"> </w:t>
      </w:r>
      <w:proofErr w:type="spellStart"/>
      <w:r>
        <w:rPr>
          <w:i/>
        </w:rPr>
        <w:t>Literatur</w:t>
      </w:r>
      <w:proofErr w:type="spellEnd"/>
      <w:r>
        <w:rPr>
          <w:i/>
        </w:rPr>
        <w:t xml:space="preserve"> und Kunst</w:t>
      </w:r>
      <w:r>
        <w:t xml:space="preserve">. Wiesbaden: </w:t>
      </w:r>
      <w:proofErr w:type="spellStart"/>
      <w:r>
        <w:t>Harrassowitz</w:t>
      </w:r>
      <w:proofErr w:type="spellEnd"/>
      <w:r>
        <w:t>.</w:t>
      </w:r>
    </w:p>
    <w:p w14:paraId="4EF8D016" w14:textId="3A53C591" w:rsidR="00634C0B" w:rsidRDefault="00634C0B" w:rsidP="00CF2213">
      <w:pPr>
        <w:jc w:val="left"/>
      </w:pPr>
    </w:p>
    <w:p w14:paraId="3ACF22E5" w14:textId="032D68C9" w:rsidR="00634C0B" w:rsidRPr="00634C0B" w:rsidRDefault="00634C0B" w:rsidP="00CF2213">
      <w:pPr>
        <w:jc w:val="left"/>
      </w:pPr>
      <w:proofErr w:type="spellStart"/>
      <w:r>
        <w:t>Favez</w:t>
      </w:r>
      <w:proofErr w:type="spellEnd"/>
      <w:r>
        <w:t xml:space="preserve">, C. (1937) </w:t>
      </w:r>
      <w:r>
        <w:rPr>
          <w:i/>
        </w:rPr>
        <w:t xml:space="preserve">La Consolation </w:t>
      </w:r>
      <w:proofErr w:type="spellStart"/>
      <w:r>
        <w:rPr>
          <w:i/>
        </w:rPr>
        <w:t>latine</w:t>
      </w:r>
      <w:proofErr w:type="spellEnd"/>
      <w:r>
        <w:rPr>
          <w:i/>
        </w:rPr>
        <w:t xml:space="preserve"> </w:t>
      </w:r>
      <w:proofErr w:type="spellStart"/>
      <w:r>
        <w:rPr>
          <w:i/>
        </w:rPr>
        <w:t>chr</w:t>
      </w:r>
      <w:r>
        <w:rPr>
          <w:rFonts w:cs="Times New Roman"/>
          <w:i/>
        </w:rPr>
        <w:t>é</w:t>
      </w:r>
      <w:r>
        <w:rPr>
          <w:i/>
        </w:rPr>
        <w:t>tienne</w:t>
      </w:r>
      <w:proofErr w:type="spellEnd"/>
      <w:r>
        <w:t xml:space="preserve">. Paris: </w:t>
      </w:r>
      <w:proofErr w:type="spellStart"/>
      <w:r>
        <w:t>Librairie</w:t>
      </w:r>
      <w:proofErr w:type="spellEnd"/>
      <w:r>
        <w:t xml:space="preserve"> </w:t>
      </w:r>
      <w:proofErr w:type="spellStart"/>
      <w:r>
        <w:t>philosophique</w:t>
      </w:r>
      <w:proofErr w:type="spellEnd"/>
      <w:r>
        <w:t xml:space="preserve"> J. </w:t>
      </w:r>
      <w:proofErr w:type="spellStart"/>
      <w:r>
        <w:t>Vrin</w:t>
      </w:r>
      <w:proofErr w:type="spellEnd"/>
      <w:r>
        <w:t>.</w:t>
      </w:r>
    </w:p>
    <w:p w14:paraId="1623A7B8" w14:textId="0F7A96D0" w:rsidR="00213A68" w:rsidRDefault="00213A68" w:rsidP="00CF2213">
      <w:pPr>
        <w:jc w:val="left"/>
      </w:pPr>
    </w:p>
    <w:p w14:paraId="6CF85432" w14:textId="7AD34366" w:rsidR="00213A68" w:rsidRDefault="00213A68" w:rsidP="00CF2213">
      <w:pPr>
        <w:jc w:val="left"/>
      </w:pPr>
      <w:r>
        <w:t xml:space="preserve">Foster, F. (2014) ‘Reconstructing Virgil in the Classroom in Late Antiquity,’ </w:t>
      </w:r>
      <w:r>
        <w:rPr>
          <w:i/>
        </w:rPr>
        <w:t>History of Education</w:t>
      </w:r>
      <w:r>
        <w:t>, 43(3), pp. 285-303.</w:t>
      </w:r>
    </w:p>
    <w:p w14:paraId="15CDA80D" w14:textId="77777777" w:rsidR="00213A68" w:rsidRPr="00213A68" w:rsidRDefault="00213A68" w:rsidP="00CF2213">
      <w:pPr>
        <w:jc w:val="left"/>
      </w:pPr>
    </w:p>
    <w:p w14:paraId="407327F2" w14:textId="5E051CBE" w:rsidR="00213A68" w:rsidRDefault="00213A68" w:rsidP="00CF2213">
      <w:pPr>
        <w:jc w:val="left"/>
      </w:pPr>
      <w:r>
        <w:t xml:space="preserve">Foster, F. (2017) ‘Teaching Language through Virgil in Late Antiquity,’ </w:t>
      </w:r>
      <w:r>
        <w:rPr>
          <w:i/>
        </w:rPr>
        <w:t>The Classical Quarterly</w:t>
      </w:r>
      <w:r>
        <w:t>, 67(1), pp. 270-283.</w:t>
      </w:r>
    </w:p>
    <w:p w14:paraId="052C9EF0" w14:textId="1BD9FE9C" w:rsidR="000205CF" w:rsidRDefault="000205CF" w:rsidP="00CF2213">
      <w:pPr>
        <w:jc w:val="left"/>
      </w:pPr>
    </w:p>
    <w:p w14:paraId="15095A9A" w14:textId="299D50B3" w:rsidR="000205CF" w:rsidRPr="000205CF" w:rsidRDefault="000205CF" w:rsidP="00CF2213">
      <w:pPr>
        <w:jc w:val="left"/>
      </w:pPr>
      <w:r>
        <w:t>Green, R.P.H. (1995) ‘</w:t>
      </w:r>
      <w:proofErr w:type="spellStart"/>
      <w:r>
        <w:t>Proba’s</w:t>
      </w:r>
      <w:proofErr w:type="spellEnd"/>
      <w:r>
        <w:t xml:space="preserve"> Cento: Its Date, Purpose, and Reception. </w:t>
      </w:r>
      <w:r>
        <w:rPr>
          <w:i/>
        </w:rPr>
        <w:t>The Classical Quarterly</w:t>
      </w:r>
      <w:r>
        <w:t>, 45(2), pp. 551-563.</w:t>
      </w:r>
    </w:p>
    <w:p w14:paraId="11AD44F6" w14:textId="77777777" w:rsidR="00113080" w:rsidRDefault="00113080" w:rsidP="00CF2213">
      <w:pPr>
        <w:jc w:val="left"/>
      </w:pPr>
    </w:p>
    <w:p w14:paraId="7DA8C247" w14:textId="5E494F84" w:rsidR="00113080" w:rsidRPr="00113080" w:rsidRDefault="00113080" w:rsidP="00CF2213">
      <w:pPr>
        <w:jc w:val="left"/>
      </w:pPr>
      <w:proofErr w:type="spellStart"/>
      <w:r>
        <w:t>Hagendahl</w:t>
      </w:r>
      <w:proofErr w:type="spellEnd"/>
      <w:r>
        <w:t xml:space="preserve">, H. </w:t>
      </w:r>
      <w:r w:rsidR="00BD1B30">
        <w:t>(</w:t>
      </w:r>
      <w:r>
        <w:t>1958</w:t>
      </w:r>
      <w:r w:rsidR="00BD1B30">
        <w:t>)</w:t>
      </w:r>
      <w:r>
        <w:t xml:space="preserve"> </w:t>
      </w:r>
      <w:r>
        <w:rPr>
          <w:i/>
        </w:rPr>
        <w:t>Latin Fathers and the Classics</w:t>
      </w:r>
      <w:r>
        <w:t>. Stockholm: Almq</w:t>
      </w:r>
      <w:r w:rsidR="000205CF">
        <w:t>v</w:t>
      </w:r>
      <w:r>
        <w:t xml:space="preserve">ist &amp; </w:t>
      </w:r>
      <w:proofErr w:type="spellStart"/>
      <w:r>
        <w:t>Wiksell</w:t>
      </w:r>
      <w:proofErr w:type="spellEnd"/>
      <w:r>
        <w:t xml:space="preserve">. </w:t>
      </w:r>
    </w:p>
    <w:p w14:paraId="71BE87F0" w14:textId="77777777" w:rsidR="00113080" w:rsidRDefault="00113080" w:rsidP="00CF2213">
      <w:pPr>
        <w:jc w:val="left"/>
      </w:pPr>
    </w:p>
    <w:p w14:paraId="729F3361" w14:textId="77922201" w:rsidR="00113080" w:rsidRDefault="00113080" w:rsidP="00CF2213">
      <w:pPr>
        <w:jc w:val="left"/>
      </w:pPr>
      <w:proofErr w:type="spellStart"/>
      <w:r>
        <w:t>Hagendahl</w:t>
      </w:r>
      <w:proofErr w:type="spellEnd"/>
      <w:r>
        <w:t xml:space="preserve">, H. </w:t>
      </w:r>
      <w:r w:rsidR="00BD1B30">
        <w:t>(</w:t>
      </w:r>
      <w:r>
        <w:t>1974</w:t>
      </w:r>
      <w:r w:rsidR="00BD1B30">
        <w:t>)</w:t>
      </w:r>
      <w:r>
        <w:t xml:space="preserve"> ‘Jerome and the Latin Classics</w:t>
      </w:r>
      <w:r w:rsidR="00213A68">
        <w:t>,</w:t>
      </w:r>
      <w:r>
        <w:t xml:space="preserve">’ </w:t>
      </w:r>
      <w:proofErr w:type="spellStart"/>
      <w:r>
        <w:rPr>
          <w:i/>
        </w:rPr>
        <w:t>Virgiliae</w:t>
      </w:r>
      <w:proofErr w:type="spellEnd"/>
      <w:r>
        <w:rPr>
          <w:i/>
        </w:rPr>
        <w:t xml:space="preserve"> </w:t>
      </w:r>
      <w:proofErr w:type="spellStart"/>
      <w:r>
        <w:rPr>
          <w:i/>
        </w:rPr>
        <w:t>Christianae</w:t>
      </w:r>
      <w:proofErr w:type="spellEnd"/>
      <w:r w:rsidR="00CF2213">
        <w:t>,</w:t>
      </w:r>
      <w:r>
        <w:t xml:space="preserve"> 28, </w:t>
      </w:r>
      <w:r w:rsidR="00CF2213">
        <w:t xml:space="preserve">pp. </w:t>
      </w:r>
      <w:r>
        <w:t>216-227.</w:t>
      </w:r>
    </w:p>
    <w:p w14:paraId="2A8A298F" w14:textId="6EA516D3" w:rsidR="00BD1B30" w:rsidRDefault="00BD1B30" w:rsidP="00CF2213">
      <w:pPr>
        <w:jc w:val="left"/>
      </w:pPr>
    </w:p>
    <w:p w14:paraId="4E698F84" w14:textId="5CD7D031" w:rsidR="000205CF" w:rsidRDefault="000205CF" w:rsidP="00CF2213">
      <w:pPr>
        <w:jc w:val="left"/>
      </w:pPr>
      <w:proofErr w:type="spellStart"/>
      <w:r>
        <w:t>Hritzu</w:t>
      </w:r>
      <w:proofErr w:type="spellEnd"/>
      <w:r>
        <w:t xml:space="preserve">, N. (1939) </w:t>
      </w:r>
      <w:r>
        <w:rPr>
          <w:i/>
        </w:rPr>
        <w:t>The Style of the Letters of St. Jerome</w:t>
      </w:r>
      <w:r>
        <w:t xml:space="preserve">. Washington, D.C.: </w:t>
      </w:r>
      <w:r>
        <w:rPr>
          <w:i/>
        </w:rPr>
        <w:t>The Catholic University of America Press</w:t>
      </w:r>
      <w:r>
        <w:t>.</w:t>
      </w:r>
    </w:p>
    <w:p w14:paraId="5E5AD75E" w14:textId="77777777" w:rsidR="000205CF" w:rsidRPr="000205CF" w:rsidRDefault="000205CF" w:rsidP="00CF2213">
      <w:pPr>
        <w:jc w:val="left"/>
      </w:pPr>
    </w:p>
    <w:p w14:paraId="097263DF" w14:textId="1AA35262" w:rsidR="00BD1B30" w:rsidRDefault="00BD1B30" w:rsidP="00CF2213">
      <w:pPr>
        <w:jc w:val="left"/>
      </w:pPr>
      <w:r>
        <w:t xml:space="preserve">Kelly, J.N.D. (1975) </w:t>
      </w:r>
      <w:r>
        <w:rPr>
          <w:i/>
        </w:rPr>
        <w:t>Jerome</w:t>
      </w:r>
      <w:r>
        <w:t>. New York: Harper &amp; Row.</w:t>
      </w:r>
    </w:p>
    <w:p w14:paraId="069C3C11" w14:textId="32B91013" w:rsidR="00421714" w:rsidRDefault="00421714" w:rsidP="00CF2213">
      <w:pPr>
        <w:jc w:val="left"/>
      </w:pPr>
    </w:p>
    <w:p w14:paraId="00AA6FB7" w14:textId="2FDF3A6E" w:rsidR="00421714" w:rsidRPr="00421714" w:rsidRDefault="00421714" w:rsidP="00CF2213">
      <w:pPr>
        <w:jc w:val="left"/>
        <w:rPr>
          <w:rFonts w:cs="Times New Roman"/>
          <w:szCs w:val="24"/>
        </w:rPr>
      </w:pPr>
      <w:proofErr w:type="spellStart"/>
      <w:r>
        <w:t>Luebeck</w:t>
      </w:r>
      <w:proofErr w:type="spellEnd"/>
      <w:r>
        <w:t xml:space="preserve">, A. (1872) </w:t>
      </w:r>
      <w:r>
        <w:rPr>
          <w:i/>
        </w:rPr>
        <w:t xml:space="preserve">Hieronymus quos </w:t>
      </w:r>
      <w:proofErr w:type="spellStart"/>
      <w:r>
        <w:rPr>
          <w:i/>
        </w:rPr>
        <w:t>moverit</w:t>
      </w:r>
      <w:proofErr w:type="spellEnd"/>
      <w:r>
        <w:rPr>
          <w:i/>
        </w:rPr>
        <w:t xml:space="preserve"> </w:t>
      </w:r>
      <w:proofErr w:type="spellStart"/>
      <w:r>
        <w:rPr>
          <w:i/>
        </w:rPr>
        <w:t>scriptores</w:t>
      </w:r>
      <w:proofErr w:type="spellEnd"/>
      <w:r>
        <w:rPr>
          <w:i/>
        </w:rPr>
        <w:t xml:space="preserve"> et ex </w:t>
      </w:r>
      <w:proofErr w:type="spellStart"/>
      <w:r>
        <w:rPr>
          <w:i/>
        </w:rPr>
        <w:t>quibus</w:t>
      </w:r>
      <w:proofErr w:type="spellEnd"/>
      <w:r>
        <w:rPr>
          <w:i/>
        </w:rPr>
        <w:t xml:space="preserve"> </w:t>
      </w:r>
      <w:proofErr w:type="spellStart"/>
      <w:r>
        <w:rPr>
          <w:i/>
        </w:rPr>
        <w:t>hauserit</w:t>
      </w:r>
      <w:proofErr w:type="spellEnd"/>
      <w:r>
        <w:t xml:space="preserve">. </w:t>
      </w:r>
      <w:proofErr w:type="spellStart"/>
      <w:r>
        <w:t>Lipsiae</w:t>
      </w:r>
      <w:proofErr w:type="spellEnd"/>
      <w:r>
        <w:t xml:space="preserve">: </w:t>
      </w:r>
      <w:proofErr w:type="spellStart"/>
      <w:r w:rsidRPr="00421714">
        <w:rPr>
          <w:rFonts w:cs="Times New Roman"/>
          <w:szCs w:val="24"/>
          <w:shd w:val="clear" w:color="auto" w:fill="FFFFFF"/>
        </w:rPr>
        <w:t>Typis</w:t>
      </w:r>
      <w:proofErr w:type="spellEnd"/>
      <w:r w:rsidRPr="00421714">
        <w:rPr>
          <w:rFonts w:cs="Times New Roman"/>
          <w:szCs w:val="24"/>
          <w:shd w:val="clear" w:color="auto" w:fill="FFFFFF"/>
        </w:rPr>
        <w:t xml:space="preserve"> B.G. </w:t>
      </w:r>
      <w:proofErr w:type="spellStart"/>
      <w:r w:rsidRPr="00421714">
        <w:rPr>
          <w:rFonts w:cs="Times New Roman"/>
          <w:szCs w:val="24"/>
          <w:shd w:val="clear" w:color="auto" w:fill="FFFFFF"/>
        </w:rPr>
        <w:t>Teubneri</w:t>
      </w:r>
      <w:proofErr w:type="spellEnd"/>
      <w:r>
        <w:rPr>
          <w:rFonts w:cs="Times New Roman"/>
          <w:szCs w:val="24"/>
          <w:shd w:val="clear" w:color="auto" w:fill="FFFFFF"/>
        </w:rPr>
        <w:t>.</w:t>
      </w:r>
    </w:p>
    <w:p w14:paraId="0717E9B9" w14:textId="3B6E211E" w:rsidR="00BD1B30" w:rsidRDefault="00BD1B30" w:rsidP="00CF2213">
      <w:pPr>
        <w:jc w:val="left"/>
      </w:pPr>
    </w:p>
    <w:p w14:paraId="0AF95D9C" w14:textId="777D7515" w:rsidR="00BD1B30" w:rsidRDefault="00BD1B30" w:rsidP="00CF2213">
      <w:pPr>
        <w:jc w:val="left"/>
      </w:pPr>
      <w:proofErr w:type="spellStart"/>
      <w:r>
        <w:t>Mac</w:t>
      </w:r>
      <w:r w:rsidR="00CF2213">
        <w:t>Cormack</w:t>
      </w:r>
      <w:proofErr w:type="spellEnd"/>
      <w:r w:rsidR="00CF2213">
        <w:t xml:space="preserve">, S. (1998) </w:t>
      </w:r>
      <w:r w:rsidR="00CF2213">
        <w:rPr>
          <w:i/>
        </w:rPr>
        <w:t>The Shadows of Poetry: Vergil in the Mind of Augustine</w:t>
      </w:r>
      <w:r w:rsidR="00CF2213">
        <w:t>. Berkeley: University of California Press.</w:t>
      </w:r>
    </w:p>
    <w:p w14:paraId="2301A290" w14:textId="10C63293" w:rsidR="00CF2213" w:rsidRDefault="00CF2213" w:rsidP="00CF2213">
      <w:pPr>
        <w:jc w:val="left"/>
      </w:pPr>
    </w:p>
    <w:p w14:paraId="1E8EF717" w14:textId="2048B27A" w:rsidR="00CF2213" w:rsidRPr="00CF2213" w:rsidRDefault="00CF2213" w:rsidP="00CF2213">
      <w:pPr>
        <w:jc w:val="left"/>
      </w:pPr>
      <w:r>
        <w:t xml:space="preserve">Mohr, A. (2007) ‘Jerome, Virgil, and the Captive Maiden: The Attitude of Jerome to Classical Literature,” in Scourfield, J. (ed.) </w:t>
      </w:r>
      <w:r>
        <w:rPr>
          <w:i/>
        </w:rPr>
        <w:t>Texts and Culture in Late Antiquity</w:t>
      </w:r>
      <w:r>
        <w:t xml:space="preserve">. </w:t>
      </w:r>
      <w:r w:rsidR="000657A5">
        <w:t>Swansea: Classical Press of Wales.</w:t>
      </w:r>
    </w:p>
    <w:p w14:paraId="1984D2D7" w14:textId="17993522" w:rsidR="00CF2213" w:rsidRDefault="00CF2213" w:rsidP="00CF2213">
      <w:pPr>
        <w:jc w:val="left"/>
      </w:pPr>
    </w:p>
    <w:p w14:paraId="6B982793" w14:textId="0264FFD7" w:rsidR="00CF2213" w:rsidRDefault="00CF2213" w:rsidP="00CF2213">
      <w:pPr>
        <w:jc w:val="left"/>
      </w:pPr>
      <w:r>
        <w:lastRenderedPageBreak/>
        <w:t>Pease, A.S. (1919) ‘The Attitude of Jerome toward Pagan Literature</w:t>
      </w:r>
      <w:r w:rsidR="00213A68">
        <w:t>,</w:t>
      </w:r>
      <w:r>
        <w:t xml:space="preserve">’ </w:t>
      </w:r>
      <w:r>
        <w:rPr>
          <w:i/>
        </w:rPr>
        <w:t>Transactions and Proceedings of the American Philological Association</w:t>
      </w:r>
      <w:r>
        <w:t>, 50, pp. 150-167.</w:t>
      </w:r>
    </w:p>
    <w:p w14:paraId="77B7849D" w14:textId="56676D01" w:rsidR="00634C0B" w:rsidRDefault="00634C0B" w:rsidP="00CF2213">
      <w:pPr>
        <w:jc w:val="left"/>
      </w:pPr>
    </w:p>
    <w:p w14:paraId="58CD9468" w14:textId="2B22B0A4" w:rsidR="00634C0B" w:rsidRPr="00634C0B" w:rsidRDefault="00634C0B" w:rsidP="00CF2213">
      <w:pPr>
        <w:jc w:val="left"/>
      </w:pPr>
      <w:proofErr w:type="spellStart"/>
      <w:r>
        <w:t>Rebenich</w:t>
      </w:r>
      <w:proofErr w:type="spellEnd"/>
      <w:r>
        <w:t xml:space="preserve">, S. (2002) </w:t>
      </w:r>
      <w:r>
        <w:rPr>
          <w:i/>
        </w:rPr>
        <w:t>Jerome</w:t>
      </w:r>
      <w:r>
        <w:t>. London: Routledge.</w:t>
      </w:r>
    </w:p>
    <w:p w14:paraId="7FDD0208" w14:textId="5CA3E397" w:rsidR="00113080" w:rsidRDefault="00113080" w:rsidP="00113080">
      <w:pPr>
        <w:jc w:val="both"/>
      </w:pPr>
    </w:p>
    <w:p w14:paraId="165F0D45" w14:textId="14859A98" w:rsidR="00113080" w:rsidRDefault="00B44F53" w:rsidP="00113080">
      <w:pPr>
        <w:jc w:val="both"/>
      </w:pPr>
      <w:r>
        <w:rPr>
          <w:i/>
        </w:rPr>
        <w:t>The Letters of St. Jerome</w:t>
      </w:r>
      <w:r>
        <w:t>, Vol. 1 &amp; 2 (1963) Westminster, Maryland: The Newman Press.</w:t>
      </w:r>
    </w:p>
    <w:p w14:paraId="64887D1A" w14:textId="63343E03" w:rsidR="00A6190A" w:rsidRDefault="00A6190A" w:rsidP="00113080">
      <w:pPr>
        <w:jc w:val="both"/>
      </w:pPr>
    </w:p>
    <w:p w14:paraId="663BE4AF" w14:textId="392BDC3F" w:rsidR="00A6190A" w:rsidRPr="000D610A" w:rsidRDefault="00A6190A" w:rsidP="000D610A">
      <w:pPr>
        <w:jc w:val="left"/>
      </w:pPr>
      <w:r>
        <w:rPr>
          <w:i/>
        </w:rPr>
        <w:t>The Principal Works of St. Jerome</w:t>
      </w:r>
      <w:r w:rsidR="000D610A">
        <w:t xml:space="preserve"> (1892) Grand Rapids, Michigan: Christian Literature Publishing Co.</w:t>
      </w:r>
    </w:p>
    <w:p w14:paraId="4D43D3BE" w14:textId="3E1EFCA3" w:rsidR="00011823" w:rsidRDefault="00011823" w:rsidP="00113080">
      <w:pPr>
        <w:jc w:val="both"/>
      </w:pPr>
    </w:p>
    <w:p w14:paraId="45CEC02C" w14:textId="257BA65D" w:rsidR="00011823" w:rsidRPr="00011823" w:rsidRDefault="00011823" w:rsidP="00113080">
      <w:pPr>
        <w:jc w:val="both"/>
      </w:pPr>
      <w:r>
        <w:t xml:space="preserve">von Moos, P. (1971-1972) </w:t>
      </w:r>
      <w:proofErr w:type="spellStart"/>
      <w:r>
        <w:rPr>
          <w:i/>
        </w:rPr>
        <w:t>Consolatio</w:t>
      </w:r>
      <w:proofErr w:type="spellEnd"/>
      <w:r>
        <w:rPr>
          <w:i/>
        </w:rPr>
        <w:t xml:space="preserve">. </w:t>
      </w:r>
      <w:proofErr w:type="spellStart"/>
      <w:r>
        <w:rPr>
          <w:i/>
        </w:rPr>
        <w:t>Studien</w:t>
      </w:r>
      <w:proofErr w:type="spellEnd"/>
      <w:r>
        <w:rPr>
          <w:i/>
        </w:rPr>
        <w:t xml:space="preserve"> </w:t>
      </w:r>
      <w:proofErr w:type="spellStart"/>
      <w:r>
        <w:rPr>
          <w:i/>
        </w:rPr>
        <w:t>zur</w:t>
      </w:r>
      <w:proofErr w:type="spellEnd"/>
      <w:r>
        <w:rPr>
          <w:i/>
        </w:rPr>
        <w:t xml:space="preserve"> </w:t>
      </w:r>
      <w:proofErr w:type="spellStart"/>
      <w:r>
        <w:rPr>
          <w:i/>
        </w:rPr>
        <w:t>mittellateinischen</w:t>
      </w:r>
      <w:proofErr w:type="spellEnd"/>
      <w:r>
        <w:rPr>
          <w:i/>
        </w:rPr>
        <w:t xml:space="preserve"> </w:t>
      </w:r>
      <w:proofErr w:type="spellStart"/>
      <w:r>
        <w:rPr>
          <w:i/>
        </w:rPr>
        <w:t>Trostliteratur</w:t>
      </w:r>
      <w:proofErr w:type="spellEnd"/>
      <w:r>
        <w:rPr>
          <w:i/>
        </w:rPr>
        <w:t xml:space="preserve"> </w:t>
      </w:r>
      <w:proofErr w:type="spellStart"/>
      <w:r>
        <w:rPr>
          <w:rFonts w:cs="Times New Roman"/>
          <w:i/>
        </w:rPr>
        <w:t>ü</w:t>
      </w:r>
      <w:r>
        <w:rPr>
          <w:i/>
        </w:rPr>
        <w:t>ber</w:t>
      </w:r>
      <w:proofErr w:type="spellEnd"/>
      <w:r>
        <w:rPr>
          <w:i/>
        </w:rPr>
        <w:t xml:space="preserve"> den Tod und </w:t>
      </w:r>
      <w:proofErr w:type="spellStart"/>
      <w:r>
        <w:rPr>
          <w:i/>
        </w:rPr>
        <w:t>zum</w:t>
      </w:r>
      <w:proofErr w:type="spellEnd"/>
      <w:r>
        <w:rPr>
          <w:i/>
        </w:rPr>
        <w:t xml:space="preserve"> Problem </w:t>
      </w:r>
      <w:proofErr w:type="spellStart"/>
      <w:r>
        <w:rPr>
          <w:i/>
        </w:rPr>
        <w:t>Christlichen</w:t>
      </w:r>
      <w:proofErr w:type="spellEnd"/>
      <w:r>
        <w:rPr>
          <w:i/>
        </w:rPr>
        <w:t xml:space="preserve"> </w:t>
      </w:r>
      <w:proofErr w:type="spellStart"/>
      <w:r>
        <w:rPr>
          <w:i/>
        </w:rPr>
        <w:t>Trauer</w:t>
      </w:r>
      <w:proofErr w:type="spellEnd"/>
      <w:r>
        <w:t>, Vol. 1-4. M</w:t>
      </w:r>
      <w:r>
        <w:rPr>
          <w:rFonts w:cs="Times New Roman"/>
        </w:rPr>
        <w:t>ü</w:t>
      </w:r>
      <w:r>
        <w:t xml:space="preserve">nchen: Fink. </w:t>
      </w:r>
    </w:p>
    <w:p w14:paraId="51D6F365" w14:textId="56C77B78" w:rsidR="00113080" w:rsidRPr="00113080" w:rsidRDefault="00113080" w:rsidP="00113080">
      <w:pPr>
        <w:jc w:val="both"/>
        <w:rPr>
          <w:u w:val="single"/>
        </w:rPr>
      </w:pPr>
    </w:p>
    <w:p w14:paraId="42BE4322" w14:textId="77777777" w:rsidR="00113080" w:rsidRDefault="00113080" w:rsidP="00113080">
      <w:pPr>
        <w:jc w:val="both"/>
      </w:pPr>
    </w:p>
    <w:sectPr w:rsidR="00113080">
      <w:footerReference w:type="default" r:id="rId7"/>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BBB46" w14:textId="77777777" w:rsidR="00E93E1C" w:rsidRDefault="00E93E1C" w:rsidP="00E93E1C">
      <w:r>
        <w:separator/>
      </w:r>
    </w:p>
  </w:endnote>
  <w:endnote w:type="continuationSeparator" w:id="0">
    <w:p w14:paraId="310A566F" w14:textId="77777777" w:rsidR="00E93E1C" w:rsidRDefault="00E93E1C" w:rsidP="00E93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683468"/>
      <w:docPartObj>
        <w:docPartGallery w:val="Page Numbers (Bottom of Page)"/>
        <w:docPartUnique/>
      </w:docPartObj>
    </w:sdtPr>
    <w:sdtEndPr>
      <w:rPr>
        <w:noProof/>
      </w:rPr>
    </w:sdtEndPr>
    <w:sdtContent>
      <w:p w14:paraId="39B2E854" w14:textId="35FA3E3F" w:rsidR="008541F2" w:rsidRDefault="008541F2">
        <w:pPr>
          <w:pStyle w:val="Footer"/>
        </w:pPr>
        <w:r>
          <w:fldChar w:fldCharType="begin"/>
        </w:r>
        <w:r>
          <w:instrText xml:space="preserve"> PAGE   \* MERGEFORMAT </w:instrText>
        </w:r>
        <w:r>
          <w:fldChar w:fldCharType="separate"/>
        </w:r>
        <w:r>
          <w:rPr>
            <w:noProof/>
          </w:rPr>
          <w:t>2</w:t>
        </w:r>
        <w:r>
          <w:rPr>
            <w:noProof/>
          </w:rPr>
          <w:fldChar w:fldCharType="end"/>
        </w:r>
      </w:p>
    </w:sdtContent>
  </w:sdt>
  <w:p w14:paraId="76E3B557" w14:textId="77777777" w:rsidR="008541F2" w:rsidRDefault="00854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BDE9A" w14:textId="77777777" w:rsidR="00E93E1C" w:rsidRDefault="00E93E1C" w:rsidP="00E93E1C">
      <w:r>
        <w:separator/>
      </w:r>
    </w:p>
  </w:footnote>
  <w:footnote w:type="continuationSeparator" w:id="0">
    <w:p w14:paraId="5745A039" w14:textId="77777777" w:rsidR="00E93E1C" w:rsidRDefault="00E93E1C" w:rsidP="00E93E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6BD"/>
    <w:rsid w:val="00011823"/>
    <w:rsid w:val="00013160"/>
    <w:rsid w:val="000205CF"/>
    <w:rsid w:val="000657A5"/>
    <w:rsid w:val="000D610A"/>
    <w:rsid w:val="00112688"/>
    <w:rsid w:val="00113080"/>
    <w:rsid w:val="0020282D"/>
    <w:rsid w:val="00213A68"/>
    <w:rsid w:val="002C12CC"/>
    <w:rsid w:val="0032470A"/>
    <w:rsid w:val="003304E6"/>
    <w:rsid w:val="00352124"/>
    <w:rsid w:val="003B27C7"/>
    <w:rsid w:val="00421714"/>
    <w:rsid w:val="004366BD"/>
    <w:rsid w:val="0049077A"/>
    <w:rsid w:val="004B40AC"/>
    <w:rsid w:val="004D544D"/>
    <w:rsid w:val="004E4F5C"/>
    <w:rsid w:val="005309D9"/>
    <w:rsid w:val="00634C0B"/>
    <w:rsid w:val="006440EA"/>
    <w:rsid w:val="00683630"/>
    <w:rsid w:val="00700842"/>
    <w:rsid w:val="0071366E"/>
    <w:rsid w:val="00786DE1"/>
    <w:rsid w:val="007C3870"/>
    <w:rsid w:val="0082433A"/>
    <w:rsid w:val="008541F2"/>
    <w:rsid w:val="00855C71"/>
    <w:rsid w:val="008811ED"/>
    <w:rsid w:val="00980E37"/>
    <w:rsid w:val="00A12757"/>
    <w:rsid w:val="00A6190A"/>
    <w:rsid w:val="00A80690"/>
    <w:rsid w:val="00AB5488"/>
    <w:rsid w:val="00B44F53"/>
    <w:rsid w:val="00BC302B"/>
    <w:rsid w:val="00BD1B30"/>
    <w:rsid w:val="00C020EA"/>
    <w:rsid w:val="00CF2213"/>
    <w:rsid w:val="00E93E1C"/>
    <w:rsid w:val="00F84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7780B"/>
  <w15:chartTrackingRefBased/>
  <w15:docId w15:val="{4C66F478-9862-4287-A4D8-6F95261B1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E93E1C"/>
    <w:rPr>
      <w:sz w:val="20"/>
      <w:szCs w:val="20"/>
    </w:rPr>
  </w:style>
  <w:style w:type="character" w:customStyle="1" w:styleId="EndnoteTextChar">
    <w:name w:val="Endnote Text Char"/>
    <w:basedOn w:val="DefaultParagraphFont"/>
    <w:link w:val="EndnoteText"/>
    <w:uiPriority w:val="99"/>
    <w:semiHidden/>
    <w:rsid w:val="00E93E1C"/>
    <w:rPr>
      <w:sz w:val="20"/>
      <w:szCs w:val="20"/>
    </w:rPr>
  </w:style>
  <w:style w:type="character" w:styleId="EndnoteReference">
    <w:name w:val="endnote reference"/>
    <w:basedOn w:val="DefaultParagraphFont"/>
    <w:uiPriority w:val="99"/>
    <w:semiHidden/>
    <w:unhideWhenUsed/>
    <w:rsid w:val="00E93E1C"/>
    <w:rPr>
      <w:vertAlign w:val="superscript"/>
    </w:rPr>
  </w:style>
  <w:style w:type="paragraph" w:styleId="Header">
    <w:name w:val="header"/>
    <w:basedOn w:val="Normal"/>
    <w:link w:val="HeaderChar"/>
    <w:uiPriority w:val="99"/>
    <w:unhideWhenUsed/>
    <w:rsid w:val="008541F2"/>
    <w:pPr>
      <w:tabs>
        <w:tab w:val="center" w:pos="4680"/>
        <w:tab w:val="right" w:pos="9360"/>
      </w:tabs>
    </w:pPr>
  </w:style>
  <w:style w:type="character" w:customStyle="1" w:styleId="HeaderChar">
    <w:name w:val="Header Char"/>
    <w:basedOn w:val="DefaultParagraphFont"/>
    <w:link w:val="Header"/>
    <w:uiPriority w:val="99"/>
    <w:rsid w:val="008541F2"/>
  </w:style>
  <w:style w:type="paragraph" w:styleId="Footer">
    <w:name w:val="footer"/>
    <w:basedOn w:val="Normal"/>
    <w:link w:val="FooterChar"/>
    <w:uiPriority w:val="99"/>
    <w:unhideWhenUsed/>
    <w:rsid w:val="008541F2"/>
    <w:pPr>
      <w:tabs>
        <w:tab w:val="center" w:pos="4680"/>
        <w:tab w:val="right" w:pos="9360"/>
      </w:tabs>
    </w:pPr>
  </w:style>
  <w:style w:type="character" w:customStyle="1" w:styleId="FooterChar">
    <w:name w:val="Footer Char"/>
    <w:basedOn w:val="DefaultParagraphFont"/>
    <w:link w:val="Footer"/>
    <w:uiPriority w:val="99"/>
    <w:rsid w:val="00854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33C70582-BE5E-4349-A573-5C0498DB0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4</Pages>
  <Words>812</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18</cp:revision>
  <dcterms:created xsi:type="dcterms:W3CDTF">2018-11-03T22:31:00Z</dcterms:created>
  <dcterms:modified xsi:type="dcterms:W3CDTF">2018-11-12T23:46:00Z</dcterms:modified>
</cp:coreProperties>
</file>