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4E775A3" w:rsidR="00986B43" w:rsidRPr="00E75C03"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E75C03">
              <w:rPr>
                <w:rFonts w:ascii="Times New Roman" w:hAnsi="Times New Roman" w:cs="Times New Roman"/>
                <w:b/>
                <w:color w:val="auto"/>
                <w:sz w:val="44"/>
                <w:szCs w:val="18"/>
              </w:rPr>
              <w:t>Learner’s name:</w:t>
            </w:r>
            <w:r w:rsidR="00247265" w:rsidRPr="00E75C03">
              <w:rPr>
                <w:rFonts w:ascii="Times New Roman" w:hAnsi="Times New Roman" w:cs="Times New Roman"/>
                <w:b/>
                <w:color w:val="auto"/>
                <w:sz w:val="44"/>
                <w:szCs w:val="18"/>
              </w:rPr>
              <w:t xml:space="preserve"> </w:t>
            </w:r>
            <w:r w:rsidR="00E75C03" w:rsidRPr="00E75C03">
              <w:rPr>
                <w:rFonts w:ascii="Times New Roman" w:hAnsi="Times New Roman" w:cs="Times New Roman"/>
                <w:b/>
                <w:color w:val="auto"/>
                <w:sz w:val="44"/>
                <w:szCs w:val="18"/>
              </w:rPr>
              <w:t xml:space="preserve">Tom Butler </w:t>
            </w:r>
          </w:p>
          <w:p w14:paraId="0B6CD0DB" w14:textId="689515B5" w:rsidR="009C337F" w:rsidRPr="00E75C03"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5423AEEB" w:rsidR="009C337F" w:rsidRPr="00E75C03"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E75C03">
              <w:rPr>
                <w:rFonts w:ascii="Times New Roman" w:hAnsi="Times New Roman" w:cs="Times New Roman"/>
                <w:b/>
                <w:color w:val="auto"/>
                <w:sz w:val="44"/>
                <w:szCs w:val="18"/>
              </w:rPr>
              <w:t>Email address:</w:t>
            </w:r>
            <w:r w:rsidR="00E75C03" w:rsidRPr="00E75C03">
              <w:rPr>
                <w:rFonts w:ascii="Times New Roman" w:hAnsi="Times New Roman" w:cs="Times New Roman"/>
                <w:b/>
                <w:color w:val="auto"/>
                <w:sz w:val="44"/>
                <w:szCs w:val="18"/>
              </w:rPr>
              <w:t xml:space="preserve"> Tom.Butler@ceredigion.gov.uk</w:t>
            </w:r>
          </w:p>
          <w:p w14:paraId="22E38809" w14:textId="77777777" w:rsidR="00986B43" w:rsidRPr="00E75C03"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579C8121" w:rsidR="00F927A1" w:rsidRPr="00E75C03"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E75C03">
              <w:rPr>
                <w:rFonts w:ascii="Times New Roman" w:hAnsi="Times New Roman" w:cs="Times New Roman"/>
                <w:b/>
                <w:color w:val="auto"/>
                <w:sz w:val="44"/>
                <w:szCs w:val="18"/>
              </w:rPr>
              <w:t>Learner’s University Registration</w:t>
            </w:r>
            <w:r w:rsidR="00F927A1" w:rsidRPr="00E75C03">
              <w:rPr>
                <w:rFonts w:ascii="Times New Roman" w:hAnsi="Times New Roman" w:cs="Times New Roman"/>
                <w:b/>
                <w:color w:val="auto"/>
                <w:sz w:val="44"/>
                <w:szCs w:val="18"/>
              </w:rPr>
              <w:t xml:space="preserve"> Number:</w:t>
            </w:r>
            <w:r w:rsidR="00E75C03" w:rsidRPr="00E75C03">
              <w:rPr>
                <w:rFonts w:ascii="Times New Roman" w:hAnsi="Times New Roman" w:cs="Times New Roman"/>
                <w:b/>
                <w:color w:val="auto"/>
                <w:sz w:val="44"/>
                <w:szCs w:val="18"/>
              </w:rPr>
              <w:t xml:space="preserve"> 2219194</w:t>
            </w:r>
          </w:p>
          <w:p w14:paraId="622FD17A" w14:textId="77777777" w:rsidR="0085230E" w:rsidRPr="00E75C03"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E75C03">
              <w:rPr>
                <w:rFonts w:ascii="Times New Roman" w:hAnsi="Times New Roman" w:cs="Times New Roman"/>
                <w:b/>
                <w:color w:val="auto"/>
                <w:sz w:val="44"/>
                <w:szCs w:val="18"/>
              </w:rPr>
              <w:t xml:space="preserve">Cohort: </w:t>
            </w:r>
            <w:r w:rsidR="0049374F" w:rsidRPr="00E75C03">
              <w:rPr>
                <w:rFonts w:ascii="Times New Roman" w:hAnsi="Times New Roman" w:cs="Times New Roman"/>
                <w:b/>
                <w:color w:val="auto"/>
                <w:sz w:val="44"/>
                <w:szCs w:val="18"/>
              </w:rPr>
              <w:t>21</w:t>
            </w:r>
            <w:r w:rsidR="00AE6231" w:rsidRPr="00E75C03">
              <w:rPr>
                <w:rFonts w:ascii="Times New Roman" w:hAnsi="Times New Roman" w:cs="Times New Roman"/>
                <w:b/>
                <w:color w:val="auto"/>
                <w:sz w:val="44"/>
                <w:szCs w:val="1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DF77D76" w:rsidR="00FC0334" w:rsidRDefault="00E75C03" w:rsidP="00FF7EBB">
            <w:pPr>
              <w:jc w:val="both"/>
              <w:rPr>
                <w:sz w:val="24"/>
                <w:szCs w:val="24"/>
              </w:rPr>
            </w:pPr>
            <w:r>
              <w:rPr>
                <w:sz w:val="24"/>
                <w:szCs w:val="24"/>
              </w:rPr>
              <w:t>In this task I will discuss adult safeguarding</w:t>
            </w:r>
            <w:r w:rsidR="00E636C1">
              <w:rPr>
                <w:sz w:val="24"/>
                <w:szCs w:val="24"/>
              </w:rPr>
              <w:t xml:space="preserve">. </w:t>
            </w:r>
            <w:r w:rsidR="004176AA">
              <w:rPr>
                <w:sz w:val="24"/>
                <w:szCs w:val="24"/>
              </w:rPr>
              <w:t>In Wales, the Social Services and Wellbeing (Wales) Act 2014</w:t>
            </w:r>
            <w:r w:rsidR="007E52C2">
              <w:rPr>
                <w:sz w:val="24"/>
                <w:szCs w:val="24"/>
              </w:rPr>
              <w:t xml:space="preserve"> (SSWWA)</w:t>
            </w:r>
            <w:r w:rsidR="004176AA">
              <w:rPr>
                <w:sz w:val="24"/>
                <w:szCs w:val="24"/>
              </w:rPr>
              <w:t xml:space="preserve"> outlines the responsibilities of local authorities and relevant partners to protect adults from harm and abuse.</w:t>
            </w:r>
            <w:r w:rsidR="007E52C2">
              <w:rPr>
                <w:sz w:val="24"/>
                <w:szCs w:val="24"/>
              </w:rPr>
              <w:t xml:space="preserve"> Particularly part 7, section 126, of SSWWA 2014 outlines the necessity for a local authority to make “</w:t>
            </w:r>
            <w:r w:rsidR="007E52C2" w:rsidRPr="007E52C2">
              <w:rPr>
                <w:sz w:val="24"/>
                <w:szCs w:val="24"/>
              </w:rPr>
              <w:t>whatever enquiries it thinks necessary</w:t>
            </w:r>
            <w:r w:rsidR="007E52C2">
              <w:rPr>
                <w:sz w:val="24"/>
                <w:szCs w:val="24"/>
              </w:rPr>
              <w:t>”</w:t>
            </w:r>
            <w:r w:rsidR="007E52C2" w:rsidRPr="007E52C2">
              <w:rPr>
                <w:sz w:val="24"/>
                <w:szCs w:val="24"/>
              </w:rPr>
              <w:t xml:space="preserve"> to decide whether </w:t>
            </w:r>
            <w:r w:rsidR="007E52C2">
              <w:rPr>
                <w:sz w:val="24"/>
                <w:szCs w:val="24"/>
              </w:rPr>
              <w:t xml:space="preserve">action should be taken to safeguard an adult at risk. </w:t>
            </w:r>
          </w:p>
          <w:p w14:paraId="69E55319" w14:textId="77777777" w:rsidR="00C75BA0" w:rsidRDefault="00C75BA0" w:rsidP="00FF7EBB">
            <w:pPr>
              <w:jc w:val="both"/>
              <w:rPr>
                <w:sz w:val="24"/>
                <w:szCs w:val="24"/>
              </w:rPr>
            </w:pPr>
          </w:p>
          <w:p w14:paraId="2CC61F9B" w14:textId="40A15F94" w:rsidR="00B22129" w:rsidRDefault="00C75BA0" w:rsidP="00FF7EBB">
            <w:pPr>
              <w:jc w:val="both"/>
              <w:rPr>
                <w:sz w:val="24"/>
                <w:szCs w:val="24"/>
              </w:rPr>
            </w:pPr>
            <w:r>
              <w:rPr>
                <w:sz w:val="24"/>
                <w:szCs w:val="24"/>
              </w:rPr>
              <w:t>It is the duty of public services and ‘relevant partners’ to report safeguarding concerns to the local authority, in line with section 128 of SSWWA.</w:t>
            </w:r>
            <w:r w:rsidR="00B22129">
              <w:rPr>
                <w:sz w:val="24"/>
                <w:szCs w:val="24"/>
              </w:rPr>
              <w:t xml:space="preserve"> Professionals working with vulnerable adults across all sectors should therefore be aware of indicators of abuse, such as individuals not having an explanation for an injury, having low self-esteem,</w:t>
            </w:r>
            <w:r w:rsidR="00FB4FF0">
              <w:rPr>
                <w:sz w:val="24"/>
                <w:szCs w:val="24"/>
              </w:rPr>
              <w:t xml:space="preserve"> </w:t>
            </w:r>
            <w:r w:rsidR="00B22129">
              <w:rPr>
                <w:sz w:val="24"/>
                <w:szCs w:val="24"/>
              </w:rPr>
              <w:t xml:space="preserve">being withdrawn, uncharacteristic sexual behaviours and signs of malnutrition or limited access to their own money (SCIE, 2020). </w:t>
            </w:r>
            <w:r>
              <w:rPr>
                <w:sz w:val="24"/>
                <w:szCs w:val="24"/>
              </w:rPr>
              <w:t>Once these concerns have been highlighted to the local authority,</w:t>
            </w:r>
            <w:r w:rsidR="002D520B">
              <w:rPr>
                <w:sz w:val="24"/>
                <w:szCs w:val="24"/>
              </w:rPr>
              <w:t xml:space="preserve"> it will follow the Wales Safeguarding procedures</w:t>
            </w:r>
            <w:r w:rsidR="00FB4FF0">
              <w:rPr>
                <w:sz w:val="24"/>
                <w:szCs w:val="24"/>
              </w:rPr>
              <w:t xml:space="preserve"> (2024)</w:t>
            </w:r>
            <w:r w:rsidR="002D520B">
              <w:rPr>
                <w:sz w:val="24"/>
                <w:szCs w:val="24"/>
              </w:rPr>
              <w:t xml:space="preserve"> and</w:t>
            </w:r>
            <w:r>
              <w:rPr>
                <w:sz w:val="24"/>
                <w:szCs w:val="24"/>
              </w:rPr>
              <w:t xml:space="preserve"> must determine whether there is ‘reasonable cause’ to suspect the individual is experiencing abuse or neglect and has care and support needs that mean they cannot protect themselves against this abuse (section 126(1) SSWWA).</w:t>
            </w:r>
            <w:r w:rsidR="004075A7">
              <w:rPr>
                <w:sz w:val="24"/>
                <w:szCs w:val="24"/>
              </w:rPr>
              <w:t xml:space="preserve"> This will result in a strategy meeting to determine the action taken and usually an assessment of the risks presented. I</w:t>
            </w:r>
            <w:r w:rsidR="002D520B">
              <w:rPr>
                <w:sz w:val="24"/>
                <w:szCs w:val="24"/>
              </w:rPr>
              <w:t xml:space="preserve">t is then the duty of the report-taker to compile evidence to </w:t>
            </w:r>
            <w:r w:rsidR="004075A7">
              <w:rPr>
                <w:sz w:val="24"/>
                <w:szCs w:val="24"/>
              </w:rPr>
              <w:t>analyse the risk and further actions or outcomes required</w:t>
            </w:r>
            <w:r w:rsidR="002D520B">
              <w:rPr>
                <w:sz w:val="24"/>
                <w:szCs w:val="24"/>
              </w:rPr>
              <w:t xml:space="preserve"> (Wales Safeguarding Procedure</w:t>
            </w:r>
            <w:r w:rsidR="006D25FA">
              <w:rPr>
                <w:sz w:val="24"/>
                <w:szCs w:val="24"/>
              </w:rPr>
              <w:t>s,</w:t>
            </w:r>
            <w:r w:rsidR="00D1402B">
              <w:rPr>
                <w:sz w:val="24"/>
                <w:szCs w:val="24"/>
              </w:rPr>
              <w:t xml:space="preserve"> </w:t>
            </w:r>
            <w:r w:rsidR="007C5148">
              <w:rPr>
                <w:sz w:val="24"/>
                <w:szCs w:val="24"/>
              </w:rPr>
              <w:t>2024</w:t>
            </w:r>
            <w:r w:rsidR="008E45D5">
              <w:rPr>
                <w:sz w:val="24"/>
                <w:szCs w:val="24"/>
              </w:rPr>
              <w:t>).</w:t>
            </w:r>
          </w:p>
          <w:p w14:paraId="5C8381E9" w14:textId="77777777" w:rsidR="00B22129" w:rsidRDefault="00B22129" w:rsidP="00FF7EBB">
            <w:pPr>
              <w:jc w:val="both"/>
              <w:rPr>
                <w:sz w:val="24"/>
                <w:szCs w:val="24"/>
              </w:rPr>
            </w:pPr>
          </w:p>
          <w:p w14:paraId="4AA88D87" w14:textId="25A882BD" w:rsidR="00C75BA0" w:rsidRDefault="002D520B" w:rsidP="00FF7EBB">
            <w:pPr>
              <w:jc w:val="both"/>
              <w:rPr>
                <w:sz w:val="24"/>
                <w:szCs w:val="24"/>
              </w:rPr>
            </w:pPr>
            <w:r>
              <w:rPr>
                <w:sz w:val="24"/>
                <w:szCs w:val="24"/>
              </w:rPr>
              <w:t>Practitioners should be aware of the legal duty to consider an individual’s need for advocacy and enable them to participate, which is outlined in the Advocacy Code of Practice in part 10 of SSWWA</w:t>
            </w:r>
            <w:r w:rsidR="00D1402B">
              <w:rPr>
                <w:sz w:val="24"/>
                <w:szCs w:val="24"/>
              </w:rPr>
              <w:t xml:space="preserve"> </w:t>
            </w:r>
            <w:r w:rsidR="00760388">
              <w:rPr>
                <w:sz w:val="24"/>
                <w:szCs w:val="24"/>
              </w:rPr>
              <w:t>2014</w:t>
            </w:r>
            <w:r>
              <w:rPr>
                <w:sz w:val="24"/>
                <w:szCs w:val="24"/>
              </w:rPr>
              <w:t xml:space="preserve">. </w:t>
            </w:r>
            <w:r w:rsidR="004075A7">
              <w:rPr>
                <w:sz w:val="24"/>
                <w:szCs w:val="24"/>
              </w:rPr>
              <w:t>This is particularly important if there are concerns around somebody’s mental capacity.</w:t>
            </w:r>
            <w:r w:rsidR="00161C9A">
              <w:rPr>
                <w:sz w:val="24"/>
                <w:szCs w:val="24"/>
              </w:rPr>
              <w:t xml:space="preserve"> According to section 1(2) of the Mental Capacity Act 2005, a</w:t>
            </w:r>
            <w:r w:rsidR="00161C9A" w:rsidRPr="00161C9A">
              <w:rPr>
                <w:sz w:val="24"/>
                <w:szCs w:val="24"/>
              </w:rPr>
              <w:t xml:space="preserve"> person must be assumed to have capacity unless it is established that</w:t>
            </w:r>
            <w:r w:rsidR="00161C9A">
              <w:rPr>
                <w:sz w:val="24"/>
                <w:szCs w:val="24"/>
              </w:rPr>
              <w:t xml:space="preserve"> they</w:t>
            </w:r>
            <w:r w:rsidR="00161C9A" w:rsidRPr="00161C9A">
              <w:rPr>
                <w:sz w:val="24"/>
                <w:szCs w:val="24"/>
              </w:rPr>
              <w:t xml:space="preserve"> lack capacity</w:t>
            </w:r>
            <w:r w:rsidR="00161C9A">
              <w:rPr>
                <w:sz w:val="24"/>
                <w:szCs w:val="24"/>
              </w:rPr>
              <w:t>. Section 4(4) of the Mental Capacity Act</w:t>
            </w:r>
            <w:r w:rsidR="00D1402B">
              <w:rPr>
                <w:sz w:val="24"/>
                <w:szCs w:val="24"/>
              </w:rPr>
              <w:t xml:space="preserve"> </w:t>
            </w:r>
            <w:r w:rsidR="00760388">
              <w:rPr>
                <w:sz w:val="24"/>
                <w:szCs w:val="24"/>
              </w:rPr>
              <w:t>2005</w:t>
            </w:r>
            <w:r w:rsidR="00161C9A">
              <w:rPr>
                <w:sz w:val="24"/>
                <w:szCs w:val="24"/>
              </w:rPr>
              <w:t xml:space="preserve"> tells us that when determining this the assessor must, </w:t>
            </w:r>
            <w:r w:rsidR="00161C9A" w:rsidRPr="00161C9A">
              <w:rPr>
                <w:sz w:val="24"/>
                <w:szCs w:val="24"/>
              </w:rPr>
              <w:t>so far as reasonably practicable, permit and encourage the person to participate, o</w:t>
            </w:r>
            <w:r w:rsidR="00161C9A">
              <w:rPr>
                <w:sz w:val="24"/>
                <w:szCs w:val="24"/>
              </w:rPr>
              <w:t>r</w:t>
            </w:r>
            <w:r w:rsidR="00161C9A" w:rsidRPr="00161C9A">
              <w:rPr>
                <w:sz w:val="24"/>
                <w:szCs w:val="24"/>
              </w:rPr>
              <w:t xml:space="preserve"> improve</w:t>
            </w:r>
            <w:r w:rsidR="00161C9A">
              <w:rPr>
                <w:sz w:val="24"/>
                <w:szCs w:val="24"/>
              </w:rPr>
              <w:t xml:space="preserve"> their</w:t>
            </w:r>
            <w:r w:rsidR="00161C9A" w:rsidRPr="00161C9A">
              <w:rPr>
                <w:sz w:val="24"/>
                <w:szCs w:val="24"/>
              </w:rPr>
              <w:t xml:space="preserve"> ability to participate, as fully as</w:t>
            </w:r>
            <w:r w:rsidR="00161C9A">
              <w:rPr>
                <w:sz w:val="24"/>
                <w:szCs w:val="24"/>
              </w:rPr>
              <w:t xml:space="preserve"> possible. </w:t>
            </w:r>
            <w:r w:rsidR="004075A7">
              <w:rPr>
                <w:sz w:val="24"/>
                <w:szCs w:val="24"/>
              </w:rPr>
              <w:t xml:space="preserve">If the individual has an appointed deputy and the safeguarding concerns are a result of the deputy, the office of the Public Guardian may </w:t>
            </w:r>
            <w:r w:rsidR="004C6819" w:rsidRPr="004C6819">
              <w:rPr>
                <w:sz w:val="24"/>
                <w:szCs w:val="24"/>
              </w:rPr>
              <w:t xml:space="preserve">apply </w:t>
            </w:r>
            <w:r w:rsidR="004C6819" w:rsidRPr="004C6819">
              <w:rPr>
                <w:sz w:val="24"/>
                <w:szCs w:val="24"/>
              </w:rPr>
              <w:lastRenderedPageBreak/>
              <w:t>to the court for a deputy to be suspended, discharged, or replaced</w:t>
            </w:r>
            <w:r w:rsidR="004C6819">
              <w:rPr>
                <w:sz w:val="24"/>
                <w:szCs w:val="24"/>
              </w:rPr>
              <w:t xml:space="preserve"> (Office of the Public Guardian, 2023). </w:t>
            </w:r>
            <w:r w:rsidR="00161C9A">
              <w:rPr>
                <w:sz w:val="24"/>
                <w:szCs w:val="24"/>
              </w:rPr>
              <w:t xml:space="preserve">Importantly, the Mental Capacity Act also tells us that individuals should </w:t>
            </w:r>
            <w:r w:rsidR="00405212">
              <w:rPr>
                <w:sz w:val="24"/>
                <w:szCs w:val="24"/>
              </w:rPr>
              <w:t>not be deemed to lack capacity merely because they</w:t>
            </w:r>
            <w:r w:rsidR="00161C9A">
              <w:rPr>
                <w:sz w:val="24"/>
                <w:szCs w:val="24"/>
              </w:rPr>
              <w:t xml:space="preserve"> make</w:t>
            </w:r>
            <w:r w:rsidR="00405212">
              <w:rPr>
                <w:sz w:val="24"/>
                <w:szCs w:val="24"/>
              </w:rPr>
              <w:t xml:space="preserve"> an</w:t>
            </w:r>
            <w:r w:rsidR="00161C9A">
              <w:rPr>
                <w:sz w:val="24"/>
                <w:szCs w:val="24"/>
              </w:rPr>
              <w:t xml:space="preserve"> unwise decision</w:t>
            </w:r>
            <w:r w:rsidR="00405212">
              <w:rPr>
                <w:sz w:val="24"/>
                <w:szCs w:val="24"/>
              </w:rPr>
              <w:t xml:space="preserve"> (Section 1(4)). However,</w:t>
            </w:r>
            <w:r w:rsidR="00161C9A">
              <w:rPr>
                <w:sz w:val="24"/>
                <w:szCs w:val="24"/>
              </w:rPr>
              <w:t xml:space="preserve"> if they are assessed as not having capacity for that decision, </w:t>
            </w:r>
            <w:r w:rsidR="00FB4FF0">
              <w:rPr>
                <w:sz w:val="24"/>
                <w:szCs w:val="24"/>
              </w:rPr>
              <w:t>it</w:t>
            </w:r>
            <w:r w:rsidR="00405212">
              <w:rPr>
                <w:sz w:val="24"/>
                <w:szCs w:val="24"/>
              </w:rPr>
              <w:t xml:space="preserve"> </w:t>
            </w:r>
            <w:r w:rsidR="00161C9A">
              <w:rPr>
                <w:sz w:val="24"/>
                <w:szCs w:val="24"/>
              </w:rPr>
              <w:t xml:space="preserve">may be there is a safeguarding risk. </w:t>
            </w:r>
          </w:p>
          <w:p w14:paraId="0B957F5E" w14:textId="77777777" w:rsidR="002D520B" w:rsidRDefault="002D520B" w:rsidP="00FF7EBB">
            <w:pPr>
              <w:jc w:val="both"/>
              <w:rPr>
                <w:sz w:val="24"/>
                <w:szCs w:val="24"/>
              </w:rPr>
            </w:pPr>
          </w:p>
          <w:p w14:paraId="520419B6" w14:textId="4FFE74CB" w:rsidR="00405212" w:rsidRDefault="006A4A1B" w:rsidP="00FF7EBB">
            <w:pPr>
              <w:jc w:val="both"/>
              <w:rPr>
                <w:sz w:val="24"/>
                <w:szCs w:val="24"/>
              </w:rPr>
            </w:pPr>
            <w:r>
              <w:rPr>
                <w:sz w:val="24"/>
                <w:szCs w:val="24"/>
              </w:rPr>
              <w:t xml:space="preserve">Within </w:t>
            </w:r>
            <w:r w:rsidR="004075A7">
              <w:rPr>
                <w:sz w:val="24"/>
                <w:szCs w:val="24"/>
              </w:rPr>
              <w:t>my</w:t>
            </w:r>
            <w:r>
              <w:rPr>
                <w:sz w:val="24"/>
                <w:szCs w:val="24"/>
              </w:rPr>
              <w:t xml:space="preserve"> local authority, if there are safeguarding concerns for an individual, we are required to submit a ‘</w:t>
            </w:r>
            <w:r w:rsidR="004075A7">
              <w:rPr>
                <w:sz w:val="24"/>
                <w:szCs w:val="24"/>
              </w:rPr>
              <w:t>multi-agency</w:t>
            </w:r>
            <w:r>
              <w:rPr>
                <w:sz w:val="24"/>
                <w:szCs w:val="24"/>
              </w:rPr>
              <w:t xml:space="preserve"> referral form’ (MARF) that is sent to the relevant team to determine if further action is required by case </w:t>
            </w:r>
            <w:r w:rsidR="004006D4">
              <w:rPr>
                <w:sz w:val="24"/>
                <w:szCs w:val="24"/>
              </w:rPr>
              <w:t>managers,</w:t>
            </w:r>
            <w:r>
              <w:rPr>
                <w:sz w:val="24"/>
                <w:szCs w:val="24"/>
              </w:rPr>
              <w:t xml:space="preserve"> or </w:t>
            </w:r>
            <w:r w:rsidR="004006D4">
              <w:rPr>
                <w:sz w:val="24"/>
                <w:szCs w:val="24"/>
              </w:rPr>
              <w:t xml:space="preserve">a strategy meeting is needed. </w:t>
            </w:r>
            <w:r w:rsidR="004C6819">
              <w:rPr>
                <w:sz w:val="24"/>
                <w:szCs w:val="24"/>
              </w:rPr>
              <w:t xml:space="preserve">All safeguarding policies are available through our intranet system </w:t>
            </w:r>
            <w:r w:rsidR="004006D4">
              <w:rPr>
                <w:sz w:val="24"/>
                <w:szCs w:val="24"/>
              </w:rPr>
              <w:t>and ‘designated safeguarding officers’ (a role introduced in the Children Act 2004) can be contacted for further enquiries.</w:t>
            </w:r>
            <w:r w:rsidR="008E45D5">
              <w:rPr>
                <w:sz w:val="24"/>
                <w:szCs w:val="24"/>
              </w:rPr>
              <w:t xml:space="preserve"> It is the responsibility of the local safeguarding board to ensure effective safeguarding practice in its area to improve the quality of life and safety of individuals, overseeing the local processes and commissioning safeguarding reviews</w:t>
            </w:r>
            <w:r w:rsidR="009D562B">
              <w:rPr>
                <w:sz w:val="24"/>
                <w:szCs w:val="24"/>
              </w:rPr>
              <w:t xml:space="preserve"> (SCIE, 2024)</w:t>
            </w:r>
            <w:r w:rsidR="008E45D5">
              <w:rPr>
                <w:sz w:val="24"/>
                <w:szCs w:val="24"/>
              </w:rPr>
              <w:t xml:space="preserve">. </w:t>
            </w:r>
            <w:r w:rsidR="006D25FA">
              <w:rPr>
                <w:sz w:val="24"/>
                <w:szCs w:val="24"/>
              </w:rPr>
              <w:t xml:space="preserve"> </w:t>
            </w:r>
            <w:r w:rsidR="004006D4">
              <w:rPr>
                <w:sz w:val="24"/>
                <w:szCs w:val="24"/>
              </w:rPr>
              <w:t xml:space="preserve"> </w:t>
            </w:r>
          </w:p>
          <w:p w14:paraId="581E76E1" w14:textId="77777777" w:rsidR="008E45D5" w:rsidRDefault="008E45D5" w:rsidP="00FF7EBB">
            <w:pPr>
              <w:jc w:val="both"/>
              <w:rPr>
                <w:i/>
                <w:iCs/>
                <w:sz w:val="24"/>
                <w:szCs w:val="24"/>
              </w:rPr>
            </w:pPr>
          </w:p>
          <w:p w14:paraId="636F5DDB" w14:textId="3964DD20" w:rsidR="004006D4" w:rsidRDefault="00405212" w:rsidP="00FF7EBB">
            <w:pPr>
              <w:jc w:val="both"/>
              <w:rPr>
                <w:i/>
                <w:iCs/>
                <w:sz w:val="24"/>
                <w:szCs w:val="24"/>
              </w:rPr>
            </w:pPr>
            <w:r>
              <w:rPr>
                <w:i/>
                <w:iCs/>
                <w:sz w:val="24"/>
                <w:szCs w:val="24"/>
              </w:rPr>
              <w:t xml:space="preserve">Word count: </w:t>
            </w:r>
            <w:r w:rsidR="002345EF">
              <w:rPr>
                <w:i/>
                <w:iCs/>
                <w:sz w:val="24"/>
                <w:szCs w:val="24"/>
              </w:rPr>
              <w:t>5</w:t>
            </w:r>
            <w:r w:rsidR="00CC6736">
              <w:rPr>
                <w:i/>
                <w:iCs/>
                <w:sz w:val="24"/>
                <w:szCs w:val="24"/>
              </w:rPr>
              <w:t>50</w:t>
            </w:r>
            <w:r>
              <w:rPr>
                <w:i/>
                <w:iCs/>
                <w:sz w:val="24"/>
                <w:szCs w:val="24"/>
              </w:rPr>
              <w:t xml:space="preserve"> </w:t>
            </w:r>
          </w:p>
          <w:p w14:paraId="49641ACD" w14:textId="77777777" w:rsidR="00FC0334" w:rsidRDefault="00FC0334" w:rsidP="00FF7EBB">
            <w:pPr>
              <w:jc w:val="both"/>
              <w:rPr>
                <w:sz w:val="24"/>
                <w:szCs w:val="24"/>
              </w:rPr>
            </w:pPr>
          </w:p>
          <w:p w14:paraId="03BD6D93" w14:textId="3245196C" w:rsidR="007A628F" w:rsidRPr="008B28E7" w:rsidRDefault="007A628F" w:rsidP="00405212">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65807A78" w:rsidR="00FC0334" w:rsidRDefault="002345EF" w:rsidP="00FC0334">
            <w:pPr>
              <w:jc w:val="both"/>
              <w:rPr>
                <w:sz w:val="24"/>
                <w:szCs w:val="24"/>
              </w:rPr>
            </w:pPr>
            <w:r>
              <w:rPr>
                <w:sz w:val="24"/>
                <w:szCs w:val="24"/>
              </w:rPr>
              <w:t>Safeguarding in both adults and children’s work is dictated by the Wales Safeguarding Procedures</w:t>
            </w:r>
            <w:r w:rsidR="006D25FA">
              <w:rPr>
                <w:sz w:val="24"/>
                <w:szCs w:val="24"/>
              </w:rPr>
              <w:t xml:space="preserve"> (2024)</w:t>
            </w:r>
            <w:r>
              <w:rPr>
                <w:sz w:val="24"/>
                <w:szCs w:val="24"/>
              </w:rPr>
              <w:t xml:space="preserve">, which sets out the </w:t>
            </w:r>
            <w:r w:rsidR="00566AEA">
              <w:rPr>
                <w:sz w:val="24"/>
                <w:szCs w:val="24"/>
              </w:rPr>
              <w:t xml:space="preserve">statutory </w:t>
            </w:r>
            <w:r>
              <w:rPr>
                <w:sz w:val="24"/>
                <w:szCs w:val="24"/>
              </w:rPr>
              <w:t>processes for safeguarding action. Whilst many of the</w:t>
            </w:r>
            <w:r w:rsidR="00566AEA">
              <w:rPr>
                <w:sz w:val="24"/>
                <w:szCs w:val="24"/>
              </w:rPr>
              <w:t>se actions</w:t>
            </w:r>
            <w:r>
              <w:rPr>
                <w:sz w:val="24"/>
                <w:szCs w:val="24"/>
              </w:rPr>
              <w:t xml:space="preserve">, such as the duties of local authorities to investigate reports of harm or abuse, strategy discussions/meetings and the duty of other agencies to co-operate and provide information to investigations, remain the same, there are some key differences between children’s and adults’ practice. </w:t>
            </w:r>
          </w:p>
          <w:p w14:paraId="63B846D7" w14:textId="77777777" w:rsidR="002345EF" w:rsidRDefault="002345EF" w:rsidP="00FC0334">
            <w:pPr>
              <w:jc w:val="both"/>
              <w:rPr>
                <w:sz w:val="24"/>
                <w:szCs w:val="24"/>
              </w:rPr>
            </w:pPr>
          </w:p>
          <w:p w14:paraId="67E7ED72" w14:textId="1C6D4D27" w:rsidR="00FC0334" w:rsidRDefault="000957CA" w:rsidP="00FC0334">
            <w:pPr>
              <w:jc w:val="both"/>
              <w:rPr>
                <w:sz w:val="24"/>
                <w:szCs w:val="24"/>
              </w:rPr>
            </w:pPr>
            <w:r w:rsidRPr="000957CA">
              <w:rPr>
                <w:sz w:val="24"/>
                <w:szCs w:val="24"/>
              </w:rPr>
              <w:t>Unless a child</w:t>
            </w:r>
            <w:r>
              <w:rPr>
                <w:sz w:val="24"/>
                <w:szCs w:val="24"/>
              </w:rPr>
              <w:t xml:space="preserve"> </w:t>
            </w:r>
            <w:r w:rsidRPr="000957CA">
              <w:rPr>
                <w:sz w:val="24"/>
                <w:szCs w:val="24"/>
              </w:rPr>
              <w:t>require</w:t>
            </w:r>
            <w:r>
              <w:rPr>
                <w:sz w:val="24"/>
                <w:szCs w:val="24"/>
              </w:rPr>
              <w:t>s</w:t>
            </w:r>
            <w:r w:rsidRPr="000957CA">
              <w:rPr>
                <w:sz w:val="24"/>
                <w:szCs w:val="24"/>
              </w:rPr>
              <w:t xml:space="preserve"> immediate protection, </w:t>
            </w:r>
            <w:r>
              <w:rPr>
                <w:sz w:val="24"/>
                <w:szCs w:val="24"/>
              </w:rPr>
              <w:t>social work assessments under</w:t>
            </w:r>
            <w:r w:rsidRPr="000957CA">
              <w:rPr>
                <w:sz w:val="24"/>
                <w:szCs w:val="24"/>
              </w:rPr>
              <w:t xml:space="preserve"> Section 17 Children Act 1989 must be completed within 45 days of the referral date</w:t>
            </w:r>
            <w:r w:rsidR="00566AEA">
              <w:rPr>
                <w:sz w:val="24"/>
                <w:szCs w:val="24"/>
              </w:rPr>
              <w:t>. However, adult safeguarding investigations and assessments have no definitive timescales, with the Wales Safeguarding Procedures</w:t>
            </w:r>
            <w:r w:rsidR="006D25FA">
              <w:rPr>
                <w:sz w:val="24"/>
                <w:szCs w:val="24"/>
              </w:rPr>
              <w:t xml:space="preserve"> </w:t>
            </w:r>
            <w:r w:rsidR="007C5148">
              <w:rPr>
                <w:sz w:val="24"/>
                <w:szCs w:val="24"/>
              </w:rPr>
              <w:t>(2024)</w:t>
            </w:r>
            <w:r w:rsidR="00566AEA">
              <w:rPr>
                <w:sz w:val="24"/>
                <w:szCs w:val="24"/>
              </w:rPr>
              <w:t xml:space="preserve"> using language like “should” rather than “must” when referring to children’s timescales. </w:t>
            </w:r>
          </w:p>
          <w:p w14:paraId="2AB4802C" w14:textId="77777777" w:rsidR="00566AEA" w:rsidRDefault="00566AEA" w:rsidP="00FC0334">
            <w:pPr>
              <w:jc w:val="both"/>
              <w:rPr>
                <w:sz w:val="24"/>
                <w:szCs w:val="24"/>
              </w:rPr>
            </w:pPr>
          </w:p>
          <w:p w14:paraId="1A0DAD70" w14:textId="28358AF1" w:rsidR="00566AEA" w:rsidRDefault="00566AEA" w:rsidP="00FC0334">
            <w:pPr>
              <w:jc w:val="both"/>
              <w:rPr>
                <w:sz w:val="24"/>
                <w:szCs w:val="24"/>
              </w:rPr>
            </w:pPr>
            <w:r>
              <w:rPr>
                <w:sz w:val="24"/>
                <w:szCs w:val="24"/>
              </w:rPr>
              <w:t>One of the main differences between children’s and adults</w:t>
            </w:r>
            <w:r w:rsidR="00BD6E32">
              <w:rPr>
                <w:sz w:val="24"/>
                <w:szCs w:val="24"/>
              </w:rPr>
              <w:t xml:space="preserve">’ safeguarding is </w:t>
            </w:r>
            <w:r w:rsidR="005D15B6">
              <w:rPr>
                <w:sz w:val="24"/>
                <w:szCs w:val="24"/>
              </w:rPr>
              <w:t>an adult’s right to self-determination</w:t>
            </w:r>
            <w:r w:rsidR="00292790">
              <w:rPr>
                <w:sz w:val="24"/>
                <w:szCs w:val="24"/>
              </w:rPr>
              <w:t xml:space="preserve"> (SCIE, 2019). Fundamental to determining if an adult is at risk of harm and not able to make their own decisions is</w:t>
            </w:r>
            <w:r w:rsidR="00BD6E32">
              <w:rPr>
                <w:sz w:val="24"/>
                <w:szCs w:val="24"/>
              </w:rPr>
              <w:t xml:space="preserve"> the Mental Capacity Act 200</w:t>
            </w:r>
            <w:r w:rsidR="00F9178C">
              <w:rPr>
                <w:sz w:val="24"/>
                <w:szCs w:val="24"/>
              </w:rPr>
              <w:t xml:space="preserve">5. This act, and its implications, only apply to individuals that are sixteen years old and above. According to the Mental Capacity Act 2005 Section 1, individuals must be assumed to have capacity unless it has been established that they lack capacity. This can mean that individuals have the capacity to make ‘unwise decisions’ (section 1(4)) and whilst this behaviour may be risky it would not necessarily constitute safeguarding intervention. </w:t>
            </w:r>
            <w:r w:rsidR="007C5148">
              <w:rPr>
                <w:sz w:val="24"/>
                <w:szCs w:val="24"/>
              </w:rPr>
              <w:t xml:space="preserve">However, the SSWWA 2014 identifies that sixteen- and seventeen-year-olds are still considered children and should be protected with </w:t>
            </w:r>
            <w:r w:rsidR="007C5148">
              <w:rPr>
                <w:sz w:val="24"/>
                <w:szCs w:val="24"/>
              </w:rPr>
              <w:lastRenderedPageBreak/>
              <w:t xml:space="preserve">the necessary safeguarding procedures if at risk of harm, </w:t>
            </w:r>
            <w:proofErr w:type="gramStart"/>
            <w:r w:rsidR="007C5148">
              <w:rPr>
                <w:sz w:val="24"/>
                <w:szCs w:val="24"/>
              </w:rPr>
              <w:t>whether or not</w:t>
            </w:r>
            <w:proofErr w:type="gramEnd"/>
            <w:r w:rsidR="007C5148">
              <w:rPr>
                <w:sz w:val="24"/>
                <w:szCs w:val="24"/>
              </w:rPr>
              <w:t xml:space="preserve"> they have capacity (Wales Safeguarding Procedures</w:t>
            </w:r>
            <w:r w:rsidR="006D25FA">
              <w:rPr>
                <w:sz w:val="24"/>
                <w:szCs w:val="24"/>
              </w:rPr>
              <w:t>,</w:t>
            </w:r>
            <w:r w:rsidR="007C5148">
              <w:rPr>
                <w:sz w:val="24"/>
                <w:szCs w:val="24"/>
              </w:rPr>
              <w:t xml:space="preserve"> 2024). </w:t>
            </w:r>
            <w:r w:rsidR="0079702B">
              <w:rPr>
                <w:sz w:val="24"/>
                <w:szCs w:val="24"/>
              </w:rPr>
              <w:t>A child under sixteen can be seen as</w:t>
            </w:r>
            <w:r w:rsidR="0079702B">
              <w:t xml:space="preserve"> </w:t>
            </w:r>
            <w:r w:rsidR="0079702B" w:rsidRPr="0079702B">
              <w:rPr>
                <w:sz w:val="24"/>
                <w:szCs w:val="24"/>
              </w:rPr>
              <w:t>'Gillick competent'</w:t>
            </w:r>
            <w:r w:rsidR="0079702B">
              <w:rPr>
                <w:sz w:val="24"/>
                <w:szCs w:val="24"/>
              </w:rPr>
              <w:t xml:space="preserve"> i.e. they are felt to be mature enough to make decisions about things that affect them and understand the implications of this (NSPCC, 2022). However, there are thresholds as to what would constitute a safeguarding issue, when a child would </w:t>
            </w:r>
            <w:r w:rsidR="005D15B6">
              <w:rPr>
                <w:sz w:val="24"/>
                <w:szCs w:val="24"/>
              </w:rPr>
              <w:t>have to be safeguarded</w:t>
            </w:r>
            <w:r w:rsidR="0079702B">
              <w:rPr>
                <w:sz w:val="24"/>
                <w:szCs w:val="24"/>
              </w:rPr>
              <w:t xml:space="preserve">, whereas an adult with capacity </w:t>
            </w:r>
            <w:r w:rsidR="005D15B6">
              <w:rPr>
                <w:sz w:val="24"/>
                <w:szCs w:val="24"/>
              </w:rPr>
              <w:t>can choose not to protect themselves with the law not enforcing intervention</w:t>
            </w:r>
            <w:r w:rsidR="00292790">
              <w:rPr>
                <w:sz w:val="24"/>
                <w:szCs w:val="24"/>
              </w:rPr>
              <w:t>.</w:t>
            </w:r>
            <w:r w:rsidR="007C5148">
              <w:rPr>
                <w:sz w:val="24"/>
                <w:szCs w:val="24"/>
              </w:rPr>
              <w:t xml:space="preserve"> </w:t>
            </w:r>
          </w:p>
          <w:p w14:paraId="3CFD2C40" w14:textId="77777777" w:rsidR="006D25FA" w:rsidRDefault="006D25FA" w:rsidP="00FC0334">
            <w:pPr>
              <w:jc w:val="both"/>
              <w:rPr>
                <w:sz w:val="24"/>
                <w:szCs w:val="24"/>
              </w:rPr>
            </w:pPr>
          </w:p>
          <w:p w14:paraId="2F40FFFC" w14:textId="6C528B70" w:rsidR="00292790" w:rsidRDefault="00F10791" w:rsidP="00FC0334">
            <w:pPr>
              <w:jc w:val="both"/>
              <w:rPr>
                <w:sz w:val="24"/>
                <w:szCs w:val="24"/>
              </w:rPr>
            </w:pPr>
            <w:r>
              <w:rPr>
                <w:sz w:val="24"/>
                <w:szCs w:val="24"/>
              </w:rPr>
              <w:t xml:space="preserve">Children </w:t>
            </w:r>
            <w:r w:rsidR="000F2D2A">
              <w:rPr>
                <w:sz w:val="24"/>
                <w:szCs w:val="24"/>
              </w:rPr>
              <w:t>are also protected by</w:t>
            </w:r>
            <w:r w:rsidR="006B1D6F">
              <w:rPr>
                <w:sz w:val="24"/>
                <w:szCs w:val="24"/>
              </w:rPr>
              <w:t xml:space="preserve"> </w:t>
            </w:r>
            <w:r>
              <w:rPr>
                <w:sz w:val="24"/>
                <w:szCs w:val="24"/>
              </w:rPr>
              <w:t xml:space="preserve">different laws to adults. Whilst the SSWWA aims to safeguard both children and adults, the Children Act 1989 and 2004 provide </w:t>
            </w:r>
            <w:r w:rsidR="00660958">
              <w:rPr>
                <w:sz w:val="24"/>
                <w:szCs w:val="24"/>
              </w:rPr>
              <w:t xml:space="preserve">specific child-centred laws that courts and practitioners must follow when supporting children. Children are also protected by the </w:t>
            </w:r>
            <w:r w:rsidR="00660958" w:rsidRPr="00660958">
              <w:rPr>
                <w:sz w:val="24"/>
                <w:szCs w:val="24"/>
              </w:rPr>
              <w:t>UN Convention on the Rights of the Child (UNCRC)</w:t>
            </w:r>
            <w:r w:rsidR="00660958">
              <w:rPr>
                <w:sz w:val="24"/>
                <w:szCs w:val="24"/>
              </w:rPr>
              <w:t xml:space="preserve"> – a convention of 54 articles that outline a child’s rights including being safe from violence (Article 19) and a sufficient stan</w:t>
            </w:r>
            <w:r w:rsidR="00FB4FF0">
              <w:rPr>
                <w:sz w:val="24"/>
                <w:szCs w:val="24"/>
              </w:rPr>
              <w:t>dard</w:t>
            </w:r>
            <w:r w:rsidR="00660958">
              <w:rPr>
                <w:sz w:val="24"/>
                <w:szCs w:val="24"/>
              </w:rPr>
              <w:t xml:space="preserve"> of living (Article 27) (</w:t>
            </w:r>
            <w:proofErr w:type="spellStart"/>
            <w:r w:rsidR="00660958">
              <w:rPr>
                <w:sz w:val="24"/>
                <w:szCs w:val="24"/>
              </w:rPr>
              <w:t>Unicef</w:t>
            </w:r>
            <w:proofErr w:type="spellEnd"/>
            <w:r w:rsidR="00660958">
              <w:rPr>
                <w:sz w:val="24"/>
                <w:szCs w:val="24"/>
              </w:rPr>
              <w:t xml:space="preserve">, 2024).  </w:t>
            </w: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3244D604" w14:textId="1207F433" w:rsidR="0079702B" w:rsidRDefault="007C5148" w:rsidP="007C5148">
            <w:pPr>
              <w:jc w:val="both"/>
              <w:rPr>
                <w:sz w:val="24"/>
                <w:szCs w:val="24"/>
              </w:rPr>
            </w:pPr>
            <w:r>
              <w:rPr>
                <w:i/>
                <w:sz w:val="24"/>
                <w:szCs w:val="24"/>
              </w:rPr>
              <w:t>42</w:t>
            </w:r>
            <w:r w:rsidR="00FB4FF0">
              <w:rPr>
                <w:i/>
                <w:sz w:val="24"/>
                <w:szCs w:val="24"/>
              </w:rPr>
              <w:t>4</w:t>
            </w:r>
            <w:r w:rsidR="00FC0334" w:rsidRPr="006108C9">
              <w:rPr>
                <w:i/>
                <w:sz w:val="24"/>
                <w:szCs w:val="24"/>
              </w:rPr>
              <w:t xml:space="preserve"> words</w:t>
            </w:r>
            <w:r w:rsidR="00FC0334" w:rsidRPr="006108C9">
              <w:rPr>
                <w:sz w:val="24"/>
                <w:szCs w:val="24"/>
              </w:rPr>
              <w:t xml:space="preserve"> </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481AAD" w14:textId="77777777" w:rsidR="006E3075" w:rsidRDefault="006E3075">
      <w:r>
        <w:separator/>
      </w:r>
    </w:p>
  </w:endnote>
  <w:endnote w:type="continuationSeparator" w:id="0">
    <w:p w14:paraId="0C4D622F" w14:textId="77777777" w:rsidR="006E3075" w:rsidRDefault="006E30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6DD5D4" w14:textId="77777777" w:rsidR="006E3075" w:rsidRDefault="006E3075">
      <w:r>
        <w:separator/>
      </w:r>
    </w:p>
  </w:footnote>
  <w:footnote w:type="continuationSeparator" w:id="0">
    <w:p w14:paraId="0E8CAABB" w14:textId="77777777" w:rsidR="006E3075" w:rsidRDefault="006E30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FE3"/>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7CA"/>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D2A"/>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6E2"/>
    <w:rsid w:val="001608C4"/>
    <w:rsid w:val="00161C9A"/>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5EB8"/>
    <w:rsid w:val="001F4552"/>
    <w:rsid w:val="002019EB"/>
    <w:rsid w:val="00204B58"/>
    <w:rsid w:val="00205051"/>
    <w:rsid w:val="00211F65"/>
    <w:rsid w:val="00214047"/>
    <w:rsid w:val="00216563"/>
    <w:rsid w:val="0021792F"/>
    <w:rsid w:val="00220D06"/>
    <w:rsid w:val="002246A0"/>
    <w:rsid w:val="00230439"/>
    <w:rsid w:val="00232A09"/>
    <w:rsid w:val="002345EF"/>
    <w:rsid w:val="00235176"/>
    <w:rsid w:val="00236061"/>
    <w:rsid w:val="0024100E"/>
    <w:rsid w:val="00241C1B"/>
    <w:rsid w:val="0024288B"/>
    <w:rsid w:val="00243DB0"/>
    <w:rsid w:val="00247265"/>
    <w:rsid w:val="00260663"/>
    <w:rsid w:val="002657E9"/>
    <w:rsid w:val="0026665E"/>
    <w:rsid w:val="0027147E"/>
    <w:rsid w:val="002746EB"/>
    <w:rsid w:val="002761F4"/>
    <w:rsid w:val="002775E1"/>
    <w:rsid w:val="00277979"/>
    <w:rsid w:val="00291ADD"/>
    <w:rsid w:val="002920DF"/>
    <w:rsid w:val="00292790"/>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20B"/>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6A3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6D4"/>
    <w:rsid w:val="00400786"/>
    <w:rsid w:val="00401FDA"/>
    <w:rsid w:val="004046F0"/>
    <w:rsid w:val="00405212"/>
    <w:rsid w:val="0040668F"/>
    <w:rsid w:val="004075A7"/>
    <w:rsid w:val="00411EF7"/>
    <w:rsid w:val="00412677"/>
    <w:rsid w:val="004176AA"/>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6819"/>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66AEA"/>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15B6"/>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095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A1B"/>
    <w:rsid w:val="006B1D6F"/>
    <w:rsid w:val="006B4496"/>
    <w:rsid w:val="006B5E67"/>
    <w:rsid w:val="006B6612"/>
    <w:rsid w:val="006C2EB5"/>
    <w:rsid w:val="006D18A3"/>
    <w:rsid w:val="006D25FA"/>
    <w:rsid w:val="006D5970"/>
    <w:rsid w:val="006E3075"/>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388"/>
    <w:rsid w:val="00763B2D"/>
    <w:rsid w:val="00764C84"/>
    <w:rsid w:val="007710AD"/>
    <w:rsid w:val="00772924"/>
    <w:rsid w:val="0078112D"/>
    <w:rsid w:val="007872F2"/>
    <w:rsid w:val="007873F9"/>
    <w:rsid w:val="007908E0"/>
    <w:rsid w:val="00793EB3"/>
    <w:rsid w:val="007940AA"/>
    <w:rsid w:val="00794205"/>
    <w:rsid w:val="0079422A"/>
    <w:rsid w:val="0079702B"/>
    <w:rsid w:val="007A1F6A"/>
    <w:rsid w:val="007A628F"/>
    <w:rsid w:val="007B0DE3"/>
    <w:rsid w:val="007B1BFD"/>
    <w:rsid w:val="007B7191"/>
    <w:rsid w:val="007C1D94"/>
    <w:rsid w:val="007C5148"/>
    <w:rsid w:val="007C556F"/>
    <w:rsid w:val="007C5ABE"/>
    <w:rsid w:val="007C6A87"/>
    <w:rsid w:val="007D0A07"/>
    <w:rsid w:val="007D0F11"/>
    <w:rsid w:val="007D133D"/>
    <w:rsid w:val="007D3EB4"/>
    <w:rsid w:val="007D3F16"/>
    <w:rsid w:val="007E52C2"/>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B60"/>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45D5"/>
    <w:rsid w:val="008E5A35"/>
    <w:rsid w:val="008F127E"/>
    <w:rsid w:val="008F32D9"/>
    <w:rsid w:val="00901BB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62B"/>
    <w:rsid w:val="009D59C2"/>
    <w:rsid w:val="009D7BC9"/>
    <w:rsid w:val="009E122F"/>
    <w:rsid w:val="009E1982"/>
    <w:rsid w:val="009E4D2C"/>
    <w:rsid w:val="009F0978"/>
    <w:rsid w:val="009F3AEC"/>
    <w:rsid w:val="009F54D4"/>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0BCC"/>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129"/>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7674"/>
    <w:rsid w:val="00BD30B1"/>
    <w:rsid w:val="00BD6E32"/>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BA0"/>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6736"/>
    <w:rsid w:val="00CC7226"/>
    <w:rsid w:val="00CD0735"/>
    <w:rsid w:val="00CD45E3"/>
    <w:rsid w:val="00CD4771"/>
    <w:rsid w:val="00CD5089"/>
    <w:rsid w:val="00CD5D3F"/>
    <w:rsid w:val="00CD7E1F"/>
    <w:rsid w:val="00CE4BC4"/>
    <w:rsid w:val="00CE7DA2"/>
    <w:rsid w:val="00CF2236"/>
    <w:rsid w:val="00CF2F8A"/>
    <w:rsid w:val="00CF3DB3"/>
    <w:rsid w:val="00D0274B"/>
    <w:rsid w:val="00D0503D"/>
    <w:rsid w:val="00D052BC"/>
    <w:rsid w:val="00D07026"/>
    <w:rsid w:val="00D1402B"/>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4D1A"/>
    <w:rsid w:val="00E35112"/>
    <w:rsid w:val="00E35BEC"/>
    <w:rsid w:val="00E41A6A"/>
    <w:rsid w:val="00E50821"/>
    <w:rsid w:val="00E51F91"/>
    <w:rsid w:val="00E5498A"/>
    <w:rsid w:val="00E559CE"/>
    <w:rsid w:val="00E60F42"/>
    <w:rsid w:val="00E636C1"/>
    <w:rsid w:val="00E6746C"/>
    <w:rsid w:val="00E7086E"/>
    <w:rsid w:val="00E71248"/>
    <w:rsid w:val="00E73C41"/>
    <w:rsid w:val="00E75911"/>
    <w:rsid w:val="00E7598F"/>
    <w:rsid w:val="00E75C03"/>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791"/>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178C"/>
    <w:rsid w:val="00F927A1"/>
    <w:rsid w:val="00F92E4D"/>
    <w:rsid w:val="00F95D08"/>
    <w:rsid w:val="00FA0497"/>
    <w:rsid w:val="00FA23BD"/>
    <w:rsid w:val="00FA3764"/>
    <w:rsid w:val="00FA41C7"/>
    <w:rsid w:val="00FA4A79"/>
    <w:rsid w:val="00FA56ED"/>
    <w:rsid w:val="00FB05DD"/>
    <w:rsid w:val="00FB0F7C"/>
    <w:rsid w:val="00FB24EA"/>
    <w:rsid w:val="00FB4FF0"/>
    <w:rsid w:val="00FB5FA6"/>
    <w:rsid w:val="00FC0334"/>
    <w:rsid w:val="00FC1310"/>
    <w:rsid w:val="00FC2FF3"/>
    <w:rsid w:val="00FC3263"/>
    <w:rsid w:val="00FC51F9"/>
    <w:rsid w:val="00FC5B40"/>
    <w:rsid w:val="00FC5FF8"/>
    <w:rsid w:val="00FD0002"/>
    <w:rsid w:val="00FD271B"/>
    <w:rsid w:val="00FD3D7C"/>
    <w:rsid w:val="00FD4F8F"/>
    <w:rsid w:val="00FE0C16"/>
    <w:rsid w:val="00FE14B1"/>
    <w:rsid w:val="00FE4D97"/>
    <w:rsid w:val="00FE5F90"/>
    <w:rsid w:val="00FF0070"/>
    <w:rsid w:val="00FF07C3"/>
    <w:rsid w:val="00FF2AFF"/>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B221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7245110">
      <w:bodyDiv w:val="1"/>
      <w:marLeft w:val="0"/>
      <w:marRight w:val="0"/>
      <w:marTop w:val="0"/>
      <w:marBottom w:val="0"/>
      <w:divBdr>
        <w:top w:val="none" w:sz="0" w:space="0" w:color="auto"/>
        <w:left w:val="none" w:sz="0" w:space="0" w:color="auto"/>
        <w:bottom w:val="none" w:sz="0" w:space="0" w:color="auto"/>
        <w:right w:val="none" w:sz="0" w:space="0" w:color="auto"/>
      </w:divBdr>
    </w:div>
    <w:div w:id="400834725">
      <w:bodyDiv w:val="1"/>
      <w:marLeft w:val="0"/>
      <w:marRight w:val="0"/>
      <w:marTop w:val="0"/>
      <w:marBottom w:val="0"/>
      <w:divBdr>
        <w:top w:val="none" w:sz="0" w:space="0" w:color="auto"/>
        <w:left w:val="none" w:sz="0" w:space="0" w:color="auto"/>
        <w:bottom w:val="none" w:sz="0" w:space="0" w:color="auto"/>
        <w:right w:val="none" w:sz="0" w:space="0" w:color="auto"/>
      </w:divBdr>
    </w:div>
    <w:div w:id="51781318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94848464">
      <w:bodyDiv w:val="1"/>
      <w:marLeft w:val="0"/>
      <w:marRight w:val="0"/>
      <w:marTop w:val="0"/>
      <w:marBottom w:val="0"/>
      <w:divBdr>
        <w:top w:val="none" w:sz="0" w:space="0" w:color="auto"/>
        <w:left w:val="none" w:sz="0" w:space="0" w:color="auto"/>
        <w:bottom w:val="none" w:sz="0" w:space="0" w:color="auto"/>
        <w:right w:val="none" w:sz="0" w:space="0" w:color="auto"/>
      </w:divBdr>
      <w:divsChild>
        <w:div w:id="183130143">
          <w:marLeft w:val="150"/>
          <w:marRight w:val="0"/>
          <w:marTop w:val="0"/>
          <w:marBottom w:val="0"/>
          <w:divBdr>
            <w:top w:val="none" w:sz="0" w:space="0" w:color="auto"/>
            <w:left w:val="none" w:sz="0" w:space="0" w:color="auto"/>
            <w:bottom w:val="none" w:sz="0" w:space="0" w:color="auto"/>
            <w:right w:val="none" w:sz="0" w:space="0" w:color="auto"/>
          </w:divBdr>
        </w:div>
        <w:div w:id="939871791">
          <w:marLeft w:val="15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1149</Words>
  <Characters>6322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Tom Butler</cp:lastModifiedBy>
  <cp:revision>6</cp:revision>
  <cp:lastPrinted>2020-02-11T19:20:00Z</cp:lastPrinted>
  <dcterms:created xsi:type="dcterms:W3CDTF">2024-09-18T13:17:00Z</dcterms:created>
  <dcterms:modified xsi:type="dcterms:W3CDTF">2024-10-04T12:27:00Z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