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96807" w14:textId="77777777" w:rsidR="002A1EA8" w:rsidRPr="002A1EA8" w:rsidRDefault="002A1EA8" w:rsidP="004C1AF6">
      <w:pPr>
        <w:spacing w:line="360" w:lineRule="auto"/>
        <w:jc w:val="center"/>
        <w:rPr>
          <w:rFonts w:ascii="Times New Roman" w:eastAsia="Times New Roman" w:hAnsi="Times New Roman" w:cs="Times New Roman"/>
          <w:b/>
          <w:bCs/>
          <w:sz w:val="36"/>
          <w:szCs w:val="36"/>
        </w:rPr>
      </w:pPr>
    </w:p>
    <w:p w14:paraId="5CE10816" w14:textId="77777777" w:rsidR="002A1EA8" w:rsidRPr="002A1EA8" w:rsidRDefault="002A1EA8" w:rsidP="004C1AF6">
      <w:pPr>
        <w:spacing w:line="360" w:lineRule="auto"/>
        <w:jc w:val="center"/>
        <w:rPr>
          <w:rFonts w:ascii="Times New Roman" w:eastAsia="Times New Roman" w:hAnsi="Times New Roman" w:cs="Times New Roman"/>
          <w:b/>
          <w:bCs/>
          <w:sz w:val="36"/>
          <w:szCs w:val="36"/>
        </w:rPr>
      </w:pPr>
    </w:p>
    <w:p w14:paraId="5CDA7927" w14:textId="77777777" w:rsidR="002A1EA8" w:rsidRPr="002A1EA8" w:rsidRDefault="002A1EA8" w:rsidP="004C1AF6">
      <w:pPr>
        <w:spacing w:line="360" w:lineRule="auto"/>
        <w:jc w:val="center"/>
        <w:rPr>
          <w:rFonts w:ascii="Times New Roman" w:eastAsia="Times New Roman" w:hAnsi="Times New Roman" w:cs="Times New Roman"/>
          <w:b/>
          <w:bCs/>
          <w:sz w:val="36"/>
          <w:szCs w:val="36"/>
        </w:rPr>
      </w:pPr>
    </w:p>
    <w:p w14:paraId="346363E5" w14:textId="77777777" w:rsidR="002A1EA8" w:rsidRPr="002A1EA8" w:rsidRDefault="002A1EA8" w:rsidP="004C1AF6">
      <w:pPr>
        <w:spacing w:line="360" w:lineRule="auto"/>
        <w:jc w:val="center"/>
        <w:rPr>
          <w:rFonts w:ascii="Times New Roman" w:eastAsia="Times New Roman" w:hAnsi="Times New Roman" w:cs="Times New Roman"/>
          <w:b/>
          <w:bCs/>
          <w:sz w:val="36"/>
          <w:szCs w:val="36"/>
        </w:rPr>
      </w:pPr>
    </w:p>
    <w:p w14:paraId="59C0E971" w14:textId="77777777" w:rsidR="002A1EA8" w:rsidRPr="002A1EA8" w:rsidRDefault="002A1EA8" w:rsidP="004C1AF6">
      <w:pPr>
        <w:spacing w:line="360" w:lineRule="auto"/>
        <w:jc w:val="center"/>
        <w:rPr>
          <w:rFonts w:ascii="Times New Roman" w:eastAsia="Times New Roman" w:hAnsi="Times New Roman" w:cs="Times New Roman"/>
          <w:b/>
          <w:bCs/>
          <w:sz w:val="36"/>
          <w:szCs w:val="36"/>
        </w:rPr>
      </w:pPr>
    </w:p>
    <w:p w14:paraId="1C3DD4BA" w14:textId="77777777" w:rsidR="002A1EA8" w:rsidRPr="002A1EA8" w:rsidRDefault="002A1EA8" w:rsidP="004C1AF6">
      <w:pPr>
        <w:spacing w:line="360" w:lineRule="auto"/>
        <w:jc w:val="center"/>
        <w:rPr>
          <w:rFonts w:ascii="Times New Roman" w:eastAsia="Times New Roman" w:hAnsi="Times New Roman" w:cs="Times New Roman"/>
          <w:b/>
          <w:bCs/>
          <w:sz w:val="36"/>
          <w:szCs w:val="36"/>
        </w:rPr>
      </w:pPr>
    </w:p>
    <w:p w14:paraId="7EA76244" w14:textId="77777777" w:rsidR="002A1EA8" w:rsidRPr="002A1EA8" w:rsidRDefault="002A1EA8" w:rsidP="004C1AF6">
      <w:pPr>
        <w:spacing w:line="360" w:lineRule="auto"/>
        <w:jc w:val="center"/>
        <w:rPr>
          <w:rFonts w:ascii="Times New Roman" w:eastAsia="Times New Roman" w:hAnsi="Times New Roman" w:cs="Times New Roman"/>
          <w:b/>
          <w:bCs/>
          <w:sz w:val="36"/>
          <w:szCs w:val="36"/>
        </w:rPr>
      </w:pPr>
    </w:p>
    <w:p w14:paraId="06FAB29A" w14:textId="77777777" w:rsidR="002A1EA8" w:rsidRPr="002A1EA8" w:rsidRDefault="002A1EA8" w:rsidP="004C1AF6">
      <w:pPr>
        <w:spacing w:line="360" w:lineRule="auto"/>
        <w:jc w:val="center"/>
        <w:rPr>
          <w:rFonts w:ascii="Times New Roman" w:eastAsia="Times New Roman" w:hAnsi="Times New Roman" w:cs="Times New Roman"/>
          <w:b/>
          <w:bCs/>
          <w:sz w:val="36"/>
          <w:szCs w:val="36"/>
        </w:rPr>
      </w:pPr>
    </w:p>
    <w:p w14:paraId="460CAB84" w14:textId="7671CE0D" w:rsidR="00B201AA" w:rsidRPr="002A1EA8" w:rsidRDefault="00000000" w:rsidP="004C1AF6">
      <w:pPr>
        <w:spacing w:line="360" w:lineRule="auto"/>
        <w:jc w:val="center"/>
        <w:rPr>
          <w:rFonts w:ascii="Times New Roman" w:eastAsia="Times New Roman" w:hAnsi="Times New Roman" w:cs="Times New Roman"/>
          <w:b/>
          <w:bCs/>
          <w:sz w:val="36"/>
          <w:szCs w:val="36"/>
        </w:rPr>
      </w:pPr>
      <w:r w:rsidRPr="002A1EA8">
        <w:rPr>
          <w:rFonts w:ascii="Times New Roman" w:eastAsia="Times New Roman" w:hAnsi="Times New Roman" w:cs="Times New Roman"/>
          <w:b/>
          <w:bCs/>
          <w:sz w:val="36"/>
          <w:szCs w:val="36"/>
        </w:rPr>
        <w:t>Module: Global Business Challenges</w:t>
      </w:r>
    </w:p>
    <w:p w14:paraId="6F1CCA61" w14:textId="0D35EFA8" w:rsidR="00B201AA" w:rsidRPr="002A1EA8" w:rsidRDefault="00000000" w:rsidP="004C1AF6">
      <w:pPr>
        <w:spacing w:line="360" w:lineRule="auto"/>
        <w:jc w:val="center"/>
        <w:rPr>
          <w:rFonts w:ascii="Times New Roman" w:eastAsia="Times New Roman" w:hAnsi="Times New Roman" w:cs="Times New Roman"/>
          <w:b/>
          <w:bCs/>
          <w:sz w:val="36"/>
          <w:szCs w:val="36"/>
        </w:rPr>
      </w:pPr>
      <w:r w:rsidRPr="002A1EA8">
        <w:rPr>
          <w:rFonts w:ascii="Times New Roman" w:eastAsia="Times New Roman" w:hAnsi="Times New Roman" w:cs="Times New Roman"/>
          <w:b/>
          <w:bCs/>
          <w:sz w:val="36"/>
          <w:szCs w:val="36"/>
        </w:rPr>
        <w:t xml:space="preserve">Module code: BMMB7006 </w:t>
      </w:r>
    </w:p>
    <w:p w14:paraId="3E8CECDD" w14:textId="77777777" w:rsidR="00B201AA" w:rsidRPr="002A1EA8" w:rsidRDefault="00000000" w:rsidP="004C1AF6">
      <w:pPr>
        <w:spacing w:line="360" w:lineRule="auto"/>
        <w:jc w:val="center"/>
        <w:rPr>
          <w:rFonts w:ascii="Times New Roman" w:eastAsia="Times New Roman" w:hAnsi="Times New Roman" w:cs="Times New Roman"/>
          <w:b/>
          <w:bCs/>
          <w:sz w:val="36"/>
          <w:szCs w:val="36"/>
        </w:rPr>
      </w:pPr>
      <w:r w:rsidRPr="002A1EA8">
        <w:rPr>
          <w:rFonts w:ascii="Times New Roman" w:eastAsia="Times New Roman" w:hAnsi="Times New Roman" w:cs="Times New Roman"/>
          <w:b/>
          <w:bCs/>
          <w:sz w:val="36"/>
          <w:szCs w:val="36"/>
        </w:rPr>
        <w:t xml:space="preserve">Assignment Title: Global Challenges </w:t>
      </w:r>
    </w:p>
    <w:p w14:paraId="3F67BD6A" w14:textId="51A31BED" w:rsidR="00B201AA" w:rsidRPr="002A1EA8" w:rsidRDefault="00000000" w:rsidP="004C1AF6">
      <w:pPr>
        <w:spacing w:line="360" w:lineRule="auto"/>
        <w:jc w:val="center"/>
        <w:rPr>
          <w:rFonts w:ascii="Times New Roman" w:eastAsia="Times New Roman" w:hAnsi="Times New Roman" w:cs="Times New Roman"/>
          <w:b/>
          <w:bCs/>
          <w:sz w:val="36"/>
          <w:szCs w:val="36"/>
        </w:rPr>
      </w:pPr>
      <w:r w:rsidRPr="002A1EA8">
        <w:rPr>
          <w:rFonts w:ascii="Times New Roman" w:eastAsia="Times New Roman" w:hAnsi="Times New Roman" w:cs="Times New Roman"/>
          <w:b/>
          <w:bCs/>
          <w:sz w:val="36"/>
          <w:szCs w:val="36"/>
        </w:rPr>
        <w:t xml:space="preserve">Word count: </w:t>
      </w:r>
      <w:r w:rsidR="00EB376E">
        <w:rPr>
          <w:rFonts w:ascii="Times New Roman" w:eastAsia="Times New Roman" w:hAnsi="Times New Roman" w:cs="Times New Roman"/>
          <w:b/>
          <w:bCs/>
          <w:sz w:val="36"/>
          <w:szCs w:val="36"/>
        </w:rPr>
        <w:t>499</w:t>
      </w:r>
      <w:r w:rsidR="00404A52">
        <w:rPr>
          <w:rFonts w:ascii="Times New Roman" w:eastAsia="Times New Roman" w:hAnsi="Times New Roman" w:cs="Times New Roman"/>
          <w:b/>
          <w:bCs/>
          <w:sz w:val="36"/>
          <w:szCs w:val="36"/>
        </w:rPr>
        <w:t>3</w:t>
      </w:r>
    </w:p>
    <w:p w14:paraId="09DA7144" w14:textId="77777777" w:rsidR="00B201AA" w:rsidRPr="002A1EA8" w:rsidRDefault="00000000" w:rsidP="004C1AF6">
      <w:pPr>
        <w:spacing w:line="360" w:lineRule="auto"/>
        <w:jc w:val="both"/>
        <w:rPr>
          <w:rFonts w:ascii="Times New Roman" w:eastAsia="Times New Roman" w:hAnsi="Times New Roman" w:cs="Times New Roman"/>
          <w:b/>
          <w:bCs/>
          <w:sz w:val="24"/>
          <w:szCs w:val="24"/>
        </w:rPr>
      </w:pPr>
      <w:r w:rsidRPr="002A1EA8">
        <w:br w:type="page"/>
      </w:r>
    </w:p>
    <w:p w14:paraId="1C37E472" w14:textId="77777777" w:rsidR="00B201AA" w:rsidRPr="002A1EA8" w:rsidRDefault="00000000" w:rsidP="004C1AF6">
      <w:pPr>
        <w:spacing w:line="360" w:lineRule="auto"/>
        <w:jc w:val="center"/>
        <w:rPr>
          <w:rFonts w:ascii="Times New Roman" w:eastAsia="Times New Roman" w:hAnsi="Times New Roman" w:cs="Times New Roman"/>
          <w:b/>
          <w:bCs/>
          <w:sz w:val="24"/>
          <w:szCs w:val="24"/>
        </w:rPr>
      </w:pPr>
      <w:r w:rsidRPr="002A1EA8">
        <w:rPr>
          <w:rFonts w:ascii="Times New Roman" w:eastAsia="Times New Roman" w:hAnsi="Times New Roman" w:cs="Times New Roman"/>
          <w:b/>
          <w:bCs/>
          <w:sz w:val="24"/>
          <w:szCs w:val="24"/>
        </w:rPr>
        <w:lastRenderedPageBreak/>
        <w:t xml:space="preserve">Executive summary </w:t>
      </w:r>
    </w:p>
    <w:p w14:paraId="6282C375" w14:textId="71560DE7" w:rsidR="00FA2628" w:rsidRDefault="00FA2628" w:rsidP="004C1AF6">
      <w:pPr>
        <w:spacing w:line="360" w:lineRule="auto"/>
        <w:jc w:val="both"/>
        <w:rPr>
          <w:rFonts w:ascii="Times New Roman" w:eastAsia="Times New Roman" w:hAnsi="Times New Roman" w:cs="Times New Roman"/>
          <w:sz w:val="24"/>
          <w:szCs w:val="24"/>
        </w:rPr>
      </w:pPr>
      <w:r w:rsidRPr="00FA2628">
        <w:rPr>
          <w:rFonts w:ascii="Times New Roman" w:eastAsia="Times New Roman" w:hAnsi="Times New Roman" w:cs="Times New Roman"/>
          <w:sz w:val="24"/>
          <w:szCs w:val="24"/>
        </w:rPr>
        <w:t>This report explains the challenge of control over data, the responsible application of AI, adherence to regulations, and the trust of customers in risk management at Unilever as the implementation of artificial intelligence is gaining momentum at a faster rate.</w:t>
      </w:r>
      <w:r w:rsidR="009E51B7">
        <w:rPr>
          <w:rFonts w:ascii="Times New Roman" w:eastAsia="Times New Roman" w:hAnsi="Times New Roman" w:cs="Times New Roman"/>
          <w:sz w:val="24"/>
          <w:szCs w:val="24"/>
        </w:rPr>
        <w:t xml:space="preserve"> For this report, Unilever is an ideal company example, as the firm has a global market in 190 nations, where its products under different brand names are being sold to 3.7 billion customers daily. Also, the company has made a significant amount of revenue amounting to </w:t>
      </w:r>
      <w:r w:rsidR="009E51B7" w:rsidRPr="009E51B7">
        <w:rPr>
          <w:rFonts w:ascii="Times New Roman" w:eastAsia="Times New Roman" w:hAnsi="Times New Roman" w:cs="Times New Roman"/>
          <w:sz w:val="24"/>
          <w:szCs w:val="24"/>
        </w:rPr>
        <w:t>€50.5 billion in the year 2025</w:t>
      </w:r>
      <w:r w:rsidR="009E51B7">
        <w:rPr>
          <w:rFonts w:ascii="Times New Roman" w:eastAsia="Times New Roman" w:hAnsi="Times New Roman" w:cs="Times New Roman"/>
          <w:sz w:val="24"/>
          <w:szCs w:val="24"/>
        </w:rPr>
        <w:t>; thus, t</w:t>
      </w:r>
      <w:r w:rsidRPr="00FA2628">
        <w:rPr>
          <w:rFonts w:ascii="Times New Roman" w:eastAsia="Times New Roman" w:hAnsi="Times New Roman" w:cs="Times New Roman"/>
          <w:sz w:val="24"/>
          <w:szCs w:val="24"/>
        </w:rPr>
        <w:t>he case study is significant</w:t>
      </w:r>
      <w:r w:rsidR="009E51B7">
        <w:rPr>
          <w:rFonts w:ascii="Times New Roman" w:eastAsia="Times New Roman" w:hAnsi="Times New Roman" w:cs="Times New Roman"/>
          <w:sz w:val="24"/>
          <w:szCs w:val="24"/>
        </w:rPr>
        <w:t xml:space="preserve">. The report </w:t>
      </w:r>
      <w:r w:rsidRPr="00FA2628">
        <w:rPr>
          <w:rFonts w:ascii="Times New Roman" w:eastAsia="Times New Roman" w:hAnsi="Times New Roman" w:cs="Times New Roman"/>
          <w:sz w:val="24"/>
          <w:szCs w:val="24"/>
        </w:rPr>
        <w:t xml:space="preserve">shows that AI </w:t>
      </w:r>
      <w:r w:rsidR="009E51B7">
        <w:rPr>
          <w:rFonts w:ascii="Times New Roman" w:eastAsia="Times New Roman" w:hAnsi="Times New Roman" w:cs="Times New Roman"/>
          <w:sz w:val="24"/>
          <w:szCs w:val="24"/>
        </w:rPr>
        <w:t>can</w:t>
      </w:r>
      <w:r w:rsidRPr="00FA262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both </w:t>
      </w:r>
      <w:r w:rsidRPr="00FA2628">
        <w:rPr>
          <w:rFonts w:ascii="Times New Roman" w:eastAsia="Times New Roman" w:hAnsi="Times New Roman" w:cs="Times New Roman"/>
          <w:sz w:val="24"/>
          <w:szCs w:val="24"/>
        </w:rPr>
        <w:t xml:space="preserve">corporate value and risk to the company in the sense that it has massive market share that relies on the name of their brand. The report also states that AI could help Unilever in the areas of market forecasting, customer analytics, supply-chain planning, and productivity of operations. Artificial intelligence can make the market response faster, improve the decision-making process, and </w:t>
      </w:r>
      <w:r>
        <w:rPr>
          <w:rFonts w:ascii="Times New Roman" w:eastAsia="Times New Roman" w:hAnsi="Times New Roman" w:cs="Times New Roman"/>
          <w:sz w:val="24"/>
          <w:szCs w:val="24"/>
        </w:rPr>
        <w:t>increase competitiveness</w:t>
      </w:r>
      <w:r w:rsidRPr="00FA2628">
        <w:rPr>
          <w:rFonts w:ascii="Times New Roman" w:eastAsia="Times New Roman" w:hAnsi="Times New Roman" w:cs="Times New Roman"/>
          <w:sz w:val="24"/>
          <w:szCs w:val="24"/>
        </w:rPr>
        <w:t xml:space="preserve"> on the global level. The report also explains that the rapid pace at which AI is evolving</w:t>
      </w:r>
      <w:r>
        <w:rPr>
          <w:rFonts w:ascii="Times New Roman" w:eastAsia="Times New Roman" w:hAnsi="Times New Roman" w:cs="Times New Roman"/>
          <w:sz w:val="24"/>
          <w:szCs w:val="24"/>
        </w:rPr>
        <w:t>,</w:t>
      </w:r>
      <w:r w:rsidRPr="00FA2628">
        <w:rPr>
          <w:rFonts w:ascii="Times New Roman" w:eastAsia="Times New Roman" w:hAnsi="Times New Roman" w:cs="Times New Roman"/>
          <w:sz w:val="24"/>
          <w:szCs w:val="24"/>
        </w:rPr>
        <w:t xml:space="preserve"> is also among the major concerns in case the governance and management cannot keep pace with the innovations. These</w:t>
      </w:r>
      <w:r>
        <w:rPr>
          <w:rFonts w:ascii="Times New Roman" w:eastAsia="Times New Roman" w:hAnsi="Times New Roman" w:cs="Times New Roman"/>
          <w:sz w:val="24"/>
          <w:szCs w:val="24"/>
        </w:rPr>
        <w:t xml:space="preserve"> could lead to</w:t>
      </w:r>
      <w:r w:rsidRPr="00FA2628">
        <w:rPr>
          <w:rFonts w:ascii="Times New Roman" w:eastAsia="Times New Roman" w:hAnsi="Times New Roman" w:cs="Times New Roman"/>
          <w:sz w:val="24"/>
          <w:szCs w:val="24"/>
        </w:rPr>
        <w:t xml:space="preserve"> operational errors</w:t>
      </w:r>
      <w:r>
        <w:rPr>
          <w:rFonts w:ascii="Times New Roman" w:eastAsia="Times New Roman" w:hAnsi="Times New Roman" w:cs="Times New Roman"/>
          <w:sz w:val="24"/>
          <w:szCs w:val="24"/>
        </w:rPr>
        <w:t xml:space="preserve"> wrong</w:t>
      </w:r>
      <w:r w:rsidRPr="00FA2628">
        <w:rPr>
          <w:rFonts w:ascii="Times New Roman" w:eastAsia="Times New Roman" w:hAnsi="Times New Roman" w:cs="Times New Roman"/>
          <w:sz w:val="24"/>
          <w:szCs w:val="24"/>
        </w:rPr>
        <w:t xml:space="preserve"> prediction, data misuse, privacy, cybercrime, regulatory and compliance, ethical issues, </w:t>
      </w:r>
      <w:r>
        <w:rPr>
          <w:rFonts w:ascii="Times New Roman" w:eastAsia="Times New Roman" w:hAnsi="Times New Roman" w:cs="Times New Roman"/>
          <w:sz w:val="24"/>
          <w:szCs w:val="24"/>
        </w:rPr>
        <w:t xml:space="preserve">leading to </w:t>
      </w:r>
      <w:r w:rsidRPr="00FA2628">
        <w:rPr>
          <w:rFonts w:ascii="Times New Roman" w:eastAsia="Times New Roman" w:hAnsi="Times New Roman" w:cs="Times New Roman"/>
          <w:sz w:val="24"/>
          <w:szCs w:val="24"/>
        </w:rPr>
        <w:t xml:space="preserve">reputational loss, which may result in customer loss of confidence. </w:t>
      </w:r>
      <w:r>
        <w:rPr>
          <w:rFonts w:ascii="Times New Roman" w:eastAsia="Times New Roman" w:hAnsi="Times New Roman" w:cs="Times New Roman"/>
          <w:sz w:val="24"/>
          <w:szCs w:val="24"/>
        </w:rPr>
        <w:t>While considering the operations of Unilever at</w:t>
      </w:r>
      <w:r w:rsidRPr="00FA2628">
        <w:rPr>
          <w:rFonts w:ascii="Times New Roman" w:eastAsia="Times New Roman" w:hAnsi="Times New Roman" w:cs="Times New Roman"/>
          <w:sz w:val="24"/>
          <w:szCs w:val="24"/>
        </w:rPr>
        <w:t xml:space="preserve"> Netherlands</w:t>
      </w:r>
      <w:r w:rsidR="00C414B6">
        <w:rPr>
          <w:rFonts w:ascii="Times New Roman" w:eastAsia="Times New Roman" w:hAnsi="Times New Roman" w:cs="Times New Roman"/>
          <w:sz w:val="24"/>
          <w:szCs w:val="24"/>
        </w:rPr>
        <w:t>,</w:t>
      </w:r>
      <w:r w:rsidRPr="00FA2628">
        <w:rPr>
          <w:rFonts w:ascii="Times New Roman" w:eastAsia="Times New Roman" w:hAnsi="Times New Roman" w:cs="Times New Roman"/>
          <w:sz w:val="24"/>
          <w:szCs w:val="24"/>
        </w:rPr>
        <w:t xml:space="preserve"> AI</w:t>
      </w:r>
      <w:r w:rsidR="00C414B6">
        <w:rPr>
          <w:rFonts w:ascii="Times New Roman" w:eastAsia="Times New Roman" w:hAnsi="Times New Roman" w:cs="Times New Roman"/>
          <w:sz w:val="24"/>
          <w:szCs w:val="24"/>
        </w:rPr>
        <w:t xml:space="preserve"> risk must be taken</w:t>
      </w:r>
      <w:r w:rsidRPr="00FA2628">
        <w:rPr>
          <w:rFonts w:ascii="Times New Roman" w:eastAsia="Times New Roman" w:hAnsi="Times New Roman" w:cs="Times New Roman"/>
          <w:sz w:val="24"/>
          <w:szCs w:val="24"/>
        </w:rPr>
        <w:t xml:space="preserve"> into consideration at the regulatory and institutional level. This is because the UK laws are quite flexible and principles-focused whilst the Netherlands is more formal and EU-based and this means that the identical model of governance cannot be applied by Unilever in both countries. The report suggests that Unilever establish a governance structure of AI framework, enhance board and managers controls, enhance AI data security, conduct regular AI risk evaluation and monitoring, retain human decisions, assure consumer confidence through transparency in utilizing AI, regulate the </w:t>
      </w:r>
      <w:r w:rsidR="00C414B6">
        <w:rPr>
          <w:rFonts w:ascii="Times New Roman" w:eastAsia="Times New Roman" w:hAnsi="Times New Roman" w:cs="Times New Roman"/>
          <w:sz w:val="24"/>
          <w:szCs w:val="24"/>
        </w:rPr>
        <w:t xml:space="preserve">compliance </w:t>
      </w:r>
      <w:r w:rsidRPr="00FA2628">
        <w:rPr>
          <w:rFonts w:ascii="Times New Roman" w:eastAsia="Times New Roman" w:hAnsi="Times New Roman" w:cs="Times New Roman"/>
          <w:sz w:val="24"/>
          <w:szCs w:val="24"/>
        </w:rPr>
        <w:t xml:space="preserve">developments in the two nations, and </w:t>
      </w:r>
      <w:r w:rsidR="00C414B6">
        <w:rPr>
          <w:rFonts w:ascii="Times New Roman" w:eastAsia="Times New Roman" w:hAnsi="Times New Roman" w:cs="Times New Roman"/>
          <w:sz w:val="24"/>
          <w:szCs w:val="24"/>
        </w:rPr>
        <w:t>train</w:t>
      </w:r>
      <w:r w:rsidRPr="00FA2628">
        <w:rPr>
          <w:rFonts w:ascii="Times New Roman" w:eastAsia="Times New Roman" w:hAnsi="Times New Roman" w:cs="Times New Roman"/>
          <w:sz w:val="24"/>
          <w:szCs w:val="24"/>
        </w:rPr>
        <w:t xml:space="preserve"> employees. In the report, it is concluded that AI can be used to benefit Unilever in the event that there is good governance, correct use of information, and successful implementation that facilitates innovation.</w:t>
      </w:r>
    </w:p>
    <w:p w14:paraId="5C4DFD38" w14:textId="77777777" w:rsidR="00FA2628" w:rsidRDefault="00FA2628" w:rsidP="004C1AF6">
      <w:pPr>
        <w:spacing w:line="360" w:lineRule="auto"/>
        <w:jc w:val="both"/>
        <w:rPr>
          <w:rFonts w:ascii="Times New Roman" w:eastAsia="Times New Roman" w:hAnsi="Times New Roman" w:cs="Times New Roman"/>
          <w:sz w:val="24"/>
          <w:szCs w:val="24"/>
        </w:rPr>
      </w:pPr>
    </w:p>
    <w:p w14:paraId="5ED82633" w14:textId="77777777" w:rsidR="00A83EDD" w:rsidRDefault="00A83ED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Arial" w:eastAsia="Arial" w:hAnsi="Arial" w:cs="Arial"/>
          <w:b/>
          <w:bCs/>
          <w:color w:val="auto"/>
          <w:sz w:val="22"/>
          <w:szCs w:val="22"/>
          <w:lang w:val="en-GB" w:eastAsia="en-IN"/>
        </w:rPr>
        <w:id w:val="-711348020"/>
        <w:docPartObj>
          <w:docPartGallery w:val="Table of Contents"/>
          <w:docPartUnique/>
        </w:docPartObj>
      </w:sdtPr>
      <w:sdtEndPr>
        <w:rPr>
          <w:noProof/>
        </w:rPr>
      </w:sdtEndPr>
      <w:sdtContent>
        <w:p w14:paraId="014B52F2" w14:textId="7BD30E00" w:rsidR="00A83EDD" w:rsidRPr="00A83EDD" w:rsidRDefault="00A83EDD" w:rsidP="00A83EDD">
          <w:pPr>
            <w:pStyle w:val="TOCHeading"/>
            <w:spacing w:line="360" w:lineRule="auto"/>
            <w:jc w:val="center"/>
            <w:rPr>
              <w:rFonts w:ascii="Times New Roman" w:hAnsi="Times New Roman" w:cs="Times New Roman"/>
              <w:b/>
              <w:bCs/>
              <w:color w:val="auto"/>
              <w:sz w:val="24"/>
              <w:szCs w:val="24"/>
            </w:rPr>
          </w:pPr>
          <w:r w:rsidRPr="00A83EDD">
            <w:rPr>
              <w:rFonts w:ascii="Times New Roman" w:hAnsi="Times New Roman" w:cs="Times New Roman"/>
              <w:b/>
              <w:bCs/>
              <w:color w:val="auto"/>
              <w:sz w:val="24"/>
              <w:szCs w:val="24"/>
            </w:rPr>
            <w:t>Table of Contents</w:t>
          </w:r>
        </w:p>
        <w:p w14:paraId="0D9201A9" w14:textId="1A1DC4C5" w:rsidR="00353E97" w:rsidRDefault="00A83EDD">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r w:rsidRPr="00A83EDD">
            <w:rPr>
              <w:rFonts w:ascii="Times New Roman" w:hAnsi="Times New Roman" w:cs="Times New Roman"/>
              <w:sz w:val="24"/>
              <w:szCs w:val="24"/>
            </w:rPr>
            <w:fldChar w:fldCharType="begin"/>
          </w:r>
          <w:r w:rsidRPr="00A83EDD">
            <w:rPr>
              <w:rFonts w:ascii="Times New Roman" w:hAnsi="Times New Roman" w:cs="Times New Roman"/>
              <w:sz w:val="24"/>
              <w:szCs w:val="24"/>
            </w:rPr>
            <w:instrText xml:space="preserve"> TOC \o "1-3" \h \z \u </w:instrText>
          </w:r>
          <w:r w:rsidRPr="00A83EDD">
            <w:rPr>
              <w:rFonts w:ascii="Times New Roman" w:hAnsi="Times New Roman" w:cs="Times New Roman"/>
              <w:sz w:val="24"/>
              <w:szCs w:val="24"/>
            </w:rPr>
            <w:fldChar w:fldCharType="separate"/>
          </w:r>
          <w:hyperlink w:anchor="_Toc225504972" w:history="1">
            <w:r w:rsidR="00353E97" w:rsidRPr="00DB739D">
              <w:rPr>
                <w:rStyle w:val="Hyperlink"/>
                <w:noProof/>
              </w:rPr>
              <w:t>1. Introduction</w:t>
            </w:r>
            <w:r w:rsidR="00353E97">
              <w:rPr>
                <w:noProof/>
                <w:webHidden/>
              </w:rPr>
              <w:tab/>
            </w:r>
            <w:r w:rsidR="00353E97">
              <w:rPr>
                <w:noProof/>
                <w:webHidden/>
              </w:rPr>
              <w:fldChar w:fldCharType="begin"/>
            </w:r>
            <w:r w:rsidR="00353E97">
              <w:rPr>
                <w:noProof/>
                <w:webHidden/>
              </w:rPr>
              <w:instrText xml:space="preserve"> PAGEREF _Toc225504972 \h </w:instrText>
            </w:r>
            <w:r w:rsidR="00353E97">
              <w:rPr>
                <w:noProof/>
                <w:webHidden/>
              </w:rPr>
            </w:r>
            <w:r w:rsidR="00353E97">
              <w:rPr>
                <w:noProof/>
                <w:webHidden/>
              </w:rPr>
              <w:fldChar w:fldCharType="separate"/>
            </w:r>
            <w:r w:rsidR="00353E97">
              <w:rPr>
                <w:noProof/>
                <w:webHidden/>
              </w:rPr>
              <w:t>4</w:t>
            </w:r>
            <w:r w:rsidR="00353E97">
              <w:rPr>
                <w:noProof/>
                <w:webHidden/>
              </w:rPr>
              <w:fldChar w:fldCharType="end"/>
            </w:r>
          </w:hyperlink>
        </w:p>
        <w:p w14:paraId="3556715C" w14:textId="778612CA" w:rsidR="00353E97" w:rsidRDefault="00353E97">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25504973" w:history="1">
            <w:r w:rsidRPr="00DB739D">
              <w:rPr>
                <w:rStyle w:val="Hyperlink"/>
                <w:noProof/>
              </w:rPr>
              <w:t>2. Main Findings</w:t>
            </w:r>
            <w:r>
              <w:rPr>
                <w:noProof/>
                <w:webHidden/>
              </w:rPr>
              <w:tab/>
            </w:r>
            <w:r>
              <w:rPr>
                <w:noProof/>
                <w:webHidden/>
              </w:rPr>
              <w:fldChar w:fldCharType="begin"/>
            </w:r>
            <w:r>
              <w:rPr>
                <w:noProof/>
                <w:webHidden/>
              </w:rPr>
              <w:instrText xml:space="preserve"> PAGEREF _Toc225504973 \h </w:instrText>
            </w:r>
            <w:r>
              <w:rPr>
                <w:noProof/>
                <w:webHidden/>
              </w:rPr>
            </w:r>
            <w:r>
              <w:rPr>
                <w:noProof/>
                <w:webHidden/>
              </w:rPr>
              <w:fldChar w:fldCharType="separate"/>
            </w:r>
            <w:r>
              <w:rPr>
                <w:noProof/>
                <w:webHidden/>
              </w:rPr>
              <w:t>4</w:t>
            </w:r>
            <w:r>
              <w:rPr>
                <w:noProof/>
                <w:webHidden/>
              </w:rPr>
              <w:fldChar w:fldCharType="end"/>
            </w:r>
          </w:hyperlink>
        </w:p>
        <w:p w14:paraId="5047A7E8" w14:textId="28A76ABC" w:rsidR="00353E97" w:rsidRDefault="00353E97" w:rsidP="00353E97">
          <w:pPr>
            <w:pStyle w:val="TOC2"/>
            <w:rPr>
              <w:rFonts w:asciiTheme="minorHAnsi" w:eastAsiaTheme="minorEastAsia" w:hAnsiTheme="minorHAnsi" w:cstheme="minorBidi"/>
              <w:noProof/>
              <w:kern w:val="2"/>
              <w:sz w:val="24"/>
              <w:szCs w:val="24"/>
              <w:lang w:val="en-IN"/>
              <w14:ligatures w14:val="standardContextual"/>
            </w:rPr>
          </w:pPr>
          <w:hyperlink w:anchor="_Toc225504974" w:history="1">
            <w:r w:rsidRPr="00DB739D">
              <w:rPr>
                <w:rStyle w:val="Hyperlink"/>
                <w:noProof/>
              </w:rPr>
              <w:t>2.1 Unilever in the International Business Environment</w:t>
            </w:r>
            <w:r>
              <w:rPr>
                <w:noProof/>
                <w:webHidden/>
              </w:rPr>
              <w:tab/>
            </w:r>
            <w:r>
              <w:rPr>
                <w:noProof/>
                <w:webHidden/>
              </w:rPr>
              <w:fldChar w:fldCharType="begin"/>
            </w:r>
            <w:r>
              <w:rPr>
                <w:noProof/>
                <w:webHidden/>
              </w:rPr>
              <w:instrText xml:space="preserve"> PAGEREF _Toc225504974 \h </w:instrText>
            </w:r>
            <w:r>
              <w:rPr>
                <w:noProof/>
                <w:webHidden/>
              </w:rPr>
            </w:r>
            <w:r>
              <w:rPr>
                <w:noProof/>
                <w:webHidden/>
              </w:rPr>
              <w:fldChar w:fldCharType="separate"/>
            </w:r>
            <w:r>
              <w:rPr>
                <w:noProof/>
                <w:webHidden/>
              </w:rPr>
              <w:t>4</w:t>
            </w:r>
            <w:r>
              <w:rPr>
                <w:noProof/>
                <w:webHidden/>
              </w:rPr>
              <w:fldChar w:fldCharType="end"/>
            </w:r>
          </w:hyperlink>
        </w:p>
        <w:p w14:paraId="68014A6E" w14:textId="26F9A1C6" w:rsidR="00353E97" w:rsidRDefault="00353E97">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25504975" w:history="1">
            <w:r w:rsidRPr="00DB739D">
              <w:rPr>
                <w:rStyle w:val="Hyperlink"/>
                <w:noProof/>
              </w:rPr>
              <w:t>2.1.1 Company Overview, International Operations and Market Presence</w:t>
            </w:r>
            <w:r>
              <w:rPr>
                <w:noProof/>
                <w:webHidden/>
              </w:rPr>
              <w:tab/>
            </w:r>
            <w:r>
              <w:rPr>
                <w:noProof/>
                <w:webHidden/>
              </w:rPr>
              <w:fldChar w:fldCharType="begin"/>
            </w:r>
            <w:r>
              <w:rPr>
                <w:noProof/>
                <w:webHidden/>
              </w:rPr>
              <w:instrText xml:space="preserve"> PAGEREF _Toc225504975 \h </w:instrText>
            </w:r>
            <w:r>
              <w:rPr>
                <w:noProof/>
                <w:webHidden/>
              </w:rPr>
            </w:r>
            <w:r>
              <w:rPr>
                <w:noProof/>
                <w:webHidden/>
              </w:rPr>
              <w:fldChar w:fldCharType="separate"/>
            </w:r>
            <w:r>
              <w:rPr>
                <w:noProof/>
                <w:webHidden/>
              </w:rPr>
              <w:t>4</w:t>
            </w:r>
            <w:r>
              <w:rPr>
                <w:noProof/>
                <w:webHidden/>
              </w:rPr>
              <w:fldChar w:fldCharType="end"/>
            </w:r>
          </w:hyperlink>
        </w:p>
        <w:p w14:paraId="149149B6" w14:textId="4A8DFB66" w:rsidR="00353E97" w:rsidRDefault="00353E97">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25504976" w:history="1">
            <w:r w:rsidRPr="00DB739D">
              <w:rPr>
                <w:rStyle w:val="Hyperlink"/>
                <w:noProof/>
              </w:rPr>
              <w:t>2.1.2 Macroeconomic (PESTLE Analysis)</w:t>
            </w:r>
            <w:r>
              <w:rPr>
                <w:noProof/>
                <w:webHidden/>
              </w:rPr>
              <w:tab/>
            </w:r>
            <w:r>
              <w:rPr>
                <w:noProof/>
                <w:webHidden/>
              </w:rPr>
              <w:fldChar w:fldCharType="begin"/>
            </w:r>
            <w:r>
              <w:rPr>
                <w:noProof/>
                <w:webHidden/>
              </w:rPr>
              <w:instrText xml:space="preserve"> PAGEREF _Toc225504976 \h </w:instrText>
            </w:r>
            <w:r>
              <w:rPr>
                <w:noProof/>
                <w:webHidden/>
              </w:rPr>
            </w:r>
            <w:r>
              <w:rPr>
                <w:noProof/>
                <w:webHidden/>
              </w:rPr>
              <w:fldChar w:fldCharType="separate"/>
            </w:r>
            <w:r>
              <w:rPr>
                <w:noProof/>
                <w:webHidden/>
              </w:rPr>
              <w:t>5</w:t>
            </w:r>
            <w:r>
              <w:rPr>
                <w:noProof/>
                <w:webHidden/>
              </w:rPr>
              <w:fldChar w:fldCharType="end"/>
            </w:r>
          </w:hyperlink>
        </w:p>
        <w:p w14:paraId="24C5863D" w14:textId="42480F59" w:rsidR="00353E97" w:rsidRDefault="00353E97" w:rsidP="00353E97">
          <w:pPr>
            <w:pStyle w:val="TOC2"/>
            <w:rPr>
              <w:rFonts w:asciiTheme="minorHAnsi" w:eastAsiaTheme="minorEastAsia" w:hAnsiTheme="minorHAnsi" w:cstheme="minorBidi"/>
              <w:noProof/>
              <w:kern w:val="2"/>
              <w:sz w:val="24"/>
              <w:szCs w:val="24"/>
              <w:lang w:val="en-IN"/>
              <w14:ligatures w14:val="standardContextual"/>
            </w:rPr>
          </w:pPr>
          <w:hyperlink w:anchor="_Toc225504977" w:history="1">
            <w:r w:rsidRPr="00DB739D">
              <w:rPr>
                <w:rStyle w:val="Hyperlink"/>
                <w:noProof/>
              </w:rPr>
              <w:t>2.2 The Growing Importance of Artificial Intelligence in International Business</w:t>
            </w:r>
            <w:r>
              <w:rPr>
                <w:noProof/>
                <w:webHidden/>
              </w:rPr>
              <w:tab/>
            </w:r>
            <w:r>
              <w:rPr>
                <w:noProof/>
                <w:webHidden/>
              </w:rPr>
              <w:fldChar w:fldCharType="begin"/>
            </w:r>
            <w:r>
              <w:rPr>
                <w:noProof/>
                <w:webHidden/>
              </w:rPr>
              <w:instrText xml:space="preserve"> PAGEREF _Toc225504977 \h </w:instrText>
            </w:r>
            <w:r>
              <w:rPr>
                <w:noProof/>
                <w:webHidden/>
              </w:rPr>
            </w:r>
            <w:r>
              <w:rPr>
                <w:noProof/>
                <w:webHidden/>
              </w:rPr>
              <w:fldChar w:fldCharType="separate"/>
            </w:r>
            <w:r>
              <w:rPr>
                <w:noProof/>
                <w:webHidden/>
              </w:rPr>
              <w:t>7</w:t>
            </w:r>
            <w:r>
              <w:rPr>
                <w:noProof/>
                <w:webHidden/>
              </w:rPr>
              <w:fldChar w:fldCharType="end"/>
            </w:r>
          </w:hyperlink>
        </w:p>
        <w:p w14:paraId="48BB91B3" w14:textId="42D3FDE2" w:rsidR="00353E97" w:rsidRDefault="00353E97" w:rsidP="00353E97">
          <w:pPr>
            <w:pStyle w:val="TOC2"/>
            <w:rPr>
              <w:rFonts w:asciiTheme="minorHAnsi" w:eastAsiaTheme="minorEastAsia" w:hAnsiTheme="minorHAnsi" w:cstheme="minorBidi"/>
              <w:noProof/>
              <w:kern w:val="2"/>
              <w:sz w:val="24"/>
              <w:szCs w:val="24"/>
              <w:lang w:val="en-IN"/>
              <w14:ligatures w14:val="standardContextual"/>
            </w:rPr>
          </w:pPr>
          <w:hyperlink w:anchor="_Toc225504978" w:history="1">
            <w:r w:rsidRPr="00DB739D">
              <w:rPr>
                <w:rStyle w:val="Hyperlink"/>
                <w:noProof/>
              </w:rPr>
              <w:t>2.3 The Impact of Artificial Intelligence on Risk Management in Unilever using Transaction Cost Economics (TCE)</w:t>
            </w:r>
            <w:r>
              <w:rPr>
                <w:noProof/>
                <w:webHidden/>
              </w:rPr>
              <w:tab/>
            </w:r>
            <w:r>
              <w:rPr>
                <w:noProof/>
                <w:webHidden/>
              </w:rPr>
              <w:fldChar w:fldCharType="begin"/>
            </w:r>
            <w:r>
              <w:rPr>
                <w:noProof/>
                <w:webHidden/>
              </w:rPr>
              <w:instrText xml:space="preserve"> PAGEREF _Toc225504978 \h </w:instrText>
            </w:r>
            <w:r>
              <w:rPr>
                <w:noProof/>
                <w:webHidden/>
              </w:rPr>
            </w:r>
            <w:r>
              <w:rPr>
                <w:noProof/>
                <w:webHidden/>
              </w:rPr>
              <w:fldChar w:fldCharType="separate"/>
            </w:r>
            <w:r>
              <w:rPr>
                <w:noProof/>
                <w:webHidden/>
              </w:rPr>
              <w:t>8</w:t>
            </w:r>
            <w:r>
              <w:rPr>
                <w:noProof/>
                <w:webHidden/>
              </w:rPr>
              <w:fldChar w:fldCharType="end"/>
            </w:r>
          </w:hyperlink>
        </w:p>
        <w:p w14:paraId="5ED15B10" w14:textId="2914FDA3" w:rsidR="00353E97" w:rsidRDefault="00353E97" w:rsidP="00353E97">
          <w:pPr>
            <w:pStyle w:val="TOC2"/>
            <w:rPr>
              <w:rFonts w:asciiTheme="minorHAnsi" w:eastAsiaTheme="minorEastAsia" w:hAnsiTheme="minorHAnsi" w:cstheme="minorBidi"/>
              <w:noProof/>
              <w:kern w:val="2"/>
              <w:sz w:val="24"/>
              <w:szCs w:val="24"/>
              <w:lang w:val="en-IN"/>
              <w14:ligatures w14:val="standardContextual"/>
            </w:rPr>
          </w:pPr>
          <w:hyperlink w:anchor="_Toc225504979" w:history="1">
            <w:r w:rsidRPr="00DB739D">
              <w:rPr>
                <w:rStyle w:val="Hyperlink"/>
                <w:noProof/>
              </w:rPr>
              <w:t>2.4 Data Governance in Unilever using Corporate Governance Framework 300 words</w:t>
            </w:r>
            <w:r>
              <w:rPr>
                <w:noProof/>
                <w:webHidden/>
              </w:rPr>
              <w:tab/>
            </w:r>
            <w:r>
              <w:rPr>
                <w:noProof/>
                <w:webHidden/>
              </w:rPr>
              <w:fldChar w:fldCharType="begin"/>
            </w:r>
            <w:r>
              <w:rPr>
                <w:noProof/>
                <w:webHidden/>
              </w:rPr>
              <w:instrText xml:space="preserve"> PAGEREF _Toc225504979 \h </w:instrText>
            </w:r>
            <w:r>
              <w:rPr>
                <w:noProof/>
                <w:webHidden/>
              </w:rPr>
            </w:r>
            <w:r>
              <w:rPr>
                <w:noProof/>
                <w:webHidden/>
              </w:rPr>
              <w:fldChar w:fldCharType="separate"/>
            </w:r>
            <w:r>
              <w:rPr>
                <w:noProof/>
                <w:webHidden/>
              </w:rPr>
              <w:t>10</w:t>
            </w:r>
            <w:r>
              <w:rPr>
                <w:noProof/>
                <w:webHidden/>
              </w:rPr>
              <w:fldChar w:fldCharType="end"/>
            </w:r>
          </w:hyperlink>
        </w:p>
        <w:p w14:paraId="209F6941" w14:textId="7FD543E1" w:rsidR="00353E97" w:rsidRDefault="00353E97" w:rsidP="00353E97">
          <w:pPr>
            <w:pStyle w:val="TOC2"/>
            <w:rPr>
              <w:rFonts w:asciiTheme="minorHAnsi" w:eastAsiaTheme="minorEastAsia" w:hAnsiTheme="minorHAnsi" w:cstheme="minorBidi"/>
              <w:noProof/>
              <w:kern w:val="2"/>
              <w:sz w:val="24"/>
              <w:szCs w:val="24"/>
              <w:lang w:val="en-IN"/>
              <w14:ligatures w14:val="standardContextual"/>
            </w:rPr>
          </w:pPr>
          <w:hyperlink w:anchor="_Toc225504980" w:history="1">
            <w:r w:rsidRPr="00DB739D">
              <w:rPr>
                <w:rStyle w:val="Hyperlink"/>
                <w:noProof/>
              </w:rPr>
              <w:t xml:space="preserve">2.5 Ethical Artificial Intelligence and Corporate </w:t>
            </w:r>
            <w:r w:rsidRPr="00353E97">
              <w:rPr>
                <w:rStyle w:val="Hyperlink"/>
                <w:rFonts w:ascii="Times New Roman" w:hAnsi="Times New Roman" w:cs="Times New Roman"/>
                <w:noProof/>
                <w:sz w:val="24"/>
                <w:szCs w:val="24"/>
              </w:rPr>
              <w:t>Oversight</w:t>
            </w:r>
            <w:r>
              <w:rPr>
                <w:noProof/>
                <w:webHidden/>
              </w:rPr>
              <w:tab/>
            </w:r>
            <w:r>
              <w:rPr>
                <w:noProof/>
                <w:webHidden/>
              </w:rPr>
              <w:fldChar w:fldCharType="begin"/>
            </w:r>
            <w:r>
              <w:rPr>
                <w:noProof/>
                <w:webHidden/>
              </w:rPr>
              <w:instrText xml:space="preserve"> PAGEREF _Toc225504980 \h </w:instrText>
            </w:r>
            <w:r>
              <w:rPr>
                <w:noProof/>
                <w:webHidden/>
              </w:rPr>
            </w:r>
            <w:r>
              <w:rPr>
                <w:noProof/>
                <w:webHidden/>
              </w:rPr>
              <w:fldChar w:fldCharType="separate"/>
            </w:r>
            <w:r>
              <w:rPr>
                <w:noProof/>
                <w:webHidden/>
              </w:rPr>
              <w:t>12</w:t>
            </w:r>
            <w:r>
              <w:rPr>
                <w:noProof/>
                <w:webHidden/>
              </w:rPr>
              <w:fldChar w:fldCharType="end"/>
            </w:r>
          </w:hyperlink>
        </w:p>
        <w:p w14:paraId="1E95A06E" w14:textId="39167B78" w:rsidR="00353E97" w:rsidRDefault="00353E97" w:rsidP="00353E97">
          <w:pPr>
            <w:pStyle w:val="TOC2"/>
            <w:rPr>
              <w:rFonts w:asciiTheme="minorHAnsi" w:eastAsiaTheme="minorEastAsia" w:hAnsiTheme="minorHAnsi" w:cstheme="minorBidi"/>
              <w:noProof/>
              <w:kern w:val="2"/>
              <w:sz w:val="24"/>
              <w:szCs w:val="24"/>
              <w:lang w:val="en-IN"/>
              <w14:ligatures w14:val="standardContextual"/>
            </w:rPr>
          </w:pPr>
          <w:hyperlink w:anchor="_Toc225504981" w:history="1">
            <w:r w:rsidRPr="00DB739D">
              <w:rPr>
                <w:rStyle w:val="Hyperlink"/>
                <w:noProof/>
              </w:rPr>
              <w:t>2.6 Regulatory Compliance in the UK and the Netherlands</w:t>
            </w:r>
            <w:r>
              <w:rPr>
                <w:noProof/>
                <w:webHidden/>
              </w:rPr>
              <w:tab/>
            </w:r>
            <w:r>
              <w:rPr>
                <w:noProof/>
                <w:webHidden/>
              </w:rPr>
              <w:fldChar w:fldCharType="begin"/>
            </w:r>
            <w:r>
              <w:rPr>
                <w:noProof/>
                <w:webHidden/>
              </w:rPr>
              <w:instrText xml:space="preserve"> PAGEREF _Toc225504981 \h </w:instrText>
            </w:r>
            <w:r>
              <w:rPr>
                <w:noProof/>
                <w:webHidden/>
              </w:rPr>
            </w:r>
            <w:r>
              <w:rPr>
                <w:noProof/>
                <w:webHidden/>
              </w:rPr>
              <w:fldChar w:fldCharType="separate"/>
            </w:r>
            <w:r>
              <w:rPr>
                <w:noProof/>
                <w:webHidden/>
              </w:rPr>
              <w:t>13</w:t>
            </w:r>
            <w:r>
              <w:rPr>
                <w:noProof/>
                <w:webHidden/>
              </w:rPr>
              <w:fldChar w:fldCharType="end"/>
            </w:r>
          </w:hyperlink>
        </w:p>
        <w:p w14:paraId="6D38702E" w14:textId="396D079C" w:rsidR="00353E97" w:rsidRDefault="00353E97">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25504982" w:history="1">
            <w:r w:rsidRPr="00DB739D">
              <w:rPr>
                <w:rStyle w:val="Hyperlink"/>
                <w:noProof/>
              </w:rPr>
              <w:t>2.6.1 The UK Regulatory Environment</w:t>
            </w:r>
            <w:r>
              <w:rPr>
                <w:noProof/>
                <w:webHidden/>
              </w:rPr>
              <w:tab/>
            </w:r>
            <w:r>
              <w:rPr>
                <w:noProof/>
                <w:webHidden/>
              </w:rPr>
              <w:fldChar w:fldCharType="begin"/>
            </w:r>
            <w:r>
              <w:rPr>
                <w:noProof/>
                <w:webHidden/>
              </w:rPr>
              <w:instrText xml:space="preserve"> PAGEREF _Toc225504982 \h </w:instrText>
            </w:r>
            <w:r>
              <w:rPr>
                <w:noProof/>
                <w:webHidden/>
              </w:rPr>
            </w:r>
            <w:r>
              <w:rPr>
                <w:noProof/>
                <w:webHidden/>
              </w:rPr>
              <w:fldChar w:fldCharType="separate"/>
            </w:r>
            <w:r>
              <w:rPr>
                <w:noProof/>
                <w:webHidden/>
              </w:rPr>
              <w:t>13</w:t>
            </w:r>
            <w:r>
              <w:rPr>
                <w:noProof/>
                <w:webHidden/>
              </w:rPr>
              <w:fldChar w:fldCharType="end"/>
            </w:r>
          </w:hyperlink>
        </w:p>
        <w:p w14:paraId="293474D8" w14:textId="23BF7A61" w:rsidR="00353E97" w:rsidRDefault="00353E97">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25504983" w:history="1">
            <w:r w:rsidRPr="00DB739D">
              <w:rPr>
                <w:rStyle w:val="Hyperlink"/>
                <w:noProof/>
              </w:rPr>
              <w:t>2.6.2 The Netherlands Regulatory Environment</w:t>
            </w:r>
            <w:r>
              <w:rPr>
                <w:noProof/>
                <w:webHidden/>
              </w:rPr>
              <w:tab/>
            </w:r>
            <w:r>
              <w:rPr>
                <w:noProof/>
                <w:webHidden/>
              </w:rPr>
              <w:fldChar w:fldCharType="begin"/>
            </w:r>
            <w:r>
              <w:rPr>
                <w:noProof/>
                <w:webHidden/>
              </w:rPr>
              <w:instrText xml:space="preserve"> PAGEREF _Toc225504983 \h </w:instrText>
            </w:r>
            <w:r>
              <w:rPr>
                <w:noProof/>
                <w:webHidden/>
              </w:rPr>
            </w:r>
            <w:r>
              <w:rPr>
                <w:noProof/>
                <w:webHidden/>
              </w:rPr>
              <w:fldChar w:fldCharType="separate"/>
            </w:r>
            <w:r>
              <w:rPr>
                <w:noProof/>
                <w:webHidden/>
              </w:rPr>
              <w:t>14</w:t>
            </w:r>
            <w:r>
              <w:rPr>
                <w:noProof/>
                <w:webHidden/>
              </w:rPr>
              <w:fldChar w:fldCharType="end"/>
            </w:r>
          </w:hyperlink>
        </w:p>
        <w:p w14:paraId="5C735E1B" w14:textId="756BDC7C" w:rsidR="00353E97" w:rsidRDefault="00353E97">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25504984" w:history="1">
            <w:r w:rsidRPr="00DB739D">
              <w:rPr>
                <w:rStyle w:val="Hyperlink"/>
                <w:noProof/>
              </w:rPr>
              <w:t>2.6.3 Comparative Analysis</w:t>
            </w:r>
            <w:r>
              <w:rPr>
                <w:noProof/>
                <w:webHidden/>
              </w:rPr>
              <w:tab/>
            </w:r>
            <w:r>
              <w:rPr>
                <w:noProof/>
                <w:webHidden/>
              </w:rPr>
              <w:fldChar w:fldCharType="begin"/>
            </w:r>
            <w:r>
              <w:rPr>
                <w:noProof/>
                <w:webHidden/>
              </w:rPr>
              <w:instrText xml:space="preserve"> PAGEREF _Toc225504984 \h </w:instrText>
            </w:r>
            <w:r>
              <w:rPr>
                <w:noProof/>
                <w:webHidden/>
              </w:rPr>
            </w:r>
            <w:r>
              <w:rPr>
                <w:noProof/>
                <w:webHidden/>
              </w:rPr>
              <w:fldChar w:fldCharType="separate"/>
            </w:r>
            <w:r>
              <w:rPr>
                <w:noProof/>
                <w:webHidden/>
              </w:rPr>
              <w:t>15</w:t>
            </w:r>
            <w:r>
              <w:rPr>
                <w:noProof/>
                <w:webHidden/>
              </w:rPr>
              <w:fldChar w:fldCharType="end"/>
            </w:r>
          </w:hyperlink>
        </w:p>
        <w:p w14:paraId="50EE1144" w14:textId="18EF5249" w:rsidR="00353E97" w:rsidRDefault="00353E97">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25504985" w:history="1">
            <w:r w:rsidRPr="00DB739D">
              <w:rPr>
                <w:rStyle w:val="Hyperlink"/>
                <w:noProof/>
              </w:rPr>
              <w:t>2.6.4 Implications for Unilever and Theoretical Interpretation</w:t>
            </w:r>
            <w:r>
              <w:rPr>
                <w:noProof/>
                <w:webHidden/>
              </w:rPr>
              <w:tab/>
            </w:r>
            <w:r>
              <w:rPr>
                <w:noProof/>
                <w:webHidden/>
              </w:rPr>
              <w:fldChar w:fldCharType="begin"/>
            </w:r>
            <w:r>
              <w:rPr>
                <w:noProof/>
                <w:webHidden/>
              </w:rPr>
              <w:instrText xml:space="preserve"> PAGEREF _Toc225504985 \h </w:instrText>
            </w:r>
            <w:r>
              <w:rPr>
                <w:noProof/>
                <w:webHidden/>
              </w:rPr>
            </w:r>
            <w:r>
              <w:rPr>
                <w:noProof/>
                <w:webHidden/>
              </w:rPr>
              <w:fldChar w:fldCharType="separate"/>
            </w:r>
            <w:r>
              <w:rPr>
                <w:noProof/>
                <w:webHidden/>
              </w:rPr>
              <w:t>15</w:t>
            </w:r>
            <w:r>
              <w:rPr>
                <w:noProof/>
                <w:webHidden/>
              </w:rPr>
              <w:fldChar w:fldCharType="end"/>
            </w:r>
          </w:hyperlink>
        </w:p>
        <w:p w14:paraId="58194747" w14:textId="65784C4D" w:rsidR="00353E97" w:rsidRDefault="00353E97" w:rsidP="00353E97">
          <w:pPr>
            <w:pStyle w:val="TOC2"/>
            <w:rPr>
              <w:rFonts w:asciiTheme="minorHAnsi" w:eastAsiaTheme="minorEastAsia" w:hAnsiTheme="minorHAnsi" w:cstheme="minorBidi"/>
              <w:noProof/>
              <w:kern w:val="2"/>
              <w:sz w:val="24"/>
              <w:szCs w:val="24"/>
              <w:lang w:val="en-IN"/>
              <w14:ligatures w14:val="standardContextual"/>
            </w:rPr>
          </w:pPr>
          <w:hyperlink w:anchor="_Toc225504986" w:history="1">
            <w:r w:rsidRPr="00DB739D">
              <w:rPr>
                <w:rStyle w:val="Hyperlink"/>
                <w:noProof/>
              </w:rPr>
              <w:t>2.7 Customer Trust and Stakeholder Expectations</w:t>
            </w:r>
            <w:r>
              <w:rPr>
                <w:noProof/>
                <w:webHidden/>
              </w:rPr>
              <w:tab/>
            </w:r>
            <w:r>
              <w:rPr>
                <w:noProof/>
                <w:webHidden/>
              </w:rPr>
              <w:fldChar w:fldCharType="begin"/>
            </w:r>
            <w:r>
              <w:rPr>
                <w:noProof/>
                <w:webHidden/>
              </w:rPr>
              <w:instrText xml:space="preserve"> PAGEREF _Toc225504986 \h </w:instrText>
            </w:r>
            <w:r>
              <w:rPr>
                <w:noProof/>
                <w:webHidden/>
              </w:rPr>
            </w:r>
            <w:r>
              <w:rPr>
                <w:noProof/>
                <w:webHidden/>
              </w:rPr>
              <w:fldChar w:fldCharType="separate"/>
            </w:r>
            <w:r>
              <w:rPr>
                <w:noProof/>
                <w:webHidden/>
              </w:rPr>
              <w:t>16</w:t>
            </w:r>
            <w:r>
              <w:rPr>
                <w:noProof/>
                <w:webHidden/>
              </w:rPr>
              <w:fldChar w:fldCharType="end"/>
            </w:r>
          </w:hyperlink>
        </w:p>
        <w:p w14:paraId="5CD04602" w14:textId="41F8F858" w:rsidR="00353E97" w:rsidRDefault="00353E97" w:rsidP="00353E97">
          <w:pPr>
            <w:pStyle w:val="TOC2"/>
            <w:rPr>
              <w:rFonts w:asciiTheme="minorHAnsi" w:eastAsiaTheme="minorEastAsia" w:hAnsiTheme="minorHAnsi" w:cstheme="minorBidi"/>
              <w:noProof/>
              <w:kern w:val="2"/>
              <w:sz w:val="24"/>
              <w:szCs w:val="24"/>
              <w:lang w:val="en-IN"/>
              <w14:ligatures w14:val="standardContextual"/>
            </w:rPr>
          </w:pPr>
          <w:hyperlink w:anchor="_Toc225504987" w:history="1">
            <w:r w:rsidRPr="00DB739D">
              <w:rPr>
                <w:rStyle w:val="Hyperlink"/>
                <w:noProof/>
              </w:rPr>
              <w:t>2.8 Recommendations for Unilever and Implementation plan</w:t>
            </w:r>
            <w:r>
              <w:rPr>
                <w:noProof/>
                <w:webHidden/>
              </w:rPr>
              <w:tab/>
            </w:r>
            <w:r>
              <w:rPr>
                <w:noProof/>
                <w:webHidden/>
              </w:rPr>
              <w:fldChar w:fldCharType="begin"/>
            </w:r>
            <w:r>
              <w:rPr>
                <w:noProof/>
                <w:webHidden/>
              </w:rPr>
              <w:instrText xml:space="preserve"> PAGEREF _Toc225504987 \h </w:instrText>
            </w:r>
            <w:r>
              <w:rPr>
                <w:noProof/>
                <w:webHidden/>
              </w:rPr>
            </w:r>
            <w:r>
              <w:rPr>
                <w:noProof/>
                <w:webHidden/>
              </w:rPr>
              <w:fldChar w:fldCharType="separate"/>
            </w:r>
            <w:r>
              <w:rPr>
                <w:noProof/>
                <w:webHidden/>
              </w:rPr>
              <w:t>18</w:t>
            </w:r>
            <w:r>
              <w:rPr>
                <w:noProof/>
                <w:webHidden/>
              </w:rPr>
              <w:fldChar w:fldCharType="end"/>
            </w:r>
          </w:hyperlink>
        </w:p>
        <w:p w14:paraId="3D1AA50D" w14:textId="770AD707" w:rsidR="00353E97" w:rsidRDefault="00353E97">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25504988" w:history="1">
            <w:r w:rsidRPr="00DB739D">
              <w:rPr>
                <w:rStyle w:val="Hyperlink"/>
                <w:noProof/>
              </w:rPr>
              <w:t>3. Conclusion</w:t>
            </w:r>
            <w:r>
              <w:rPr>
                <w:noProof/>
                <w:webHidden/>
              </w:rPr>
              <w:tab/>
            </w:r>
            <w:r>
              <w:rPr>
                <w:noProof/>
                <w:webHidden/>
              </w:rPr>
              <w:fldChar w:fldCharType="begin"/>
            </w:r>
            <w:r>
              <w:rPr>
                <w:noProof/>
                <w:webHidden/>
              </w:rPr>
              <w:instrText xml:space="preserve"> PAGEREF _Toc225504988 \h </w:instrText>
            </w:r>
            <w:r>
              <w:rPr>
                <w:noProof/>
                <w:webHidden/>
              </w:rPr>
            </w:r>
            <w:r>
              <w:rPr>
                <w:noProof/>
                <w:webHidden/>
              </w:rPr>
              <w:fldChar w:fldCharType="separate"/>
            </w:r>
            <w:r>
              <w:rPr>
                <w:noProof/>
                <w:webHidden/>
              </w:rPr>
              <w:t>23</w:t>
            </w:r>
            <w:r>
              <w:rPr>
                <w:noProof/>
                <w:webHidden/>
              </w:rPr>
              <w:fldChar w:fldCharType="end"/>
            </w:r>
          </w:hyperlink>
        </w:p>
        <w:p w14:paraId="423AB3E5" w14:textId="667A79DC" w:rsidR="00353E97" w:rsidRDefault="00353E97">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25504989" w:history="1">
            <w:r w:rsidRPr="00DB739D">
              <w:rPr>
                <w:rStyle w:val="Hyperlink"/>
                <w:noProof/>
              </w:rPr>
              <w:t>4. Reflection</w:t>
            </w:r>
            <w:r>
              <w:rPr>
                <w:noProof/>
                <w:webHidden/>
              </w:rPr>
              <w:tab/>
            </w:r>
            <w:r>
              <w:rPr>
                <w:noProof/>
                <w:webHidden/>
              </w:rPr>
              <w:fldChar w:fldCharType="begin"/>
            </w:r>
            <w:r>
              <w:rPr>
                <w:noProof/>
                <w:webHidden/>
              </w:rPr>
              <w:instrText xml:space="preserve"> PAGEREF _Toc225504989 \h </w:instrText>
            </w:r>
            <w:r>
              <w:rPr>
                <w:noProof/>
                <w:webHidden/>
              </w:rPr>
            </w:r>
            <w:r>
              <w:rPr>
                <w:noProof/>
                <w:webHidden/>
              </w:rPr>
              <w:fldChar w:fldCharType="separate"/>
            </w:r>
            <w:r>
              <w:rPr>
                <w:noProof/>
                <w:webHidden/>
              </w:rPr>
              <w:t>24</w:t>
            </w:r>
            <w:r>
              <w:rPr>
                <w:noProof/>
                <w:webHidden/>
              </w:rPr>
              <w:fldChar w:fldCharType="end"/>
            </w:r>
          </w:hyperlink>
        </w:p>
        <w:p w14:paraId="61143FAA" w14:textId="71446DA5" w:rsidR="00353E97" w:rsidRDefault="00353E97">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25504990" w:history="1">
            <w:r w:rsidRPr="00DB739D">
              <w:rPr>
                <w:rStyle w:val="Hyperlink"/>
                <w:noProof/>
              </w:rPr>
              <w:t>References</w:t>
            </w:r>
            <w:r>
              <w:rPr>
                <w:noProof/>
                <w:webHidden/>
              </w:rPr>
              <w:tab/>
            </w:r>
            <w:r>
              <w:rPr>
                <w:noProof/>
                <w:webHidden/>
              </w:rPr>
              <w:fldChar w:fldCharType="begin"/>
            </w:r>
            <w:r>
              <w:rPr>
                <w:noProof/>
                <w:webHidden/>
              </w:rPr>
              <w:instrText xml:space="preserve"> PAGEREF _Toc225504990 \h </w:instrText>
            </w:r>
            <w:r>
              <w:rPr>
                <w:noProof/>
                <w:webHidden/>
              </w:rPr>
            </w:r>
            <w:r>
              <w:rPr>
                <w:noProof/>
                <w:webHidden/>
              </w:rPr>
              <w:fldChar w:fldCharType="separate"/>
            </w:r>
            <w:r>
              <w:rPr>
                <w:noProof/>
                <w:webHidden/>
              </w:rPr>
              <w:t>26</w:t>
            </w:r>
            <w:r>
              <w:rPr>
                <w:noProof/>
                <w:webHidden/>
              </w:rPr>
              <w:fldChar w:fldCharType="end"/>
            </w:r>
          </w:hyperlink>
        </w:p>
        <w:p w14:paraId="41B9B327" w14:textId="60DB570A" w:rsidR="00A83EDD" w:rsidRDefault="00A83EDD" w:rsidP="00A83EDD">
          <w:pPr>
            <w:spacing w:line="360" w:lineRule="auto"/>
          </w:pPr>
          <w:r w:rsidRPr="00A83EDD">
            <w:rPr>
              <w:rFonts w:ascii="Times New Roman" w:hAnsi="Times New Roman" w:cs="Times New Roman"/>
              <w:b/>
              <w:bCs/>
              <w:noProof/>
              <w:sz w:val="24"/>
              <w:szCs w:val="24"/>
            </w:rPr>
            <w:fldChar w:fldCharType="end"/>
          </w:r>
        </w:p>
      </w:sdtContent>
    </w:sdt>
    <w:p w14:paraId="3E6F1BB0" w14:textId="77777777" w:rsidR="002A1EA8" w:rsidRPr="002A1EA8" w:rsidRDefault="002A1EA8" w:rsidP="004C1AF6">
      <w:pPr>
        <w:spacing w:line="360" w:lineRule="auto"/>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br w:type="page"/>
      </w:r>
    </w:p>
    <w:p w14:paraId="675F8E94" w14:textId="77777777" w:rsidR="00B201AA" w:rsidRPr="002A1EA8" w:rsidRDefault="00000000" w:rsidP="004C1AF6">
      <w:pPr>
        <w:pStyle w:val="Heading1"/>
        <w:spacing w:line="360" w:lineRule="auto"/>
        <w:rPr>
          <w:b w:val="0"/>
        </w:rPr>
      </w:pPr>
      <w:bookmarkStart w:id="0" w:name="_Toc225504972"/>
      <w:r w:rsidRPr="002A1EA8">
        <w:lastRenderedPageBreak/>
        <w:t>1. Introduction</w:t>
      </w:r>
      <w:bookmarkEnd w:id="0"/>
      <w:r w:rsidRPr="002A1EA8">
        <w:t xml:space="preserve"> </w:t>
      </w:r>
    </w:p>
    <w:p w14:paraId="57ED9F07" w14:textId="1B4C8EB3" w:rsidR="00B201AA" w:rsidRPr="002A1EA8" w:rsidRDefault="00000000" w:rsidP="004C1AF6">
      <w:pPr>
        <w:spacing w:line="360" w:lineRule="auto"/>
        <w:jc w:val="both"/>
        <w:rPr>
          <w:rFonts w:ascii="Times New Roman" w:eastAsia="Times New Roman" w:hAnsi="Times New Roman" w:cs="Times New Roman"/>
          <w:b/>
          <w:bCs/>
          <w:sz w:val="24"/>
          <w:szCs w:val="24"/>
        </w:rPr>
      </w:pPr>
      <w:r w:rsidRPr="002A1EA8">
        <w:rPr>
          <w:rFonts w:ascii="Times New Roman" w:eastAsia="Times New Roman" w:hAnsi="Times New Roman" w:cs="Times New Roman"/>
          <w:sz w:val="24"/>
          <w:szCs w:val="24"/>
        </w:rPr>
        <w:t xml:space="preserve">AI is quickly becoming the operating, competitive, and decision-making tool of global companies using it to </w:t>
      </w:r>
      <w:r w:rsidR="002A1EA8" w:rsidRPr="002A1EA8">
        <w:rPr>
          <w:rFonts w:ascii="Times New Roman" w:eastAsia="Times New Roman" w:hAnsi="Times New Roman" w:cs="Times New Roman"/>
          <w:sz w:val="24"/>
          <w:szCs w:val="24"/>
        </w:rPr>
        <w:t>analyse</w:t>
      </w:r>
      <w:r w:rsidRPr="002A1EA8">
        <w:rPr>
          <w:rFonts w:ascii="Times New Roman" w:eastAsia="Times New Roman" w:hAnsi="Times New Roman" w:cs="Times New Roman"/>
          <w:sz w:val="24"/>
          <w:szCs w:val="24"/>
        </w:rPr>
        <w:t xml:space="preserve"> customer behaviour, enhance prediction, assist in supply chain planning, and increase day-to-day efficiency. Unilever justifies this report since it markets the products in 190 countries to 3.7 billion people, and in 2025 the company turnover was €50.5 billion (Unilever, 2025a). It has over 128,000 employees in 100 countries proving its size and the challenges of risk management in the markets. AI can be used for understanding market, consumer behaviour, forecasting and supply chain management but bad governance can bring significant legal, ethical and reputational issues. The report discusses the challenges of the swift development of artificial intelligence in risk management at Unilever in terms of data governance, ethical use of AI, compliance with the law, and customer confidence. The report has compared the UK and Netherlands, examined hazards, and provided recommendations and implementation strategy.</w:t>
      </w:r>
    </w:p>
    <w:p w14:paraId="51FAB286" w14:textId="77777777" w:rsidR="00B201AA" w:rsidRPr="002A1EA8" w:rsidRDefault="00000000" w:rsidP="004C1AF6">
      <w:pPr>
        <w:pStyle w:val="Heading1"/>
        <w:spacing w:line="360" w:lineRule="auto"/>
      </w:pPr>
      <w:bookmarkStart w:id="1" w:name="_Toc225504973"/>
      <w:r w:rsidRPr="002A1EA8">
        <w:t>2. Main Findings</w:t>
      </w:r>
      <w:bookmarkEnd w:id="1"/>
      <w:r w:rsidRPr="002A1EA8">
        <w:t xml:space="preserve"> </w:t>
      </w:r>
    </w:p>
    <w:p w14:paraId="199F9680" w14:textId="77777777" w:rsidR="00B201AA" w:rsidRPr="002A1EA8" w:rsidRDefault="00000000" w:rsidP="004C1AF6">
      <w:pPr>
        <w:pStyle w:val="Heading2"/>
        <w:rPr>
          <w:b w:val="0"/>
        </w:rPr>
      </w:pPr>
      <w:bookmarkStart w:id="2" w:name="_Toc225504974"/>
      <w:r w:rsidRPr="002A1EA8">
        <w:t>2.1 Unilever in the International Business Environment</w:t>
      </w:r>
      <w:bookmarkEnd w:id="2"/>
      <w:r w:rsidRPr="002A1EA8">
        <w:t xml:space="preserve"> </w:t>
      </w:r>
    </w:p>
    <w:p w14:paraId="1A5D5B7C" w14:textId="77777777" w:rsidR="00B201AA" w:rsidRPr="002A1EA8" w:rsidRDefault="00000000" w:rsidP="00127ECC">
      <w:pPr>
        <w:pStyle w:val="Heading3"/>
        <w:rPr>
          <w:b w:val="0"/>
        </w:rPr>
      </w:pPr>
      <w:bookmarkStart w:id="3" w:name="_Toc225504975"/>
      <w:r w:rsidRPr="002A1EA8">
        <w:t xml:space="preserve">2.1.1 </w:t>
      </w:r>
      <w:r w:rsidRPr="00127ECC">
        <w:t>Company</w:t>
      </w:r>
      <w:r w:rsidRPr="002A1EA8">
        <w:t xml:space="preserve"> Overview, International Operations and Market Presence</w:t>
      </w:r>
      <w:bookmarkEnd w:id="3"/>
    </w:p>
    <w:p w14:paraId="0A8B5341"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Unilever is among the largest consumer goods firms in the world as it sells its products in 190 countries, and is consumed by 3.7 billion people every day. The company has a global presence as it reported a turnover of €50.5 billion in 2025. Unilever produces home care, personal care, beauty, wellbeing, and food products under many recognizable brands at global scale providing it with a fine organization to explore the role of AI in business decision-making, processes, and risk mitigation. Due to its market presence globally, it could impact many nations and enterprises with minor changes in technology or policy. The global supply chains, the effective supplier-retailer partnerships and the global market exposure are the results of the worldwide operation of Unilever. The corporation has presence in 100 countries and it relies on international demand and business performance by generating 59 percent of turnover in the new markets, which reveals the corporation heavily depends on new markets (Unilever PLC, 2026b). This wide market exposure positively impacts potential and risk as regional consumer demand, regulation, trade conditions, and technology, influencing corporate success. Unilever is an ideal case study to understand how </w:t>
      </w:r>
      <w:r w:rsidRPr="002A1EA8">
        <w:rPr>
          <w:rFonts w:ascii="Times New Roman" w:eastAsia="Times New Roman" w:hAnsi="Times New Roman" w:cs="Times New Roman"/>
          <w:sz w:val="24"/>
          <w:szCs w:val="24"/>
        </w:rPr>
        <w:lastRenderedPageBreak/>
        <w:t>AI can support global operations even as it provokes challenging legal, ethical and reputational challenges.</w:t>
      </w:r>
    </w:p>
    <w:p w14:paraId="1E05A8BA" w14:textId="77777777" w:rsidR="00B201AA" w:rsidRPr="002A1EA8" w:rsidRDefault="00000000" w:rsidP="004C1AF6">
      <w:pPr>
        <w:spacing w:line="360" w:lineRule="auto"/>
        <w:jc w:val="center"/>
        <w:rPr>
          <w:rFonts w:ascii="Times New Roman" w:eastAsia="Times New Roman" w:hAnsi="Times New Roman" w:cs="Times New Roman"/>
          <w:sz w:val="24"/>
          <w:szCs w:val="24"/>
        </w:rPr>
      </w:pPr>
      <w:r w:rsidRPr="002A1EA8">
        <w:rPr>
          <w:rFonts w:ascii="Times New Roman" w:eastAsia="Times New Roman" w:hAnsi="Times New Roman" w:cs="Times New Roman"/>
          <w:noProof/>
          <w:sz w:val="24"/>
          <w:szCs w:val="24"/>
        </w:rPr>
        <w:drawing>
          <wp:inline distT="114300" distB="114300" distL="114300" distR="114300" wp14:anchorId="6D3DA634" wp14:editId="711E0F33">
            <wp:extent cx="5943600" cy="3416300"/>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5943600" cy="3416300"/>
                    </a:xfrm>
                    <a:prstGeom prst="rect">
                      <a:avLst/>
                    </a:prstGeom>
                    <a:ln/>
                  </pic:spPr>
                </pic:pic>
              </a:graphicData>
            </a:graphic>
          </wp:inline>
        </w:drawing>
      </w:r>
    </w:p>
    <w:p w14:paraId="5A269F51" w14:textId="77777777" w:rsidR="00B201AA" w:rsidRPr="002A1EA8" w:rsidRDefault="00000000" w:rsidP="004C1AF6">
      <w:pPr>
        <w:spacing w:line="360" w:lineRule="auto"/>
        <w:jc w:val="center"/>
        <w:rPr>
          <w:rFonts w:ascii="Times New Roman" w:eastAsia="Times New Roman" w:hAnsi="Times New Roman" w:cs="Times New Roman"/>
          <w:b/>
          <w:bCs/>
          <w:sz w:val="24"/>
          <w:szCs w:val="24"/>
        </w:rPr>
      </w:pPr>
      <w:r w:rsidRPr="002A1EA8">
        <w:rPr>
          <w:rFonts w:ascii="Times New Roman" w:eastAsia="Times New Roman" w:hAnsi="Times New Roman" w:cs="Times New Roman"/>
          <w:b/>
          <w:bCs/>
          <w:sz w:val="24"/>
          <w:szCs w:val="24"/>
        </w:rPr>
        <w:t>Figure 1: Unilever revenue in 2025</w:t>
      </w:r>
    </w:p>
    <w:p w14:paraId="163DB911" w14:textId="4785F8F7" w:rsidR="00B201AA" w:rsidRPr="002A1EA8" w:rsidRDefault="00000000" w:rsidP="004C1AF6">
      <w:pPr>
        <w:spacing w:line="360" w:lineRule="auto"/>
        <w:jc w:val="center"/>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(Source: Unilever PLC, 2026b)</w:t>
      </w:r>
    </w:p>
    <w:p w14:paraId="58F17E64" w14:textId="05BC8D08" w:rsidR="00B201AA" w:rsidRPr="002A1EA8" w:rsidRDefault="00000000" w:rsidP="00353E97">
      <w:pPr>
        <w:pStyle w:val="Heading3"/>
      </w:pPr>
      <w:bookmarkStart w:id="4" w:name="_Toc225504976"/>
      <w:r w:rsidRPr="002A1EA8">
        <w:t>2.1.</w:t>
      </w:r>
      <w:r w:rsidR="00353E97">
        <w:t>2</w:t>
      </w:r>
      <w:r w:rsidRPr="002A1EA8">
        <w:t xml:space="preserve"> Macroeconomic (PESTLE Analysis)</w:t>
      </w:r>
      <w:bookmarkEnd w:id="4"/>
      <w:r w:rsidRPr="002A1EA8">
        <w:t xml:space="preserve"> </w:t>
      </w:r>
    </w:p>
    <w:p w14:paraId="7F3A18AA" w14:textId="396838AC" w:rsidR="00C414B6" w:rsidRDefault="00C414B6" w:rsidP="004C1A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Pr="00C414B6">
        <w:rPr>
          <w:rFonts w:ascii="Times New Roman" w:eastAsia="Times New Roman" w:hAnsi="Times New Roman" w:cs="Times New Roman"/>
          <w:sz w:val="24"/>
          <w:szCs w:val="24"/>
        </w:rPr>
        <w:t>PESTLE model</w:t>
      </w:r>
      <w:r>
        <w:rPr>
          <w:rFonts w:ascii="Times New Roman" w:eastAsia="Times New Roman" w:hAnsi="Times New Roman" w:cs="Times New Roman"/>
          <w:sz w:val="24"/>
          <w:szCs w:val="24"/>
        </w:rPr>
        <w:t xml:space="preserve"> is important to understand the external factors that are affecting Unilever, as the company currently operates in 190 nations, with 3.7 billion daily customers and has a revenue of </w:t>
      </w:r>
      <w:r w:rsidRPr="00C414B6">
        <w:rPr>
          <w:rFonts w:ascii="Times New Roman" w:eastAsia="Times New Roman" w:hAnsi="Times New Roman" w:cs="Times New Roman"/>
          <w:sz w:val="24"/>
          <w:szCs w:val="24"/>
        </w:rPr>
        <w:t>€50.5 billion</w:t>
      </w:r>
      <w:r>
        <w:rPr>
          <w:rFonts w:ascii="Times New Roman" w:eastAsia="Times New Roman" w:hAnsi="Times New Roman" w:cs="Times New Roman"/>
          <w:sz w:val="24"/>
          <w:szCs w:val="24"/>
        </w:rPr>
        <w:t xml:space="preserve">, in the last quarter of 2025 </w:t>
      </w:r>
      <w:r w:rsidRPr="00C414B6">
        <w:rPr>
          <w:rFonts w:ascii="Times New Roman" w:eastAsia="Times New Roman" w:hAnsi="Times New Roman" w:cs="Times New Roman"/>
          <w:sz w:val="24"/>
          <w:szCs w:val="24"/>
        </w:rPr>
        <w:t>(Badawy, 2025)</w:t>
      </w:r>
      <w:r>
        <w:rPr>
          <w:rFonts w:ascii="Times New Roman" w:eastAsia="Times New Roman" w:hAnsi="Times New Roman" w:cs="Times New Roman"/>
          <w:sz w:val="24"/>
          <w:szCs w:val="24"/>
        </w:rPr>
        <w:t xml:space="preserve">. From political aspect, Unilever needs to consider the difference in compliances in UK and Netherlands, when operating in both countries; whereas from economic perspective, the company must carefully allocate funds in AI for its future market predictions and to avoid excess cost.  From technology perspective, Unilever is making progress, like its </w:t>
      </w:r>
      <w:r w:rsidRPr="00C414B6">
        <w:rPr>
          <w:rFonts w:ascii="Times New Roman" w:eastAsia="Times New Roman" w:hAnsi="Times New Roman" w:cs="Times New Roman"/>
          <w:sz w:val="24"/>
          <w:szCs w:val="24"/>
        </w:rPr>
        <w:t>Personal Care AI Studio</w:t>
      </w:r>
      <w:r>
        <w:rPr>
          <w:rFonts w:ascii="Times New Roman" w:eastAsia="Times New Roman" w:hAnsi="Times New Roman" w:cs="Times New Roman"/>
          <w:sz w:val="24"/>
          <w:szCs w:val="24"/>
        </w:rPr>
        <w:t xml:space="preserve"> in four nations has become popular. From legal perspective, the company considers the difference between the compliance regulations of UK and EU, where UK has flexible structure; while, Netherlands has a formal EU compliance structure, with phased implementation of the EU AI act in 2026 and 2027 </w:t>
      </w:r>
      <w:r w:rsidRPr="00C414B6">
        <w:rPr>
          <w:rFonts w:ascii="Times New Roman" w:eastAsia="Times New Roman" w:hAnsi="Times New Roman" w:cs="Times New Roman"/>
          <w:sz w:val="24"/>
          <w:szCs w:val="24"/>
        </w:rPr>
        <w:t xml:space="preserve">(Kerrigan </w:t>
      </w:r>
      <w:r w:rsidR="004344D5" w:rsidRPr="004344D5">
        <w:rPr>
          <w:rFonts w:ascii="Times New Roman" w:eastAsia="Times New Roman" w:hAnsi="Times New Roman" w:cs="Times New Roman"/>
          <w:i/>
          <w:iCs/>
          <w:sz w:val="24"/>
          <w:szCs w:val="24"/>
        </w:rPr>
        <w:t>et al.</w:t>
      </w:r>
      <w:r w:rsidRPr="00C414B6">
        <w:rPr>
          <w:rFonts w:ascii="Times New Roman" w:eastAsia="Times New Roman" w:hAnsi="Times New Roman" w:cs="Times New Roman"/>
          <w:sz w:val="24"/>
          <w:szCs w:val="24"/>
        </w:rPr>
        <w:t xml:space="preserve"> 2025).</w:t>
      </w:r>
    </w:p>
    <w:p w14:paraId="39E334C8" w14:textId="77777777" w:rsidR="00B201AA" w:rsidRPr="002A1EA8" w:rsidRDefault="00000000" w:rsidP="004C1AF6">
      <w:pPr>
        <w:spacing w:line="360" w:lineRule="auto"/>
        <w:jc w:val="center"/>
        <w:rPr>
          <w:rFonts w:ascii="Times New Roman" w:eastAsia="Times New Roman" w:hAnsi="Times New Roman" w:cs="Times New Roman"/>
          <w:sz w:val="24"/>
          <w:szCs w:val="24"/>
        </w:rPr>
      </w:pPr>
      <w:r w:rsidRPr="002A1EA8">
        <w:rPr>
          <w:rFonts w:ascii="Times New Roman" w:eastAsia="Times New Roman" w:hAnsi="Times New Roman" w:cs="Times New Roman"/>
          <w:noProof/>
          <w:sz w:val="24"/>
          <w:szCs w:val="24"/>
        </w:rPr>
        <w:lastRenderedPageBreak/>
        <w:drawing>
          <wp:inline distT="114300" distB="114300" distL="114300" distR="114300" wp14:anchorId="293A108A" wp14:editId="33993F19">
            <wp:extent cx="4586288" cy="385626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586288" cy="3856260"/>
                    </a:xfrm>
                    <a:prstGeom prst="rect">
                      <a:avLst/>
                    </a:prstGeom>
                    <a:ln/>
                  </pic:spPr>
                </pic:pic>
              </a:graphicData>
            </a:graphic>
          </wp:inline>
        </w:drawing>
      </w:r>
    </w:p>
    <w:p w14:paraId="5C6CB538" w14:textId="7DFC1530" w:rsidR="00B201AA" w:rsidRPr="002A1EA8" w:rsidRDefault="00000000" w:rsidP="004C1AF6">
      <w:pPr>
        <w:spacing w:line="360" w:lineRule="auto"/>
        <w:jc w:val="center"/>
        <w:rPr>
          <w:rFonts w:ascii="Times New Roman" w:eastAsia="Times New Roman" w:hAnsi="Times New Roman" w:cs="Times New Roman"/>
          <w:b/>
          <w:bCs/>
          <w:sz w:val="24"/>
          <w:szCs w:val="24"/>
        </w:rPr>
      </w:pPr>
      <w:r w:rsidRPr="002A1EA8">
        <w:rPr>
          <w:rFonts w:ascii="Times New Roman" w:eastAsia="Times New Roman" w:hAnsi="Times New Roman" w:cs="Times New Roman"/>
          <w:b/>
          <w:bCs/>
          <w:sz w:val="24"/>
          <w:szCs w:val="24"/>
        </w:rPr>
        <w:t xml:space="preserve">Figure 2: PESTLE </w:t>
      </w:r>
      <w:r w:rsidR="002A1EA8">
        <w:rPr>
          <w:rFonts w:ascii="Times New Roman" w:eastAsia="Times New Roman" w:hAnsi="Times New Roman" w:cs="Times New Roman"/>
          <w:b/>
          <w:bCs/>
          <w:sz w:val="24"/>
          <w:szCs w:val="24"/>
        </w:rPr>
        <w:t>M</w:t>
      </w:r>
      <w:r w:rsidRPr="002A1EA8">
        <w:rPr>
          <w:rFonts w:ascii="Times New Roman" w:eastAsia="Times New Roman" w:hAnsi="Times New Roman" w:cs="Times New Roman"/>
          <w:b/>
          <w:bCs/>
          <w:sz w:val="24"/>
          <w:szCs w:val="24"/>
        </w:rPr>
        <w:t>odel</w:t>
      </w:r>
    </w:p>
    <w:p w14:paraId="51711A02" w14:textId="77777777" w:rsidR="00B201AA" w:rsidRPr="002A1EA8" w:rsidRDefault="00000000" w:rsidP="004C1AF6">
      <w:pPr>
        <w:spacing w:line="360" w:lineRule="auto"/>
        <w:jc w:val="center"/>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(Source: Badawy, 2025)</w:t>
      </w:r>
    </w:p>
    <w:p w14:paraId="7AFF9172" w14:textId="4E80471E" w:rsidR="00B201AA"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Irani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(2023) however assert that such PESTLE traits also make adoption of AI complicated as political and legal differences between the Netherlands and the UK do not allow one governance model to be applicable in both markets. The fast development of technology is capable of implementing AI use before internal controls are prepared.  Rana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(2022) observe that social pressure may be counterproductive to Unilever where customers perceive that AI use is invasive, unequal, and economic pressure may encourage the firm to implement AI fast to save money, resulting in poor decision-making, privacy and compliance risk. Nevertheless, unethical AI applications can be </w:t>
      </w:r>
      <w:r w:rsidR="00846F49">
        <w:rPr>
          <w:rFonts w:ascii="Times New Roman" w:eastAsia="Times New Roman" w:hAnsi="Times New Roman" w:cs="Times New Roman"/>
          <w:sz w:val="24"/>
          <w:szCs w:val="24"/>
        </w:rPr>
        <w:t>minimised</w:t>
      </w:r>
      <w:r w:rsidRPr="002A1EA8">
        <w:rPr>
          <w:rFonts w:ascii="Times New Roman" w:eastAsia="Times New Roman" w:hAnsi="Times New Roman" w:cs="Times New Roman"/>
          <w:sz w:val="24"/>
          <w:szCs w:val="24"/>
        </w:rPr>
        <w:t xml:space="preserve"> through the appropriate regulation, data management, and legal framework, so AI can still be of value to Unilever even in the face of these limitations. The report recommends that Unilever ought to apply AI as a business strategy instrument based on economic, political, legal, social, and technological influences and set up risk controls as quick as innovation.</w:t>
      </w:r>
    </w:p>
    <w:p w14:paraId="2CE587FE" w14:textId="77777777" w:rsidR="00550C75" w:rsidRDefault="00550C75" w:rsidP="004C1AF6">
      <w:pPr>
        <w:spacing w:line="360" w:lineRule="auto"/>
        <w:jc w:val="both"/>
        <w:rPr>
          <w:rFonts w:ascii="Times New Roman" w:eastAsia="Times New Roman" w:hAnsi="Times New Roman" w:cs="Times New Roman"/>
          <w:sz w:val="24"/>
          <w:szCs w:val="24"/>
        </w:rPr>
      </w:pPr>
    </w:p>
    <w:p w14:paraId="397BB0A2" w14:textId="451310FB" w:rsidR="00B201AA" w:rsidRPr="002A1EA8" w:rsidRDefault="00550C75" w:rsidP="004C1AF6">
      <w:pPr>
        <w:spacing w:line="360" w:lineRule="auto"/>
        <w:jc w:val="both"/>
        <w:rPr>
          <w:rFonts w:ascii="Times New Roman" w:eastAsia="Times New Roman" w:hAnsi="Times New Roman" w:cs="Times New Roman"/>
          <w:sz w:val="24"/>
          <w:szCs w:val="24"/>
        </w:rPr>
      </w:pPr>
      <w:r w:rsidRPr="00550C75">
        <w:rPr>
          <w:rFonts w:ascii="Times New Roman" w:eastAsia="Times New Roman" w:hAnsi="Times New Roman" w:cs="Times New Roman"/>
          <w:sz w:val="24"/>
          <w:szCs w:val="24"/>
        </w:rPr>
        <w:lastRenderedPageBreak/>
        <w:drawing>
          <wp:inline distT="0" distB="0" distL="0" distR="0" wp14:anchorId="077F55CA" wp14:editId="491E9A21">
            <wp:extent cx="5943600" cy="5371465"/>
            <wp:effectExtent l="0" t="0" r="0" b="635"/>
            <wp:docPr id="950373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373695" name=""/>
                    <pic:cNvPicPr/>
                  </pic:nvPicPr>
                  <pic:blipFill>
                    <a:blip r:embed="rId9"/>
                    <a:stretch>
                      <a:fillRect/>
                    </a:stretch>
                  </pic:blipFill>
                  <pic:spPr>
                    <a:xfrm>
                      <a:off x="0" y="0"/>
                      <a:ext cx="5943600" cy="5371465"/>
                    </a:xfrm>
                    <a:prstGeom prst="rect">
                      <a:avLst/>
                    </a:prstGeom>
                  </pic:spPr>
                </pic:pic>
              </a:graphicData>
            </a:graphic>
          </wp:inline>
        </w:drawing>
      </w:r>
    </w:p>
    <w:p w14:paraId="5934182F" w14:textId="77777777" w:rsidR="00B201AA" w:rsidRPr="002A1EA8" w:rsidRDefault="00000000" w:rsidP="004C1AF6">
      <w:pPr>
        <w:spacing w:line="360" w:lineRule="auto"/>
        <w:jc w:val="center"/>
        <w:rPr>
          <w:rFonts w:ascii="Times New Roman" w:eastAsia="Times New Roman" w:hAnsi="Times New Roman" w:cs="Times New Roman"/>
          <w:b/>
          <w:bCs/>
          <w:sz w:val="24"/>
          <w:szCs w:val="24"/>
        </w:rPr>
      </w:pPr>
      <w:r w:rsidRPr="002A1EA8">
        <w:rPr>
          <w:rFonts w:ascii="Times New Roman" w:eastAsia="Times New Roman" w:hAnsi="Times New Roman" w:cs="Times New Roman"/>
          <w:b/>
          <w:bCs/>
          <w:sz w:val="24"/>
          <w:szCs w:val="24"/>
        </w:rPr>
        <w:t xml:space="preserve">Table 1: PESTLE Analysis </w:t>
      </w:r>
    </w:p>
    <w:p w14:paraId="3E909B0A" w14:textId="77777777" w:rsidR="00B201AA" w:rsidRPr="002A1EA8" w:rsidRDefault="00000000" w:rsidP="004C1AF6">
      <w:pPr>
        <w:pStyle w:val="Heading2"/>
      </w:pPr>
      <w:bookmarkStart w:id="5" w:name="_Toc225504977"/>
      <w:r w:rsidRPr="002A1EA8">
        <w:t>2.2 The Growing Importance of Artificial Intelligence in International Business</w:t>
      </w:r>
      <w:bookmarkEnd w:id="5"/>
    </w:p>
    <w:p w14:paraId="4C98B1EA" w14:textId="02304D56"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According to Ashfaq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(2025), Resource-Based View (RBV) describes the rationale behind Unilever use of artificial intelligence since it believes that the company gains competitive benefits due </w:t>
      </w:r>
      <w:r w:rsidR="002A1EA8" w:rsidRPr="002A1EA8">
        <w:rPr>
          <w:rFonts w:ascii="Times New Roman" w:eastAsia="Times New Roman" w:hAnsi="Times New Roman" w:cs="Times New Roman"/>
          <w:sz w:val="24"/>
          <w:szCs w:val="24"/>
        </w:rPr>
        <w:t>to appreciate</w:t>
      </w:r>
      <w:r w:rsidRPr="002A1EA8">
        <w:rPr>
          <w:rFonts w:ascii="Times New Roman" w:eastAsia="Times New Roman" w:hAnsi="Times New Roman" w:cs="Times New Roman"/>
          <w:sz w:val="24"/>
          <w:szCs w:val="24"/>
        </w:rPr>
        <w:t xml:space="preserve"> internal resources, capabilities, and systems. Unilever can benefit from this with its huge turnover and global presence, where the Personal Care AI Studio in four markets shows that AI is already accelerating the work of digital content and business efficiency (Unilever PLC, 2025b). Unilever is adopting AI due to business imperative rather than curiosity since Unilever reported 3.5% underlying sales growth in 2025, of which 1.5% was due to volume and 2.0% was </w:t>
      </w:r>
      <w:r w:rsidRPr="002A1EA8">
        <w:rPr>
          <w:rFonts w:ascii="Times New Roman" w:eastAsia="Times New Roman" w:hAnsi="Times New Roman" w:cs="Times New Roman"/>
          <w:sz w:val="24"/>
          <w:szCs w:val="24"/>
        </w:rPr>
        <w:lastRenderedPageBreak/>
        <w:t>due to price. 59% of turnover was driven by emerging regions with rapidly evolving demand. In such cases, markets, brands, and supply systems require more forecasting, consumer knowledge, expediency in planning and utilisation of data with greater caution.</w:t>
      </w:r>
    </w:p>
    <w:p w14:paraId="18EE2B56" w14:textId="77777777" w:rsidR="00B201AA" w:rsidRPr="002A1EA8" w:rsidRDefault="00000000" w:rsidP="004C1AF6">
      <w:pPr>
        <w:spacing w:line="360" w:lineRule="auto"/>
        <w:jc w:val="center"/>
        <w:rPr>
          <w:rFonts w:ascii="Times New Roman" w:eastAsia="Times New Roman" w:hAnsi="Times New Roman" w:cs="Times New Roman"/>
          <w:sz w:val="24"/>
          <w:szCs w:val="24"/>
        </w:rPr>
      </w:pPr>
      <w:r w:rsidRPr="002A1EA8">
        <w:rPr>
          <w:rFonts w:ascii="Times New Roman" w:eastAsia="Times New Roman" w:hAnsi="Times New Roman" w:cs="Times New Roman"/>
          <w:noProof/>
          <w:sz w:val="24"/>
          <w:szCs w:val="24"/>
        </w:rPr>
        <w:drawing>
          <wp:inline distT="114300" distB="114300" distL="114300" distR="114300" wp14:anchorId="0C297826" wp14:editId="2DF3017A">
            <wp:extent cx="4986338" cy="2868742"/>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4986338" cy="2868742"/>
                    </a:xfrm>
                    <a:prstGeom prst="rect">
                      <a:avLst/>
                    </a:prstGeom>
                    <a:ln/>
                  </pic:spPr>
                </pic:pic>
              </a:graphicData>
            </a:graphic>
          </wp:inline>
        </w:drawing>
      </w:r>
      <w:r w:rsidRPr="002A1EA8">
        <w:rPr>
          <w:rFonts w:ascii="Times New Roman" w:eastAsia="Times New Roman" w:hAnsi="Times New Roman" w:cs="Times New Roman"/>
          <w:sz w:val="24"/>
          <w:szCs w:val="24"/>
        </w:rPr>
        <w:t xml:space="preserve"> </w:t>
      </w:r>
    </w:p>
    <w:p w14:paraId="0401471B" w14:textId="00B36ED3" w:rsidR="00B201AA" w:rsidRPr="002A1EA8" w:rsidRDefault="00000000" w:rsidP="004C1AF6">
      <w:pPr>
        <w:spacing w:line="360" w:lineRule="auto"/>
        <w:jc w:val="center"/>
        <w:rPr>
          <w:rFonts w:ascii="Times New Roman" w:eastAsia="Times New Roman" w:hAnsi="Times New Roman" w:cs="Times New Roman"/>
          <w:b/>
          <w:bCs/>
          <w:sz w:val="24"/>
          <w:szCs w:val="24"/>
        </w:rPr>
      </w:pPr>
      <w:r w:rsidRPr="002A1EA8">
        <w:rPr>
          <w:rFonts w:ascii="Times New Roman" w:eastAsia="Times New Roman" w:hAnsi="Times New Roman" w:cs="Times New Roman"/>
          <w:b/>
          <w:bCs/>
          <w:sz w:val="24"/>
          <w:szCs w:val="24"/>
        </w:rPr>
        <w:t xml:space="preserve">Figure 3: Resource-Based View (RBV) </w:t>
      </w:r>
      <w:r w:rsidR="002A1EA8">
        <w:rPr>
          <w:rFonts w:ascii="Times New Roman" w:eastAsia="Times New Roman" w:hAnsi="Times New Roman" w:cs="Times New Roman"/>
          <w:b/>
          <w:bCs/>
          <w:sz w:val="24"/>
          <w:szCs w:val="24"/>
        </w:rPr>
        <w:t>Theory</w:t>
      </w:r>
    </w:p>
    <w:p w14:paraId="40118783" w14:textId="1232C665" w:rsidR="00B201AA" w:rsidRPr="002A1EA8" w:rsidRDefault="00000000" w:rsidP="004C1AF6">
      <w:pPr>
        <w:spacing w:line="360" w:lineRule="auto"/>
        <w:jc w:val="center"/>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(Source: Ashfaq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2025)</w:t>
      </w:r>
    </w:p>
    <w:p w14:paraId="7B8888F9" w14:textId="15A93B2D"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Day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(2025) however assert that RBV dictates that AI does not necessarily generate value, as firms need to deal with tools superiorly than their competitors to get performance. Inaccurate forecasts, marketing choices, and legal or reputational losses are possible because of poor quality of data, lack of personnel training, or speedy systems related to improper AI usage. The global reach of the company can result in the rapid spread of even small errors across other brands and even countries. Nevertheless, RBV states that organisations can develop pertinent capacity with help of appropriate internal management, and thus AI can also be useful to Unilever. Thus, Unilever will be able to leverage AI on the basis of digital solutions, its massive data base, research strength, global brand presence, and scale of its operations to turn AI into a strategic asset. In 2025, the corporation has spent €836 million on research and development, where Personal Care has yielded EUR 13.2 billion, which proves that AI can help the corporation to grow, accelerate, and make smarter decisions when properly linked to business objectives.</w:t>
      </w:r>
    </w:p>
    <w:p w14:paraId="3FFBB73C" w14:textId="77777777" w:rsidR="00B201AA" w:rsidRPr="002A1EA8" w:rsidRDefault="00000000" w:rsidP="004C1AF6">
      <w:pPr>
        <w:pStyle w:val="Heading2"/>
      </w:pPr>
      <w:bookmarkStart w:id="6" w:name="_Toc225504978"/>
      <w:r w:rsidRPr="002A1EA8">
        <w:lastRenderedPageBreak/>
        <w:t>2.3 The Impact of Artificial Intelligence on Risk Management in Unilever using Transaction Cost Economics (TCE)</w:t>
      </w:r>
      <w:bookmarkEnd w:id="6"/>
    </w:p>
    <w:p w14:paraId="36B15F86" w14:textId="25339F1F"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Nagle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(2025) note as per the Transaction Cost Economics (TCE), in case of increased uncertainty and difficult decisions-making, an organization requires a more effective control, closer supervision, and coordination. Unilever markets products in 190 countries, targets 3.7 billion individuals daily, and its turnover amounts to €50.5 billion in 2025, thus any minor AI error can be disseminated very quickly across brands, markets, and supply chains. The technology used by Unilever handles 240 TB of data each week and over 3 billion transactions, which can be dealt with the help of AI, as managers can work faster but more difficult to identify errors (Unilever, 2025d). AI can accelerate the process of forecasting, planning, marketing, and supply chain decisions in Unilever, where the company can ensure that the outcomes are precise, reasonable, and effective to actual business circumstances.</w:t>
      </w:r>
    </w:p>
    <w:p w14:paraId="4DAA72A4" w14:textId="77777777" w:rsidR="00B201AA" w:rsidRPr="002A1EA8" w:rsidRDefault="00000000" w:rsidP="004C1AF6">
      <w:pPr>
        <w:spacing w:line="360" w:lineRule="auto"/>
        <w:jc w:val="center"/>
        <w:rPr>
          <w:rFonts w:ascii="Times New Roman" w:eastAsia="Times New Roman" w:hAnsi="Times New Roman" w:cs="Times New Roman"/>
          <w:sz w:val="24"/>
          <w:szCs w:val="24"/>
        </w:rPr>
      </w:pPr>
      <w:r w:rsidRPr="002A1EA8">
        <w:rPr>
          <w:rFonts w:ascii="Times New Roman" w:eastAsia="Times New Roman" w:hAnsi="Times New Roman" w:cs="Times New Roman"/>
          <w:noProof/>
          <w:sz w:val="24"/>
          <w:szCs w:val="24"/>
        </w:rPr>
        <w:drawing>
          <wp:inline distT="114300" distB="114300" distL="114300" distR="114300" wp14:anchorId="5E8C7D96" wp14:editId="4EBABC48">
            <wp:extent cx="5386388" cy="2486025"/>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386388" cy="2486025"/>
                    </a:xfrm>
                    <a:prstGeom prst="rect">
                      <a:avLst/>
                    </a:prstGeom>
                    <a:ln/>
                  </pic:spPr>
                </pic:pic>
              </a:graphicData>
            </a:graphic>
          </wp:inline>
        </w:drawing>
      </w:r>
    </w:p>
    <w:p w14:paraId="1EFCEB0D" w14:textId="089CA376" w:rsidR="00B201AA" w:rsidRPr="002A1EA8" w:rsidRDefault="00000000" w:rsidP="004C1AF6">
      <w:pPr>
        <w:spacing w:line="360" w:lineRule="auto"/>
        <w:jc w:val="center"/>
        <w:rPr>
          <w:rFonts w:ascii="Times New Roman" w:eastAsia="Times New Roman" w:hAnsi="Times New Roman" w:cs="Times New Roman"/>
          <w:b/>
          <w:bCs/>
          <w:sz w:val="24"/>
          <w:szCs w:val="24"/>
        </w:rPr>
      </w:pPr>
      <w:r w:rsidRPr="002A1EA8">
        <w:rPr>
          <w:rFonts w:ascii="Times New Roman" w:eastAsia="Times New Roman" w:hAnsi="Times New Roman" w:cs="Times New Roman"/>
          <w:b/>
          <w:bCs/>
          <w:sz w:val="24"/>
          <w:szCs w:val="24"/>
        </w:rPr>
        <w:t>Figure 4: Transaction Cost Economics (TCE)</w:t>
      </w:r>
      <w:r w:rsidR="002A1EA8">
        <w:rPr>
          <w:rFonts w:ascii="Times New Roman" w:eastAsia="Times New Roman" w:hAnsi="Times New Roman" w:cs="Times New Roman"/>
          <w:b/>
          <w:bCs/>
          <w:sz w:val="24"/>
          <w:szCs w:val="24"/>
        </w:rPr>
        <w:t xml:space="preserve"> Theory</w:t>
      </w:r>
    </w:p>
    <w:p w14:paraId="67D213A8" w14:textId="4D7C4D9F" w:rsidR="00B201AA" w:rsidRPr="002A1EA8" w:rsidRDefault="00000000" w:rsidP="004C1AF6">
      <w:pPr>
        <w:spacing w:line="360" w:lineRule="auto"/>
        <w:jc w:val="center"/>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(Source: Nagle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2025)</w:t>
      </w:r>
    </w:p>
    <w:p w14:paraId="01490E3E" w14:textId="75F8463D"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However, in the opinion of Odedina (2023), overusing automated systems without proper verifications may cause Unilever to face a problem in risk management. A faulty prediction in operations could result in delivery of the wrong products to the wrong market, more wastage and stalling supply in different areas. The inadequate information or careless use of data may compromise the results and reveal confidential customer or employee information. With larger digital systems, cybercriminals have access to the connected data systems, cloud tools, and automated operations. Kilian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(2025) also observe that in the UK and Netherlands, where </w:t>
      </w:r>
      <w:r w:rsidRPr="002A1EA8">
        <w:rPr>
          <w:rFonts w:ascii="Times New Roman" w:eastAsia="Times New Roman" w:hAnsi="Times New Roman" w:cs="Times New Roman"/>
          <w:sz w:val="24"/>
          <w:szCs w:val="24"/>
        </w:rPr>
        <w:lastRenderedPageBreak/>
        <w:t>governance is given greater emphasis, Unilever will have to handle AI with considerable care since the EU AI act can only be implemented in phases until 2027. A single mismanaged AI application in targeting, profiling or communicating with consumers could destroy years of brand trust.</w:t>
      </w:r>
    </w:p>
    <w:p w14:paraId="6AB41DD0"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Nevertheless, TCE claims that Unilever ought to reinforce control when new technology introduces uncertainty, complicates monitoring or increases the cost of coordination within the teams and markets. Unilever claimed in 2025 that its business will be “simpler, sharper, and faster”, which implies that AI will improve everyday decisions (Unilever PLC, 2026b). To improve Unilever’s performance, better review mechanisms, monitoring data, clear reporting lines, and human approval in high-impact decisions can help the company achieve performance. Therefore, AI can help Unilever to perform accurate forecasting, planning, and faster processes, yet the managers should reinforce internal requirements for data collection, output testing, and response in case of system failure. TCE demonstrates that the basic problem lies in the expense of controlling, inspecting and integrating technology in a big global company. The application of AI will assist Unilever in its planning, supplying, and decision-making, as eradicating mistakes, preserving information, minimizing cyber exposure, and complying with the law helps retain the trust of the public. The company needs to take AI as one of the significant management issues, rather than technical equipment, since a lack of control in the current situation may have an adverse effect on its global competitiveness in the future.</w:t>
      </w:r>
    </w:p>
    <w:p w14:paraId="1AE8A4BC" w14:textId="77777777" w:rsidR="00B201AA" w:rsidRPr="002A1EA8" w:rsidRDefault="00000000" w:rsidP="004C1AF6">
      <w:pPr>
        <w:pStyle w:val="Heading2"/>
      </w:pPr>
      <w:bookmarkStart w:id="7" w:name="_Toc225504979"/>
      <w:r w:rsidRPr="002A1EA8">
        <w:t>2.4 Data Governance in Unilever using Corporate Governance Framework 300 words</w:t>
      </w:r>
      <w:bookmarkEnd w:id="7"/>
    </w:p>
    <w:p w14:paraId="6A047C03" w14:textId="4BEE10F0"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Unilever’s artificial intelligence systems require strong, timely and steady data during operations to facilitate forecasting, demand organization, customer understanding, and supply chain decision. According to Emeka-Okoli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(2024), this is well explained under the Corporate Governance framework since it considers efficient oversight as a regulation, supervision, internal procedures, disclosure, and transparency and leaves the boards to guide goals, monitor controls, and manage risk. It is significant to Unilever since the company markets in 190 countries, accesses 3.7 billion individuals each day, and achieved €50.5 billion turnover by 2025, so, even minor data leak can go global. Guillen-Aguinaga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(2025) suggest that good quality of data, clear ownership, and restricted access is needed because erroneous data may hamper AI-based predictions, inventory organization, marketing choices, and brand, supplier, and market confidence. This is particularly </w:t>
      </w:r>
      <w:r w:rsidRPr="002A1EA8">
        <w:rPr>
          <w:rFonts w:ascii="Times New Roman" w:eastAsia="Times New Roman" w:hAnsi="Times New Roman" w:cs="Times New Roman"/>
          <w:sz w:val="24"/>
          <w:szCs w:val="24"/>
        </w:rPr>
        <w:lastRenderedPageBreak/>
        <w:t xml:space="preserve">critical for MNCs since AI regulation, data management, and platform responsibility vary among jurisdictions, increasing the cost of compliance and complicating the task of monitoring cross-border operations. </w:t>
      </w:r>
    </w:p>
    <w:p w14:paraId="49167660" w14:textId="77777777" w:rsidR="00B201AA" w:rsidRPr="002A1EA8" w:rsidRDefault="00000000" w:rsidP="004C1AF6">
      <w:pPr>
        <w:spacing w:line="360" w:lineRule="auto"/>
        <w:jc w:val="center"/>
        <w:rPr>
          <w:rFonts w:ascii="Times New Roman" w:eastAsia="Times New Roman" w:hAnsi="Times New Roman" w:cs="Times New Roman"/>
          <w:sz w:val="24"/>
          <w:szCs w:val="24"/>
        </w:rPr>
      </w:pPr>
      <w:r w:rsidRPr="002A1EA8">
        <w:rPr>
          <w:rFonts w:ascii="Times New Roman" w:eastAsia="Times New Roman" w:hAnsi="Times New Roman" w:cs="Times New Roman"/>
          <w:noProof/>
          <w:sz w:val="24"/>
          <w:szCs w:val="24"/>
        </w:rPr>
        <w:drawing>
          <wp:inline distT="114300" distB="114300" distL="114300" distR="114300" wp14:anchorId="6CD5F95C" wp14:editId="67CC2B24">
            <wp:extent cx="4248150" cy="4701751"/>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4248150" cy="4701751"/>
                    </a:xfrm>
                    <a:prstGeom prst="rect">
                      <a:avLst/>
                    </a:prstGeom>
                    <a:ln/>
                  </pic:spPr>
                </pic:pic>
              </a:graphicData>
            </a:graphic>
          </wp:inline>
        </w:drawing>
      </w:r>
    </w:p>
    <w:p w14:paraId="7DC8214E" w14:textId="77777777" w:rsidR="00B201AA" w:rsidRPr="002A1EA8" w:rsidRDefault="00000000" w:rsidP="004C1AF6">
      <w:pPr>
        <w:spacing w:line="360" w:lineRule="auto"/>
        <w:jc w:val="center"/>
        <w:rPr>
          <w:rFonts w:ascii="Times New Roman" w:eastAsia="Times New Roman" w:hAnsi="Times New Roman" w:cs="Times New Roman"/>
          <w:b/>
          <w:bCs/>
          <w:sz w:val="24"/>
          <w:szCs w:val="24"/>
        </w:rPr>
      </w:pPr>
      <w:r w:rsidRPr="002A1EA8">
        <w:rPr>
          <w:rFonts w:ascii="Times New Roman" w:eastAsia="Times New Roman" w:hAnsi="Times New Roman" w:cs="Times New Roman"/>
          <w:b/>
          <w:bCs/>
          <w:sz w:val="24"/>
          <w:szCs w:val="24"/>
        </w:rPr>
        <w:t xml:space="preserve">Figure 5: Corporate Governance framework </w:t>
      </w:r>
    </w:p>
    <w:p w14:paraId="01B2A4C7" w14:textId="0B78F07C" w:rsidR="00B201AA" w:rsidRPr="002A1EA8" w:rsidRDefault="00000000" w:rsidP="004C1AF6">
      <w:pPr>
        <w:spacing w:line="360" w:lineRule="auto"/>
        <w:jc w:val="center"/>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(Source: Emeka-Okoli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2024)</w:t>
      </w:r>
    </w:p>
    <w:p w14:paraId="3D680816" w14:textId="75BCD990" w:rsidR="00B201AA" w:rsidRPr="002A1EA8" w:rsidRDefault="00000000" w:rsidP="004C1AF6">
      <w:pPr>
        <w:spacing w:line="360" w:lineRule="auto"/>
        <w:jc w:val="both"/>
        <w:rPr>
          <w:rFonts w:ascii="Times New Roman" w:eastAsia="Times New Roman" w:hAnsi="Times New Roman" w:cs="Times New Roman"/>
          <w:b/>
          <w:bCs/>
          <w:sz w:val="24"/>
          <w:szCs w:val="24"/>
        </w:rPr>
      </w:pPr>
      <w:r w:rsidRPr="002A1EA8">
        <w:rPr>
          <w:rFonts w:ascii="Times New Roman" w:eastAsia="Times New Roman" w:hAnsi="Times New Roman" w:cs="Times New Roman"/>
          <w:sz w:val="24"/>
          <w:szCs w:val="24"/>
        </w:rPr>
        <w:t xml:space="preserve">However, Papagiannanidis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(2023) argue that limited managerial approach can see data governance as an IT department technical problem, as AI is often defined by speed, efficiency, and cost savings and not cautious control and accountable use. Nevertheless, the Corporate Governance structure demands boards to manage internal controls, adopt legally acceptable policies, guarantee good reporting, and deploy subsidiary structures of governance when risk arises. Critical interpretation reveals that data governance at Unilever should be viewed as a governance matter that incorporates power, authority, responsibility, and lawful administration in the UK and Netherlands rather than </w:t>
      </w:r>
      <w:r w:rsidR="002A1EA8" w:rsidRPr="002A1EA8">
        <w:rPr>
          <w:rFonts w:ascii="Times New Roman" w:eastAsia="Times New Roman" w:hAnsi="Times New Roman" w:cs="Times New Roman"/>
          <w:sz w:val="24"/>
          <w:szCs w:val="24"/>
        </w:rPr>
        <w:t>back-office</w:t>
      </w:r>
      <w:r w:rsidRPr="002A1EA8">
        <w:rPr>
          <w:rFonts w:ascii="Times New Roman" w:eastAsia="Times New Roman" w:hAnsi="Times New Roman" w:cs="Times New Roman"/>
          <w:sz w:val="24"/>
          <w:szCs w:val="24"/>
        </w:rPr>
        <w:t xml:space="preserve"> support. Therefore, Unilever ought to enhance </w:t>
      </w:r>
      <w:r w:rsidRPr="002A1EA8">
        <w:rPr>
          <w:rFonts w:ascii="Times New Roman" w:eastAsia="Times New Roman" w:hAnsi="Times New Roman" w:cs="Times New Roman"/>
          <w:sz w:val="24"/>
          <w:szCs w:val="24"/>
        </w:rPr>
        <w:lastRenderedPageBreak/>
        <w:t>board-level disclosure, data ownership, transnational control, and AI implementation to avoid legal, operational, and reputational harm due to minute failures.</w:t>
      </w:r>
    </w:p>
    <w:p w14:paraId="5B0B0AC3" w14:textId="77777777" w:rsidR="00B201AA" w:rsidRPr="002A1EA8" w:rsidRDefault="00000000" w:rsidP="004C1AF6">
      <w:pPr>
        <w:pStyle w:val="Heading2"/>
      </w:pPr>
      <w:bookmarkStart w:id="8" w:name="_Toc225504980"/>
      <w:r w:rsidRPr="002A1EA8">
        <w:t>2.5 Ethical Artificial Intelligence and Corporate Oversight</w:t>
      </w:r>
      <w:bookmarkEnd w:id="8"/>
    </w:p>
    <w:p w14:paraId="51A8B25B"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Chang and Ke (2024) assert that the model of Triple Bottom Line is used to measure the profit, efficiency, influence on the planet and people, and trust by using ethical artificial intelligence in Unilever. The model by Elkington (1994) focuses more on people, the planet, and profit as opposed to financial performance in evaluating corporate success. The success of AI in Unilever must be assessed based on its impacts on the workers, consumers, and stakeholders and not the speed of operation enhancement. Arinze (2024) confirms that AI can raise the speed of services demanded, plan the needs, and enhance corporate success. However, Varona and Suarez (2022) imply that AI might create bias, unfair profiling, ineffective employment choice, abuse of personal data, and reduced trust when a person is unaware of the decision-making process. Yet, AI usage is beneficial for companies as it helps to understand stakeholder’s expectations and act responsibly towards the planet, people and environment. Also, it helps to understand that ethical AI usage is enhanced in companies when critical decision-making is aligned with human-made decisions. </w:t>
      </w:r>
    </w:p>
    <w:p w14:paraId="4FCF2CE4" w14:textId="77777777" w:rsidR="00B201AA" w:rsidRPr="002A1EA8" w:rsidRDefault="00000000" w:rsidP="004C1AF6">
      <w:pPr>
        <w:spacing w:line="360" w:lineRule="auto"/>
        <w:jc w:val="center"/>
        <w:rPr>
          <w:rFonts w:ascii="Times New Roman" w:eastAsia="Times New Roman" w:hAnsi="Times New Roman" w:cs="Times New Roman"/>
          <w:sz w:val="24"/>
          <w:szCs w:val="24"/>
        </w:rPr>
      </w:pPr>
      <w:r w:rsidRPr="002A1EA8">
        <w:rPr>
          <w:rFonts w:ascii="Times New Roman" w:eastAsia="Times New Roman" w:hAnsi="Times New Roman" w:cs="Times New Roman"/>
          <w:noProof/>
          <w:sz w:val="24"/>
          <w:szCs w:val="24"/>
        </w:rPr>
        <w:lastRenderedPageBreak/>
        <w:drawing>
          <wp:inline distT="114300" distB="114300" distL="114300" distR="114300" wp14:anchorId="1E9FF380" wp14:editId="794D2CCB">
            <wp:extent cx="4714875" cy="4217638"/>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4714875" cy="4217638"/>
                    </a:xfrm>
                    <a:prstGeom prst="rect">
                      <a:avLst/>
                    </a:prstGeom>
                    <a:ln/>
                  </pic:spPr>
                </pic:pic>
              </a:graphicData>
            </a:graphic>
          </wp:inline>
        </w:drawing>
      </w:r>
    </w:p>
    <w:p w14:paraId="59FA0CE1" w14:textId="77777777" w:rsidR="00B201AA" w:rsidRPr="002A1EA8" w:rsidRDefault="00000000" w:rsidP="004C1AF6">
      <w:pPr>
        <w:spacing w:line="360" w:lineRule="auto"/>
        <w:jc w:val="center"/>
        <w:rPr>
          <w:rFonts w:ascii="Times New Roman" w:eastAsia="Times New Roman" w:hAnsi="Times New Roman" w:cs="Times New Roman"/>
          <w:b/>
          <w:bCs/>
          <w:sz w:val="24"/>
          <w:szCs w:val="24"/>
        </w:rPr>
      </w:pPr>
      <w:r w:rsidRPr="002A1EA8">
        <w:rPr>
          <w:rFonts w:ascii="Times New Roman" w:eastAsia="Times New Roman" w:hAnsi="Times New Roman" w:cs="Times New Roman"/>
          <w:b/>
          <w:bCs/>
          <w:sz w:val="24"/>
          <w:szCs w:val="24"/>
        </w:rPr>
        <w:t>Figure 6: Triple Bottom Line Theory</w:t>
      </w:r>
    </w:p>
    <w:p w14:paraId="68CCFCB6" w14:textId="77777777" w:rsidR="00B201AA" w:rsidRPr="002A1EA8" w:rsidRDefault="00000000" w:rsidP="004C1AF6">
      <w:pPr>
        <w:spacing w:line="360" w:lineRule="auto"/>
        <w:jc w:val="center"/>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(Source: Chang and Ke, 2024)</w:t>
      </w:r>
    </w:p>
    <w:p w14:paraId="1B07BE51" w14:textId="5D37DDDE"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Bansal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(2023) report that AI has the potential to enhance the market predictions, fasten marketing process, supply chain planning, and utilization of data across a large multinational enterprise, which augments the profit component of the Triple Bottom Line. Unilever is complex due to its size, and AI can assist it in adjusting more quickly to the alterations on the market, demand, and cost pressure. Bahangulu and Owusu-Berko (2025) however indicate that ethical and governance costs that would hamper performance and public trust may be hidden by short-term benefits, hence the profit aspect still needs to be fully </w:t>
      </w:r>
      <w:r w:rsidR="002A1EA8" w:rsidRPr="002A1EA8">
        <w:rPr>
          <w:rFonts w:ascii="Times New Roman" w:eastAsia="Times New Roman" w:hAnsi="Times New Roman" w:cs="Times New Roman"/>
          <w:sz w:val="24"/>
          <w:szCs w:val="24"/>
        </w:rPr>
        <w:t>analysed</w:t>
      </w:r>
      <w:r w:rsidRPr="002A1EA8">
        <w:rPr>
          <w:rFonts w:ascii="Times New Roman" w:eastAsia="Times New Roman" w:hAnsi="Times New Roman" w:cs="Times New Roman"/>
          <w:sz w:val="24"/>
          <w:szCs w:val="24"/>
        </w:rPr>
        <w:t>. Nevertheless, the profit concept cannot be rejected due to the fact that the model doubts whether the financial gain is responsible and sustainable.</w:t>
      </w:r>
    </w:p>
    <w:p w14:paraId="131CE7FE" w14:textId="28CC7061"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The planet aspect of the Triple Bottom Line should encourage responsible production, reduce wastage, and enhance sustainability decisions in the global supply chains of Unilever through ethical AI usage. According to Nweje and Taiwo (2025), AI is capable of enhancing accuracy of forecasts, minimising overproduction, enhanced inventory planning, and enhanced carbon-free </w:t>
      </w:r>
      <w:r w:rsidRPr="002A1EA8">
        <w:rPr>
          <w:rFonts w:ascii="Times New Roman" w:eastAsia="Times New Roman" w:hAnsi="Times New Roman" w:cs="Times New Roman"/>
          <w:sz w:val="24"/>
          <w:szCs w:val="24"/>
        </w:rPr>
        <w:lastRenderedPageBreak/>
        <w:t xml:space="preserve">transport and resource optimisation in the entire operations. However, Uddin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(2024) assume that this planet aspect of the model is more difficult to </w:t>
      </w:r>
      <w:r w:rsidR="002A1EA8" w:rsidRPr="002A1EA8">
        <w:rPr>
          <w:rFonts w:ascii="Times New Roman" w:eastAsia="Times New Roman" w:hAnsi="Times New Roman" w:cs="Times New Roman"/>
          <w:sz w:val="24"/>
          <w:szCs w:val="24"/>
        </w:rPr>
        <w:t>analyse</w:t>
      </w:r>
      <w:r w:rsidRPr="002A1EA8">
        <w:rPr>
          <w:rFonts w:ascii="Times New Roman" w:eastAsia="Times New Roman" w:hAnsi="Times New Roman" w:cs="Times New Roman"/>
          <w:sz w:val="24"/>
          <w:szCs w:val="24"/>
        </w:rPr>
        <w:t>, since environmental value is difficult to quantify, and corporations can exaggerate positive impact with no evidence. Nevertheless, the planet factor is applicable as it compels managers to focus on whether AI can help to ensure long-term sustainability or not only the improvement of operations.</w:t>
      </w:r>
    </w:p>
    <w:p w14:paraId="56FCC873" w14:textId="77777777" w:rsidR="00B201AA" w:rsidRPr="002A1EA8" w:rsidRDefault="00000000" w:rsidP="004C1AF6">
      <w:pPr>
        <w:pStyle w:val="Heading2"/>
      </w:pPr>
      <w:bookmarkStart w:id="9" w:name="_Toc225504981"/>
      <w:r w:rsidRPr="002A1EA8">
        <w:t>2.6 Regulatory Compliance in the UK and the Netherlands</w:t>
      </w:r>
      <w:bookmarkEnd w:id="9"/>
    </w:p>
    <w:p w14:paraId="3AA2C110" w14:textId="77777777" w:rsidR="00B201AA" w:rsidRPr="002A1EA8" w:rsidRDefault="00000000" w:rsidP="00353E97">
      <w:pPr>
        <w:pStyle w:val="Heading3"/>
      </w:pPr>
      <w:bookmarkStart w:id="10" w:name="_Toc225504982"/>
      <w:r w:rsidRPr="002A1EA8">
        <w:t>2.6.1 The UK Regulatory Environment</w:t>
      </w:r>
      <w:bookmarkEnd w:id="10"/>
    </w:p>
    <w:p w14:paraId="5CA429FC" w14:textId="2EE7FAD5" w:rsidR="00103E40"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Galleli and Amaral (2026) assert that the UK’s business context can be explained with the help of the Institutional Theory due to the fact that it reveals that businesses are dependent on the rules, compliances, and policies of the environments, which they operate in. </w:t>
      </w:r>
      <w:r w:rsidR="00103E40">
        <w:rPr>
          <w:rFonts w:ascii="Times New Roman" w:eastAsia="Times New Roman" w:hAnsi="Times New Roman" w:cs="Times New Roman"/>
          <w:sz w:val="24"/>
          <w:szCs w:val="24"/>
        </w:rPr>
        <w:t xml:space="preserve">The UK government’s AI related law is flexible and supports pro-innovation behaviour, where five cross-sector principles, including </w:t>
      </w:r>
      <w:r w:rsidR="00103E40" w:rsidRPr="00103E40">
        <w:rPr>
          <w:rFonts w:ascii="Times New Roman" w:eastAsia="Times New Roman" w:hAnsi="Times New Roman" w:cs="Times New Roman"/>
          <w:sz w:val="24"/>
          <w:szCs w:val="24"/>
        </w:rPr>
        <w:t>safety, openness, fairness, accountability, and contestability</w:t>
      </w:r>
      <w:r w:rsidR="00103E40">
        <w:rPr>
          <w:rFonts w:ascii="Times New Roman" w:eastAsia="Times New Roman" w:hAnsi="Times New Roman" w:cs="Times New Roman"/>
          <w:sz w:val="24"/>
          <w:szCs w:val="24"/>
        </w:rPr>
        <w:t>, along with GDPR and Data Protection Act 2018 are applied. However, Unilever operates in 190 nations, means that it cannot follow a single governance structure in all nations, like Netherlands has a formal structure of EU AI Act. Hence, Unilever makes sure that company aims and global governance is maintained, but also adapts to the regulations according to different countries.</w:t>
      </w:r>
    </w:p>
    <w:p w14:paraId="0563483C" w14:textId="77777777" w:rsidR="00103E40" w:rsidRDefault="00103E40" w:rsidP="004C1AF6">
      <w:pPr>
        <w:spacing w:line="360" w:lineRule="auto"/>
        <w:jc w:val="both"/>
        <w:rPr>
          <w:rFonts w:ascii="Times New Roman" w:eastAsia="Times New Roman" w:hAnsi="Times New Roman" w:cs="Times New Roman"/>
          <w:sz w:val="24"/>
          <w:szCs w:val="24"/>
        </w:rPr>
      </w:pPr>
    </w:p>
    <w:p w14:paraId="65221AE6" w14:textId="77777777" w:rsidR="00B201AA" w:rsidRPr="002A1EA8" w:rsidRDefault="00000000" w:rsidP="004C1AF6">
      <w:pPr>
        <w:spacing w:line="360" w:lineRule="auto"/>
        <w:jc w:val="center"/>
        <w:rPr>
          <w:rFonts w:ascii="Times New Roman" w:eastAsia="Times New Roman" w:hAnsi="Times New Roman" w:cs="Times New Roman"/>
          <w:sz w:val="24"/>
          <w:szCs w:val="24"/>
        </w:rPr>
      </w:pPr>
      <w:r w:rsidRPr="002A1EA8">
        <w:rPr>
          <w:rFonts w:ascii="Times New Roman" w:eastAsia="Times New Roman" w:hAnsi="Times New Roman" w:cs="Times New Roman"/>
          <w:noProof/>
          <w:sz w:val="24"/>
          <w:szCs w:val="24"/>
        </w:rPr>
        <w:drawing>
          <wp:inline distT="114300" distB="114300" distL="114300" distR="114300" wp14:anchorId="20BC69E6" wp14:editId="773763A9">
            <wp:extent cx="3962400" cy="287655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3962400" cy="2876550"/>
                    </a:xfrm>
                    <a:prstGeom prst="rect">
                      <a:avLst/>
                    </a:prstGeom>
                    <a:ln/>
                  </pic:spPr>
                </pic:pic>
              </a:graphicData>
            </a:graphic>
          </wp:inline>
        </w:drawing>
      </w:r>
    </w:p>
    <w:p w14:paraId="686EC903" w14:textId="77777777" w:rsidR="00B201AA" w:rsidRPr="002A1EA8" w:rsidRDefault="00000000" w:rsidP="004C1AF6">
      <w:pPr>
        <w:spacing w:line="360" w:lineRule="auto"/>
        <w:jc w:val="center"/>
        <w:rPr>
          <w:rFonts w:ascii="Times New Roman" w:eastAsia="Times New Roman" w:hAnsi="Times New Roman" w:cs="Times New Roman"/>
          <w:b/>
          <w:bCs/>
          <w:sz w:val="24"/>
          <w:szCs w:val="24"/>
        </w:rPr>
      </w:pPr>
      <w:r w:rsidRPr="002A1EA8">
        <w:rPr>
          <w:rFonts w:ascii="Times New Roman" w:eastAsia="Times New Roman" w:hAnsi="Times New Roman" w:cs="Times New Roman"/>
          <w:b/>
          <w:bCs/>
          <w:sz w:val="24"/>
          <w:szCs w:val="24"/>
        </w:rPr>
        <w:t>Figure 7: Institutional Theory</w:t>
      </w:r>
    </w:p>
    <w:p w14:paraId="7D2261A9" w14:textId="77777777" w:rsidR="00B201AA" w:rsidRPr="002A1EA8" w:rsidRDefault="00000000" w:rsidP="004C1AF6">
      <w:pPr>
        <w:spacing w:line="360" w:lineRule="auto"/>
        <w:jc w:val="center"/>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lastRenderedPageBreak/>
        <w:t>(Source: Galleli and Amaral, 2026)</w:t>
      </w:r>
    </w:p>
    <w:p w14:paraId="2B098DFA" w14:textId="77777777" w:rsidR="00B201AA" w:rsidRPr="002A1EA8" w:rsidRDefault="00000000" w:rsidP="00353E97">
      <w:pPr>
        <w:pStyle w:val="Heading3"/>
      </w:pPr>
      <w:bookmarkStart w:id="11" w:name="_Toc225504983"/>
      <w:r w:rsidRPr="002A1EA8">
        <w:t>2.6.2 The Netherlands Regulatory Environment</w:t>
      </w:r>
      <w:bookmarkEnd w:id="11"/>
    </w:p>
    <w:p w14:paraId="289873C8"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Netherland’s AI governance is institutionally different and informed by the EU AI Act.  According to Butt (2024), the AI Act is the first ever risk-based paradigm based comprehensive AI law with responsibilities on high-risk systems, transparency, human control, data quality, accuracy, and cybersecurity set by the European Commission. Some important steps have been initiated since 2025, the greater part of the Act came into effect on 2 August 2026 and some of the duties persist until 2027, therefore compliance is still evolving. However, Busuioc (2022) adds that the Dutch Data Protection Authority organizes the supervision of algorithms and AI, where the Algorithm Register publicizes the algorithms used in the sector. Thus, Unilever understands the importance of a formal rule-based European compliance environment in the Netherlands, when considering it for marketing operations.</w:t>
      </w:r>
    </w:p>
    <w:p w14:paraId="7B9E8FD4" w14:textId="77777777" w:rsidR="00B201AA" w:rsidRPr="002A1EA8" w:rsidRDefault="00000000" w:rsidP="004C1AF6">
      <w:pPr>
        <w:spacing w:line="360" w:lineRule="auto"/>
        <w:jc w:val="center"/>
        <w:rPr>
          <w:rFonts w:ascii="Times New Roman" w:eastAsia="Times New Roman" w:hAnsi="Times New Roman" w:cs="Times New Roman"/>
          <w:sz w:val="24"/>
          <w:szCs w:val="24"/>
        </w:rPr>
      </w:pPr>
      <w:r w:rsidRPr="002A1EA8">
        <w:rPr>
          <w:rFonts w:ascii="Times New Roman" w:eastAsia="Times New Roman" w:hAnsi="Times New Roman" w:cs="Times New Roman"/>
          <w:noProof/>
          <w:sz w:val="24"/>
          <w:szCs w:val="24"/>
        </w:rPr>
        <w:drawing>
          <wp:inline distT="114300" distB="114300" distL="114300" distR="114300" wp14:anchorId="22F732B2" wp14:editId="0060AA83">
            <wp:extent cx="5662613" cy="2863017"/>
            <wp:effectExtent l="0" t="0" r="0" b="0"/>
            <wp:docPr id="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5662613" cy="2863017"/>
                    </a:xfrm>
                    <a:prstGeom prst="rect">
                      <a:avLst/>
                    </a:prstGeom>
                    <a:ln/>
                  </pic:spPr>
                </pic:pic>
              </a:graphicData>
            </a:graphic>
          </wp:inline>
        </w:drawing>
      </w:r>
    </w:p>
    <w:p w14:paraId="0D009F7F" w14:textId="77777777" w:rsidR="00B201AA" w:rsidRPr="002A1EA8" w:rsidRDefault="00000000" w:rsidP="004C1AF6">
      <w:pPr>
        <w:spacing w:line="360" w:lineRule="auto"/>
        <w:jc w:val="center"/>
        <w:rPr>
          <w:rFonts w:ascii="Times New Roman" w:eastAsia="Times New Roman" w:hAnsi="Times New Roman" w:cs="Times New Roman"/>
          <w:b/>
          <w:bCs/>
          <w:sz w:val="24"/>
          <w:szCs w:val="24"/>
        </w:rPr>
      </w:pPr>
      <w:r w:rsidRPr="002A1EA8">
        <w:rPr>
          <w:rFonts w:ascii="Times New Roman" w:eastAsia="Times New Roman" w:hAnsi="Times New Roman" w:cs="Times New Roman"/>
          <w:b/>
          <w:bCs/>
          <w:sz w:val="24"/>
          <w:szCs w:val="24"/>
        </w:rPr>
        <w:t>Figure 8: EU AI Act</w:t>
      </w:r>
    </w:p>
    <w:p w14:paraId="6BF378C4" w14:textId="77777777" w:rsidR="00B201AA" w:rsidRPr="002A1EA8" w:rsidRDefault="00000000" w:rsidP="004C1AF6">
      <w:pPr>
        <w:spacing w:line="360" w:lineRule="auto"/>
        <w:jc w:val="center"/>
        <w:rPr>
          <w:rFonts w:ascii="Times New Roman" w:eastAsia="Times New Roman" w:hAnsi="Times New Roman" w:cs="Times New Roman"/>
          <w:b/>
          <w:bCs/>
          <w:sz w:val="24"/>
          <w:szCs w:val="24"/>
        </w:rPr>
      </w:pPr>
      <w:r w:rsidRPr="002A1EA8">
        <w:rPr>
          <w:rFonts w:ascii="Times New Roman" w:eastAsia="Times New Roman" w:hAnsi="Times New Roman" w:cs="Times New Roman"/>
          <w:sz w:val="24"/>
          <w:szCs w:val="24"/>
        </w:rPr>
        <w:t>(Source: Butt, 2024)</w:t>
      </w:r>
    </w:p>
    <w:p w14:paraId="766CE8CB" w14:textId="77777777" w:rsidR="00B201AA" w:rsidRPr="002A1EA8" w:rsidRDefault="00000000" w:rsidP="00353E97">
      <w:pPr>
        <w:pStyle w:val="Heading3"/>
      </w:pPr>
      <w:bookmarkStart w:id="12" w:name="_Toc225504984"/>
      <w:r w:rsidRPr="002A1EA8">
        <w:t>2.6.3 Comparative Analysis</w:t>
      </w:r>
      <w:bookmarkEnd w:id="12"/>
    </w:p>
    <w:p w14:paraId="4B2B9BAC"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The UK has greater flexibility of interpretation of the laws by regulators and the Netherlands follows the more formalised EU model. Popa (2025) states that the UK can provide Unilever with an enhanced chance to adjust AI governance according to the sector and the company operation, whereas the Dutch and EU have more severe legal requirements, schedules, and documentation. </w:t>
      </w:r>
      <w:r w:rsidRPr="002A1EA8">
        <w:rPr>
          <w:rFonts w:ascii="Times New Roman" w:eastAsia="Times New Roman" w:hAnsi="Times New Roman" w:cs="Times New Roman"/>
          <w:sz w:val="24"/>
          <w:szCs w:val="24"/>
        </w:rPr>
        <w:lastRenderedPageBreak/>
        <w:t>However, the UK and the Netherlands want corporations to rectify data prejudice, transparency, protection, responsibility, and authorized data use solemnly. The basic difference is that the same AI tool can be subject to further official classification and compliance requirements in the Netherlands than in the UK because of regulators, data law, and developing guidelines.</w:t>
      </w:r>
    </w:p>
    <w:p w14:paraId="62FFECED" w14:textId="77777777" w:rsidR="00B201AA" w:rsidRPr="002A1EA8" w:rsidRDefault="00000000" w:rsidP="00353E97">
      <w:pPr>
        <w:pStyle w:val="Heading3"/>
      </w:pPr>
      <w:bookmarkStart w:id="13" w:name="_Toc225504985"/>
      <w:r w:rsidRPr="002A1EA8">
        <w:t>2.6.4 Implications for Unilever and Theoretical Interpretation</w:t>
      </w:r>
      <w:bookmarkEnd w:id="13"/>
    </w:p>
    <w:p w14:paraId="0F3118F7" w14:textId="5E26C82B"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Unilever is a global brand and it markets its products in more than 190 countries, and the company has a turnover of €50.5 billion in 2025. Also</w:t>
      </w:r>
      <w:r w:rsidR="002A1EA8">
        <w:rPr>
          <w:rFonts w:ascii="Times New Roman" w:eastAsia="Times New Roman" w:hAnsi="Times New Roman" w:cs="Times New Roman"/>
          <w:sz w:val="24"/>
          <w:szCs w:val="24"/>
        </w:rPr>
        <w:t>,</w:t>
      </w:r>
      <w:r w:rsidRPr="002A1EA8">
        <w:rPr>
          <w:rFonts w:ascii="Times New Roman" w:eastAsia="Times New Roman" w:hAnsi="Times New Roman" w:cs="Times New Roman"/>
          <w:sz w:val="24"/>
          <w:szCs w:val="24"/>
        </w:rPr>
        <w:t xml:space="preserve"> the company reaches 3.7 billion people every day with its FMCG products; hence, even the smallest governance errors can go viral among customers and this can lead to huge reputational loss for the company. According to the concept of Institutional Theory, the enterprises are required to conform to different legal and regulatory environments as opposed to the use of a single model across the board. Glynn and D'aunno (2023) suggest that Unilever must maintain a global governance system but introduce country-based legal controls, reporting, and compliance, like different kinds of AI governance in the UK and Netherlands. This implies that the risk of AI is technological and institutional and it should be maintained for operational success with proper governance frameworks.</w:t>
      </w:r>
    </w:p>
    <w:p w14:paraId="69977F8A" w14:textId="77777777" w:rsidR="00B201AA" w:rsidRPr="002A1EA8" w:rsidRDefault="00000000" w:rsidP="004C1AF6">
      <w:pPr>
        <w:pStyle w:val="Heading2"/>
      </w:pPr>
      <w:bookmarkStart w:id="14" w:name="_Toc225504986"/>
      <w:r w:rsidRPr="002A1EA8">
        <w:t>2.7 Customer Trust and Stakeholder Expectations</w:t>
      </w:r>
      <w:bookmarkEnd w:id="14"/>
    </w:p>
    <w:p w14:paraId="3AC82DFC" w14:textId="7D0ECC00" w:rsidR="00103E40"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The Corporate Social Responsibility theory shows that large companies must go beyond organisational profit that focuses only on increasing revenues, and also focus on society and all stakeholders, as only trust, fairness, and responsible behaviour is needed for companies to succeed on the long-term basis (Awa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2024). Research indicates that CSR is able to enhance consumer confidence, commitment, satisfaction, and loyalty and it is useful for global companies like Unilever that deal with millions of customers. Unilever can be an effective example because it sells its products in 190 countries, they are used by 3.7 billion people every day, and the company shows a profit of €50.5 billion in 2025. Customer trust is essential to such a large firm since even minor concerns about justice related to data usage or privacy may circulate throughout brands and markets. </w:t>
      </w:r>
      <w:r w:rsidR="00103E40" w:rsidRPr="00103E40">
        <w:rPr>
          <w:rFonts w:ascii="Times New Roman" w:eastAsia="Times New Roman" w:hAnsi="Times New Roman" w:cs="Times New Roman"/>
          <w:sz w:val="24"/>
          <w:szCs w:val="24"/>
        </w:rPr>
        <w:t xml:space="preserve">Habbal </w:t>
      </w:r>
      <w:r w:rsidR="004344D5" w:rsidRPr="004344D5">
        <w:rPr>
          <w:rFonts w:ascii="Times New Roman" w:eastAsia="Times New Roman" w:hAnsi="Times New Roman" w:cs="Times New Roman"/>
          <w:i/>
          <w:iCs/>
          <w:sz w:val="24"/>
          <w:szCs w:val="24"/>
        </w:rPr>
        <w:t>et al.</w:t>
      </w:r>
      <w:r w:rsidR="00103E40" w:rsidRPr="00103E40">
        <w:rPr>
          <w:rFonts w:ascii="Times New Roman" w:eastAsia="Times New Roman" w:hAnsi="Times New Roman" w:cs="Times New Roman"/>
          <w:sz w:val="24"/>
          <w:szCs w:val="24"/>
        </w:rPr>
        <w:t xml:space="preserve"> (2024)</w:t>
      </w:r>
      <w:r w:rsidR="00103E40">
        <w:rPr>
          <w:rFonts w:ascii="Times New Roman" w:eastAsia="Times New Roman" w:hAnsi="Times New Roman" w:cs="Times New Roman"/>
          <w:sz w:val="24"/>
          <w:szCs w:val="24"/>
        </w:rPr>
        <w:t xml:space="preserve"> assert that AI is used by global companies like Unilever for client profiling while using that data for future predictions</w:t>
      </w:r>
      <w:r w:rsidR="00BF2F9A">
        <w:rPr>
          <w:rFonts w:ascii="Times New Roman" w:eastAsia="Times New Roman" w:hAnsi="Times New Roman" w:cs="Times New Roman"/>
          <w:sz w:val="24"/>
          <w:szCs w:val="24"/>
        </w:rPr>
        <w:t xml:space="preserve"> and targeting the customers intrusively for personalised marketing. However, client trust regarding transparency in data usage is important, as unethical usage of data can lead to misinterpretation of the results and thus cause reputational </w:t>
      </w:r>
      <w:r w:rsidR="00BF2F9A">
        <w:rPr>
          <w:rFonts w:ascii="Times New Roman" w:eastAsia="Times New Roman" w:hAnsi="Times New Roman" w:cs="Times New Roman"/>
          <w:sz w:val="24"/>
          <w:szCs w:val="24"/>
        </w:rPr>
        <w:lastRenderedPageBreak/>
        <w:t>loss. Clients demand transparency in data usage, and Unilever must consider this aspect, as company reports show that it has increased 30% revenue once the company started implementing AI in their company operations. Thus, Unilever understands the importance of openness with customers regarding data usage, and hence the company has strong ethical governance regarding AI usage for maintaining customer trust.</w:t>
      </w:r>
    </w:p>
    <w:p w14:paraId="037BC247" w14:textId="77777777" w:rsidR="00103E40" w:rsidRDefault="00103E40" w:rsidP="004C1AF6">
      <w:pPr>
        <w:spacing w:line="360" w:lineRule="auto"/>
        <w:jc w:val="both"/>
        <w:rPr>
          <w:rFonts w:ascii="Times New Roman" w:eastAsia="Times New Roman" w:hAnsi="Times New Roman" w:cs="Times New Roman"/>
          <w:sz w:val="24"/>
          <w:szCs w:val="24"/>
        </w:rPr>
      </w:pPr>
    </w:p>
    <w:p w14:paraId="74562AA6" w14:textId="77777777" w:rsidR="00B201AA" w:rsidRPr="002A1EA8" w:rsidRDefault="00000000" w:rsidP="004C1AF6">
      <w:pPr>
        <w:spacing w:line="360" w:lineRule="auto"/>
        <w:jc w:val="center"/>
        <w:rPr>
          <w:rFonts w:ascii="Times New Roman" w:eastAsia="Times New Roman" w:hAnsi="Times New Roman" w:cs="Times New Roman"/>
          <w:sz w:val="24"/>
          <w:szCs w:val="24"/>
        </w:rPr>
      </w:pPr>
      <w:r w:rsidRPr="002A1EA8">
        <w:rPr>
          <w:rFonts w:ascii="Times New Roman" w:eastAsia="Times New Roman" w:hAnsi="Times New Roman" w:cs="Times New Roman"/>
          <w:noProof/>
          <w:sz w:val="24"/>
          <w:szCs w:val="24"/>
        </w:rPr>
        <w:drawing>
          <wp:inline distT="114300" distB="114300" distL="114300" distR="114300" wp14:anchorId="177A20E2" wp14:editId="434C47E8">
            <wp:extent cx="5240366" cy="3692500"/>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5240366" cy="3692500"/>
                    </a:xfrm>
                    <a:prstGeom prst="rect">
                      <a:avLst/>
                    </a:prstGeom>
                    <a:ln/>
                  </pic:spPr>
                </pic:pic>
              </a:graphicData>
            </a:graphic>
          </wp:inline>
        </w:drawing>
      </w:r>
    </w:p>
    <w:p w14:paraId="28AF1BEA" w14:textId="77777777" w:rsidR="00B201AA" w:rsidRPr="002A1EA8" w:rsidRDefault="00000000" w:rsidP="004C1AF6">
      <w:pPr>
        <w:spacing w:line="360" w:lineRule="auto"/>
        <w:jc w:val="center"/>
        <w:rPr>
          <w:rFonts w:ascii="Times New Roman" w:eastAsia="Times New Roman" w:hAnsi="Times New Roman" w:cs="Times New Roman"/>
          <w:b/>
          <w:bCs/>
          <w:sz w:val="24"/>
          <w:szCs w:val="24"/>
        </w:rPr>
      </w:pPr>
      <w:r w:rsidRPr="002A1EA8">
        <w:rPr>
          <w:rFonts w:ascii="Times New Roman" w:eastAsia="Times New Roman" w:hAnsi="Times New Roman" w:cs="Times New Roman"/>
          <w:b/>
          <w:bCs/>
          <w:sz w:val="24"/>
          <w:szCs w:val="24"/>
        </w:rPr>
        <w:t>Figure 9: Corporate Social Responsibility Theory</w:t>
      </w:r>
    </w:p>
    <w:p w14:paraId="60CEB25A" w14:textId="2F079D0E" w:rsidR="00B201AA" w:rsidRPr="002A1EA8" w:rsidRDefault="00000000" w:rsidP="004C1AF6">
      <w:pPr>
        <w:spacing w:line="360" w:lineRule="auto"/>
        <w:jc w:val="center"/>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 (Source: Awa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2024)</w:t>
      </w:r>
    </w:p>
    <w:p w14:paraId="749D186F" w14:textId="53234AA9"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However, Akter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(2025) state that customers require convenience, reduced prices, and faster service, thus stricter AI regulations may inhibit marketing and reduce the gains of the companies. Unilever has boasted of faster content creation, greater campaign exposure, and a healthy engagement through AI assisted marketing. For instance, with the use of AI, within less than 30 days, the Dove Change the Compliment campaign had reached 700 million impressions and 94 percent positive sentiment, which has improved the brand image of Unilever at a global scale (Dove, 2025). Nevertheless, the theory of CSR states that the profitability generated in the short term is inadequate when customers may doubt the level of honesty, privacy, or fairness due to the fact that trust is the basis of reputation and repurchase. Responsible behaviour led to increased </w:t>
      </w:r>
      <w:r w:rsidRPr="002A1EA8">
        <w:rPr>
          <w:rFonts w:ascii="Times New Roman" w:eastAsia="Times New Roman" w:hAnsi="Times New Roman" w:cs="Times New Roman"/>
          <w:sz w:val="24"/>
          <w:szCs w:val="24"/>
        </w:rPr>
        <w:lastRenderedPageBreak/>
        <w:t>firm reputation and trust, which results in increased consumer trust, rather than sales as CSR and consumer trust studies reveal. Therefore, Unilever ought to prioritize customer trust as a strategic asset and assess AI in terms of responsibility and not speed, client reach, or cost-saving. Certain implications of responsible AI in Unilever are expected to be clear communication, cautious use of data, less intrusive profiling, and enhanced customer protection in the UK and Netherlands. The CSR theory purports that the stakeholders desire that brands should act fairly, explain their presence, and protect the trustworthiness since the value of the long term is based on trust rather than performance.</w:t>
      </w:r>
    </w:p>
    <w:p w14:paraId="49BF5030" w14:textId="77777777" w:rsidR="00B201AA" w:rsidRPr="002A1EA8" w:rsidRDefault="00000000" w:rsidP="004C1AF6">
      <w:pPr>
        <w:pStyle w:val="Heading2"/>
      </w:pPr>
      <w:bookmarkStart w:id="15" w:name="_Toc225504987"/>
      <w:r w:rsidRPr="002A1EA8">
        <w:t>2.8 Recommendations for Unilever and Implementation plan</w:t>
      </w:r>
      <w:bookmarkEnd w:id="15"/>
      <w:r w:rsidRPr="002A1EA8">
        <w:t xml:space="preserve"> </w:t>
      </w:r>
    </w:p>
    <w:p w14:paraId="4B7410A3" w14:textId="77777777" w:rsidR="00B201AA" w:rsidRPr="002A1EA8" w:rsidRDefault="00000000" w:rsidP="004C1AF6">
      <w:pPr>
        <w:spacing w:line="360" w:lineRule="auto"/>
        <w:jc w:val="both"/>
        <w:rPr>
          <w:rFonts w:ascii="Times New Roman" w:eastAsia="Times New Roman" w:hAnsi="Times New Roman" w:cs="Times New Roman"/>
          <w:sz w:val="24"/>
          <w:szCs w:val="24"/>
          <w:highlight w:val="yellow"/>
        </w:rPr>
      </w:pPr>
      <w:r w:rsidRPr="002A1EA8">
        <w:rPr>
          <w:rFonts w:ascii="Times New Roman" w:eastAsia="Times New Roman" w:hAnsi="Times New Roman" w:cs="Times New Roman"/>
          <w:sz w:val="24"/>
          <w:szCs w:val="24"/>
        </w:rPr>
        <w:t>This section of the report will provide practical recommendations and a roadmap to responsible AI management for Unilever in the global market. These include governance, oversight, data control, risk assessment, human judgment to include AI-based decisions, customer trust, regulatory oversight, and employee competence in enhancing performance and mitigating the risks of legal, ethical and reputational risk.</w:t>
      </w:r>
    </w:p>
    <w:tbl>
      <w:tblPr>
        <w:tblStyle w:val="a"/>
        <w:tblW w:w="93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71"/>
        <w:gridCol w:w="3185"/>
        <w:gridCol w:w="1464"/>
        <w:gridCol w:w="1140"/>
        <w:gridCol w:w="1485"/>
      </w:tblGrid>
      <w:tr w:rsidR="00B201AA" w:rsidRPr="002A1EA8" w14:paraId="5AB6AC31" w14:textId="77777777">
        <w:trPr>
          <w:trHeight w:val="78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AF16D4" w14:textId="77777777" w:rsidR="00B201AA" w:rsidRPr="002A1EA8" w:rsidRDefault="00000000" w:rsidP="004C1AF6">
            <w:pPr>
              <w:spacing w:line="360" w:lineRule="auto"/>
              <w:jc w:val="center"/>
              <w:rPr>
                <w:rFonts w:ascii="Times New Roman" w:eastAsia="Times New Roman" w:hAnsi="Times New Roman" w:cs="Times New Roman"/>
                <w:sz w:val="24"/>
                <w:szCs w:val="24"/>
              </w:rPr>
            </w:pPr>
            <w:r w:rsidRPr="002A1EA8">
              <w:rPr>
                <w:rFonts w:ascii="Times New Roman" w:eastAsia="Times New Roman" w:hAnsi="Times New Roman" w:cs="Times New Roman"/>
                <w:b/>
                <w:bCs/>
                <w:sz w:val="24"/>
                <w:szCs w:val="24"/>
              </w:rPr>
              <w:t>Recommendation</w:t>
            </w:r>
          </w:p>
        </w:tc>
        <w:tc>
          <w:tcPr>
            <w:tcW w:w="3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0BA625" w14:textId="77777777" w:rsidR="00B201AA" w:rsidRPr="002A1EA8" w:rsidRDefault="00000000" w:rsidP="004C1AF6">
            <w:pPr>
              <w:spacing w:line="360" w:lineRule="auto"/>
              <w:jc w:val="center"/>
              <w:rPr>
                <w:rFonts w:ascii="Times New Roman" w:eastAsia="Times New Roman" w:hAnsi="Times New Roman" w:cs="Times New Roman"/>
                <w:sz w:val="24"/>
                <w:szCs w:val="24"/>
              </w:rPr>
            </w:pPr>
            <w:r w:rsidRPr="002A1EA8">
              <w:rPr>
                <w:rFonts w:ascii="Times New Roman" w:eastAsia="Times New Roman" w:hAnsi="Times New Roman" w:cs="Times New Roman"/>
                <w:b/>
                <w:bCs/>
                <w:sz w:val="24"/>
                <w:szCs w:val="24"/>
              </w:rPr>
              <w:t>Action</w:t>
            </w:r>
          </w:p>
        </w:tc>
        <w:tc>
          <w:tcPr>
            <w:tcW w:w="14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F1BF31" w14:textId="77777777" w:rsidR="00B201AA" w:rsidRPr="002A1EA8" w:rsidRDefault="00000000" w:rsidP="004C1AF6">
            <w:pPr>
              <w:spacing w:line="360" w:lineRule="auto"/>
              <w:jc w:val="center"/>
              <w:rPr>
                <w:rFonts w:ascii="Times New Roman" w:eastAsia="Times New Roman" w:hAnsi="Times New Roman" w:cs="Times New Roman"/>
                <w:sz w:val="24"/>
                <w:szCs w:val="24"/>
              </w:rPr>
            </w:pPr>
            <w:r w:rsidRPr="002A1EA8">
              <w:rPr>
                <w:rFonts w:ascii="Times New Roman" w:eastAsia="Times New Roman" w:hAnsi="Times New Roman" w:cs="Times New Roman"/>
                <w:b/>
                <w:bCs/>
                <w:sz w:val="24"/>
                <w:szCs w:val="24"/>
              </w:rPr>
              <w:t>Responsible Team</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40AE43" w14:textId="77777777" w:rsidR="00B201AA" w:rsidRPr="002A1EA8" w:rsidRDefault="00000000" w:rsidP="004C1AF6">
            <w:pPr>
              <w:spacing w:line="360" w:lineRule="auto"/>
              <w:jc w:val="center"/>
              <w:rPr>
                <w:rFonts w:ascii="Times New Roman" w:eastAsia="Times New Roman" w:hAnsi="Times New Roman" w:cs="Times New Roman"/>
                <w:sz w:val="24"/>
                <w:szCs w:val="24"/>
              </w:rPr>
            </w:pPr>
            <w:r w:rsidRPr="002A1EA8">
              <w:rPr>
                <w:rFonts w:ascii="Times New Roman" w:eastAsia="Times New Roman" w:hAnsi="Times New Roman" w:cs="Times New Roman"/>
                <w:b/>
                <w:bCs/>
                <w:sz w:val="24"/>
                <w:szCs w:val="24"/>
              </w:rPr>
              <w:t>Timeline</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6A3D18" w14:textId="77777777" w:rsidR="00B201AA" w:rsidRPr="002A1EA8" w:rsidRDefault="00000000" w:rsidP="004C1AF6">
            <w:pPr>
              <w:spacing w:line="360" w:lineRule="auto"/>
              <w:jc w:val="center"/>
              <w:rPr>
                <w:rFonts w:ascii="Times New Roman" w:eastAsia="Times New Roman" w:hAnsi="Times New Roman" w:cs="Times New Roman"/>
                <w:sz w:val="24"/>
                <w:szCs w:val="24"/>
              </w:rPr>
            </w:pPr>
            <w:r w:rsidRPr="002A1EA8">
              <w:rPr>
                <w:rFonts w:ascii="Times New Roman" w:eastAsia="Times New Roman" w:hAnsi="Times New Roman" w:cs="Times New Roman"/>
                <w:b/>
                <w:bCs/>
                <w:sz w:val="24"/>
                <w:szCs w:val="24"/>
              </w:rPr>
              <w:t>Expected Outcome</w:t>
            </w:r>
          </w:p>
        </w:tc>
      </w:tr>
      <w:tr w:rsidR="00B201AA" w:rsidRPr="002A1EA8" w14:paraId="67560B7F" w14:textId="77777777" w:rsidTr="002A1EA8">
        <w:trPr>
          <w:trHeight w:val="1014"/>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F8B1EA"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Establish an AI governance framework</w:t>
            </w:r>
          </w:p>
        </w:tc>
        <w:tc>
          <w:tcPr>
            <w:tcW w:w="3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CE16E1" w14:textId="2FA283D2" w:rsidR="00B201AA" w:rsidRPr="002A1EA8" w:rsidRDefault="00000000" w:rsidP="004C1AF6">
            <w:pPr>
              <w:spacing w:line="360" w:lineRule="auto"/>
              <w:jc w:val="both"/>
              <w:rPr>
                <w:rFonts w:ascii="Times New Roman" w:eastAsia="Times New Roman" w:hAnsi="Times New Roman" w:cs="Times New Roman"/>
                <w:sz w:val="24"/>
                <w:szCs w:val="24"/>
                <w:highlight w:val="yellow"/>
              </w:rPr>
            </w:pPr>
            <w:r w:rsidRPr="002A1EA8">
              <w:rPr>
                <w:rFonts w:ascii="Times New Roman" w:eastAsia="Times New Roman" w:hAnsi="Times New Roman" w:cs="Times New Roman"/>
                <w:sz w:val="24"/>
                <w:szCs w:val="24"/>
              </w:rPr>
              <w:t xml:space="preserve">Unilever needs to implement a holistic AI governance framework to implement responsible AI application across all its key business unit segments (Birkstedt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2023). The business, risk, legal, and technical teams need to be connected by the definite roles in the design, approval, check, and review of AI systems. A central AI </w:t>
            </w:r>
            <w:r w:rsidRPr="002A1EA8">
              <w:rPr>
                <w:rFonts w:ascii="Times New Roman" w:eastAsia="Times New Roman" w:hAnsi="Times New Roman" w:cs="Times New Roman"/>
                <w:sz w:val="24"/>
                <w:szCs w:val="24"/>
              </w:rPr>
              <w:lastRenderedPageBreak/>
              <w:t>governing council must be used to prevent technical teams and local managers making key decisions.</w:t>
            </w:r>
          </w:p>
        </w:tc>
        <w:tc>
          <w:tcPr>
            <w:tcW w:w="14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508A69"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lastRenderedPageBreak/>
              <w:t>Board, Executive Committee, Legal, Risk, Data and Technology Teams</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DA9B5D"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Short term (0–3 months)</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87019F"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Clear control structure, better coordination, and stronger accountability across Unilever</w:t>
            </w:r>
          </w:p>
        </w:tc>
      </w:tr>
      <w:tr w:rsidR="00B201AA" w:rsidRPr="002A1EA8" w14:paraId="2E1E836B" w14:textId="77777777">
        <w:trPr>
          <w:trHeight w:val="2720"/>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040610"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Strengthen board and executive oversight</w:t>
            </w:r>
          </w:p>
        </w:tc>
        <w:tc>
          <w:tcPr>
            <w:tcW w:w="3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69887B"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AI enhances the marketing, forecasting, supply chains, customer data, and business reputation in many industries and brands, and thus board and management oversight are to be enhanced for proper AI usage. To ensure the highest level of accountability, the senior leaders must receive periodic reports on the ethical AI use, risk exposure, compliance challenges and critical system failures (Frenette, 2023). This aspect of monitoring cannot be ignored since the AI decisions made by many teams with no obvious reporting lines or ownership undermine accountability.</w:t>
            </w:r>
          </w:p>
        </w:tc>
        <w:tc>
          <w:tcPr>
            <w:tcW w:w="14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A5831E"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Board, CEO, Senior Management, Risk and Compliance Teams</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A3E4B8"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Short term (0–3 months)</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8A6A57"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Better senior-level accountability and faster response to emerging AI risks</w:t>
            </w:r>
          </w:p>
        </w:tc>
      </w:tr>
      <w:tr w:rsidR="00B201AA" w:rsidRPr="002A1EA8" w14:paraId="47409EBD" w14:textId="77777777" w:rsidTr="002A1EA8">
        <w:trPr>
          <w:trHeight w:val="1014"/>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A4645B"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Improve data governance</w:t>
            </w:r>
          </w:p>
        </w:tc>
        <w:tc>
          <w:tcPr>
            <w:tcW w:w="3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3997F0" w14:textId="29F2A7D4"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In an effort to enhance data governance in all systems and operating units, Unilever needs to enhance data quality, access, ownership, storage, and control </w:t>
            </w:r>
            <w:r w:rsidRPr="002A1EA8">
              <w:rPr>
                <w:rFonts w:ascii="Times New Roman" w:eastAsia="Times New Roman" w:hAnsi="Times New Roman" w:cs="Times New Roman"/>
                <w:sz w:val="24"/>
                <w:szCs w:val="24"/>
              </w:rPr>
              <w:lastRenderedPageBreak/>
              <w:t xml:space="preserve">policy (Adepoju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2023). The absence of old, lost, copied, or mismanaged data within areas, departments, suppliers, and digital environments renders results of AI unreliable. Therefore, the organization is supposed to provide clear data to owners, restrict unnecessary access, and design regular data quality, accuracy and consistency audits.</w:t>
            </w:r>
          </w:p>
        </w:tc>
        <w:tc>
          <w:tcPr>
            <w:tcW w:w="14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86825D"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lastRenderedPageBreak/>
              <w:t xml:space="preserve">Data Governance Team, IT, Legal, Business </w:t>
            </w:r>
            <w:r w:rsidRPr="002A1EA8">
              <w:rPr>
                <w:rFonts w:ascii="Times New Roman" w:eastAsia="Times New Roman" w:hAnsi="Times New Roman" w:cs="Times New Roman"/>
                <w:sz w:val="24"/>
                <w:szCs w:val="24"/>
              </w:rPr>
              <w:lastRenderedPageBreak/>
              <w:t>Unit Managers</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44221E"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lastRenderedPageBreak/>
              <w:t>Short to medium term (0–6 months)</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DDCE50"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More reliable AI outputs, lower data risk, and stronger </w:t>
            </w:r>
            <w:r w:rsidRPr="002A1EA8">
              <w:rPr>
                <w:rFonts w:ascii="Times New Roman" w:eastAsia="Times New Roman" w:hAnsi="Times New Roman" w:cs="Times New Roman"/>
                <w:sz w:val="24"/>
                <w:szCs w:val="24"/>
              </w:rPr>
              <w:lastRenderedPageBreak/>
              <w:t>legal compliance</w:t>
            </w:r>
          </w:p>
        </w:tc>
      </w:tr>
      <w:tr w:rsidR="00B201AA" w:rsidRPr="002A1EA8" w14:paraId="3750BD9D" w14:textId="77777777" w:rsidTr="00E41494">
        <w:trPr>
          <w:trHeight w:val="873"/>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16A409"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Introduce AI risk assessment and auditing</w:t>
            </w:r>
          </w:p>
        </w:tc>
        <w:tc>
          <w:tcPr>
            <w:tcW w:w="3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9FABE9" w14:textId="46F21061" w:rsidR="00B201AA" w:rsidRPr="002A1EA8" w:rsidRDefault="00000000" w:rsidP="004C1AF6">
            <w:pPr>
              <w:spacing w:line="360" w:lineRule="auto"/>
              <w:jc w:val="both"/>
              <w:rPr>
                <w:rFonts w:ascii="Times New Roman" w:eastAsia="Times New Roman" w:hAnsi="Times New Roman" w:cs="Times New Roman"/>
                <w:sz w:val="24"/>
                <w:szCs w:val="24"/>
                <w:highlight w:val="yellow"/>
              </w:rPr>
            </w:pPr>
            <w:r w:rsidRPr="002A1EA8">
              <w:rPr>
                <w:rFonts w:ascii="Times New Roman" w:eastAsia="Times New Roman" w:hAnsi="Times New Roman" w:cs="Times New Roman"/>
                <w:sz w:val="24"/>
                <w:szCs w:val="24"/>
              </w:rPr>
              <w:t xml:space="preserve">The organization must implement a systematic AI risk assessment and auditing system to categorize systems according to risk prior to massive implementation in different markets (Giudici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2024). Following the launch of a business, systems must be tested, approved and audited continuously, as compared to low-risk systems which might need minimal testing. It would assist Unilever to find the AI-led biases, privacy problems, underperformance, and control breaches before they become </w:t>
            </w:r>
            <w:r w:rsidRPr="002A1EA8">
              <w:rPr>
                <w:rFonts w:ascii="Times New Roman" w:eastAsia="Times New Roman" w:hAnsi="Times New Roman" w:cs="Times New Roman"/>
                <w:sz w:val="24"/>
                <w:szCs w:val="24"/>
              </w:rPr>
              <w:lastRenderedPageBreak/>
              <w:t>distributed across brands, functions, or countries.</w:t>
            </w:r>
          </w:p>
        </w:tc>
        <w:tc>
          <w:tcPr>
            <w:tcW w:w="14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92DDCA"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lastRenderedPageBreak/>
              <w:t>Risk Team, Internal Audit, Data Team, Technology Team</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53678D"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Medium term (3–9 months)</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B8458C"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Early identification of bias, privacy risk, weak controls, and system failure</w:t>
            </w:r>
          </w:p>
        </w:tc>
      </w:tr>
      <w:tr w:rsidR="00B201AA" w:rsidRPr="002A1EA8" w14:paraId="0EFC5418" w14:textId="77777777" w:rsidTr="002A1EA8">
        <w:trPr>
          <w:trHeight w:val="731"/>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86FAE4"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Maintain human oversight in high-impact areas</w:t>
            </w:r>
          </w:p>
        </w:tc>
        <w:tc>
          <w:tcPr>
            <w:tcW w:w="3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53C1E9" w14:textId="5D2C081A" w:rsidR="00B201AA" w:rsidRPr="002A1EA8" w:rsidRDefault="00000000" w:rsidP="004C1AF6">
            <w:pPr>
              <w:spacing w:line="360" w:lineRule="auto"/>
              <w:jc w:val="both"/>
              <w:rPr>
                <w:rFonts w:ascii="Times New Roman" w:eastAsia="Times New Roman" w:hAnsi="Times New Roman" w:cs="Times New Roman"/>
                <w:sz w:val="24"/>
                <w:szCs w:val="24"/>
                <w:highlight w:val="yellow"/>
              </w:rPr>
            </w:pPr>
            <w:r w:rsidRPr="002A1EA8">
              <w:rPr>
                <w:rFonts w:ascii="Times New Roman" w:eastAsia="Times New Roman" w:hAnsi="Times New Roman" w:cs="Times New Roman"/>
                <w:sz w:val="24"/>
                <w:szCs w:val="24"/>
              </w:rPr>
              <w:t>Sensitive or high</w:t>
            </w:r>
            <w:r w:rsidR="002A1EA8">
              <w:rPr>
                <w:rFonts w:ascii="Times New Roman" w:eastAsia="Times New Roman" w:hAnsi="Times New Roman" w:cs="Times New Roman"/>
                <w:sz w:val="24"/>
                <w:szCs w:val="24"/>
              </w:rPr>
              <w:t>-</w:t>
            </w:r>
            <w:r w:rsidRPr="002A1EA8">
              <w:rPr>
                <w:rFonts w:ascii="Times New Roman" w:eastAsia="Times New Roman" w:hAnsi="Times New Roman" w:cs="Times New Roman"/>
                <w:sz w:val="24"/>
                <w:szCs w:val="24"/>
              </w:rPr>
              <w:t xml:space="preserve">risk decisions should not be controlled solely by AI particularly when it can be detrimental to human lives such as consumers, employees, suppliers, or crucial business results (Bamigbade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2024). AI in such fields must complement human judgement and not surpass it, since human beings are required to assess outputs, add context, and prevent adverse consequences, thus enhancing responsibility in challenging decisions.</w:t>
            </w:r>
          </w:p>
        </w:tc>
        <w:tc>
          <w:tcPr>
            <w:tcW w:w="14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42F39D"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Senior Management, HR, Marketing, Supply Chain, AI Teams</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88C46C"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Medium term (3–9 months)</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E43CC6"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Better judgement, fewer harmful automated decisions, and stronger accountability</w:t>
            </w:r>
          </w:p>
        </w:tc>
      </w:tr>
      <w:tr w:rsidR="00B201AA" w:rsidRPr="002A1EA8" w14:paraId="7B63805C" w14:textId="77777777">
        <w:trPr>
          <w:trHeight w:val="243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32E03C"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Protect customer trust through transparent AI use</w:t>
            </w:r>
          </w:p>
        </w:tc>
        <w:tc>
          <w:tcPr>
            <w:tcW w:w="3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9972BC" w14:textId="1065B1A6"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Transparency in AI communications, equitable data usage while customer profiling, targeting, and genuine engagement with customers must contribute to building customer trust in Unilever (Banerjee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2024). In the sector of consumer products, trust plays an essential role since consumers hope that massive </w:t>
            </w:r>
            <w:r w:rsidRPr="002A1EA8">
              <w:rPr>
                <w:rFonts w:ascii="Times New Roman" w:eastAsia="Times New Roman" w:hAnsi="Times New Roman" w:cs="Times New Roman"/>
                <w:sz w:val="24"/>
                <w:szCs w:val="24"/>
              </w:rPr>
              <w:lastRenderedPageBreak/>
              <w:t>brands, in turn, can be fair, maintain their privacy, and engage honestly in business. Thus, building clear communication with customers regarding their data usage during critical AI communication would eradicate mistrust and maintain reputation.</w:t>
            </w:r>
          </w:p>
        </w:tc>
        <w:tc>
          <w:tcPr>
            <w:tcW w:w="14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D37378"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lastRenderedPageBreak/>
              <w:t>Marketing, Legal, Customer Experience, Communications Teams</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01AA98"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Medium term (3–9 months)</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FA678E"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Stronger customer trust, better brand protection, and lower reputational risk</w:t>
            </w:r>
          </w:p>
        </w:tc>
      </w:tr>
      <w:tr w:rsidR="00B201AA" w:rsidRPr="002A1EA8" w14:paraId="09D94D65" w14:textId="77777777" w:rsidTr="002A1EA8">
        <w:trPr>
          <w:trHeight w:val="873"/>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403818"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lastRenderedPageBreak/>
              <w:t>Monitor UK and Netherlands regulatory developments</w:t>
            </w:r>
          </w:p>
        </w:tc>
        <w:tc>
          <w:tcPr>
            <w:tcW w:w="3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B4AF22" w14:textId="0EC92317" w:rsidR="00B201AA" w:rsidRPr="002A1EA8" w:rsidRDefault="00000000" w:rsidP="004C1AF6">
            <w:pPr>
              <w:spacing w:line="360" w:lineRule="auto"/>
              <w:jc w:val="both"/>
              <w:rPr>
                <w:rFonts w:ascii="Times New Roman" w:eastAsia="Times New Roman" w:hAnsi="Times New Roman" w:cs="Times New Roman"/>
                <w:sz w:val="24"/>
                <w:szCs w:val="24"/>
                <w:highlight w:val="yellow"/>
              </w:rPr>
            </w:pPr>
            <w:r w:rsidRPr="002A1EA8">
              <w:rPr>
                <w:rFonts w:ascii="Times New Roman" w:eastAsia="Times New Roman" w:hAnsi="Times New Roman" w:cs="Times New Roman"/>
                <w:sz w:val="24"/>
                <w:szCs w:val="24"/>
              </w:rPr>
              <w:t xml:space="preserve">Unilever needs to constantly consider legal and regulatory changes in the UK and Netherlands since a single governance model might not be applicable to both of the countries (Kashefi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2024). This is critical because AI laws, enforcement practices, and compliance levels may evolve particularly in national and regional institutions. One of the benefits of regular legal review would be to prepare the organization and decrease compliance risk.</w:t>
            </w:r>
          </w:p>
        </w:tc>
        <w:tc>
          <w:tcPr>
            <w:tcW w:w="14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AF90F4"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Legal Team, Compliance Team, Public Affairs, Country Managers</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58C62C"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Ongoing, with formal review every 6 months</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B73E2E"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Better readiness for regulatory change and lower cross-border compliance risk</w:t>
            </w:r>
          </w:p>
        </w:tc>
      </w:tr>
      <w:tr w:rsidR="00B201AA" w:rsidRPr="002A1EA8" w14:paraId="61DB2C71" w14:textId="77777777">
        <w:trPr>
          <w:trHeight w:val="2720"/>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7AD7A2"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lastRenderedPageBreak/>
              <w:t>Build employee capability and awareness</w:t>
            </w:r>
          </w:p>
        </w:tc>
        <w:tc>
          <w:tcPr>
            <w:tcW w:w="3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AF47AE" w14:textId="0D236ADD" w:rsidR="00B201AA" w:rsidRPr="002A1EA8" w:rsidRDefault="00000000" w:rsidP="004C1AF6">
            <w:pPr>
              <w:spacing w:line="360" w:lineRule="auto"/>
              <w:jc w:val="both"/>
              <w:rPr>
                <w:rFonts w:ascii="Times New Roman" w:eastAsia="Times New Roman" w:hAnsi="Times New Roman" w:cs="Times New Roman"/>
                <w:sz w:val="24"/>
                <w:szCs w:val="24"/>
                <w:highlight w:val="yellow"/>
              </w:rPr>
            </w:pPr>
            <w:r w:rsidRPr="002A1EA8">
              <w:rPr>
                <w:rFonts w:ascii="Times New Roman" w:eastAsia="Times New Roman" w:hAnsi="Times New Roman" w:cs="Times New Roman"/>
                <w:sz w:val="24"/>
                <w:szCs w:val="24"/>
              </w:rPr>
              <w:t xml:space="preserve">Last but not least, employees of Unilever need to be trained about the threat of AI, the responsibility of data, ethics, and internal controls. The use of AI is affected by managers, marketers, supply chain employees, and top leaders, and thus they should be trained, as they must know how to use AI properly (Al Astal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2024). There would be improved business awareness that can enhance decision-making and governance.</w:t>
            </w:r>
          </w:p>
        </w:tc>
        <w:tc>
          <w:tcPr>
            <w:tcW w:w="14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5DB25A"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HR, Learning and Development, Legal, Risk, Technology Teams</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902639"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Short to long term (0–12 months)</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173864"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Improved staff awareness, safer AI use, and stronger governance culture</w:t>
            </w:r>
          </w:p>
        </w:tc>
      </w:tr>
      <w:tr w:rsidR="00B201AA" w:rsidRPr="002A1EA8" w14:paraId="013736F9" w14:textId="77777777">
        <w:trPr>
          <w:trHeight w:val="2720"/>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44DC45"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Track outcomes and monitor performance</w:t>
            </w:r>
          </w:p>
        </w:tc>
        <w:tc>
          <w:tcPr>
            <w:tcW w:w="3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C30826" w14:textId="77777777" w:rsidR="00B201AA" w:rsidRPr="002A1EA8" w:rsidRDefault="00000000" w:rsidP="004C1AF6">
            <w:pPr>
              <w:spacing w:line="360" w:lineRule="auto"/>
              <w:jc w:val="both"/>
              <w:rPr>
                <w:rFonts w:ascii="Times New Roman" w:eastAsia="Times New Roman" w:hAnsi="Times New Roman" w:cs="Times New Roman"/>
                <w:sz w:val="24"/>
                <w:szCs w:val="24"/>
                <w:highlight w:val="yellow"/>
              </w:rPr>
            </w:pPr>
            <w:r w:rsidRPr="002A1EA8">
              <w:rPr>
                <w:rFonts w:ascii="Times New Roman" w:eastAsia="Times New Roman" w:hAnsi="Times New Roman" w:cs="Times New Roman"/>
                <w:sz w:val="24"/>
                <w:szCs w:val="24"/>
              </w:rPr>
              <w:t>The company can also establish key performance indicators in compliance, data quality, audit results, employee training, and issues concerning trust. These KPI metrics will help managers to understand the impact of their monitoring systems and also assess how AI affects clients in real-time.</w:t>
            </w:r>
          </w:p>
        </w:tc>
        <w:tc>
          <w:tcPr>
            <w:tcW w:w="14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1C85C7"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Risk Team, Internal Audit, Data Team, HR, Customer Insights Team</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44F350"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Ongoing after implementation begins</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3743F7" w14:textId="77777777"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Measurable progress, better monitoring, and continuous improvement across AI governance</w:t>
            </w:r>
          </w:p>
        </w:tc>
      </w:tr>
    </w:tbl>
    <w:p w14:paraId="3E449293" w14:textId="77777777" w:rsidR="00B201AA" w:rsidRPr="002A1EA8" w:rsidRDefault="00000000" w:rsidP="004C1AF6">
      <w:pPr>
        <w:spacing w:line="360" w:lineRule="auto"/>
        <w:jc w:val="center"/>
        <w:rPr>
          <w:rFonts w:ascii="Times New Roman" w:eastAsia="Times New Roman" w:hAnsi="Times New Roman" w:cs="Times New Roman"/>
          <w:b/>
          <w:bCs/>
          <w:sz w:val="24"/>
          <w:szCs w:val="24"/>
        </w:rPr>
      </w:pPr>
      <w:r w:rsidRPr="002A1EA8">
        <w:rPr>
          <w:rFonts w:ascii="Times New Roman" w:eastAsia="Times New Roman" w:hAnsi="Times New Roman" w:cs="Times New Roman"/>
          <w:b/>
          <w:bCs/>
          <w:sz w:val="24"/>
          <w:szCs w:val="24"/>
        </w:rPr>
        <w:t xml:space="preserve">Table 2: Recommendations and implementation plan </w:t>
      </w:r>
    </w:p>
    <w:p w14:paraId="67B7DA02" w14:textId="77777777" w:rsidR="00B201AA" w:rsidRPr="002A1EA8" w:rsidRDefault="00000000" w:rsidP="004C1AF6">
      <w:pPr>
        <w:pStyle w:val="Heading1"/>
        <w:spacing w:line="360" w:lineRule="auto"/>
      </w:pPr>
      <w:bookmarkStart w:id="16" w:name="_Toc225504988"/>
      <w:r w:rsidRPr="002A1EA8">
        <w:t>3. Conclusion</w:t>
      </w:r>
      <w:bookmarkEnd w:id="16"/>
      <w:r w:rsidRPr="002A1EA8">
        <w:t xml:space="preserve"> </w:t>
      </w:r>
    </w:p>
    <w:p w14:paraId="13336468" w14:textId="6B776BB6" w:rsidR="00B201AA" w:rsidRPr="00353E97" w:rsidRDefault="00BF2F9A" w:rsidP="004C1AF6">
      <w:pPr>
        <w:spacing w:line="360" w:lineRule="auto"/>
        <w:jc w:val="both"/>
        <w:rPr>
          <w:rFonts w:ascii="Times New Roman" w:eastAsia="Times New Roman" w:hAnsi="Times New Roman" w:cs="Times New Roman"/>
          <w:sz w:val="24"/>
          <w:szCs w:val="24"/>
        </w:rPr>
      </w:pPr>
      <w:r w:rsidRPr="00BF2F9A">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conclusion, the report highlighted main points of advantages and disadvantages regarding the use of Artificial Intelligence for operational matters at Unilever, a FMCG company that operates </w:t>
      </w:r>
      <w:r>
        <w:rPr>
          <w:rFonts w:ascii="Times New Roman" w:eastAsia="Times New Roman" w:hAnsi="Times New Roman" w:cs="Times New Roman"/>
          <w:sz w:val="24"/>
          <w:szCs w:val="24"/>
        </w:rPr>
        <w:lastRenderedPageBreak/>
        <w:t xml:space="preserve">worldwide. As the industry reports show, Unilever has a huge market globally with 3.7 million daily customers in 190 nations, who use their products daily. Also, the company revenue has reached a value of </w:t>
      </w:r>
      <w:r w:rsidRPr="00BF2F9A">
        <w:rPr>
          <w:rFonts w:ascii="Times New Roman" w:eastAsia="Times New Roman" w:hAnsi="Times New Roman" w:cs="Times New Roman"/>
          <w:sz w:val="24"/>
          <w:szCs w:val="24"/>
        </w:rPr>
        <w:t>€50.5 billion</w:t>
      </w:r>
      <w:r>
        <w:rPr>
          <w:rFonts w:ascii="Times New Roman" w:eastAsia="Times New Roman" w:hAnsi="Times New Roman" w:cs="Times New Roman"/>
          <w:sz w:val="24"/>
          <w:szCs w:val="24"/>
        </w:rPr>
        <w:t xml:space="preserve"> in the last quarter of 2025, which indicates global success. Thus, Unilever has applied AI in its global operations for the purpose of marketing predictions, maintaining effective supply-chain and speed up the decision-making process. However, as the report shows, AI usage should be properly aligned with ethical implementation of AI, specially when data of customers are involved in AI-based decision-makings.  </w:t>
      </w:r>
      <w:r w:rsidR="00353E97">
        <w:rPr>
          <w:rFonts w:ascii="Times New Roman" w:eastAsia="Times New Roman" w:hAnsi="Times New Roman" w:cs="Times New Roman"/>
          <w:sz w:val="24"/>
          <w:szCs w:val="24"/>
        </w:rPr>
        <w:t>However, i</w:t>
      </w:r>
      <w:r>
        <w:rPr>
          <w:rFonts w:ascii="Times New Roman" w:eastAsia="Times New Roman" w:hAnsi="Times New Roman" w:cs="Times New Roman"/>
          <w:sz w:val="24"/>
          <w:szCs w:val="24"/>
        </w:rPr>
        <w:t xml:space="preserve">f AI is not managed properly, and as most managers treat it, as a technological tool, </w:t>
      </w:r>
      <w:r w:rsidR="00353E97">
        <w:rPr>
          <w:rFonts w:ascii="Times New Roman" w:eastAsia="Times New Roman" w:hAnsi="Times New Roman" w:cs="Times New Roman"/>
          <w:sz w:val="24"/>
          <w:szCs w:val="24"/>
        </w:rPr>
        <w:t>it could lead to client mistrust and loss of company reputation. Thus, ethical AI usage is very important to consider a strategic business tool that has been involved in company governance, data quality, accountability towards clients and consumer trust. H</w:t>
      </w:r>
      <w:r w:rsidRPr="002A1EA8">
        <w:rPr>
          <w:rFonts w:ascii="Times New Roman" w:eastAsia="Times New Roman" w:hAnsi="Times New Roman" w:cs="Times New Roman"/>
          <w:sz w:val="24"/>
          <w:szCs w:val="24"/>
        </w:rPr>
        <w:t xml:space="preserve">ence, strong data governance is necessary since unjust, ambiguous, or violating AI </w:t>
      </w:r>
      <w:r w:rsidR="00353E97">
        <w:rPr>
          <w:rFonts w:ascii="Times New Roman" w:eastAsia="Times New Roman" w:hAnsi="Times New Roman" w:cs="Times New Roman"/>
          <w:sz w:val="24"/>
          <w:szCs w:val="24"/>
        </w:rPr>
        <w:t>laws</w:t>
      </w:r>
      <w:r w:rsidRPr="002A1EA8">
        <w:rPr>
          <w:rFonts w:ascii="Times New Roman" w:eastAsia="Times New Roman" w:hAnsi="Times New Roman" w:cs="Times New Roman"/>
          <w:sz w:val="24"/>
          <w:szCs w:val="24"/>
        </w:rPr>
        <w:t xml:space="preserve"> will destroy trust in the system of large corporations. The UK and the Netherlands compliance </w:t>
      </w:r>
      <w:r w:rsidR="002A1EA8" w:rsidRPr="002A1EA8">
        <w:rPr>
          <w:rFonts w:ascii="Times New Roman" w:eastAsia="Times New Roman" w:hAnsi="Times New Roman" w:cs="Times New Roman"/>
          <w:sz w:val="24"/>
          <w:szCs w:val="24"/>
        </w:rPr>
        <w:t>law</w:t>
      </w:r>
      <w:r w:rsidRPr="002A1EA8">
        <w:rPr>
          <w:rFonts w:ascii="Times New Roman" w:eastAsia="Times New Roman" w:hAnsi="Times New Roman" w:cs="Times New Roman"/>
          <w:sz w:val="24"/>
          <w:szCs w:val="24"/>
        </w:rPr>
        <w:t xml:space="preserve"> comparison indicates that Unilever has to cope with different regulatory and institutional settings. Unilever can use AI when it is backed by robust governance, proper regulatory compliance, proper use of data, and implementation of ethical AI usage on the business-wide level.</w:t>
      </w:r>
    </w:p>
    <w:p w14:paraId="359FAFEA" w14:textId="77777777" w:rsidR="00B201AA" w:rsidRPr="002A1EA8" w:rsidRDefault="00000000" w:rsidP="004C1AF6">
      <w:pPr>
        <w:pStyle w:val="Heading1"/>
        <w:spacing w:line="360" w:lineRule="auto"/>
      </w:pPr>
      <w:bookmarkStart w:id="17" w:name="_Toc225504989"/>
      <w:r w:rsidRPr="002A1EA8">
        <w:t>4. Reflection</w:t>
      </w:r>
      <w:bookmarkEnd w:id="17"/>
    </w:p>
    <w:p w14:paraId="4A2C7E72" w14:textId="5B0BB6F2"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This report taught me that artificial intelligence is a technical and cross-border business issue because prior to this assignment I thought that AI only assisted companies in saving time, increasing speed, and making decisions. After </w:t>
      </w:r>
      <w:r w:rsidR="00353E97">
        <w:rPr>
          <w:rFonts w:ascii="Times New Roman" w:eastAsia="Times New Roman" w:hAnsi="Times New Roman" w:cs="Times New Roman"/>
          <w:sz w:val="24"/>
          <w:szCs w:val="24"/>
        </w:rPr>
        <w:t>completion</w:t>
      </w:r>
      <w:r w:rsidRPr="002A1EA8">
        <w:rPr>
          <w:rFonts w:ascii="Times New Roman" w:eastAsia="Times New Roman" w:hAnsi="Times New Roman" w:cs="Times New Roman"/>
          <w:sz w:val="24"/>
          <w:szCs w:val="24"/>
        </w:rPr>
        <w:t xml:space="preserve">, I understood that AI is used by international organisations such as Unilever to improve efficiency and make profits, along with the responsible use of data, legal considerations, ethics, customer trust, and reputation (Zaborek, 2025). Companies should </w:t>
      </w:r>
      <w:r w:rsidR="00353E97">
        <w:rPr>
          <w:rFonts w:ascii="Times New Roman" w:eastAsia="Times New Roman" w:hAnsi="Times New Roman" w:cs="Times New Roman"/>
          <w:sz w:val="24"/>
          <w:szCs w:val="24"/>
        </w:rPr>
        <w:t>understand</w:t>
      </w:r>
      <w:r w:rsidRPr="002A1EA8">
        <w:rPr>
          <w:rFonts w:ascii="Times New Roman" w:eastAsia="Times New Roman" w:hAnsi="Times New Roman" w:cs="Times New Roman"/>
          <w:sz w:val="24"/>
          <w:szCs w:val="24"/>
        </w:rPr>
        <w:t xml:space="preserve"> the impact of AI on individuals, markets, and the future corporate performance, and this demonstrated to me how AI influences the global strategy of the company and mitigates risks.</w:t>
      </w:r>
    </w:p>
    <w:p w14:paraId="27FBBE79" w14:textId="56B990EC"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The other significant lesson from this report was the need to use theory to structure business analysis. The PESTLE framework demonstrated to me the impact of political, economic, social, technical, legal, and environmental issues on business decisions (Qadri and Tariq, 2025). This demonstrated the impact of regulation, consumer expectations, and global market pressure on the AI implementation of Unilever. The Resource-Based View concept taught me that AI could be a </w:t>
      </w:r>
      <w:r w:rsidRPr="002A1EA8">
        <w:rPr>
          <w:rFonts w:ascii="Times New Roman" w:eastAsia="Times New Roman" w:hAnsi="Times New Roman" w:cs="Times New Roman"/>
          <w:sz w:val="24"/>
          <w:szCs w:val="24"/>
        </w:rPr>
        <w:lastRenderedPageBreak/>
        <w:t xml:space="preserve">competitive edge of a company with good data, infrastructure, and internal capabilities. The most helpful ideas that I incorporated in my report were Corporate Governance, which demonstrated that AI requires accountability, oversight, and clear responsibility at senior level, and the Institutional Theory, which demonstrated that businesses should adapt to different national environments rather than employ a single approach globally (Ahmed </w:t>
      </w:r>
      <w:r w:rsidR="004344D5" w:rsidRPr="004344D5">
        <w:rPr>
          <w:rFonts w:ascii="Times New Roman" w:eastAsia="Times New Roman" w:hAnsi="Times New Roman" w:cs="Times New Roman"/>
          <w:i/>
          <w:iCs/>
          <w:sz w:val="24"/>
          <w:szCs w:val="24"/>
        </w:rPr>
        <w:t>et al.</w:t>
      </w:r>
      <w:r w:rsidRPr="002A1EA8">
        <w:rPr>
          <w:rFonts w:ascii="Times New Roman" w:eastAsia="Times New Roman" w:hAnsi="Times New Roman" w:cs="Times New Roman"/>
          <w:sz w:val="24"/>
          <w:szCs w:val="24"/>
        </w:rPr>
        <w:t xml:space="preserve"> 2025). The Triple Bottom Line also taught me that AI has to be quantified with regard to its effects on trust, people and stakeholders rather than profit.</w:t>
      </w:r>
    </w:p>
    <w:p w14:paraId="7FC6E060" w14:textId="6B76492A" w:rsidR="00B201AA" w:rsidRPr="002A1EA8" w:rsidRDefault="00000000" w:rsidP="004C1AF6">
      <w:pPr>
        <w:spacing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This report enhanced my academic and professional skills as it helped me to enhance my critical thinking since I could not provide one opinion but rather evaluate the advantages and disadvantages of AI. The second benefit that I got was, I was able to use theory on a global company situation and improve my analytical skills in business. Third, it enhanced my skills on writing recommendations since I was informed that a good recommendation needs to be practical, realistic, and related to the issues in the report. Implementation plan was also an important teaching and it reinforces recommendations to demonstrate how to implement them. This report, therefore, enhanced my knowledge of AI in global business and my confidence in the use of theory to address business issues.</w:t>
      </w:r>
    </w:p>
    <w:p w14:paraId="0B9ABA77" w14:textId="77777777" w:rsidR="00B201AA" w:rsidRPr="002A1EA8" w:rsidRDefault="00B201AA" w:rsidP="004C1AF6">
      <w:pPr>
        <w:spacing w:line="360" w:lineRule="auto"/>
        <w:jc w:val="both"/>
        <w:rPr>
          <w:rFonts w:ascii="Times New Roman" w:eastAsia="Times New Roman" w:hAnsi="Times New Roman" w:cs="Times New Roman"/>
          <w:sz w:val="24"/>
          <w:szCs w:val="24"/>
        </w:rPr>
      </w:pPr>
    </w:p>
    <w:p w14:paraId="49F016CF" w14:textId="77777777" w:rsidR="00B201AA" w:rsidRPr="002A1EA8" w:rsidRDefault="00B201AA" w:rsidP="004C1AF6">
      <w:pPr>
        <w:spacing w:line="360" w:lineRule="auto"/>
        <w:jc w:val="both"/>
        <w:rPr>
          <w:rFonts w:ascii="Times New Roman" w:eastAsia="Times New Roman" w:hAnsi="Times New Roman" w:cs="Times New Roman"/>
          <w:sz w:val="24"/>
          <w:szCs w:val="24"/>
        </w:rPr>
      </w:pPr>
    </w:p>
    <w:p w14:paraId="1AA7EA27" w14:textId="77777777" w:rsidR="00B201AA" w:rsidRPr="002A1EA8" w:rsidRDefault="00B201AA" w:rsidP="004C1AF6">
      <w:pPr>
        <w:spacing w:line="360" w:lineRule="auto"/>
        <w:jc w:val="both"/>
        <w:rPr>
          <w:rFonts w:ascii="Times New Roman" w:eastAsia="Times New Roman" w:hAnsi="Times New Roman" w:cs="Times New Roman"/>
          <w:sz w:val="24"/>
          <w:szCs w:val="24"/>
        </w:rPr>
      </w:pPr>
    </w:p>
    <w:p w14:paraId="36CEA3AC" w14:textId="77777777" w:rsidR="00B201AA" w:rsidRPr="002A1EA8" w:rsidRDefault="00B201AA" w:rsidP="004C1AF6">
      <w:pPr>
        <w:spacing w:line="360" w:lineRule="auto"/>
        <w:jc w:val="both"/>
        <w:rPr>
          <w:rFonts w:ascii="Times New Roman" w:eastAsia="Times New Roman" w:hAnsi="Times New Roman" w:cs="Times New Roman"/>
          <w:b/>
          <w:bCs/>
          <w:sz w:val="24"/>
          <w:szCs w:val="24"/>
        </w:rPr>
      </w:pPr>
    </w:p>
    <w:p w14:paraId="3069DE98" w14:textId="77777777" w:rsidR="00B201AA" w:rsidRPr="002A1EA8" w:rsidRDefault="00000000" w:rsidP="004C1AF6">
      <w:pPr>
        <w:spacing w:line="360" w:lineRule="auto"/>
        <w:jc w:val="both"/>
        <w:rPr>
          <w:rFonts w:ascii="Times New Roman" w:eastAsia="Times New Roman" w:hAnsi="Times New Roman" w:cs="Times New Roman"/>
          <w:sz w:val="24"/>
          <w:szCs w:val="24"/>
          <w:highlight w:val="yellow"/>
        </w:rPr>
      </w:pPr>
      <w:r w:rsidRPr="002A1EA8">
        <w:br w:type="page"/>
      </w:r>
    </w:p>
    <w:p w14:paraId="688D3047" w14:textId="77777777" w:rsidR="00B201AA" w:rsidRPr="002A1EA8" w:rsidRDefault="00000000" w:rsidP="004C1AF6">
      <w:pPr>
        <w:pStyle w:val="Heading1"/>
        <w:spacing w:line="360" w:lineRule="auto"/>
      </w:pPr>
      <w:bookmarkStart w:id="18" w:name="_Toc225504990"/>
      <w:r w:rsidRPr="002A1EA8">
        <w:lastRenderedPageBreak/>
        <w:t>References</w:t>
      </w:r>
      <w:bookmarkEnd w:id="18"/>
    </w:p>
    <w:p w14:paraId="037AEC46"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Adepoju, A.H., Austin-Gabriel, B., Eweje, A. and Hamza, O., 2023. A data governance framework for high-impact programs: Reducing redundancy and enhancing data quality at scale. </w:t>
      </w:r>
      <w:r w:rsidRPr="002A1EA8">
        <w:rPr>
          <w:rFonts w:ascii="Times New Roman" w:eastAsia="Times New Roman" w:hAnsi="Times New Roman" w:cs="Times New Roman"/>
          <w:i/>
          <w:iCs/>
          <w:color w:val="222222"/>
          <w:sz w:val="24"/>
          <w:szCs w:val="24"/>
          <w:highlight w:val="white"/>
        </w:rPr>
        <w:t>International Journal of Multidisciplinary Research and Growth Evaluation</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4</w:t>
      </w:r>
      <w:r w:rsidRPr="002A1EA8">
        <w:rPr>
          <w:rFonts w:ascii="Times New Roman" w:eastAsia="Times New Roman" w:hAnsi="Times New Roman" w:cs="Times New Roman"/>
          <w:color w:val="222222"/>
          <w:sz w:val="24"/>
          <w:szCs w:val="24"/>
          <w:highlight w:val="white"/>
        </w:rPr>
        <w:t xml:space="preserve">(6), pp.1141-1154.  </w:t>
      </w:r>
      <w:hyperlink r:id="rId17">
        <w:r w:rsidRPr="002A1EA8">
          <w:rPr>
            <w:rFonts w:ascii="Times New Roman" w:eastAsia="Times New Roman" w:hAnsi="Times New Roman" w:cs="Times New Roman"/>
            <w:color w:val="1155CC"/>
            <w:sz w:val="24"/>
            <w:szCs w:val="24"/>
            <w:highlight w:val="white"/>
            <w:u w:val="single"/>
          </w:rPr>
          <w:t>https://www.allmultidisciplinaryjournal.com/uploads/archives/20250116173709_MGE-2025-1-077.1.pdf</w:t>
        </w:r>
      </w:hyperlink>
      <w:r w:rsidRPr="002A1EA8">
        <w:rPr>
          <w:rFonts w:ascii="Times New Roman" w:eastAsia="Times New Roman" w:hAnsi="Times New Roman" w:cs="Times New Roman"/>
          <w:color w:val="222222"/>
          <w:sz w:val="24"/>
          <w:szCs w:val="24"/>
          <w:highlight w:val="white"/>
        </w:rPr>
        <w:t xml:space="preserve"> </w:t>
      </w:r>
    </w:p>
    <w:p w14:paraId="1DC6EA5C" w14:textId="77777777" w:rsidR="00D45BE1" w:rsidRPr="002A1EA8" w:rsidRDefault="00D45BE1" w:rsidP="004C1AF6">
      <w:pPr>
        <w:spacing w:before="240"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color w:val="222222"/>
          <w:sz w:val="24"/>
          <w:szCs w:val="24"/>
          <w:highlight w:val="white"/>
        </w:rPr>
        <w:t xml:space="preserve">Ahmed, F.A., Gul, S. and Shahzad, S., 2025. Ensuring accountability and transparency in AI-driven corporate governance. </w:t>
      </w:r>
      <w:r w:rsidRPr="002A1EA8">
        <w:rPr>
          <w:rFonts w:ascii="Times New Roman" w:eastAsia="Times New Roman" w:hAnsi="Times New Roman" w:cs="Times New Roman"/>
          <w:i/>
          <w:iCs/>
          <w:color w:val="222222"/>
          <w:sz w:val="24"/>
          <w:szCs w:val="24"/>
          <w:highlight w:val="white"/>
        </w:rPr>
        <w:t>International Journal of Social Sciences Bulletin</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3</w:t>
      </w:r>
      <w:r w:rsidRPr="002A1EA8">
        <w:rPr>
          <w:rFonts w:ascii="Times New Roman" w:eastAsia="Times New Roman" w:hAnsi="Times New Roman" w:cs="Times New Roman"/>
          <w:color w:val="222222"/>
          <w:sz w:val="24"/>
          <w:szCs w:val="24"/>
          <w:highlight w:val="white"/>
        </w:rPr>
        <w:t xml:space="preserve">(5), pp.330-341. </w:t>
      </w:r>
      <w:hyperlink r:id="rId18">
        <w:r w:rsidRPr="002A1EA8">
          <w:rPr>
            <w:rFonts w:ascii="Times New Roman" w:eastAsia="Times New Roman" w:hAnsi="Times New Roman" w:cs="Times New Roman"/>
            <w:color w:val="1155CC"/>
            <w:sz w:val="24"/>
            <w:szCs w:val="24"/>
            <w:highlight w:val="white"/>
            <w:u w:val="single"/>
          </w:rPr>
          <w:t>https://socialsciencesbulletin.com/index.php/IJSSB/article/download/661/843</w:t>
        </w:r>
      </w:hyperlink>
      <w:r w:rsidRPr="002A1EA8">
        <w:rPr>
          <w:rFonts w:ascii="Times New Roman" w:eastAsia="Times New Roman" w:hAnsi="Times New Roman" w:cs="Times New Roman"/>
          <w:color w:val="222222"/>
          <w:sz w:val="24"/>
          <w:szCs w:val="24"/>
          <w:highlight w:val="white"/>
        </w:rPr>
        <w:t xml:space="preserve"> </w:t>
      </w:r>
    </w:p>
    <w:p w14:paraId="73199659"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Akter, S., Akhter, S.R., Rahman, M.B. and Naidu, P., 2025. AI-driven business analytics for competitive advantage in service-oriented enterprises: CUSTOMER experience and efficiency. </w:t>
      </w:r>
      <w:r w:rsidRPr="002A1EA8">
        <w:rPr>
          <w:rFonts w:ascii="Times New Roman" w:eastAsia="Times New Roman" w:hAnsi="Times New Roman" w:cs="Times New Roman"/>
          <w:i/>
          <w:iCs/>
          <w:color w:val="222222"/>
          <w:sz w:val="24"/>
          <w:szCs w:val="24"/>
          <w:highlight w:val="white"/>
        </w:rPr>
        <w:t>International Journal of Business and Economics Insights</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5</w:t>
      </w:r>
      <w:r w:rsidRPr="002A1EA8">
        <w:rPr>
          <w:rFonts w:ascii="Times New Roman" w:eastAsia="Times New Roman" w:hAnsi="Times New Roman" w:cs="Times New Roman"/>
          <w:color w:val="222222"/>
          <w:sz w:val="24"/>
          <w:szCs w:val="24"/>
          <w:highlight w:val="white"/>
        </w:rPr>
        <w:t xml:space="preserve">(3), pp.389-423.  </w:t>
      </w:r>
      <w:hyperlink r:id="rId19">
        <w:r w:rsidRPr="002A1EA8">
          <w:rPr>
            <w:rFonts w:ascii="Times New Roman" w:eastAsia="Times New Roman" w:hAnsi="Times New Roman" w:cs="Times New Roman"/>
            <w:color w:val="1155CC"/>
            <w:sz w:val="24"/>
            <w:szCs w:val="24"/>
            <w:highlight w:val="white"/>
            <w:u w:val="single"/>
          </w:rPr>
          <w:t>https://ijbei-journal.org/index.php/ijbei/article/download/25/25</w:t>
        </w:r>
      </w:hyperlink>
      <w:r w:rsidRPr="002A1EA8">
        <w:rPr>
          <w:rFonts w:ascii="Times New Roman" w:eastAsia="Times New Roman" w:hAnsi="Times New Roman" w:cs="Times New Roman"/>
          <w:color w:val="222222"/>
          <w:sz w:val="24"/>
          <w:szCs w:val="24"/>
          <w:highlight w:val="white"/>
        </w:rPr>
        <w:t xml:space="preserve"> </w:t>
      </w:r>
    </w:p>
    <w:p w14:paraId="37A9C6C0"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Al Astal, A.Y.M., Ateeq, A., Milhem, M. and Shafie, D.I., 2024. Corporate governance and internal control Mechanisms: Developing a strategic framework. In </w:t>
      </w:r>
      <w:r w:rsidRPr="002A1EA8">
        <w:rPr>
          <w:rFonts w:ascii="Times New Roman" w:eastAsia="Times New Roman" w:hAnsi="Times New Roman" w:cs="Times New Roman"/>
          <w:i/>
          <w:iCs/>
          <w:color w:val="222222"/>
          <w:sz w:val="24"/>
          <w:szCs w:val="24"/>
          <w:highlight w:val="white"/>
        </w:rPr>
        <w:t>Business Sustainability with Artificial Intelligence (AI): Challenges and Opportunities: Volume 2</w:t>
      </w:r>
      <w:r w:rsidRPr="002A1EA8">
        <w:rPr>
          <w:rFonts w:ascii="Times New Roman" w:eastAsia="Times New Roman" w:hAnsi="Times New Roman" w:cs="Times New Roman"/>
          <w:color w:val="222222"/>
          <w:sz w:val="24"/>
          <w:szCs w:val="24"/>
          <w:highlight w:val="white"/>
        </w:rPr>
        <w:t xml:space="preserve"> (pp. 551-564). Cham: Springer Nature Switzerland.  </w:t>
      </w:r>
      <w:hyperlink r:id="rId20">
        <w:r w:rsidRPr="002A1EA8">
          <w:rPr>
            <w:rFonts w:ascii="Times New Roman" w:eastAsia="Times New Roman" w:hAnsi="Times New Roman" w:cs="Times New Roman"/>
            <w:color w:val="1155CC"/>
            <w:sz w:val="24"/>
            <w:szCs w:val="24"/>
            <w:highlight w:val="white"/>
            <w:u w:val="single"/>
          </w:rPr>
          <w:t>https://www.researchgate.net/profile/Ahmad-Alastal-2/publication/385171190_Corporate_Governance_and_Internal_Control_Mechanisms_Developing_a_Strategic_Framework/links/67608a93996d2552c3ed1bff/Corporate-Governance-and-Internal-Control-Mechanisms-Developing-a-Strategic-Framework.pdf</w:t>
        </w:r>
      </w:hyperlink>
      <w:r w:rsidRPr="002A1EA8">
        <w:rPr>
          <w:rFonts w:ascii="Times New Roman" w:eastAsia="Times New Roman" w:hAnsi="Times New Roman" w:cs="Times New Roman"/>
          <w:color w:val="222222"/>
          <w:sz w:val="24"/>
          <w:szCs w:val="24"/>
          <w:highlight w:val="white"/>
        </w:rPr>
        <w:t xml:space="preserve"> </w:t>
      </w:r>
    </w:p>
    <w:p w14:paraId="073A7551"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Arinze, E.D., 2024. Artificial intelligence (AI) in customer service: Revolutionising support and engagement. </w:t>
      </w:r>
      <w:r w:rsidRPr="002A1EA8">
        <w:rPr>
          <w:rFonts w:ascii="Times New Roman" w:eastAsia="Times New Roman" w:hAnsi="Times New Roman" w:cs="Times New Roman"/>
          <w:i/>
          <w:iCs/>
          <w:color w:val="222222"/>
          <w:sz w:val="24"/>
          <w:szCs w:val="24"/>
          <w:highlight w:val="white"/>
        </w:rPr>
        <w:t>IAA Journal of Scientific Research</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11</w:t>
      </w:r>
      <w:r w:rsidRPr="002A1EA8">
        <w:rPr>
          <w:rFonts w:ascii="Times New Roman" w:eastAsia="Times New Roman" w:hAnsi="Times New Roman" w:cs="Times New Roman"/>
          <w:color w:val="222222"/>
          <w:sz w:val="24"/>
          <w:szCs w:val="24"/>
          <w:highlight w:val="white"/>
        </w:rPr>
        <w:t xml:space="preserve">(2), pp.33-39.  </w:t>
      </w:r>
      <w:hyperlink r:id="rId21">
        <w:r w:rsidRPr="002A1EA8">
          <w:rPr>
            <w:rFonts w:ascii="Times New Roman" w:eastAsia="Times New Roman" w:hAnsi="Times New Roman" w:cs="Times New Roman"/>
            <w:color w:val="1155CC"/>
            <w:sz w:val="24"/>
            <w:szCs w:val="24"/>
            <w:highlight w:val="white"/>
            <w:u w:val="single"/>
          </w:rPr>
          <w:t>https://smartie.kiu.ac.ug/public/assets/publications/d66bb149a003927f8b7bf2d8d036e17b90e1c1ac.pdf</w:t>
        </w:r>
      </w:hyperlink>
      <w:r w:rsidRPr="002A1EA8">
        <w:rPr>
          <w:rFonts w:ascii="Times New Roman" w:eastAsia="Times New Roman" w:hAnsi="Times New Roman" w:cs="Times New Roman"/>
          <w:color w:val="222222"/>
          <w:sz w:val="24"/>
          <w:szCs w:val="24"/>
          <w:highlight w:val="white"/>
        </w:rPr>
        <w:t xml:space="preserve"> </w:t>
      </w:r>
    </w:p>
    <w:p w14:paraId="68B3556D"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Ashfaq, K., Abbas, N., Akram, A. and Shahazdi, I., 2025. The strategic impact of artificial intelligence on business innovation and firm performance: A resource-based view approach. </w:t>
      </w:r>
      <w:r w:rsidRPr="002A1EA8">
        <w:rPr>
          <w:rFonts w:ascii="Times New Roman" w:eastAsia="Times New Roman" w:hAnsi="Times New Roman" w:cs="Times New Roman"/>
          <w:i/>
          <w:iCs/>
          <w:color w:val="222222"/>
          <w:sz w:val="24"/>
          <w:szCs w:val="24"/>
          <w:highlight w:val="white"/>
        </w:rPr>
        <w:lastRenderedPageBreak/>
        <w:t>Journal of Management &amp; Social Science</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2</w:t>
      </w:r>
      <w:r w:rsidRPr="002A1EA8">
        <w:rPr>
          <w:rFonts w:ascii="Times New Roman" w:eastAsia="Times New Roman" w:hAnsi="Times New Roman" w:cs="Times New Roman"/>
          <w:color w:val="222222"/>
          <w:sz w:val="24"/>
          <w:szCs w:val="24"/>
          <w:highlight w:val="white"/>
        </w:rPr>
        <w:t xml:space="preserve">(4), pp.868-891.  </w:t>
      </w:r>
      <w:hyperlink r:id="rId22">
        <w:r w:rsidRPr="002A1EA8">
          <w:rPr>
            <w:rFonts w:ascii="Times New Roman" w:eastAsia="Times New Roman" w:hAnsi="Times New Roman" w:cs="Times New Roman"/>
            <w:color w:val="1155CC"/>
            <w:sz w:val="24"/>
            <w:szCs w:val="24"/>
            <w:highlight w:val="white"/>
            <w:u w:val="single"/>
          </w:rPr>
          <w:t>http://www.rjmssjournal.com/index.php/7/article/download/228/207</w:t>
        </w:r>
      </w:hyperlink>
      <w:r w:rsidRPr="002A1EA8">
        <w:rPr>
          <w:rFonts w:ascii="Times New Roman" w:eastAsia="Times New Roman" w:hAnsi="Times New Roman" w:cs="Times New Roman"/>
          <w:color w:val="222222"/>
          <w:sz w:val="24"/>
          <w:szCs w:val="24"/>
          <w:highlight w:val="white"/>
        </w:rPr>
        <w:t xml:space="preserve"> </w:t>
      </w:r>
    </w:p>
    <w:p w14:paraId="42E12EDC"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Awa, H.O., Etim, W. and Ogbonda, E., 2024. Stakeholders, stakeholder theory and corporate social responsibility (CSR). </w:t>
      </w:r>
      <w:r w:rsidRPr="002A1EA8">
        <w:rPr>
          <w:rFonts w:ascii="Times New Roman" w:eastAsia="Times New Roman" w:hAnsi="Times New Roman" w:cs="Times New Roman"/>
          <w:i/>
          <w:iCs/>
          <w:color w:val="222222"/>
          <w:sz w:val="24"/>
          <w:szCs w:val="24"/>
          <w:highlight w:val="white"/>
        </w:rPr>
        <w:t>International Journal of Corporate Social Responsibility</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9</w:t>
      </w:r>
      <w:r w:rsidRPr="002A1EA8">
        <w:rPr>
          <w:rFonts w:ascii="Times New Roman" w:eastAsia="Times New Roman" w:hAnsi="Times New Roman" w:cs="Times New Roman"/>
          <w:color w:val="222222"/>
          <w:sz w:val="24"/>
          <w:szCs w:val="24"/>
          <w:highlight w:val="white"/>
        </w:rPr>
        <w:t xml:space="preserve">(1), p.11.  </w:t>
      </w:r>
      <w:hyperlink r:id="rId23">
        <w:r w:rsidRPr="002A1EA8">
          <w:rPr>
            <w:rFonts w:ascii="Times New Roman" w:eastAsia="Times New Roman" w:hAnsi="Times New Roman" w:cs="Times New Roman"/>
            <w:color w:val="1155CC"/>
            <w:sz w:val="24"/>
            <w:szCs w:val="24"/>
            <w:highlight w:val="white"/>
            <w:u w:val="single"/>
          </w:rPr>
          <w:t>https://link.springer.com/content/pdf/10.1186/s40991-024-00094-y.pdf</w:t>
        </w:r>
      </w:hyperlink>
      <w:r w:rsidRPr="002A1EA8">
        <w:rPr>
          <w:rFonts w:ascii="Times New Roman" w:eastAsia="Times New Roman" w:hAnsi="Times New Roman" w:cs="Times New Roman"/>
          <w:color w:val="222222"/>
          <w:sz w:val="24"/>
          <w:szCs w:val="24"/>
          <w:highlight w:val="white"/>
        </w:rPr>
        <w:t xml:space="preserve"> </w:t>
      </w:r>
    </w:p>
    <w:p w14:paraId="53CF75DA"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Badawy, W., 2025. Data-driven framework for evaluating digitization and artificial intelligence risk: a comprehensive analysis. </w:t>
      </w:r>
      <w:r w:rsidRPr="002A1EA8">
        <w:rPr>
          <w:rFonts w:ascii="Times New Roman" w:eastAsia="Times New Roman" w:hAnsi="Times New Roman" w:cs="Times New Roman"/>
          <w:i/>
          <w:iCs/>
          <w:color w:val="222222"/>
          <w:sz w:val="24"/>
          <w:szCs w:val="24"/>
          <w:highlight w:val="white"/>
        </w:rPr>
        <w:t>AI and Ethics</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5</w:t>
      </w:r>
      <w:r w:rsidRPr="002A1EA8">
        <w:rPr>
          <w:rFonts w:ascii="Times New Roman" w:eastAsia="Times New Roman" w:hAnsi="Times New Roman" w:cs="Times New Roman"/>
          <w:color w:val="222222"/>
          <w:sz w:val="24"/>
          <w:szCs w:val="24"/>
          <w:highlight w:val="white"/>
        </w:rPr>
        <w:t xml:space="preserve">(1), pp.453-478.  </w:t>
      </w:r>
      <w:hyperlink r:id="rId24">
        <w:r w:rsidRPr="002A1EA8">
          <w:rPr>
            <w:rFonts w:ascii="Times New Roman" w:eastAsia="Times New Roman" w:hAnsi="Times New Roman" w:cs="Times New Roman"/>
            <w:color w:val="1155CC"/>
            <w:sz w:val="24"/>
            <w:szCs w:val="24"/>
            <w:highlight w:val="white"/>
            <w:u w:val="single"/>
          </w:rPr>
          <w:t>https://www.researchgate.net/profile/Wael-Badawy-2/publication/375774151_Data-driven_framework_for_evaluating_digitization_and_artificial_intelligence_risk_a_comprehensive_analysis/links/655f63e5b86a1d521b02eb9f/Data-driven-framework-for-evaluating-digitization-and-artificial-intelligence-risk-a-comprehensive-analysis.pdf</w:t>
        </w:r>
      </w:hyperlink>
      <w:r w:rsidRPr="002A1EA8">
        <w:rPr>
          <w:rFonts w:ascii="Times New Roman" w:eastAsia="Times New Roman" w:hAnsi="Times New Roman" w:cs="Times New Roman"/>
          <w:color w:val="222222"/>
          <w:sz w:val="24"/>
          <w:szCs w:val="24"/>
          <w:highlight w:val="white"/>
        </w:rPr>
        <w:t xml:space="preserve"> </w:t>
      </w:r>
    </w:p>
    <w:p w14:paraId="58E9146B"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Bahangulu, J.K. and Owusu-Berko, L., 2025. Algorithmic bias, data ethics, and governance: Ensuring fairness, transparency and compliance in AI-powered business analytics applications. </w:t>
      </w:r>
      <w:r w:rsidRPr="002A1EA8">
        <w:rPr>
          <w:rFonts w:ascii="Times New Roman" w:eastAsia="Times New Roman" w:hAnsi="Times New Roman" w:cs="Times New Roman"/>
          <w:i/>
          <w:iCs/>
          <w:color w:val="222222"/>
          <w:sz w:val="24"/>
          <w:szCs w:val="24"/>
          <w:highlight w:val="white"/>
        </w:rPr>
        <w:t>World Journal of Advanced Research and Reviews</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25</w:t>
      </w:r>
      <w:r w:rsidRPr="002A1EA8">
        <w:rPr>
          <w:rFonts w:ascii="Times New Roman" w:eastAsia="Times New Roman" w:hAnsi="Times New Roman" w:cs="Times New Roman"/>
          <w:color w:val="222222"/>
          <w:sz w:val="24"/>
          <w:szCs w:val="24"/>
          <w:highlight w:val="white"/>
        </w:rPr>
        <w:t xml:space="preserve">(2), pp.1746-1763.  </w:t>
      </w:r>
      <w:hyperlink r:id="rId25">
        <w:r w:rsidRPr="002A1EA8">
          <w:rPr>
            <w:rFonts w:ascii="Times New Roman" w:eastAsia="Times New Roman" w:hAnsi="Times New Roman" w:cs="Times New Roman"/>
            <w:color w:val="1155CC"/>
            <w:sz w:val="24"/>
            <w:szCs w:val="24"/>
            <w:highlight w:val="white"/>
            <w:u w:val="single"/>
          </w:rPr>
          <w:t>https://www.researchgate.net/profile/Louis-Owusu-Berko-2/publication/389397603_Algorithmic_bias_data_ethics_and_governance_Ensuring_fairness_transparency_and_compliance_in_AI-powered_business_analytics_applications/links/67c1200e207c0c20fa9ab59e/Algorithmic-bias-data-ethics-and-governance-Ensuring-fairness-transparency-and-compliance-in-AI-powered-business-analytics-applications.pdf</w:t>
        </w:r>
      </w:hyperlink>
      <w:r w:rsidRPr="002A1EA8">
        <w:rPr>
          <w:rFonts w:ascii="Times New Roman" w:eastAsia="Times New Roman" w:hAnsi="Times New Roman" w:cs="Times New Roman"/>
          <w:color w:val="222222"/>
          <w:sz w:val="24"/>
          <w:szCs w:val="24"/>
          <w:highlight w:val="white"/>
        </w:rPr>
        <w:t xml:space="preserve"> </w:t>
      </w:r>
    </w:p>
    <w:p w14:paraId="00C1401D"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Bamigbade, O., Adeshina, Y.T. and Kemisola, K., 2024. Ethical and explainable AI in data science for transparent decision-making across critical business operations. </w:t>
      </w:r>
      <w:r w:rsidRPr="002A1EA8">
        <w:rPr>
          <w:rFonts w:ascii="Times New Roman" w:eastAsia="Times New Roman" w:hAnsi="Times New Roman" w:cs="Times New Roman"/>
          <w:i/>
          <w:iCs/>
          <w:color w:val="222222"/>
          <w:sz w:val="24"/>
          <w:szCs w:val="24"/>
          <w:highlight w:val="white"/>
        </w:rPr>
        <w:t>International Journal of Engineering Technology Research &amp; Management</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8</w:t>
      </w:r>
      <w:r w:rsidRPr="002A1EA8">
        <w:rPr>
          <w:rFonts w:ascii="Times New Roman" w:eastAsia="Times New Roman" w:hAnsi="Times New Roman" w:cs="Times New Roman"/>
          <w:color w:val="222222"/>
          <w:sz w:val="24"/>
          <w:szCs w:val="24"/>
          <w:highlight w:val="white"/>
        </w:rPr>
        <w:t xml:space="preserve">(11), pp.734-753.  </w:t>
      </w:r>
      <w:hyperlink r:id="rId26">
        <w:r w:rsidRPr="002A1EA8">
          <w:rPr>
            <w:rFonts w:ascii="Times New Roman" w:eastAsia="Times New Roman" w:hAnsi="Times New Roman" w:cs="Times New Roman"/>
            <w:color w:val="1155CC"/>
            <w:sz w:val="24"/>
            <w:szCs w:val="24"/>
            <w:highlight w:val="white"/>
            <w:u w:val="single"/>
          </w:rPr>
          <w:t>https://ijetrm.com/issues/files/Jun-2024-16-1750047941-NOV202434.pdf</w:t>
        </w:r>
      </w:hyperlink>
      <w:r w:rsidRPr="002A1EA8">
        <w:rPr>
          <w:rFonts w:ascii="Times New Roman" w:eastAsia="Times New Roman" w:hAnsi="Times New Roman" w:cs="Times New Roman"/>
          <w:color w:val="222222"/>
          <w:sz w:val="24"/>
          <w:szCs w:val="24"/>
          <w:highlight w:val="white"/>
        </w:rPr>
        <w:t xml:space="preserve"> </w:t>
      </w:r>
    </w:p>
    <w:p w14:paraId="10C559F3"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Banerjee, S., Whig, P. and Parisa, S.K., 2024. Leveraging AI for Personalization and Cybersecurity in Retail Chains: Balancing Customer Experience and Data Protection. </w:t>
      </w:r>
      <w:r w:rsidRPr="002A1EA8">
        <w:rPr>
          <w:rFonts w:ascii="Times New Roman" w:eastAsia="Times New Roman" w:hAnsi="Times New Roman" w:cs="Times New Roman"/>
          <w:i/>
          <w:iCs/>
          <w:color w:val="222222"/>
          <w:sz w:val="24"/>
          <w:szCs w:val="24"/>
          <w:highlight w:val="white"/>
        </w:rPr>
        <w:t>Transactions on Recent Developments in Artificial Intelligence and Machine Learning</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16</w:t>
      </w:r>
      <w:r w:rsidRPr="002A1EA8">
        <w:rPr>
          <w:rFonts w:ascii="Times New Roman" w:eastAsia="Times New Roman" w:hAnsi="Times New Roman" w:cs="Times New Roman"/>
          <w:color w:val="222222"/>
          <w:sz w:val="24"/>
          <w:szCs w:val="24"/>
          <w:highlight w:val="white"/>
        </w:rPr>
        <w:t xml:space="preserve">, p.16.  </w:t>
      </w:r>
      <w:hyperlink r:id="rId27">
        <w:r w:rsidRPr="002A1EA8">
          <w:rPr>
            <w:rFonts w:ascii="Times New Roman" w:eastAsia="Times New Roman" w:hAnsi="Times New Roman" w:cs="Times New Roman"/>
            <w:color w:val="1155CC"/>
            <w:sz w:val="24"/>
            <w:szCs w:val="24"/>
            <w:highlight w:val="white"/>
            <w:u w:val="single"/>
          </w:rPr>
          <w:t>https://www.researchgate.net/profile/Somnath-Banerjee-</w:t>
        </w:r>
        <w:r w:rsidRPr="002A1EA8">
          <w:rPr>
            <w:rFonts w:ascii="Times New Roman" w:eastAsia="Times New Roman" w:hAnsi="Times New Roman" w:cs="Times New Roman"/>
            <w:color w:val="1155CC"/>
            <w:sz w:val="24"/>
            <w:szCs w:val="24"/>
            <w:highlight w:val="white"/>
            <w:u w:val="single"/>
          </w:rPr>
          <w:lastRenderedPageBreak/>
          <w:t>13/publication/391460557_Leveraging_AI_for_Personalization_and_Cybersecurity_in_Retail_Chains_Balancing_Customer_Experience_and_Data_Protection/links/681979cedf0e3f544f5210cf/Leveraging-AI-for-Personalization-and-Cybersecurity-in-Retail-Chains-Balancing-Customer-Experience-and-Data-Protection.pdf</w:t>
        </w:r>
      </w:hyperlink>
      <w:r w:rsidRPr="002A1EA8">
        <w:rPr>
          <w:rFonts w:ascii="Times New Roman" w:eastAsia="Times New Roman" w:hAnsi="Times New Roman" w:cs="Times New Roman"/>
          <w:color w:val="222222"/>
          <w:sz w:val="24"/>
          <w:szCs w:val="24"/>
          <w:highlight w:val="white"/>
        </w:rPr>
        <w:t xml:space="preserve"> </w:t>
      </w:r>
    </w:p>
    <w:p w14:paraId="7E1888B4" w14:textId="77777777" w:rsidR="00D45BE1" w:rsidRPr="002A1EA8" w:rsidRDefault="00D45BE1" w:rsidP="004C1AF6">
      <w:pPr>
        <w:spacing w:before="240"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color w:val="222222"/>
          <w:sz w:val="24"/>
          <w:szCs w:val="24"/>
          <w:highlight w:val="white"/>
        </w:rPr>
        <w:t xml:space="preserve">Bansal, C., Pandey, K.K., Goel, R., Sharma, A. and Jangirala, S., 2023. Artificial intelligence (AI) bias impacts: Classification framework for effective mitigation. </w:t>
      </w:r>
      <w:r w:rsidRPr="002A1EA8">
        <w:rPr>
          <w:rFonts w:ascii="Times New Roman" w:eastAsia="Times New Roman" w:hAnsi="Times New Roman" w:cs="Times New Roman"/>
          <w:i/>
          <w:iCs/>
          <w:color w:val="222222"/>
          <w:sz w:val="24"/>
          <w:szCs w:val="24"/>
          <w:highlight w:val="white"/>
        </w:rPr>
        <w:t>Issues in Information Systems</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24</w:t>
      </w:r>
      <w:r w:rsidRPr="002A1EA8">
        <w:rPr>
          <w:rFonts w:ascii="Times New Roman" w:eastAsia="Times New Roman" w:hAnsi="Times New Roman" w:cs="Times New Roman"/>
          <w:color w:val="222222"/>
          <w:sz w:val="24"/>
          <w:szCs w:val="24"/>
          <w:highlight w:val="white"/>
        </w:rPr>
        <w:t xml:space="preserve">(4), pp.367-389.  </w:t>
      </w:r>
      <w:hyperlink r:id="rId28">
        <w:r w:rsidRPr="002A1EA8">
          <w:rPr>
            <w:rFonts w:ascii="Times New Roman" w:eastAsia="Times New Roman" w:hAnsi="Times New Roman" w:cs="Times New Roman"/>
            <w:color w:val="1155CC"/>
            <w:sz w:val="24"/>
            <w:szCs w:val="24"/>
            <w:highlight w:val="white"/>
            <w:u w:val="single"/>
          </w:rPr>
          <w:t>https://pure.jgu.edu.in/id/eprint/6745/1/Artificial%20intelligence%20%28AI%29%20bias%20impacts%20classification%20framework%20for%20effective%20mitigation.pdf</w:t>
        </w:r>
      </w:hyperlink>
      <w:r w:rsidRPr="002A1EA8">
        <w:rPr>
          <w:rFonts w:ascii="Times New Roman" w:eastAsia="Times New Roman" w:hAnsi="Times New Roman" w:cs="Times New Roman"/>
          <w:color w:val="222222"/>
          <w:sz w:val="24"/>
          <w:szCs w:val="24"/>
          <w:highlight w:val="white"/>
        </w:rPr>
        <w:t xml:space="preserve"> </w:t>
      </w:r>
    </w:p>
    <w:p w14:paraId="0E416D66"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Birkstedt, T., Minkkinen, M., Tandon, A. and Mäntymäki, M., 2023. AI governance: themes, knowledge gaps and future agendas. </w:t>
      </w:r>
      <w:r w:rsidRPr="002A1EA8">
        <w:rPr>
          <w:rFonts w:ascii="Times New Roman" w:eastAsia="Times New Roman" w:hAnsi="Times New Roman" w:cs="Times New Roman"/>
          <w:i/>
          <w:iCs/>
          <w:color w:val="222222"/>
          <w:sz w:val="24"/>
          <w:szCs w:val="24"/>
          <w:highlight w:val="white"/>
        </w:rPr>
        <w:t>Internet Research</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33</w:t>
      </w:r>
      <w:r w:rsidRPr="002A1EA8">
        <w:rPr>
          <w:rFonts w:ascii="Times New Roman" w:eastAsia="Times New Roman" w:hAnsi="Times New Roman" w:cs="Times New Roman"/>
          <w:color w:val="222222"/>
          <w:sz w:val="24"/>
          <w:szCs w:val="24"/>
          <w:highlight w:val="white"/>
        </w:rPr>
        <w:t xml:space="preserve">(7), pp.133-167.  </w:t>
      </w:r>
      <w:hyperlink r:id="rId29">
        <w:r w:rsidRPr="002A1EA8">
          <w:rPr>
            <w:rFonts w:ascii="Times New Roman" w:eastAsia="Times New Roman" w:hAnsi="Times New Roman" w:cs="Times New Roman"/>
            <w:color w:val="1155CC"/>
            <w:sz w:val="24"/>
            <w:szCs w:val="24"/>
            <w:highlight w:val="white"/>
            <w:u w:val="single"/>
          </w:rPr>
          <w:t>https://www.emerald.com/intr/article-pdf/33/7/133/1214024/intr-01-2022-0042.pdf</w:t>
        </w:r>
      </w:hyperlink>
      <w:r w:rsidRPr="002A1EA8">
        <w:rPr>
          <w:rFonts w:ascii="Times New Roman" w:eastAsia="Times New Roman" w:hAnsi="Times New Roman" w:cs="Times New Roman"/>
          <w:color w:val="222222"/>
          <w:sz w:val="24"/>
          <w:szCs w:val="24"/>
          <w:highlight w:val="white"/>
        </w:rPr>
        <w:t xml:space="preserve"> </w:t>
      </w:r>
    </w:p>
    <w:p w14:paraId="7F0E91A1"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Busuioc, M., 2022. AI algorithmic oversight: new frontiers in regulation. In </w:t>
      </w:r>
      <w:r w:rsidRPr="002A1EA8">
        <w:rPr>
          <w:rFonts w:ascii="Times New Roman" w:eastAsia="Times New Roman" w:hAnsi="Times New Roman" w:cs="Times New Roman"/>
          <w:i/>
          <w:iCs/>
          <w:color w:val="222222"/>
          <w:sz w:val="24"/>
          <w:szCs w:val="24"/>
          <w:highlight w:val="white"/>
        </w:rPr>
        <w:t>Handbook of regulatory authorities</w:t>
      </w:r>
      <w:r w:rsidRPr="002A1EA8">
        <w:rPr>
          <w:rFonts w:ascii="Times New Roman" w:eastAsia="Times New Roman" w:hAnsi="Times New Roman" w:cs="Times New Roman"/>
          <w:color w:val="222222"/>
          <w:sz w:val="24"/>
          <w:szCs w:val="24"/>
          <w:highlight w:val="white"/>
        </w:rPr>
        <w:t xml:space="preserve"> (pp. 470-486). Edward Elgar Publishing.  </w:t>
      </w:r>
      <w:hyperlink r:id="rId30">
        <w:r w:rsidRPr="002A1EA8">
          <w:rPr>
            <w:rFonts w:ascii="Times New Roman" w:eastAsia="Times New Roman" w:hAnsi="Times New Roman" w:cs="Times New Roman"/>
            <w:color w:val="1155CC"/>
            <w:sz w:val="24"/>
            <w:szCs w:val="24"/>
            <w:highlight w:val="white"/>
            <w:u w:val="single"/>
          </w:rPr>
          <w:t>https://www.elgaronline.com/downloadpdf/edcollchap-oa/book/9781839108990/book-part-9781839108990-43.pdf</w:t>
        </w:r>
      </w:hyperlink>
      <w:r w:rsidRPr="002A1EA8">
        <w:rPr>
          <w:rFonts w:ascii="Times New Roman" w:eastAsia="Times New Roman" w:hAnsi="Times New Roman" w:cs="Times New Roman"/>
          <w:color w:val="222222"/>
          <w:sz w:val="24"/>
          <w:szCs w:val="24"/>
          <w:highlight w:val="white"/>
        </w:rPr>
        <w:t xml:space="preserve"> </w:t>
      </w:r>
    </w:p>
    <w:p w14:paraId="6CF5DACD"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Butt, J., 2024. Analytical study of the world's first EU Artificial Intelligence (AI) Act. </w:t>
      </w:r>
      <w:r w:rsidRPr="002A1EA8">
        <w:rPr>
          <w:rFonts w:ascii="Times New Roman" w:eastAsia="Times New Roman" w:hAnsi="Times New Roman" w:cs="Times New Roman"/>
          <w:i/>
          <w:iCs/>
          <w:color w:val="222222"/>
          <w:sz w:val="24"/>
          <w:szCs w:val="24"/>
          <w:highlight w:val="white"/>
        </w:rPr>
        <w:t>International Journal of Research Publication and Reviews</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5</w:t>
      </w:r>
      <w:r w:rsidRPr="002A1EA8">
        <w:rPr>
          <w:rFonts w:ascii="Times New Roman" w:eastAsia="Times New Roman" w:hAnsi="Times New Roman" w:cs="Times New Roman"/>
          <w:color w:val="222222"/>
          <w:sz w:val="24"/>
          <w:szCs w:val="24"/>
          <w:highlight w:val="white"/>
        </w:rPr>
        <w:t xml:space="preserve">(3), pp.7343-7364.  </w:t>
      </w:r>
      <w:hyperlink r:id="rId31">
        <w:r w:rsidRPr="002A1EA8">
          <w:rPr>
            <w:rFonts w:ascii="Times New Roman" w:eastAsia="Times New Roman" w:hAnsi="Times New Roman" w:cs="Times New Roman"/>
            <w:color w:val="1155CC"/>
            <w:sz w:val="24"/>
            <w:szCs w:val="24"/>
            <w:highlight w:val="white"/>
            <w:u w:val="single"/>
          </w:rPr>
          <w:t>https://www.researchgate.net/profile/Junaid-Butt-6/publication/384675254_Analytical_Study_of_the_World's_First_EU_Artificial_Intelligence_AI_Act_2024/links/670269189e6e82486f055c9d/Analytical-Study-of-the-Worlds-First-EU-Artificial-Intelligence-AI-Act-2024.pdf</w:t>
        </w:r>
      </w:hyperlink>
      <w:r w:rsidRPr="002A1EA8">
        <w:rPr>
          <w:rFonts w:ascii="Times New Roman" w:eastAsia="Times New Roman" w:hAnsi="Times New Roman" w:cs="Times New Roman"/>
          <w:color w:val="222222"/>
          <w:sz w:val="24"/>
          <w:szCs w:val="24"/>
          <w:highlight w:val="white"/>
        </w:rPr>
        <w:t xml:space="preserve"> </w:t>
      </w:r>
    </w:p>
    <w:p w14:paraId="2ED7DA7E"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Chang, Y.L. and Ke, J., 2024. Socially responsible artificial intelligence empowered people analytics: a novel framework towards sustainability. </w:t>
      </w:r>
      <w:r w:rsidRPr="002A1EA8">
        <w:rPr>
          <w:rFonts w:ascii="Times New Roman" w:eastAsia="Times New Roman" w:hAnsi="Times New Roman" w:cs="Times New Roman"/>
          <w:i/>
          <w:iCs/>
          <w:color w:val="222222"/>
          <w:sz w:val="24"/>
          <w:szCs w:val="24"/>
          <w:highlight w:val="white"/>
        </w:rPr>
        <w:t>Human Resource Development Review</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23</w:t>
      </w:r>
      <w:r w:rsidRPr="002A1EA8">
        <w:rPr>
          <w:rFonts w:ascii="Times New Roman" w:eastAsia="Times New Roman" w:hAnsi="Times New Roman" w:cs="Times New Roman"/>
          <w:color w:val="222222"/>
          <w:sz w:val="24"/>
          <w:szCs w:val="24"/>
          <w:highlight w:val="white"/>
        </w:rPr>
        <w:t xml:space="preserve">(1), pp.88-120.  </w:t>
      </w:r>
      <w:hyperlink r:id="rId32">
        <w:r w:rsidRPr="002A1EA8">
          <w:rPr>
            <w:rFonts w:ascii="Times New Roman" w:eastAsia="Times New Roman" w:hAnsi="Times New Roman" w:cs="Times New Roman"/>
            <w:color w:val="1155CC"/>
            <w:sz w:val="24"/>
            <w:szCs w:val="24"/>
            <w:highlight w:val="white"/>
            <w:u w:val="single"/>
          </w:rPr>
          <w:t>https://journals.sagepub.com/doi/pdf/10.1177/15344843231200930</w:t>
        </w:r>
      </w:hyperlink>
      <w:r w:rsidRPr="002A1EA8">
        <w:rPr>
          <w:rFonts w:ascii="Times New Roman" w:eastAsia="Times New Roman" w:hAnsi="Times New Roman" w:cs="Times New Roman"/>
          <w:color w:val="222222"/>
          <w:sz w:val="24"/>
          <w:szCs w:val="24"/>
          <w:highlight w:val="white"/>
        </w:rPr>
        <w:t xml:space="preserve"> </w:t>
      </w:r>
    </w:p>
    <w:p w14:paraId="29E5DC88" w14:textId="77777777" w:rsidR="00D45BE1" w:rsidRPr="002A1EA8" w:rsidRDefault="00D45BE1" w:rsidP="004C1AF6">
      <w:pPr>
        <w:spacing w:before="240" w:after="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‌Day, S.W., Jean-Denis, H. and Karanja, E., 2025. Extending the resource-based view of social entrepreneurship: the role of artificial intelligence in scaling impact. </w:t>
      </w:r>
      <w:r w:rsidRPr="002A1EA8">
        <w:rPr>
          <w:rFonts w:ascii="Times New Roman" w:eastAsia="Times New Roman" w:hAnsi="Times New Roman" w:cs="Times New Roman"/>
          <w:i/>
          <w:iCs/>
          <w:color w:val="222222"/>
          <w:sz w:val="24"/>
          <w:szCs w:val="24"/>
          <w:highlight w:val="white"/>
        </w:rPr>
        <w:t>Journal of Risk and Financial Management</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18</w:t>
      </w:r>
      <w:r w:rsidRPr="002A1EA8">
        <w:rPr>
          <w:rFonts w:ascii="Times New Roman" w:eastAsia="Times New Roman" w:hAnsi="Times New Roman" w:cs="Times New Roman"/>
          <w:color w:val="222222"/>
          <w:sz w:val="24"/>
          <w:szCs w:val="24"/>
          <w:highlight w:val="white"/>
        </w:rPr>
        <w:t xml:space="preserve">(7), p.341.  </w:t>
      </w:r>
      <w:hyperlink r:id="rId33">
        <w:r w:rsidRPr="002A1EA8">
          <w:rPr>
            <w:rFonts w:ascii="Times New Roman" w:eastAsia="Times New Roman" w:hAnsi="Times New Roman" w:cs="Times New Roman"/>
            <w:color w:val="1155CC"/>
            <w:sz w:val="24"/>
            <w:szCs w:val="24"/>
            <w:highlight w:val="white"/>
            <w:u w:val="single"/>
          </w:rPr>
          <w:t>https://www.mdpi.com/1911-8074/18/7/341</w:t>
        </w:r>
      </w:hyperlink>
      <w:r w:rsidRPr="002A1EA8">
        <w:rPr>
          <w:rFonts w:ascii="Times New Roman" w:eastAsia="Times New Roman" w:hAnsi="Times New Roman" w:cs="Times New Roman"/>
          <w:color w:val="222222"/>
          <w:sz w:val="24"/>
          <w:szCs w:val="24"/>
          <w:highlight w:val="white"/>
        </w:rPr>
        <w:t xml:space="preserve"> </w:t>
      </w:r>
    </w:p>
    <w:p w14:paraId="724A0F31" w14:textId="77777777" w:rsidR="00D45BE1" w:rsidRPr="002A1EA8" w:rsidRDefault="00D45BE1" w:rsidP="004C1AF6">
      <w:pPr>
        <w:spacing w:before="240"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lastRenderedPageBreak/>
        <w:t xml:space="preserve">Dove. (2025). </w:t>
      </w:r>
      <w:r w:rsidRPr="002A1EA8">
        <w:rPr>
          <w:rFonts w:ascii="Times New Roman" w:eastAsia="Times New Roman" w:hAnsi="Times New Roman" w:cs="Times New Roman"/>
          <w:i/>
          <w:iCs/>
          <w:sz w:val="24"/>
          <w:szCs w:val="24"/>
        </w:rPr>
        <w:t>Dove #ChangeTheCompliment: Confidence Beyond Looks | Dove UK</w:t>
      </w:r>
      <w:r w:rsidRPr="002A1EA8">
        <w:rPr>
          <w:rFonts w:ascii="Times New Roman" w:eastAsia="Times New Roman" w:hAnsi="Times New Roman" w:cs="Times New Roman"/>
          <w:sz w:val="24"/>
          <w:szCs w:val="24"/>
        </w:rPr>
        <w:t xml:space="preserve">. [online] Available at: </w:t>
      </w:r>
      <w:hyperlink r:id="rId34">
        <w:r w:rsidRPr="002A1EA8">
          <w:rPr>
            <w:rFonts w:ascii="Times New Roman" w:eastAsia="Times New Roman" w:hAnsi="Times New Roman" w:cs="Times New Roman"/>
            <w:color w:val="1155CC"/>
            <w:sz w:val="24"/>
            <w:szCs w:val="24"/>
            <w:u w:val="single"/>
          </w:rPr>
          <w:t>https://www.dove.com/uk/dove-self-esteem-project/changethecompliment.html</w:t>
        </w:r>
      </w:hyperlink>
      <w:r w:rsidRPr="002A1EA8">
        <w:rPr>
          <w:rFonts w:ascii="Times New Roman" w:eastAsia="Times New Roman" w:hAnsi="Times New Roman" w:cs="Times New Roman"/>
          <w:sz w:val="24"/>
          <w:szCs w:val="24"/>
        </w:rPr>
        <w:t xml:space="preserve">. </w:t>
      </w:r>
    </w:p>
    <w:p w14:paraId="1E35B713"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Emeka-Okoli, S., Nwankwo, T.C., Otonnah, C.A. and Nwankwo, E.E., 2024. Corporate governance and CSR for sustainability in oil and gas: Trends, challenges, and best practices: A review. </w:t>
      </w:r>
      <w:r w:rsidRPr="002A1EA8">
        <w:rPr>
          <w:rFonts w:ascii="Times New Roman" w:eastAsia="Times New Roman" w:hAnsi="Times New Roman" w:cs="Times New Roman"/>
          <w:i/>
          <w:iCs/>
          <w:color w:val="222222"/>
          <w:sz w:val="24"/>
          <w:szCs w:val="24"/>
          <w:highlight w:val="white"/>
        </w:rPr>
        <w:t>World Journal of Advanced Research and Reviews</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21</w:t>
      </w:r>
      <w:r w:rsidRPr="002A1EA8">
        <w:rPr>
          <w:rFonts w:ascii="Times New Roman" w:eastAsia="Times New Roman" w:hAnsi="Times New Roman" w:cs="Times New Roman"/>
          <w:color w:val="222222"/>
          <w:sz w:val="24"/>
          <w:szCs w:val="24"/>
          <w:highlight w:val="white"/>
        </w:rPr>
        <w:t xml:space="preserve">(3), pp.78-90.  </w:t>
      </w:r>
      <w:hyperlink r:id="rId35">
        <w:r w:rsidRPr="002A1EA8">
          <w:rPr>
            <w:rFonts w:ascii="Times New Roman" w:eastAsia="Times New Roman" w:hAnsi="Times New Roman" w:cs="Times New Roman"/>
            <w:color w:val="1155CC"/>
            <w:sz w:val="24"/>
            <w:szCs w:val="24"/>
            <w:highlight w:val="white"/>
            <w:u w:val="single"/>
          </w:rPr>
          <w:t>https://pdfs.semanticscholar.org/72f5/8cfb315436fa0e7506cf6cab296e5559a78e.pdf</w:t>
        </w:r>
      </w:hyperlink>
      <w:r w:rsidRPr="002A1EA8">
        <w:rPr>
          <w:rFonts w:ascii="Times New Roman" w:eastAsia="Times New Roman" w:hAnsi="Times New Roman" w:cs="Times New Roman"/>
          <w:color w:val="222222"/>
          <w:sz w:val="24"/>
          <w:szCs w:val="24"/>
          <w:highlight w:val="white"/>
        </w:rPr>
        <w:t xml:space="preserve"> </w:t>
      </w:r>
    </w:p>
    <w:p w14:paraId="0DBD1984"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Frenette, J., 2023. Ensuring human oversight in high-performance AI systems: A framework for control and accountability. </w:t>
      </w:r>
      <w:r w:rsidRPr="002A1EA8">
        <w:rPr>
          <w:rFonts w:ascii="Times New Roman" w:eastAsia="Times New Roman" w:hAnsi="Times New Roman" w:cs="Times New Roman"/>
          <w:i/>
          <w:iCs/>
          <w:color w:val="222222"/>
          <w:sz w:val="24"/>
          <w:szCs w:val="24"/>
          <w:highlight w:val="white"/>
        </w:rPr>
        <w:t>World Journal of Advanced Research and Reviews</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20</w:t>
      </w:r>
      <w:r w:rsidRPr="002A1EA8">
        <w:rPr>
          <w:rFonts w:ascii="Times New Roman" w:eastAsia="Times New Roman" w:hAnsi="Times New Roman" w:cs="Times New Roman"/>
          <w:color w:val="222222"/>
          <w:sz w:val="24"/>
          <w:szCs w:val="24"/>
          <w:highlight w:val="white"/>
        </w:rPr>
        <w:t xml:space="preserve">(2), pp.1507-1516.  </w:t>
      </w:r>
      <w:hyperlink r:id="rId36">
        <w:r w:rsidRPr="002A1EA8">
          <w:rPr>
            <w:rFonts w:ascii="Times New Roman" w:eastAsia="Times New Roman" w:hAnsi="Times New Roman" w:cs="Times New Roman"/>
            <w:color w:val="1155CC"/>
            <w:sz w:val="24"/>
            <w:szCs w:val="24"/>
            <w:highlight w:val="white"/>
            <w:u w:val="single"/>
          </w:rPr>
          <w:t>https://www.academia.edu/download/124100264/Ensuring_Human_Oversight_in_High_Performance_AI_Systems_A_Framework_for_Control_and_Accountability.pdf</w:t>
        </w:r>
      </w:hyperlink>
      <w:r w:rsidRPr="002A1EA8">
        <w:rPr>
          <w:rFonts w:ascii="Times New Roman" w:eastAsia="Times New Roman" w:hAnsi="Times New Roman" w:cs="Times New Roman"/>
          <w:color w:val="222222"/>
          <w:sz w:val="24"/>
          <w:szCs w:val="24"/>
          <w:highlight w:val="white"/>
        </w:rPr>
        <w:t xml:space="preserve"> </w:t>
      </w:r>
    </w:p>
    <w:p w14:paraId="2A88869D"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Galleli, B. and Amaral, L., 2026. Bridging institutional theory and social and environmental efforts in management: A review and research agenda. </w:t>
      </w:r>
      <w:r w:rsidRPr="002A1EA8">
        <w:rPr>
          <w:rFonts w:ascii="Times New Roman" w:eastAsia="Times New Roman" w:hAnsi="Times New Roman" w:cs="Times New Roman"/>
          <w:i/>
          <w:iCs/>
          <w:color w:val="222222"/>
          <w:sz w:val="24"/>
          <w:szCs w:val="24"/>
          <w:highlight w:val="white"/>
        </w:rPr>
        <w:t>Journal of Management</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52</w:t>
      </w:r>
      <w:r w:rsidRPr="002A1EA8">
        <w:rPr>
          <w:rFonts w:ascii="Times New Roman" w:eastAsia="Times New Roman" w:hAnsi="Times New Roman" w:cs="Times New Roman"/>
          <w:color w:val="222222"/>
          <w:sz w:val="24"/>
          <w:szCs w:val="24"/>
          <w:highlight w:val="white"/>
        </w:rPr>
        <w:t xml:space="preserve">(1), pp.42-93.  </w:t>
      </w:r>
      <w:hyperlink r:id="rId37">
        <w:r w:rsidRPr="002A1EA8">
          <w:rPr>
            <w:rFonts w:ascii="Times New Roman" w:eastAsia="Times New Roman" w:hAnsi="Times New Roman" w:cs="Times New Roman"/>
            <w:color w:val="1155CC"/>
            <w:sz w:val="24"/>
            <w:szCs w:val="24"/>
            <w:highlight w:val="white"/>
            <w:u w:val="single"/>
          </w:rPr>
          <w:t>https://papers.ssrn.com/sol3/Delivery.cfm?abstractid=5520959</w:t>
        </w:r>
      </w:hyperlink>
      <w:r w:rsidRPr="002A1EA8">
        <w:rPr>
          <w:rFonts w:ascii="Times New Roman" w:eastAsia="Times New Roman" w:hAnsi="Times New Roman" w:cs="Times New Roman"/>
          <w:color w:val="222222"/>
          <w:sz w:val="24"/>
          <w:szCs w:val="24"/>
          <w:highlight w:val="white"/>
        </w:rPr>
        <w:t xml:space="preserve"> </w:t>
      </w:r>
    </w:p>
    <w:p w14:paraId="52A10E93"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Giudici, P., Centurelli, M. and Turchetta, S., 2024. Artificial Intelligence risk measurement. </w:t>
      </w:r>
      <w:r w:rsidRPr="002A1EA8">
        <w:rPr>
          <w:rFonts w:ascii="Times New Roman" w:eastAsia="Times New Roman" w:hAnsi="Times New Roman" w:cs="Times New Roman"/>
          <w:i/>
          <w:iCs/>
          <w:color w:val="222222"/>
          <w:sz w:val="24"/>
          <w:szCs w:val="24"/>
          <w:highlight w:val="white"/>
        </w:rPr>
        <w:t>Expert Systems with Applications</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235</w:t>
      </w:r>
      <w:r w:rsidRPr="002A1EA8">
        <w:rPr>
          <w:rFonts w:ascii="Times New Roman" w:eastAsia="Times New Roman" w:hAnsi="Times New Roman" w:cs="Times New Roman"/>
          <w:color w:val="222222"/>
          <w:sz w:val="24"/>
          <w:szCs w:val="24"/>
          <w:highlight w:val="white"/>
        </w:rPr>
        <w:t xml:space="preserve">, p.121220.  </w:t>
      </w:r>
      <w:hyperlink r:id="rId38">
        <w:r w:rsidRPr="002A1EA8">
          <w:rPr>
            <w:rFonts w:ascii="Times New Roman" w:eastAsia="Times New Roman" w:hAnsi="Times New Roman" w:cs="Times New Roman"/>
            <w:color w:val="1155CC"/>
            <w:sz w:val="24"/>
            <w:szCs w:val="24"/>
            <w:highlight w:val="white"/>
            <w:u w:val="single"/>
          </w:rPr>
          <w:t>https://www.sciencedirect.com/science/article/pii/S0957417423017220</w:t>
        </w:r>
      </w:hyperlink>
      <w:r w:rsidRPr="002A1EA8">
        <w:rPr>
          <w:rFonts w:ascii="Times New Roman" w:eastAsia="Times New Roman" w:hAnsi="Times New Roman" w:cs="Times New Roman"/>
          <w:color w:val="222222"/>
          <w:sz w:val="24"/>
          <w:szCs w:val="24"/>
          <w:highlight w:val="white"/>
        </w:rPr>
        <w:t xml:space="preserve"> </w:t>
      </w:r>
    </w:p>
    <w:p w14:paraId="07B8F991"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Glynn, M.A. and D’aunno, T., 2023. An intellectual history of institutional theory: Looking back to move forward. </w:t>
      </w:r>
      <w:r w:rsidRPr="002A1EA8">
        <w:rPr>
          <w:rFonts w:ascii="Times New Roman" w:eastAsia="Times New Roman" w:hAnsi="Times New Roman" w:cs="Times New Roman"/>
          <w:i/>
          <w:iCs/>
          <w:color w:val="222222"/>
          <w:sz w:val="24"/>
          <w:szCs w:val="24"/>
          <w:highlight w:val="white"/>
        </w:rPr>
        <w:t>Academy of Management Annals</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17</w:t>
      </w:r>
      <w:r w:rsidRPr="002A1EA8">
        <w:rPr>
          <w:rFonts w:ascii="Times New Roman" w:eastAsia="Times New Roman" w:hAnsi="Times New Roman" w:cs="Times New Roman"/>
          <w:color w:val="222222"/>
          <w:sz w:val="24"/>
          <w:szCs w:val="24"/>
          <w:highlight w:val="white"/>
        </w:rPr>
        <w:t xml:space="preserve">(1), pp.301-330.  </w:t>
      </w:r>
      <w:hyperlink r:id="rId39">
        <w:r w:rsidRPr="002A1EA8">
          <w:rPr>
            <w:rFonts w:ascii="Times New Roman" w:eastAsia="Times New Roman" w:hAnsi="Times New Roman" w:cs="Times New Roman"/>
            <w:color w:val="1155CC"/>
            <w:sz w:val="24"/>
            <w:szCs w:val="24"/>
            <w:highlight w:val="white"/>
            <w:u w:val="single"/>
          </w:rPr>
          <w:t>https://www.researchgate.net/profile/Thomas-Daunno/publication/364565100_An_Intellectual_History_of_Institutional_Theory_Looking_Back_to_Move_Forward/links/6395e33711e9f00cda39a73a/An-Intellectual-History-of-Institutional-Theory-Looking-Back-to-Move-Forward.pdf?origin=journalDetail&amp;_tp=eyJwYWdlIjoiam91cm5hbERldGFpbCJ9</w:t>
        </w:r>
      </w:hyperlink>
      <w:r w:rsidRPr="002A1EA8">
        <w:rPr>
          <w:rFonts w:ascii="Times New Roman" w:eastAsia="Times New Roman" w:hAnsi="Times New Roman" w:cs="Times New Roman"/>
          <w:color w:val="222222"/>
          <w:sz w:val="24"/>
          <w:szCs w:val="24"/>
          <w:highlight w:val="white"/>
        </w:rPr>
        <w:t xml:space="preserve"> </w:t>
      </w:r>
    </w:p>
    <w:p w14:paraId="5E4AF32F"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Guillen-Aguinaga, M., Aguinaga-Ontoso, E., Guillen-Aguinaga, L., Guillen-Grima, F. and Aguinaga-Ontoso, I., 2025. Data quality in the age of AI: A review of governance, ethics, and the FAIR principles. </w:t>
      </w:r>
      <w:r w:rsidRPr="002A1EA8">
        <w:rPr>
          <w:rFonts w:ascii="Times New Roman" w:eastAsia="Times New Roman" w:hAnsi="Times New Roman" w:cs="Times New Roman"/>
          <w:i/>
          <w:iCs/>
          <w:color w:val="222222"/>
          <w:sz w:val="24"/>
          <w:szCs w:val="24"/>
          <w:highlight w:val="white"/>
        </w:rPr>
        <w:t>Data</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10</w:t>
      </w:r>
      <w:r w:rsidRPr="002A1EA8">
        <w:rPr>
          <w:rFonts w:ascii="Times New Roman" w:eastAsia="Times New Roman" w:hAnsi="Times New Roman" w:cs="Times New Roman"/>
          <w:color w:val="222222"/>
          <w:sz w:val="24"/>
          <w:szCs w:val="24"/>
          <w:highlight w:val="white"/>
        </w:rPr>
        <w:t xml:space="preserve">(12), p.201.  </w:t>
      </w:r>
      <w:hyperlink r:id="rId40">
        <w:r w:rsidRPr="002A1EA8">
          <w:rPr>
            <w:rFonts w:ascii="Times New Roman" w:eastAsia="Times New Roman" w:hAnsi="Times New Roman" w:cs="Times New Roman"/>
            <w:color w:val="1155CC"/>
            <w:sz w:val="24"/>
            <w:szCs w:val="24"/>
            <w:highlight w:val="white"/>
            <w:u w:val="single"/>
          </w:rPr>
          <w:t>https://www.mdpi.com/2306-5729/10/12/201</w:t>
        </w:r>
      </w:hyperlink>
      <w:r w:rsidRPr="002A1EA8">
        <w:rPr>
          <w:rFonts w:ascii="Times New Roman" w:eastAsia="Times New Roman" w:hAnsi="Times New Roman" w:cs="Times New Roman"/>
          <w:color w:val="222222"/>
          <w:sz w:val="24"/>
          <w:szCs w:val="24"/>
          <w:highlight w:val="white"/>
        </w:rPr>
        <w:t xml:space="preserve"> </w:t>
      </w:r>
    </w:p>
    <w:p w14:paraId="7C604529"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lastRenderedPageBreak/>
        <w:t xml:space="preserve">Habbal, A., Ali, M.K. and Abuzaraida, M.A., 2024. Artificial Intelligence Trust, risk and security management (AI trism): Frameworks, applications, challenges and future research directions. </w:t>
      </w:r>
      <w:r w:rsidRPr="002A1EA8">
        <w:rPr>
          <w:rFonts w:ascii="Times New Roman" w:eastAsia="Times New Roman" w:hAnsi="Times New Roman" w:cs="Times New Roman"/>
          <w:i/>
          <w:iCs/>
          <w:color w:val="222222"/>
          <w:sz w:val="24"/>
          <w:szCs w:val="24"/>
          <w:highlight w:val="white"/>
        </w:rPr>
        <w:t>Expert Systems with Applications</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240</w:t>
      </w:r>
      <w:r w:rsidRPr="002A1EA8">
        <w:rPr>
          <w:rFonts w:ascii="Times New Roman" w:eastAsia="Times New Roman" w:hAnsi="Times New Roman" w:cs="Times New Roman"/>
          <w:color w:val="222222"/>
          <w:sz w:val="24"/>
          <w:szCs w:val="24"/>
          <w:highlight w:val="white"/>
        </w:rPr>
        <w:t xml:space="preserve">, p.122442.  </w:t>
      </w:r>
      <w:hyperlink r:id="rId41">
        <w:r w:rsidRPr="002A1EA8">
          <w:rPr>
            <w:rFonts w:ascii="Times New Roman" w:eastAsia="Times New Roman" w:hAnsi="Times New Roman" w:cs="Times New Roman"/>
            <w:color w:val="1155CC"/>
            <w:sz w:val="24"/>
            <w:szCs w:val="24"/>
            <w:highlight w:val="white"/>
            <w:u w:val="single"/>
          </w:rPr>
          <w:t>https://www.academia.edu/download/107426902/1_s2.0_S0957417423029445_main.pdf</w:t>
        </w:r>
      </w:hyperlink>
      <w:r w:rsidRPr="002A1EA8">
        <w:rPr>
          <w:rFonts w:ascii="Times New Roman" w:eastAsia="Times New Roman" w:hAnsi="Times New Roman" w:cs="Times New Roman"/>
          <w:color w:val="222222"/>
          <w:sz w:val="24"/>
          <w:szCs w:val="24"/>
          <w:highlight w:val="white"/>
        </w:rPr>
        <w:t xml:space="preserve"> </w:t>
      </w:r>
    </w:p>
    <w:p w14:paraId="144A361A"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Irani, Z., Abril, R.M., Weerakkody, V., Omar, A. and Sivarajah, U., 2023. The impact of legacy systems on digital transformation in European public administration: Lesson learned from a multi case analysis. </w:t>
      </w:r>
      <w:r w:rsidRPr="002A1EA8">
        <w:rPr>
          <w:rFonts w:ascii="Times New Roman" w:eastAsia="Times New Roman" w:hAnsi="Times New Roman" w:cs="Times New Roman"/>
          <w:i/>
          <w:iCs/>
          <w:color w:val="222222"/>
          <w:sz w:val="24"/>
          <w:szCs w:val="24"/>
          <w:highlight w:val="white"/>
        </w:rPr>
        <w:t>Government Information Quarterly</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40</w:t>
      </w:r>
      <w:r w:rsidRPr="002A1EA8">
        <w:rPr>
          <w:rFonts w:ascii="Times New Roman" w:eastAsia="Times New Roman" w:hAnsi="Times New Roman" w:cs="Times New Roman"/>
          <w:color w:val="222222"/>
          <w:sz w:val="24"/>
          <w:szCs w:val="24"/>
          <w:highlight w:val="white"/>
        </w:rPr>
        <w:t xml:space="preserve">(1), p.101784.  </w:t>
      </w:r>
      <w:hyperlink r:id="rId42">
        <w:r w:rsidRPr="002A1EA8">
          <w:rPr>
            <w:rFonts w:ascii="Times New Roman" w:eastAsia="Times New Roman" w:hAnsi="Times New Roman" w:cs="Times New Roman"/>
            <w:color w:val="1155CC"/>
            <w:sz w:val="24"/>
            <w:szCs w:val="24"/>
            <w:highlight w:val="white"/>
            <w:u w:val="single"/>
          </w:rPr>
          <w:t>https://www.sciencedirect.com/science/article/pii/S0740624X22001204</w:t>
        </w:r>
      </w:hyperlink>
      <w:r w:rsidRPr="002A1EA8">
        <w:rPr>
          <w:rFonts w:ascii="Times New Roman" w:eastAsia="Times New Roman" w:hAnsi="Times New Roman" w:cs="Times New Roman"/>
          <w:color w:val="222222"/>
          <w:sz w:val="24"/>
          <w:szCs w:val="24"/>
          <w:highlight w:val="white"/>
        </w:rPr>
        <w:t xml:space="preserve"> </w:t>
      </w:r>
    </w:p>
    <w:p w14:paraId="7E0A2ED3"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Kashefi, P., Kashefi, Y. and Ghafouri Mirsaraei, A., 2024. Shaping the future of AI: balancing innovation and ethics in global regulation. </w:t>
      </w:r>
      <w:r w:rsidRPr="002A1EA8">
        <w:rPr>
          <w:rFonts w:ascii="Times New Roman" w:eastAsia="Times New Roman" w:hAnsi="Times New Roman" w:cs="Times New Roman"/>
          <w:i/>
          <w:iCs/>
          <w:color w:val="222222"/>
          <w:sz w:val="24"/>
          <w:szCs w:val="24"/>
          <w:highlight w:val="white"/>
        </w:rPr>
        <w:t>Uniform Law Review</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29</w:t>
      </w:r>
      <w:r w:rsidRPr="002A1EA8">
        <w:rPr>
          <w:rFonts w:ascii="Times New Roman" w:eastAsia="Times New Roman" w:hAnsi="Times New Roman" w:cs="Times New Roman"/>
          <w:color w:val="222222"/>
          <w:sz w:val="24"/>
          <w:szCs w:val="24"/>
          <w:highlight w:val="white"/>
        </w:rPr>
        <w:t xml:space="preserve">(3), pp.524-548.  </w:t>
      </w:r>
      <w:hyperlink r:id="rId43">
        <w:r w:rsidRPr="002A1EA8">
          <w:rPr>
            <w:rFonts w:ascii="Times New Roman" w:eastAsia="Times New Roman" w:hAnsi="Times New Roman" w:cs="Times New Roman"/>
            <w:color w:val="1155CC"/>
            <w:sz w:val="24"/>
            <w:szCs w:val="24"/>
            <w:highlight w:val="white"/>
            <w:u w:val="single"/>
          </w:rPr>
          <w:t>https://academic.oup.com/ulr/article-pdf/29/3/524/60750550/unae040.pdf</w:t>
        </w:r>
      </w:hyperlink>
      <w:r w:rsidRPr="002A1EA8">
        <w:rPr>
          <w:rFonts w:ascii="Times New Roman" w:eastAsia="Times New Roman" w:hAnsi="Times New Roman" w:cs="Times New Roman"/>
          <w:color w:val="222222"/>
          <w:sz w:val="24"/>
          <w:szCs w:val="24"/>
          <w:highlight w:val="white"/>
        </w:rPr>
        <w:t xml:space="preserve"> </w:t>
      </w:r>
    </w:p>
    <w:p w14:paraId="67B35B5F"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Kerrigan, C., Musch, S. and Borrelli, M., 2025. The EU AI Act. In </w:t>
      </w:r>
      <w:r w:rsidRPr="002A1EA8">
        <w:rPr>
          <w:rFonts w:ascii="Times New Roman" w:eastAsia="Times New Roman" w:hAnsi="Times New Roman" w:cs="Times New Roman"/>
          <w:i/>
          <w:iCs/>
          <w:color w:val="222222"/>
          <w:sz w:val="24"/>
          <w:szCs w:val="24"/>
          <w:highlight w:val="white"/>
        </w:rPr>
        <w:t>Artificial Intelligence</w:t>
      </w:r>
      <w:r w:rsidRPr="002A1EA8">
        <w:rPr>
          <w:rFonts w:ascii="Times New Roman" w:eastAsia="Times New Roman" w:hAnsi="Times New Roman" w:cs="Times New Roman"/>
          <w:color w:val="222222"/>
          <w:sz w:val="24"/>
          <w:szCs w:val="24"/>
          <w:highlight w:val="white"/>
        </w:rPr>
        <w:t xml:space="preserve"> (pp. 178-239). Edward Elgar Publishing.  </w:t>
      </w:r>
      <w:hyperlink r:id="rId44">
        <w:r w:rsidRPr="002A1EA8">
          <w:rPr>
            <w:rFonts w:ascii="Times New Roman" w:eastAsia="Times New Roman" w:hAnsi="Times New Roman" w:cs="Times New Roman"/>
            <w:color w:val="1155CC"/>
            <w:sz w:val="24"/>
            <w:szCs w:val="24"/>
            <w:highlight w:val="white"/>
            <w:u w:val="single"/>
          </w:rPr>
          <w:t>https://italcert.it/NEWS%20ISO%2042001_%20L'implementazione%20della%20IA%20vs%20EU%20AI%20Act.pdf</w:t>
        </w:r>
      </w:hyperlink>
      <w:r w:rsidRPr="002A1EA8">
        <w:rPr>
          <w:rFonts w:ascii="Times New Roman" w:eastAsia="Times New Roman" w:hAnsi="Times New Roman" w:cs="Times New Roman"/>
          <w:color w:val="222222"/>
          <w:sz w:val="24"/>
          <w:szCs w:val="24"/>
          <w:highlight w:val="white"/>
        </w:rPr>
        <w:t xml:space="preserve"> </w:t>
      </w:r>
    </w:p>
    <w:p w14:paraId="66C53C20" w14:textId="77777777" w:rsidR="00D45BE1" w:rsidRPr="002A1EA8" w:rsidRDefault="00D45BE1" w:rsidP="004C1AF6">
      <w:pPr>
        <w:spacing w:before="240" w:after="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Kilian, R., Jäck, L. and Ebel, D., 2025. European ai standards–technical standardisation and implementation challenges under the eu ai act. </w:t>
      </w:r>
      <w:r w:rsidRPr="002A1EA8">
        <w:rPr>
          <w:rFonts w:ascii="Times New Roman" w:eastAsia="Times New Roman" w:hAnsi="Times New Roman" w:cs="Times New Roman"/>
          <w:i/>
          <w:iCs/>
          <w:color w:val="222222"/>
          <w:sz w:val="24"/>
          <w:szCs w:val="24"/>
          <w:highlight w:val="white"/>
        </w:rPr>
        <w:t>European Journal of Risk Regulation</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16</w:t>
      </w:r>
      <w:r w:rsidRPr="002A1EA8">
        <w:rPr>
          <w:rFonts w:ascii="Times New Roman" w:eastAsia="Times New Roman" w:hAnsi="Times New Roman" w:cs="Times New Roman"/>
          <w:color w:val="222222"/>
          <w:sz w:val="24"/>
          <w:szCs w:val="24"/>
          <w:highlight w:val="white"/>
        </w:rPr>
        <w:t xml:space="preserve">(3), pp.1038-1062.  </w:t>
      </w:r>
      <w:hyperlink r:id="rId45">
        <w:r w:rsidRPr="002A1EA8">
          <w:rPr>
            <w:rFonts w:ascii="Times New Roman" w:eastAsia="Times New Roman" w:hAnsi="Times New Roman" w:cs="Times New Roman"/>
            <w:color w:val="1155CC"/>
            <w:sz w:val="24"/>
            <w:szCs w:val="24"/>
            <w:highlight w:val="white"/>
            <w:u w:val="single"/>
          </w:rPr>
          <w:t>https://www.cambridge.org/core/services/aop-cambridge-core/content/view/E5157BA0391FFA9E1A3233E636005192/S1867299X25100329a.pdf/div-class-title-european-ai-standards-technical-standardisation-and-implementation-challenges-under-the-eu-ai-act-div.pdf</w:t>
        </w:r>
      </w:hyperlink>
      <w:r w:rsidRPr="002A1EA8">
        <w:rPr>
          <w:rFonts w:ascii="Times New Roman" w:eastAsia="Times New Roman" w:hAnsi="Times New Roman" w:cs="Times New Roman"/>
          <w:color w:val="222222"/>
          <w:sz w:val="24"/>
          <w:szCs w:val="24"/>
          <w:highlight w:val="white"/>
        </w:rPr>
        <w:t xml:space="preserve"> </w:t>
      </w:r>
    </w:p>
    <w:p w14:paraId="37A0980E"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Nagle, F., Seamans, R. and Tadelis, S., 2025. Transaction cost economics in the digital economy: A research agenda. </w:t>
      </w:r>
      <w:r w:rsidRPr="002A1EA8">
        <w:rPr>
          <w:rFonts w:ascii="Times New Roman" w:eastAsia="Times New Roman" w:hAnsi="Times New Roman" w:cs="Times New Roman"/>
          <w:i/>
          <w:iCs/>
          <w:color w:val="222222"/>
          <w:sz w:val="24"/>
          <w:szCs w:val="24"/>
          <w:highlight w:val="white"/>
        </w:rPr>
        <w:t>Strategic Organization</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23</w:t>
      </w:r>
      <w:r w:rsidRPr="002A1EA8">
        <w:rPr>
          <w:rFonts w:ascii="Times New Roman" w:eastAsia="Times New Roman" w:hAnsi="Times New Roman" w:cs="Times New Roman"/>
          <w:color w:val="222222"/>
          <w:sz w:val="24"/>
          <w:szCs w:val="24"/>
          <w:highlight w:val="white"/>
        </w:rPr>
        <w:t xml:space="preserve">(2), pp.351-365.  </w:t>
      </w:r>
      <w:hyperlink r:id="rId46">
        <w:r w:rsidRPr="002A1EA8">
          <w:rPr>
            <w:rFonts w:ascii="Times New Roman" w:eastAsia="Times New Roman" w:hAnsi="Times New Roman" w:cs="Times New Roman"/>
            <w:color w:val="1155CC"/>
            <w:sz w:val="24"/>
            <w:szCs w:val="24"/>
            <w:highlight w:val="white"/>
            <w:u w:val="single"/>
          </w:rPr>
          <w:t>https://papers.ssrn.com/sol3/Delivery.cfm?abstractid=3661856</w:t>
        </w:r>
      </w:hyperlink>
      <w:r w:rsidRPr="002A1EA8">
        <w:rPr>
          <w:rFonts w:ascii="Times New Roman" w:eastAsia="Times New Roman" w:hAnsi="Times New Roman" w:cs="Times New Roman"/>
          <w:color w:val="222222"/>
          <w:sz w:val="24"/>
          <w:szCs w:val="24"/>
          <w:highlight w:val="white"/>
        </w:rPr>
        <w:t xml:space="preserve"> </w:t>
      </w:r>
    </w:p>
    <w:p w14:paraId="26F6114D"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Nweje, U. and Taiwo, M., 2025. Leveraging Artificial Intelligence for predictive supply chain management, focus on how AI-driven tools are revolutionizing demand forecasting and inventory optimization. </w:t>
      </w:r>
      <w:r w:rsidRPr="002A1EA8">
        <w:rPr>
          <w:rFonts w:ascii="Times New Roman" w:eastAsia="Times New Roman" w:hAnsi="Times New Roman" w:cs="Times New Roman"/>
          <w:i/>
          <w:iCs/>
          <w:color w:val="222222"/>
          <w:sz w:val="24"/>
          <w:szCs w:val="24"/>
          <w:highlight w:val="white"/>
        </w:rPr>
        <w:t>International Journal of Science and Research Archive</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14</w:t>
      </w:r>
      <w:r w:rsidRPr="002A1EA8">
        <w:rPr>
          <w:rFonts w:ascii="Times New Roman" w:eastAsia="Times New Roman" w:hAnsi="Times New Roman" w:cs="Times New Roman"/>
          <w:color w:val="222222"/>
          <w:sz w:val="24"/>
          <w:szCs w:val="24"/>
          <w:highlight w:val="white"/>
        </w:rPr>
        <w:t xml:space="preserve">(1), pp.230-250.  </w:t>
      </w:r>
      <w:hyperlink r:id="rId47">
        <w:r w:rsidRPr="002A1EA8">
          <w:rPr>
            <w:rFonts w:ascii="Times New Roman" w:eastAsia="Times New Roman" w:hAnsi="Times New Roman" w:cs="Times New Roman"/>
            <w:color w:val="1155CC"/>
            <w:sz w:val="24"/>
            <w:szCs w:val="24"/>
            <w:highlight w:val="white"/>
            <w:u w:val="single"/>
          </w:rPr>
          <w:t>https://www.researchgate.net/profile/Uche-</w:t>
        </w:r>
        <w:r w:rsidRPr="002A1EA8">
          <w:rPr>
            <w:rFonts w:ascii="Times New Roman" w:eastAsia="Times New Roman" w:hAnsi="Times New Roman" w:cs="Times New Roman"/>
            <w:color w:val="1155CC"/>
            <w:sz w:val="24"/>
            <w:szCs w:val="24"/>
            <w:highlight w:val="white"/>
            <w:u w:val="single"/>
          </w:rPr>
          <w:lastRenderedPageBreak/>
          <w:t>Nweje/publication/387903364_Leveraging_Artificial_Intelligence_for_predictive_supply_chain_management_focus_on_how_AI-driven_tools_are_revolutionizing_demand_forecasting_and_inventory_optimization/links/6781b0ef3e33dd0be9f72b59/Leveraging-Artificial-Intelligence-for-predictive-supply-chain-management-focus-on-how-AI-driven-tools-are-revolutionizing-demand-forecasting-and-inventory-optimization.pdf</w:t>
        </w:r>
      </w:hyperlink>
      <w:r w:rsidRPr="002A1EA8">
        <w:rPr>
          <w:rFonts w:ascii="Times New Roman" w:eastAsia="Times New Roman" w:hAnsi="Times New Roman" w:cs="Times New Roman"/>
          <w:color w:val="222222"/>
          <w:sz w:val="24"/>
          <w:szCs w:val="24"/>
          <w:highlight w:val="white"/>
        </w:rPr>
        <w:t xml:space="preserve"> </w:t>
      </w:r>
    </w:p>
    <w:p w14:paraId="49028400" w14:textId="77777777" w:rsidR="00D45BE1" w:rsidRPr="002A1EA8" w:rsidRDefault="00D45BE1" w:rsidP="004C1AF6">
      <w:pPr>
        <w:spacing w:before="240" w:after="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‌Odedina, E.A., 2023. Redefining governance, risk, and compliance (GRC) in the digital age: integrating AI-Driven risk management frameworks. </w:t>
      </w:r>
      <w:r w:rsidRPr="002A1EA8">
        <w:rPr>
          <w:rFonts w:ascii="Times New Roman" w:eastAsia="Times New Roman" w:hAnsi="Times New Roman" w:cs="Times New Roman"/>
          <w:i/>
          <w:iCs/>
          <w:color w:val="222222"/>
          <w:sz w:val="24"/>
          <w:szCs w:val="24"/>
          <w:highlight w:val="white"/>
        </w:rPr>
        <w:t>World Journal of Advanced Engineering Technology and Sciences</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10</w:t>
      </w:r>
      <w:r w:rsidRPr="002A1EA8">
        <w:rPr>
          <w:rFonts w:ascii="Times New Roman" w:eastAsia="Times New Roman" w:hAnsi="Times New Roman" w:cs="Times New Roman"/>
          <w:color w:val="222222"/>
          <w:sz w:val="24"/>
          <w:szCs w:val="24"/>
          <w:highlight w:val="white"/>
        </w:rPr>
        <w:t xml:space="preserve">(1), pp.264-282.  </w:t>
      </w:r>
      <w:hyperlink r:id="rId48">
        <w:r w:rsidRPr="002A1EA8">
          <w:rPr>
            <w:rFonts w:ascii="Times New Roman" w:eastAsia="Times New Roman" w:hAnsi="Times New Roman" w:cs="Times New Roman"/>
            <w:color w:val="1155CC"/>
            <w:sz w:val="24"/>
            <w:szCs w:val="24"/>
            <w:highlight w:val="white"/>
            <w:u w:val="single"/>
          </w:rPr>
          <w:t>https://www.researchgate.net/profile/Eniola-Odedina/publication/392194337_Redefining_Governance_Risk_and_Compliance_GRC_in_the_Digital_Age_Integrating_AI-Driven_Risk_Management_Frameworks/links/683852b36a754f72b58d1d32/Redefining-Governance-Risk-and-Compliance-GRC-in-the-Digital-Age-Integrating-AI-Driven-Risk-Management-Frameworks.pdf</w:t>
        </w:r>
      </w:hyperlink>
      <w:r w:rsidRPr="002A1EA8">
        <w:rPr>
          <w:rFonts w:ascii="Times New Roman" w:eastAsia="Times New Roman" w:hAnsi="Times New Roman" w:cs="Times New Roman"/>
          <w:color w:val="222222"/>
          <w:sz w:val="24"/>
          <w:szCs w:val="24"/>
          <w:highlight w:val="white"/>
        </w:rPr>
        <w:t xml:space="preserve"> </w:t>
      </w:r>
    </w:p>
    <w:p w14:paraId="008EC35A"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Papagiannidis, E., Enholm, I.M., Dremel, C., Mikalef, P. and Krogstie, J., 2023. Toward AI governance: Identifying best practices and potential barriers and outcomes. </w:t>
      </w:r>
      <w:r w:rsidRPr="002A1EA8">
        <w:rPr>
          <w:rFonts w:ascii="Times New Roman" w:eastAsia="Times New Roman" w:hAnsi="Times New Roman" w:cs="Times New Roman"/>
          <w:i/>
          <w:iCs/>
          <w:color w:val="222222"/>
          <w:sz w:val="24"/>
          <w:szCs w:val="24"/>
          <w:highlight w:val="white"/>
        </w:rPr>
        <w:t>Information Systems Frontiers</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25</w:t>
      </w:r>
      <w:r w:rsidRPr="002A1EA8">
        <w:rPr>
          <w:rFonts w:ascii="Times New Roman" w:eastAsia="Times New Roman" w:hAnsi="Times New Roman" w:cs="Times New Roman"/>
          <w:color w:val="222222"/>
          <w:sz w:val="24"/>
          <w:szCs w:val="24"/>
          <w:highlight w:val="white"/>
        </w:rPr>
        <w:t xml:space="preserve">(1), pp.123-141. </w:t>
      </w:r>
      <w:hyperlink r:id="rId49">
        <w:r w:rsidRPr="002A1EA8">
          <w:rPr>
            <w:rFonts w:ascii="Times New Roman" w:eastAsia="Times New Roman" w:hAnsi="Times New Roman" w:cs="Times New Roman"/>
            <w:color w:val="1155CC"/>
            <w:sz w:val="24"/>
            <w:szCs w:val="24"/>
            <w:highlight w:val="white"/>
            <w:u w:val="single"/>
          </w:rPr>
          <w:t>https://link.springer.com/content/pdf/10.1007/s10796-022-10251-y.pdf</w:t>
        </w:r>
      </w:hyperlink>
      <w:r w:rsidRPr="002A1EA8">
        <w:rPr>
          <w:rFonts w:ascii="Times New Roman" w:eastAsia="Times New Roman" w:hAnsi="Times New Roman" w:cs="Times New Roman"/>
          <w:color w:val="222222"/>
          <w:sz w:val="24"/>
          <w:szCs w:val="24"/>
          <w:highlight w:val="white"/>
        </w:rPr>
        <w:t xml:space="preserve"> </w:t>
      </w:r>
    </w:p>
    <w:p w14:paraId="7FE914E1" w14:textId="77777777" w:rsidR="00D45BE1" w:rsidRPr="002A1EA8" w:rsidRDefault="00D45BE1" w:rsidP="004C1AF6">
      <w:pPr>
        <w:spacing w:before="240"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color w:val="222222"/>
          <w:sz w:val="24"/>
          <w:szCs w:val="24"/>
          <w:highlight w:val="white"/>
        </w:rPr>
        <w:t xml:space="preserve">Popa, D.M., 2025. Frontrunner model for responsible AI governance in the public sector: The Dutch perspective. </w:t>
      </w:r>
      <w:r w:rsidRPr="002A1EA8">
        <w:rPr>
          <w:rFonts w:ascii="Times New Roman" w:eastAsia="Times New Roman" w:hAnsi="Times New Roman" w:cs="Times New Roman"/>
          <w:i/>
          <w:iCs/>
          <w:color w:val="222222"/>
          <w:sz w:val="24"/>
          <w:szCs w:val="24"/>
          <w:highlight w:val="white"/>
        </w:rPr>
        <w:t>AI and Ethics</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5</w:t>
      </w:r>
      <w:r w:rsidRPr="002A1EA8">
        <w:rPr>
          <w:rFonts w:ascii="Times New Roman" w:eastAsia="Times New Roman" w:hAnsi="Times New Roman" w:cs="Times New Roman"/>
          <w:color w:val="222222"/>
          <w:sz w:val="24"/>
          <w:szCs w:val="24"/>
          <w:highlight w:val="white"/>
        </w:rPr>
        <w:t xml:space="preserve">(3), pp.2789-2799.  </w:t>
      </w:r>
      <w:hyperlink r:id="rId50">
        <w:r w:rsidRPr="002A1EA8">
          <w:rPr>
            <w:rFonts w:ascii="Times New Roman" w:eastAsia="Times New Roman" w:hAnsi="Times New Roman" w:cs="Times New Roman"/>
            <w:color w:val="1155CC"/>
            <w:sz w:val="24"/>
            <w:szCs w:val="24"/>
            <w:highlight w:val="white"/>
            <w:u w:val="single"/>
          </w:rPr>
          <w:t>https://link.springer.com/content/pdf/10.1007/s43681-024-00596-2.pdf</w:t>
        </w:r>
      </w:hyperlink>
      <w:r w:rsidRPr="002A1EA8">
        <w:rPr>
          <w:rFonts w:ascii="Times New Roman" w:eastAsia="Times New Roman" w:hAnsi="Times New Roman" w:cs="Times New Roman"/>
          <w:color w:val="222222"/>
          <w:sz w:val="24"/>
          <w:szCs w:val="24"/>
          <w:highlight w:val="white"/>
        </w:rPr>
        <w:t xml:space="preserve"> </w:t>
      </w:r>
    </w:p>
    <w:p w14:paraId="2BD2FCFE"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Qadri, A.U. and Tariq, M., 2025. SWOT and PESTLE Analyses in Strategic Business Planning. </w:t>
      </w:r>
      <w:r w:rsidRPr="002A1EA8">
        <w:rPr>
          <w:rFonts w:ascii="Times New Roman" w:eastAsia="Times New Roman" w:hAnsi="Times New Roman" w:cs="Times New Roman"/>
          <w:i/>
          <w:iCs/>
          <w:color w:val="222222"/>
          <w:sz w:val="24"/>
          <w:szCs w:val="24"/>
          <w:highlight w:val="white"/>
        </w:rPr>
        <w:t>International Journal of Modern Research in Management</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2</w:t>
      </w:r>
      <w:r w:rsidRPr="002A1EA8">
        <w:rPr>
          <w:rFonts w:ascii="Times New Roman" w:eastAsia="Times New Roman" w:hAnsi="Times New Roman" w:cs="Times New Roman"/>
          <w:color w:val="222222"/>
          <w:sz w:val="24"/>
          <w:szCs w:val="24"/>
          <w:highlight w:val="white"/>
        </w:rPr>
        <w:t xml:space="preserve">(01), pp.34-44.  </w:t>
      </w:r>
      <w:hyperlink r:id="rId51">
        <w:r w:rsidRPr="002A1EA8">
          <w:rPr>
            <w:rFonts w:ascii="Times New Roman" w:eastAsia="Times New Roman" w:hAnsi="Times New Roman" w:cs="Times New Roman"/>
            <w:color w:val="1155CC"/>
            <w:sz w:val="24"/>
            <w:szCs w:val="24"/>
            <w:highlight w:val="white"/>
            <w:u w:val="single"/>
          </w:rPr>
          <w:t>https://www.ijournalmrm.com/index.php/IJMRM/article/download/15/15</w:t>
        </w:r>
      </w:hyperlink>
      <w:r w:rsidRPr="002A1EA8">
        <w:rPr>
          <w:rFonts w:ascii="Times New Roman" w:eastAsia="Times New Roman" w:hAnsi="Times New Roman" w:cs="Times New Roman"/>
          <w:color w:val="222222"/>
          <w:sz w:val="24"/>
          <w:szCs w:val="24"/>
          <w:highlight w:val="white"/>
        </w:rPr>
        <w:t xml:space="preserve"> </w:t>
      </w:r>
    </w:p>
    <w:p w14:paraId="58406806"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Rana, N.P., Chatterjee, S., Dwivedi, Y.K. and Akter, S., 2022. Understanding dark side of artificial intelligence (AI) integrated business analytics: assessing firm’s operational inefficiency and competitiveness. </w:t>
      </w:r>
      <w:r w:rsidRPr="002A1EA8">
        <w:rPr>
          <w:rFonts w:ascii="Times New Roman" w:eastAsia="Times New Roman" w:hAnsi="Times New Roman" w:cs="Times New Roman"/>
          <w:i/>
          <w:iCs/>
          <w:color w:val="222222"/>
          <w:sz w:val="24"/>
          <w:szCs w:val="24"/>
          <w:highlight w:val="white"/>
        </w:rPr>
        <w:t>European Journal of Information Systems</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31</w:t>
      </w:r>
      <w:r w:rsidRPr="002A1EA8">
        <w:rPr>
          <w:rFonts w:ascii="Times New Roman" w:eastAsia="Times New Roman" w:hAnsi="Times New Roman" w:cs="Times New Roman"/>
          <w:color w:val="222222"/>
          <w:sz w:val="24"/>
          <w:szCs w:val="24"/>
          <w:highlight w:val="white"/>
        </w:rPr>
        <w:t xml:space="preserve">(3), pp.364-387.  </w:t>
      </w:r>
      <w:hyperlink r:id="rId52">
        <w:r w:rsidRPr="002A1EA8">
          <w:rPr>
            <w:rFonts w:ascii="Times New Roman" w:eastAsia="Times New Roman" w:hAnsi="Times New Roman" w:cs="Times New Roman"/>
            <w:color w:val="1155CC"/>
            <w:sz w:val="24"/>
            <w:szCs w:val="24"/>
            <w:highlight w:val="white"/>
            <w:u w:val="single"/>
          </w:rPr>
          <w:t>https://www.tandfonline.com/doi/pdf/10.1080/0960085X.2021.1955628</w:t>
        </w:r>
      </w:hyperlink>
      <w:r w:rsidRPr="002A1EA8">
        <w:rPr>
          <w:rFonts w:ascii="Times New Roman" w:eastAsia="Times New Roman" w:hAnsi="Times New Roman" w:cs="Times New Roman"/>
          <w:color w:val="222222"/>
          <w:sz w:val="24"/>
          <w:szCs w:val="24"/>
          <w:highlight w:val="white"/>
        </w:rPr>
        <w:t xml:space="preserve"> </w:t>
      </w:r>
    </w:p>
    <w:p w14:paraId="39E3A085"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lastRenderedPageBreak/>
        <w:t xml:space="preserve">Uddin, M.S., Mohamed, O.E.B. and Ebert, J., 2024. Artificial intelligence-powered carbon emissions forecasting: implications for sustainable supply chains and green finance. </w:t>
      </w:r>
      <w:r w:rsidRPr="002A1EA8">
        <w:rPr>
          <w:rFonts w:ascii="Times New Roman" w:eastAsia="Times New Roman" w:hAnsi="Times New Roman" w:cs="Times New Roman"/>
          <w:i/>
          <w:iCs/>
          <w:color w:val="222222"/>
          <w:sz w:val="24"/>
          <w:szCs w:val="24"/>
          <w:highlight w:val="white"/>
        </w:rPr>
        <w:t>Energy, Environment, and Economy</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2</w:t>
      </w:r>
      <w:r w:rsidRPr="002A1EA8">
        <w:rPr>
          <w:rFonts w:ascii="Times New Roman" w:eastAsia="Times New Roman" w:hAnsi="Times New Roman" w:cs="Times New Roman"/>
          <w:color w:val="222222"/>
          <w:sz w:val="24"/>
          <w:szCs w:val="24"/>
          <w:highlight w:val="white"/>
        </w:rPr>
        <w:t xml:space="preserve">, pp.1-13.  </w:t>
      </w:r>
      <w:hyperlink r:id="rId53">
        <w:r w:rsidRPr="002A1EA8">
          <w:rPr>
            <w:rFonts w:ascii="Times New Roman" w:eastAsia="Times New Roman" w:hAnsi="Times New Roman" w:cs="Times New Roman"/>
            <w:color w:val="1155CC"/>
            <w:sz w:val="24"/>
            <w:szCs w:val="24"/>
            <w:highlight w:val="white"/>
            <w:u w:val="single"/>
          </w:rPr>
          <w:t>https://hal.science/hal-04972904/document</w:t>
        </w:r>
      </w:hyperlink>
      <w:r w:rsidRPr="002A1EA8">
        <w:rPr>
          <w:rFonts w:ascii="Times New Roman" w:eastAsia="Times New Roman" w:hAnsi="Times New Roman" w:cs="Times New Roman"/>
          <w:color w:val="222222"/>
          <w:sz w:val="24"/>
          <w:szCs w:val="24"/>
          <w:highlight w:val="white"/>
        </w:rPr>
        <w:t xml:space="preserve"> </w:t>
      </w:r>
    </w:p>
    <w:p w14:paraId="6C91EF32" w14:textId="77777777" w:rsidR="00D45BE1" w:rsidRPr="002A1EA8" w:rsidRDefault="00D45BE1" w:rsidP="004C1AF6">
      <w:pPr>
        <w:spacing w:before="240"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Unilever (2025a). </w:t>
      </w:r>
      <w:r w:rsidRPr="002A1EA8">
        <w:rPr>
          <w:rFonts w:ascii="Times New Roman" w:eastAsia="Times New Roman" w:hAnsi="Times New Roman" w:cs="Times New Roman"/>
          <w:i/>
          <w:iCs/>
          <w:sz w:val="24"/>
          <w:szCs w:val="24"/>
        </w:rPr>
        <w:t>Our Company</w:t>
      </w:r>
      <w:r w:rsidRPr="002A1EA8">
        <w:rPr>
          <w:rFonts w:ascii="Times New Roman" w:eastAsia="Times New Roman" w:hAnsi="Times New Roman" w:cs="Times New Roman"/>
          <w:sz w:val="24"/>
          <w:szCs w:val="24"/>
        </w:rPr>
        <w:t xml:space="preserve">. [online] Unilever. Available at: </w:t>
      </w:r>
      <w:hyperlink r:id="rId54">
        <w:r w:rsidRPr="002A1EA8">
          <w:rPr>
            <w:rFonts w:ascii="Times New Roman" w:eastAsia="Times New Roman" w:hAnsi="Times New Roman" w:cs="Times New Roman"/>
            <w:color w:val="1155CC"/>
            <w:sz w:val="24"/>
            <w:szCs w:val="24"/>
            <w:u w:val="single"/>
          </w:rPr>
          <w:t>https://www.unilever.com/our-company/</w:t>
        </w:r>
      </w:hyperlink>
      <w:r w:rsidRPr="002A1EA8">
        <w:rPr>
          <w:rFonts w:ascii="Times New Roman" w:eastAsia="Times New Roman" w:hAnsi="Times New Roman" w:cs="Times New Roman"/>
          <w:sz w:val="24"/>
          <w:szCs w:val="24"/>
        </w:rPr>
        <w:t xml:space="preserve">. </w:t>
      </w:r>
    </w:p>
    <w:p w14:paraId="35924C0C"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Unilever (2025d). </w:t>
      </w:r>
      <w:r w:rsidRPr="002A1EA8">
        <w:rPr>
          <w:rFonts w:ascii="Times New Roman" w:eastAsia="Times New Roman" w:hAnsi="Times New Roman" w:cs="Times New Roman"/>
          <w:i/>
          <w:iCs/>
          <w:color w:val="222222"/>
          <w:sz w:val="24"/>
          <w:szCs w:val="24"/>
          <w:highlight w:val="white"/>
        </w:rPr>
        <w:t>How Unilever’s digital transformation is driving operational excellence</w:t>
      </w:r>
      <w:r w:rsidRPr="002A1EA8">
        <w:rPr>
          <w:rFonts w:ascii="Times New Roman" w:eastAsia="Times New Roman" w:hAnsi="Times New Roman" w:cs="Times New Roman"/>
          <w:color w:val="222222"/>
          <w:sz w:val="24"/>
          <w:szCs w:val="24"/>
          <w:highlight w:val="white"/>
        </w:rPr>
        <w:t xml:space="preserve">. [online] Unilever. Available at: </w:t>
      </w:r>
      <w:hyperlink r:id="rId55">
        <w:r w:rsidRPr="002A1EA8">
          <w:rPr>
            <w:rFonts w:ascii="Times New Roman" w:eastAsia="Times New Roman" w:hAnsi="Times New Roman" w:cs="Times New Roman"/>
            <w:color w:val="1155CC"/>
            <w:sz w:val="24"/>
            <w:szCs w:val="24"/>
            <w:highlight w:val="white"/>
            <w:u w:val="single"/>
          </w:rPr>
          <w:t>https://www.unilever.com/news/news-search/2025/how-unilevers-digital-transformation-is-driving-operational-excellence/</w:t>
        </w:r>
      </w:hyperlink>
      <w:r w:rsidRPr="002A1EA8">
        <w:rPr>
          <w:rFonts w:ascii="Times New Roman" w:eastAsia="Times New Roman" w:hAnsi="Times New Roman" w:cs="Times New Roman"/>
          <w:color w:val="222222"/>
          <w:sz w:val="24"/>
          <w:szCs w:val="24"/>
          <w:highlight w:val="white"/>
        </w:rPr>
        <w:t xml:space="preserve">. </w:t>
      </w:r>
    </w:p>
    <w:p w14:paraId="487C3E01"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Unilever PLC (2025b). </w:t>
      </w:r>
      <w:r w:rsidRPr="002A1EA8">
        <w:rPr>
          <w:rFonts w:ascii="Times New Roman" w:eastAsia="Times New Roman" w:hAnsi="Times New Roman" w:cs="Times New Roman"/>
          <w:i/>
          <w:iCs/>
          <w:color w:val="222222"/>
          <w:sz w:val="24"/>
          <w:szCs w:val="24"/>
          <w:highlight w:val="white"/>
        </w:rPr>
        <w:t>How AI is transforming Unilever’s Personal Care business</w:t>
      </w:r>
      <w:r w:rsidRPr="002A1EA8">
        <w:rPr>
          <w:rFonts w:ascii="Times New Roman" w:eastAsia="Times New Roman" w:hAnsi="Times New Roman" w:cs="Times New Roman"/>
          <w:color w:val="222222"/>
          <w:sz w:val="24"/>
          <w:szCs w:val="24"/>
          <w:highlight w:val="white"/>
        </w:rPr>
        <w:t xml:space="preserve">. [online] Unilever. Available at: </w:t>
      </w:r>
      <w:hyperlink r:id="rId56">
        <w:r w:rsidRPr="002A1EA8">
          <w:rPr>
            <w:rFonts w:ascii="Times New Roman" w:eastAsia="Times New Roman" w:hAnsi="Times New Roman" w:cs="Times New Roman"/>
            <w:color w:val="1155CC"/>
            <w:sz w:val="24"/>
            <w:szCs w:val="24"/>
            <w:highlight w:val="white"/>
            <w:u w:val="single"/>
          </w:rPr>
          <w:t>https://www.unilever.com/news/news-search/2025/how-ai-is-transforming-unilevers-personal-care-business/</w:t>
        </w:r>
      </w:hyperlink>
      <w:r w:rsidRPr="002A1EA8">
        <w:rPr>
          <w:rFonts w:ascii="Times New Roman" w:eastAsia="Times New Roman" w:hAnsi="Times New Roman" w:cs="Times New Roman"/>
          <w:color w:val="222222"/>
          <w:sz w:val="24"/>
          <w:szCs w:val="24"/>
          <w:highlight w:val="white"/>
        </w:rPr>
        <w:t xml:space="preserve">. </w:t>
      </w:r>
    </w:p>
    <w:p w14:paraId="61637771" w14:textId="77777777" w:rsidR="00D45BE1" w:rsidRPr="002A1EA8" w:rsidRDefault="00D45BE1" w:rsidP="004C1AF6">
      <w:pPr>
        <w:spacing w:before="240" w:after="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‌Unilever PLC (2025c). </w:t>
      </w:r>
      <w:r w:rsidRPr="002A1EA8">
        <w:rPr>
          <w:rFonts w:ascii="Times New Roman" w:eastAsia="Times New Roman" w:hAnsi="Times New Roman" w:cs="Times New Roman"/>
          <w:i/>
          <w:iCs/>
          <w:color w:val="222222"/>
          <w:sz w:val="24"/>
          <w:szCs w:val="24"/>
          <w:highlight w:val="white"/>
        </w:rPr>
        <w:t>How AI is helping drive Desire at Scale across Unilever</w:t>
      </w:r>
      <w:r w:rsidRPr="002A1EA8">
        <w:rPr>
          <w:rFonts w:ascii="Times New Roman" w:eastAsia="Times New Roman" w:hAnsi="Times New Roman" w:cs="Times New Roman"/>
          <w:color w:val="222222"/>
          <w:sz w:val="24"/>
          <w:szCs w:val="24"/>
          <w:highlight w:val="white"/>
        </w:rPr>
        <w:t xml:space="preserve">. [online] Unilever. Available at: </w:t>
      </w:r>
      <w:hyperlink r:id="rId57">
        <w:r w:rsidRPr="002A1EA8">
          <w:rPr>
            <w:rFonts w:ascii="Times New Roman" w:eastAsia="Times New Roman" w:hAnsi="Times New Roman" w:cs="Times New Roman"/>
            <w:color w:val="1155CC"/>
            <w:sz w:val="24"/>
            <w:szCs w:val="24"/>
            <w:highlight w:val="white"/>
            <w:u w:val="single"/>
          </w:rPr>
          <w:t>https://www.unilever.com/news/news-search/2025/how-ai-is-helping-drive-desire-at-scale-across-unilever/</w:t>
        </w:r>
      </w:hyperlink>
      <w:r w:rsidRPr="002A1EA8">
        <w:rPr>
          <w:rFonts w:ascii="Times New Roman" w:eastAsia="Times New Roman" w:hAnsi="Times New Roman" w:cs="Times New Roman"/>
          <w:color w:val="222222"/>
          <w:sz w:val="24"/>
          <w:szCs w:val="24"/>
          <w:highlight w:val="white"/>
        </w:rPr>
        <w:t xml:space="preserve">. </w:t>
      </w:r>
    </w:p>
    <w:p w14:paraId="3FEA040A" w14:textId="77777777" w:rsidR="00D45BE1" w:rsidRPr="002A1EA8" w:rsidRDefault="00D45BE1" w:rsidP="004C1AF6">
      <w:pPr>
        <w:spacing w:before="240"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Unilever PLC (2026a). </w:t>
      </w:r>
      <w:r w:rsidRPr="002A1EA8">
        <w:rPr>
          <w:rFonts w:ascii="Times New Roman" w:eastAsia="Times New Roman" w:hAnsi="Times New Roman" w:cs="Times New Roman"/>
          <w:i/>
          <w:iCs/>
          <w:sz w:val="24"/>
          <w:szCs w:val="24"/>
        </w:rPr>
        <w:t>Overview q4-2025</w:t>
      </w:r>
      <w:r w:rsidRPr="002A1EA8">
        <w:rPr>
          <w:rFonts w:ascii="Times New Roman" w:eastAsia="Times New Roman" w:hAnsi="Times New Roman" w:cs="Times New Roman"/>
          <w:sz w:val="24"/>
          <w:szCs w:val="24"/>
        </w:rPr>
        <w:t xml:space="preserve">. [online] Unilever. Available at: </w:t>
      </w:r>
      <w:hyperlink r:id="rId58">
        <w:r w:rsidRPr="002A1EA8">
          <w:rPr>
            <w:rFonts w:ascii="Times New Roman" w:eastAsia="Times New Roman" w:hAnsi="Times New Roman" w:cs="Times New Roman"/>
            <w:color w:val="1155CC"/>
            <w:sz w:val="24"/>
            <w:szCs w:val="24"/>
            <w:u w:val="single"/>
          </w:rPr>
          <w:t>https://www.unilever.com/investors/results-events/results-events-webcasts/overview-q4-2025/</w:t>
        </w:r>
      </w:hyperlink>
      <w:r w:rsidRPr="002A1EA8">
        <w:rPr>
          <w:rFonts w:ascii="Times New Roman" w:eastAsia="Times New Roman" w:hAnsi="Times New Roman" w:cs="Times New Roman"/>
          <w:sz w:val="24"/>
          <w:szCs w:val="24"/>
        </w:rPr>
        <w:t xml:space="preserve">. </w:t>
      </w:r>
    </w:p>
    <w:p w14:paraId="0FA9D33F" w14:textId="77777777" w:rsidR="00D45BE1" w:rsidRPr="002A1EA8" w:rsidRDefault="00D45BE1" w:rsidP="004C1AF6">
      <w:pPr>
        <w:spacing w:before="240" w:after="240" w:line="360" w:lineRule="auto"/>
        <w:jc w:val="both"/>
        <w:rPr>
          <w:rFonts w:ascii="Times New Roman" w:eastAsia="Times New Roman" w:hAnsi="Times New Roman" w:cs="Times New Roman"/>
          <w:sz w:val="24"/>
          <w:szCs w:val="24"/>
        </w:rPr>
      </w:pPr>
      <w:r w:rsidRPr="002A1EA8">
        <w:rPr>
          <w:rFonts w:ascii="Times New Roman" w:eastAsia="Times New Roman" w:hAnsi="Times New Roman" w:cs="Times New Roman"/>
          <w:sz w:val="24"/>
          <w:szCs w:val="24"/>
        </w:rPr>
        <w:t xml:space="preserve">‌Unilever PLC (2026b). </w:t>
      </w:r>
      <w:r w:rsidRPr="002A1EA8">
        <w:rPr>
          <w:rFonts w:ascii="Times New Roman" w:eastAsia="Times New Roman" w:hAnsi="Times New Roman" w:cs="Times New Roman"/>
          <w:i/>
          <w:iCs/>
          <w:sz w:val="24"/>
          <w:szCs w:val="24"/>
        </w:rPr>
        <w:t>Sharper focus and disciplined execution driving competitive performance</w:t>
      </w:r>
      <w:r w:rsidRPr="002A1EA8">
        <w:rPr>
          <w:rFonts w:ascii="Times New Roman" w:eastAsia="Times New Roman" w:hAnsi="Times New Roman" w:cs="Times New Roman"/>
          <w:sz w:val="24"/>
          <w:szCs w:val="24"/>
        </w:rPr>
        <w:t xml:space="preserve">. [online] Unilever. Available at: </w:t>
      </w:r>
      <w:hyperlink r:id="rId59">
        <w:r w:rsidRPr="002A1EA8">
          <w:rPr>
            <w:rFonts w:ascii="Times New Roman" w:eastAsia="Times New Roman" w:hAnsi="Times New Roman" w:cs="Times New Roman"/>
            <w:color w:val="1155CC"/>
            <w:sz w:val="24"/>
            <w:szCs w:val="24"/>
            <w:u w:val="single"/>
          </w:rPr>
          <w:t>https://www.unilever.com/news/press-and-media/press-releases/2026/sharper-focus-and-disciplined-execution-driving-competitive-performance/</w:t>
        </w:r>
      </w:hyperlink>
      <w:r w:rsidRPr="002A1EA8">
        <w:rPr>
          <w:rFonts w:ascii="Times New Roman" w:eastAsia="Times New Roman" w:hAnsi="Times New Roman" w:cs="Times New Roman"/>
          <w:sz w:val="24"/>
          <w:szCs w:val="24"/>
        </w:rPr>
        <w:t xml:space="preserve">. </w:t>
      </w:r>
    </w:p>
    <w:p w14:paraId="0119C2AD"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Varona, D. and Suárez, J.L., 2022. Discrimination, bias, fairness, and trustworthy AI. </w:t>
      </w:r>
      <w:r w:rsidRPr="002A1EA8">
        <w:rPr>
          <w:rFonts w:ascii="Times New Roman" w:eastAsia="Times New Roman" w:hAnsi="Times New Roman" w:cs="Times New Roman"/>
          <w:i/>
          <w:iCs/>
          <w:color w:val="222222"/>
          <w:sz w:val="24"/>
          <w:szCs w:val="24"/>
          <w:highlight w:val="white"/>
        </w:rPr>
        <w:t>Applied Sciences</w:t>
      </w:r>
      <w:r w:rsidRPr="002A1EA8">
        <w:rPr>
          <w:rFonts w:ascii="Times New Roman" w:eastAsia="Times New Roman" w:hAnsi="Times New Roman" w:cs="Times New Roman"/>
          <w:color w:val="222222"/>
          <w:sz w:val="24"/>
          <w:szCs w:val="24"/>
          <w:highlight w:val="white"/>
        </w:rPr>
        <w:t xml:space="preserve">, </w:t>
      </w:r>
      <w:r w:rsidRPr="002A1EA8">
        <w:rPr>
          <w:rFonts w:ascii="Times New Roman" w:eastAsia="Times New Roman" w:hAnsi="Times New Roman" w:cs="Times New Roman"/>
          <w:i/>
          <w:iCs/>
          <w:color w:val="222222"/>
          <w:sz w:val="24"/>
          <w:szCs w:val="24"/>
          <w:highlight w:val="white"/>
        </w:rPr>
        <w:t>12</w:t>
      </w:r>
      <w:r w:rsidRPr="002A1EA8">
        <w:rPr>
          <w:rFonts w:ascii="Times New Roman" w:eastAsia="Times New Roman" w:hAnsi="Times New Roman" w:cs="Times New Roman"/>
          <w:color w:val="222222"/>
          <w:sz w:val="24"/>
          <w:szCs w:val="24"/>
          <w:highlight w:val="white"/>
        </w:rPr>
        <w:t xml:space="preserve">(12), p.5826.  </w:t>
      </w:r>
      <w:hyperlink r:id="rId60">
        <w:r w:rsidRPr="002A1EA8">
          <w:rPr>
            <w:rFonts w:ascii="Times New Roman" w:eastAsia="Times New Roman" w:hAnsi="Times New Roman" w:cs="Times New Roman"/>
            <w:color w:val="1155CC"/>
            <w:sz w:val="24"/>
            <w:szCs w:val="24"/>
            <w:highlight w:val="white"/>
            <w:u w:val="single"/>
          </w:rPr>
          <w:t>https://www.mdpi.com/2076-3417/12/12/5826</w:t>
        </w:r>
      </w:hyperlink>
      <w:r w:rsidRPr="002A1EA8">
        <w:rPr>
          <w:rFonts w:ascii="Times New Roman" w:eastAsia="Times New Roman" w:hAnsi="Times New Roman" w:cs="Times New Roman"/>
          <w:color w:val="222222"/>
          <w:sz w:val="24"/>
          <w:szCs w:val="24"/>
          <w:highlight w:val="white"/>
        </w:rPr>
        <w:t xml:space="preserve"> </w:t>
      </w:r>
    </w:p>
    <w:p w14:paraId="544E0F75" w14:textId="77777777" w:rsidR="00D45BE1" w:rsidRPr="002A1EA8" w:rsidRDefault="00D45BE1" w:rsidP="004C1AF6">
      <w:pPr>
        <w:spacing w:before="240" w:line="360" w:lineRule="auto"/>
        <w:jc w:val="both"/>
        <w:rPr>
          <w:rFonts w:ascii="Times New Roman" w:eastAsia="Times New Roman" w:hAnsi="Times New Roman" w:cs="Times New Roman"/>
          <w:color w:val="222222"/>
          <w:sz w:val="24"/>
          <w:szCs w:val="24"/>
          <w:highlight w:val="white"/>
        </w:rPr>
      </w:pPr>
      <w:r w:rsidRPr="002A1EA8">
        <w:rPr>
          <w:rFonts w:ascii="Times New Roman" w:eastAsia="Times New Roman" w:hAnsi="Times New Roman" w:cs="Times New Roman"/>
          <w:color w:val="222222"/>
          <w:sz w:val="24"/>
          <w:szCs w:val="24"/>
          <w:highlight w:val="white"/>
        </w:rPr>
        <w:t xml:space="preserve">Zaborek, P., 2025. Artificial intelligence and big data analytics in international marketing: Navigating opportunities and challenges. </w:t>
      </w:r>
      <w:r w:rsidRPr="002A1EA8">
        <w:rPr>
          <w:rFonts w:ascii="Times New Roman" w:eastAsia="Times New Roman" w:hAnsi="Times New Roman" w:cs="Times New Roman"/>
          <w:i/>
          <w:iCs/>
          <w:color w:val="222222"/>
          <w:sz w:val="24"/>
          <w:szCs w:val="24"/>
          <w:highlight w:val="white"/>
        </w:rPr>
        <w:t>Digital Internationalisation of Firms</w:t>
      </w:r>
      <w:r w:rsidRPr="002A1EA8">
        <w:rPr>
          <w:rFonts w:ascii="Times New Roman" w:eastAsia="Times New Roman" w:hAnsi="Times New Roman" w:cs="Times New Roman"/>
          <w:color w:val="222222"/>
          <w:sz w:val="24"/>
          <w:szCs w:val="24"/>
          <w:highlight w:val="white"/>
        </w:rPr>
        <w:t xml:space="preserve">, pp.179-200.  </w:t>
      </w:r>
      <w:hyperlink r:id="rId61">
        <w:r w:rsidRPr="002A1EA8">
          <w:rPr>
            <w:rFonts w:ascii="Times New Roman" w:eastAsia="Times New Roman" w:hAnsi="Times New Roman" w:cs="Times New Roman"/>
            <w:color w:val="1155CC"/>
            <w:sz w:val="24"/>
            <w:szCs w:val="24"/>
            <w:highlight w:val="white"/>
            <w:u w:val="single"/>
          </w:rPr>
          <w:t>https://api.taylorfrancis.com/content/chapters/oa-edit/download?identifierName=doi&amp;identifierValue=10.4324/9781003617396-11&amp;type=chapterpdf</w:t>
        </w:r>
      </w:hyperlink>
      <w:r w:rsidRPr="002A1EA8">
        <w:rPr>
          <w:rFonts w:ascii="Times New Roman" w:eastAsia="Times New Roman" w:hAnsi="Times New Roman" w:cs="Times New Roman"/>
          <w:color w:val="222222"/>
          <w:sz w:val="24"/>
          <w:szCs w:val="24"/>
          <w:highlight w:val="white"/>
        </w:rPr>
        <w:t xml:space="preserve"> </w:t>
      </w:r>
    </w:p>
    <w:p w14:paraId="72A6349F" w14:textId="77777777" w:rsidR="00B201AA" w:rsidRDefault="00B201AA" w:rsidP="004C1AF6">
      <w:pPr>
        <w:spacing w:line="360" w:lineRule="auto"/>
        <w:jc w:val="both"/>
        <w:rPr>
          <w:rFonts w:ascii="Times New Roman" w:eastAsia="Times New Roman" w:hAnsi="Times New Roman" w:cs="Times New Roman"/>
          <w:sz w:val="24"/>
          <w:szCs w:val="24"/>
        </w:rPr>
      </w:pPr>
    </w:p>
    <w:sectPr w:rsidR="00B201AA" w:rsidSect="00D45BE1">
      <w:footerReference w:type="default" r:id="rId6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9229A" w14:textId="77777777" w:rsidR="003D3E3C" w:rsidRDefault="003D3E3C" w:rsidP="00D45BE1">
      <w:pPr>
        <w:spacing w:line="240" w:lineRule="auto"/>
      </w:pPr>
      <w:r>
        <w:separator/>
      </w:r>
    </w:p>
  </w:endnote>
  <w:endnote w:type="continuationSeparator" w:id="0">
    <w:p w14:paraId="102869D9" w14:textId="77777777" w:rsidR="003D3E3C" w:rsidRDefault="003D3E3C" w:rsidP="00D45B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A0F717A-EAE3-4F1F-8052-BF525E655A5C}"/>
  </w:font>
  <w:font w:name="Cambria">
    <w:panose1 w:val="02040503050406030204"/>
    <w:charset w:val="00"/>
    <w:family w:val="roman"/>
    <w:pitch w:val="variable"/>
    <w:sig w:usb0="E00006FF" w:usb1="420024FF" w:usb2="02000000" w:usb3="00000000" w:csb0="0000019F" w:csb1="00000000"/>
    <w:embedRegular r:id="rId2" w:fontKey="{0F09E0E3-2016-41C1-9B14-3CD7058A334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9914540"/>
      <w:docPartObj>
        <w:docPartGallery w:val="Page Numbers (Bottom of Page)"/>
        <w:docPartUnique/>
      </w:docPartObj>
    </w:sdtPr>
    <w:sdtEndPr>
      <w:rPr>
        <w:rFonts w:ascii="Times New Roman" w:hAnsi="Times New Roman" w:cs="Times New Roman"/>
        <w:noProof/>
        <w:sz w:val="24"/>
        <w:szCs w:val="24"/>
      </w:rPr>
    </w:sdtEndPr>
    <w:sdtContent>
      <w:p w14:paraId="6F545EBC" w14:textId="69D66F1B" w:rsidR="00D45BE1" w:rsidRPr="00D45BE1" w:rsidRDefault="00D45BE1">
        <w:pPr>
          <w:pStyle w:val="Footer"/>
          <w:jc w:val="right"/>
          <w:rPr>
            <w:rFonts w:ascii="Times New Roman" w:hAnsi="Times New Roman" w:cs="Times New Roman"/>
            <w:sz w:val="24"/>
            <w:szCs w:val="24"/>
          </w:rPr>
        </w:pPr>
        <w:r w:rsidRPr="00D45BE1">
          <w:rPr>
            <w:rFonts w:ascii="Times New Roman" w:hAnsi="Times New Roman" w:cs="Times New Roman"/>
            <w:sz w:val="24"/>
            <w:szCs w:val="24"/>
          </w:rPr>
          <w:fldChar w:fldCharType="begin"/>
        </w:r>
        <w:r w:rsidRPr="00D45BE1">
          <w:rPr>
            <w:rFonts w:ascii="Times New Roman" w:hAnsi="Times New Roman" w:cs="Times New Roman"/>
            <w:sz w:val="24"/>
            <w:szCs w:val="24"/>
          </w:rPr>
          <w:instrText xml:space="preserve"> PAGE   \* MERGEFORMAT </w:instrText>
        </w:r>
        <w:r w:rsidRPr="00D45BE1">
          <w:rPr>
            <w:rFonts w:ascii="Times New Roman" w:hAnsi="Times New Roman" w:cs="Times New Roman"/>
            <w:sz w:val="24"/>
            <w:szCs w:val="24"/>
          </w:rPr>
          <w:fldChar w:fldCharType="separate"/>
        </w:r>
        <w:r w:rsidRPr="00D45BE1">
          <w:rPr>
            <w:rFonts w:ascii="Times New Roman" w:hAnsi="Times New Roman" w:cs="Times New Roman"/>
            <w:noProof/>
            <w:sz w:val="24"/>
            <w:szCs w:val="24"/>
          </w:rPr>
          <w:t>2</w:t>
        </w:r>
        <w:r w:rsidRPr="00D45BE1">
          <w:rPr>
            <w:rFonts w:ascii="Times New Roman" w:hAnsi="Times New Roman" w:cs="Times New Roman"/>
            <w:noProof/>
            <w:sz w:val="24"/>
            <w:szCs w:val="24"/>
          </w:rPr>
          <w:fldChar w:fldCharType="end"/>
        </w:r>
      </w:p>
    </w:sdtContent>
  </w:sdt>
  <w:p w14:paraId="4FEED571" w14:textId="77777777" w:rsidR="00D45BE1" w:rsidRDefault="00D45B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F14F7" w14:textId="77777777" w:rsidR="003D3E3C" w:rsidRDefault="003D3E3C" w:rsidP="00D45BE1">
      <w:pPr>
        <w:spacing w:line="240" w:lineRule="auto"/>
      </w:pPr>
      <w:r>
        <w:separator/>
      </w:r>
    </w:p>
  </w:footnote>
  <w:footnote w:type="continuationSeparator" w:id="0">
    <w:p w14:paraId="613298F3" w14:textId="77777777" w:rsidR="003D3E3C" w:rsidRDefault="003D3E3C" w:rsidP="00D45BE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1AA"/>
    <w:rsid w:val="00044C25"/>
    <w:rsid w:val="0009245E"/>
    <w:rsid w:val="00103E40"/>
    <w:rsid w:val="00110555"/>
    <w:rsid w:val="00127ECC"/>
    <w:rsid w:val="00184EE3"/>
    <w:rsid w:val="001A381B"/>
    <w:rsid w:val="002A1EA8"/>
    <w:rsid w:val="002C38AF"/>
    <w:rsid w:val="00332766"/>
    <w:rsid w:val="00353E97"/>
    <w:rsid w:val="003D3E3C"/>
    <w:rsid w:val="00404A52"/>
    <w:rsid w:val="004344D5"/>
    <w:rsid w:val="004C1AF6"/>
    <w:rsid w:val="004F262B"/>
    <w:rsid w:val="0050196F"/>
    <w:rsid w:val="00550C75"/>
    <w:rsid w:val="00676827"/>
    <w:rsid w:val="007A4DC7"/>
    <w:rsid w:val="00846F49"/>
    <w:rsid w:val="009052F3"/>
    <w:rsid w:val="00916291"/>
    <w:rsid w:val="00951821"/>
    <w:rsid w:val="009E51B7"/>
    <w:rsid w:val="00A83EDD"/>
    <w:rsid w:val="00B201AA"/>
    <w:rsid w:val="00BF2F9A"/>
    <w:rsid w:val="00C1598D"/>
    <w:rsid w:val="00C27C99"/>
    <w:rsid w:val="00C414B6"/>
    <w:rsid w:val="00D45BE1"/>
    <w:rsid w:val="00D974AA"/>
    <w:rsid w:val="00E41494"/>
    <w:rsid w:val="00E750E0"/>
    <w:rsid w:val="00E918B1"/>
    <w:rsid w:val="00EB376E"/>
    <w:rsid w:val="00FA262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0B5D7"/>
  <w15:docId w15:val="{DB59C160-0D98-4323-B49B-90051164A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autoRedefine/>
    <w:uiPriority w:val="9"/>
    <w:qFormat/>
    <w:rsid w:val="00D45BE1"/>
    <w:pPr>
      <w:keepNext/>
      <w:keepLines/>
      <w:spacing w:before="400" w:after="120" w:line="480" w:lineRule="auto"/>
      <w:outlineLvl w:val="0"/>
    </w:pPr>
    <w:rPr>
      <w:rFonts w:ascii="Times New Roman" w:hAnsi="Times New Roman"/>
      <w:b/>
      <w:sz w:val="28"/>
      <w:szCs w:val="40"/>
    </w:rPr>
  </w:style>
  <w:style w:type="paragraph" w:styleId="Heading2">
    <w:name w:val="heading 2"/>
    <w:basedOn w:val="Normal"/>
    <w:next w:val="Normal"/>
    <w:autoRedefine/>
    <w:uiPriority w:val="9"/>
    <w:unhideWhenUsed/>
    <w:qFormat/>
    <w:rsid w:val="00D45BE1"/>
    <w:pPr>
      <w:keepNext/>
      <w:keepLines/>
      <w:spacing w:before="360" w:after="120" w:line="360" w:lineRule="auto"/>
      <w:outlineLvl w:val="1"/>
    </w:pPr>
    <w:rPr>
      <w:rFonts w:ascii="Times New Roman" w:hAnsi="Times New Roman"/>
      <w:b/>
      <w:sz w:val="26"/>
      <w:szCs w:val="32"/>
    </w:rPr>
  </w:style>
  <w:style w:type="paragraph" w:styleId="Heading3">
    <w:name w:val="heading 3"/>
    <w:basedOn w:val="Normal"/>
    <w:next w:val="Normal"/>
    <w:autoRedefine/>
    <w:uiPriority w:val="9"/>
    <w:unhideWhenUsed/>
    <w:qFormat/>
    <w:rsid w:val="00127ECC"/>
    <w:pPr>
      <w:keepNext/>
      <w:keepLines/>
      <w:spacing w:before="320" w:after="80" w:line="240" w:lineRule="auto"/>
      <w:outlineLvl w:val="2"/>
    </w:pPr>
    <w:rPr>
      <w:rFonts w:ascii="Times New Roman" w:hAnsi="Times New Roman"/>
      <w:b/>
      <w:color w:val="434343"/>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D45BE1"/>
    <w:pPr>
      <w:tabs>
        <w:tab w:val="center" w:pos="4513"/>
        <w:tab w:val="right" w:pos="9026"/>
      </w:tabs>
      <w:spacing w:line="240" w:lineRule="auto"/>
    </w:pPr>
  </w:style>
  <w:style w:type="character" w:customStyle="1" w:styleId="HeaderChar">
    <w:name w:val="Header Char"/>
    <w:basedOn w:val="DefaultParagraphFont"/>
    <w:link w:val="Header"/>
    <w:uiPriority w:val="99"/>
    <w:rsid w:val="00D45BE1"/>
    <w:rPr>
      <w:lang w:val="en-GB"/>
    </w:rPr>
  </w:style>
  <w:style w:type="paragraph" w:styleId="Footer">
    <w:name w:val="footer"/>
    <w:basedOn w:val="Normal"/>
    <w:link w:val="FooterChar"/>
    <w:uiPriority w:val="99"/>
    <w:unhideWhenUsed/>
    <w:rsid w:val="00D45BE1"/>
    <w:pPr>
      <w:tabs>
        <w:tab w:val="center" w:pos="4513"/>
        <w:tab w:val="right" w:pos="9026"/>
      </w:tabs>
      <w:spacing w:line="240" w:lineRule="auto"/>
    </w:pPr>
  </w:style>
  <w:style w:type="character" w:customStyle="1" w:styleId="FooterChar">
    <w:name w:val="Footer Char"/>
    <w:basedOn w:val="DefaultParagraphFont"/>
    <w:link w:val="Footer"/>
    <w:uiPriority w:val="99"/>
    <w:rsid w:val="00D45BE1"/>
    <w:rPr>
      <w:lang w:val="en-GB"/>
    </w:rPr>
  </w:style>
  <w:style w:type="paragraph" w:styleId="TOCHeading">
    <w:name w:val="TOC Heading"/>
    <w:basedOn w:val="Heading1"/>
    <w:next w:val="Normal"/>
    <w:uiPriority w:val="39"/>
    <w:unhideWhenUsed/>
    <w:qFormat/>
    <w:rsid w:val="00A83EDD"/>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83EDD"/>
    <w:pPr>
      <w:spacing w:after="100"/>
    </w:pPr>
  </w:style>
  <w:style w:type="paragraph" w:styleId="TOC2">
    <w:name w:val="toc 2"/>
    <w:basedOn w:val="Normal"/>
    <w:next w:val="Normal"/>
    <w:autoRedefine/>
    <w:uiPriority w:val="39"/>
    <w:unhideWhenUsed/>
    <w:rsid w:val="00353E97"/>
    <w:pPr>
      <w:tabs>
        <w:tab w:val="right" w:leader="dot" w:pos="9350"/>
      </w:tabs>
      <w:spacing w:after="100" w:line="360" w:lineRule="auto"/>
      <w:ind w:left="220"/>
    </w:pPr>
  </w:style>
  <w:style w:type="character" w:styleId="Hyperlink">
    <w:name w:val="Hyperlink"/>
    <w:basedOn w:val="DefaultParagraphFont"/>
    <w:uiPriority w:val="99"/>
    <w:unhideWhenUsed/>
    <w:rsid w:val="00A83EDD"/>
    <w:rPr>
      <w:color w:val="0000FF" w:themeColor="hyperlink"/>
      <w:u w:val="single"/>
    </w:rPr>
  </w:style>
  <w:style w:type="paragraph" w:styleId="TOC3">
    <w:name w:val="toc 3"/>
    <w:basedOn w:val="Normal"/>
    <w:next w:val="Normal"/>
    <w:autoRedefine/>
    <w:uiPriority w:val="39"/>
    <w:unhideWhenUsed/>
    <w:rsid w:val="00353E9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socialsciencesbulletin.com/index.php/IJSSB/article/download/661/843" TargetMode="External"/><Relationship Id="rId26" Type="http://schemas.openxmlformats.org/officeDocument/2006/relationships/hyperlink" Target="https://ijetrm.com/issues/files/Jun-2024-16-1750047941-NOV202434.pdf" TargetMode="External"/><Relationship Id="rId39" Type="http://schemas.openxmlformats.org/officeDocument/2006/relationships/hyperlink" Target="https://www.researchgate.net/profile/Thomas-Daunno/publication/364565100_An_Intellectual_History_of_Institutional_Theory_Looking_Back_to_Move_Forward/links/6395e33711e9f00cda39a73a/An-Intellectual-History-of-Institutional-Theory-Looking-Back-to-Move-Forward.pdf?origin=journalDetail&amp;_tp=eyJwYWdlIjoiam91cm5hbERldGFpbCJ9" TargetMode="External"/><Relationship Id="rId21" Type="http://schemas.openxmlformats.org/officeDocument/2006/relationships/hyperlink" Target="https://smartie.kiu.ac.ug/public/assets/publications/d66bb149a003927f8b7bf2d8d036e17b90e1c1ac.pdf" TargetMode="External"/><Relationship Id="rId34" Type="http://schemas.openxmlformats.org/officeDocument/2006/relationships/hyperlink" Target="https://www.dove.com/uk/dove-self-esteem-project/changethecompliment.html" TargetMode="External"/><Relationship Id="rId42" Type="http://schemas.openxmlformats.org/officeDocument/2006/relationships/hyperlink" Target="https://www.sciencedirect.com/science/article/pii/S0740624X22001204" TargetMode="External"/><Relationship Id="rId47" Type="http://schemas.openxmlformats.org/officeDocument/2006/relationships/hyperlink" Target="https://www.researchgate.net/profile/Uche-Nweje/publication/387903364_Leveraging_Artificial_Intelligence_for_predictive_supply_chain_management_focus_on_how_AI-driven_tools_are_revolutionizing_demand_forecasting_and_inventory_optimization/links/6781b0ef3e33dd0be9f72b59/Leveraging-Artificial-Intelligence-for-predictive-supply-chain-management-focus-on-how-AI-driven-tools-are-revolutionizing-demand-forecasting-and-inventory-optimization.pdf" TargetMode="External"/><Relationship Id="rId50" Type="http://schemas.openxmlformats.org/officeDocument/2006/relationships/hyperlink" Target="https://link.springer.com/content/pdf/10.1007/s43681-024-00596-2.pdf" TargetMode="External"/><Relationship Id="rId55" Type="http://schemas.openxmlformats.org/officeDocument/2006/relationships/hyperlink" Target="https://www.unilever.com/news/news-search/2025/how-unilevers-digital-transformation-is-driving-operational-excellence/" TargetMode="External"/><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emerald.com/intr/article-pdf/33/7/133/1214024/intr-01-2022-0042.pdf" TargetMode="External"/><Relationship Id="rId11" Type="http://schemas.openxmlformats.org/officeDocument/2006/relationships/image" Target="media/image5.png"/><Relationship Id="rId24" Type="http://schemas.openxmlformats.org/officeDocument/2006/relationships/hyperlink" Target="https://www.researchgate.net/profile/Wael-Badawy-2/publication/375774151_Data-driven_framework_for_evaluating_digitization_and_artificial_intelligence_risk_a_comprehensive_analysis/links/655f63e5b86a1d521b02eb9f/Data-driven-framework-for-evaluating-digitization-and-artificial-intelligence-risk-a-comprehensive-analysis.pdf" TargetMode="External"/><Relationship Id="rId32" Type="http://schemas.openxmlformats.org/officeDocument/2006/relationships/hyperlink" Target="https://journals.sagepub.com/doi/pdf/10.1177/15344843231200930" TargetMode="External"/><Relationship Id="rId37" Type="http://schemas.openxmlformats.org/officeDocument/2006/relationships/hyperlink" Target="https://papers.ssrn.com/sol3/Delivery.cfm?abstractid=5520959" TargetMode="External"/><Relationship Id="rId40" Type="http://schemas.openxmlformats.org/officeDocument/2006/relationships/hyperlink" Target="https://www.mdpi.com/2306-5729/10/12/201" TargetMode="External"/><Relationship Id="rId45" Type="http://schemas.openxmlformats.org/officeDocument/2006/relationships/hyperlink" Target="https://www.cambridge.org/core/services/aop-cambridge-core/content/view/E5157BA0391FFA9E1A3233E636005192/S1867299X25100329a.pdf/div-class-title-european-ai-standards-technical-standardisation-and-implementation-challenges-under-the-eu-ai-act-div.pdf" TargetMode="External"/><Relationship Id="rId53" Type="http://schemas.openxmlformats.org/officeDocument/2006/relationships/hyperlink" Target="https://hal.science/hal-04972904/document" TargetMode="External"/><Relationship Id="rId58" Type="http://schemas.openxmlformats.org/officeDocument/2006/relationships/hyperlink" Target="https://www.unilever.com/investors/results-events/results-events-webcasts/overview-q4-2025/" TargetMode="External"/><Relationship Id="rId5" Type="http://schemas.openxmlformats.org/officeDocument/2006/relationships/footnotes" Target="footnotes.xml"/><Relationship Id="rId61" Type="http://schemas.openxmlformats.org/officeDocument/2006/relationships/hyperlink" Target="https://api.taylorfrancis.com/content/chapters/oa-edit/download?identifierName=doi&amp;identifierValue=10.4324/9781003617396-11&amp;type=chapterpdf" TargetMode="External"/><Relationship Id="rId19" Type="http://schemas.openxmlformats.org/officeDocument/2006/relationships/hyperlink" Target="https://ijbei-journal.org/index.php/ijbei/article/download/25/25" TargetMode="External"/><Relationship Id="rId14" Type="http://schemas.openxmlformats.org/officeDocument/2006/relationships/image" Target="media/image8.png"/><Relationship Id="rId22" Type="http://schemas.openxmlformats.org/officeDocument/2006/relationships/hyperlink" Target="http://www.rjmssjournal.com/index.php/7/article/download/228/207" TargetMode="External"/><Relationship Id="rId27" Type="http://schemas.openxmlformats.org/officeDocument/2006/relationships/hyperlink" Target="https://www.researchgate.net/profile/Somnath-Banerjee-13/publication/391460557_Leveraging_AI_for_Personalization_and_Cybersecurity_in_Retail_Chains_Balancing_Customer_Experience_and_Data_Protection/links/681979cedf0e3f544f5210cf/Leveraging-AI-for-Personalization-and-Cybersecurity-in-Retail-Chains-Balancing-Customer-Experience-and-Data-Protection.pdf" TargetMode="External"/><Relationship Id="rId30" Type="http://schemas.openxmlformats.org/officeDocument/2006/relationships/hyperlink" Target="https://www.elgaronline.com/downloadpdf/edcollchap-oa/book/9781839108990/book-part-9781839108990-43.pdf" TargetMode="External"/><Relationship Id="rId35" Type="http://schemas.openxmlformats.org/officeDocument/2006/relationships/hyperlink" Target="https://pdfs.semanticscholar.org/72f5/8cfb315436fa0e7506cf6cab296e5559a78e.pdf" TargetMode="External"/><Relationship Id="rId43" Type="http://schemas.openxmlformats.org/officeDocument/2006/relationships/hyperlink" Target="https://academic.oup.com/ulr/article-pdf/29/3/524/60750550/unae040.pdf" TargetMode="External"/><Relationship Id="rId48" Type="http://schemas.openxmlformats.org/officeDocument/2006/relationships/hyperlink" Target="https://www.researchgate.net/profile/Eniola-Odedina/publication/392194337_Redefining_Governance_Risk_and_Compliance_GRC_in_the_Digital_Age_Integrating_AI-Driven_Risk_Management_Frameworks/links/683852b36a754f72b58d1d32/Redefining-Governance-Risk-and-Compliance-GRC-in-the-Digital-Age-Integrating-AI-Driven-Risk-Management-Frameworks.pdf" TargetMode="External"/><Relationship Id="rId56" Type="http://schemas.openxmlformats.org/officeDocument/2006/relationships/hyperlink" Target="https://www.unilever.com/news/news-search/2025/how-ai-is-transforming-unilevers-personal-care-business/" TargetMode="External"/><Relationship Id="rId64"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www.ijournalmrm.com/index.php/IJMRM/article/download/15/15"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allmultidisciplinaryjournal.com/uploads/archives/20250116173709_MGE-2025-1-077.1.pdf" TargetMode="External"/><Relationship Id="rId25" Type="http://schemas.openxmlformats.org/officeDocument/2006/relationships/hyperlink" Target="https://www.researchgate.net/profile/Louis-Owusu-Berko-2/publication/389397603_Algorithmic_bias_data_ethics_and_governance_Ensuring_fairness_transparency_and_compliance_in_AI-powered_business_analytics_applications/links/67c1200e207c0c20fa9ab59e/Algorithmic-bias-data-ethics-and-governance-Ensuring-fairness-transparency-and-compliance-in-AI-powered-business-analytics-applications.pdf" TargetMode="External"/><Relationship Id="rId33" Type="http://schemas.openxmlformats.org/officeDocument/2006/relationships/hyperlink" Target="https://www.mdpi.com/1911-8074/18/7/341" TargetMode="External"/><Relationship Id="rId38" Type="http://schemas.openxmlformats.org/officeDocument/2006/relationships/hyperlink" Target="https://www.sciencedirect.com/science/article/pii/S0957417423017220" TargetMode="External"/><Relationship Id="rId46" Type="http://schemas.openxmlformats.org/officeDocument/2006/relationships/hyperlink" Target="https://papers.ssrn.com/sol3/Delivery.cfm?abstractid=3661856" TargetMode="External"/><Relationship Id="rId59" Type="http://schemas.openxmlformats.org/officeDocument/2006/relationships/hyperlink" Target="https://www.unilever.com/news/press-and-media/press-releases/2026/sharper-focus-and-disciplined-execution-driving-competitive-performance/" TargetMode="External"/><Relationship Id="rId20" Type="http://schemas.openxmlformats.org/officeDocument/2006/relationships/hyperlink" Target="https://www.researchgate.net/profile/Ahmad-Alastal-2/publication/385171190_Corporate_Governance_and_Internal_Control_Mechanisms_Developing_a_Strategic_Framework/links/67608a93996d2552c3ed1bff/Corporate-Governance-and-Internal-Control-Mechanisms-Developing-a-Strategic-Framework.pdf" TargetMode="External"/><Relationship Id="rId41" Type="http://schemas.openxmlformats.org/officeDocument/2006/relationships/hyperlink" Target="https://www.academia.edu/download/107426902/1_s2.0_S0957417423029445_main.pdf" TargetMode="External"/><Relationship Id="rId54" Type="http://schemas.openxmlformats.org/officeDocument/2006/relationships/hyperlink" Target="https://www.unilever.com/our-company/"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link.springer.com/content/pdf/10.1186/s40991-024-00094-y.pdf" TargetMode="External"/><Relationship Id="rId28" Type="http://schemas.openxmlformats.org/officeDocument/2006/relationships/hyperlink" Target="https://pure.jgu.edu.in/id/eprint/6745/1/Artificial%20intelligence%20%28AI%29%20bias%20impacts%20classification%20framework%20for%20effective%20mitigation.pdf" TargetMode="External"/><Relationship Id="rId36" Type="http://schemas.openxmlformats.org/officeDocument/2006/relationships/hyperlink" Target="https://www.academia.edu/download/124100264/Ensuring_Human_Oversight_in_High_Performance_AI_Systems_A_Framework_for_Control_and_Accountability.pdf" TargetMode="External"/><Relationship Id="rId49" Type="http://schemas.openxmlformats.org/officeDocument/2006/relationships/hyperlink" Target="https://link.springer.com/content/pdf/10.1007/s10796-022-10251-y.pdf" TargetMode="External"/><Relationship Id="rId57" Type="http://schemas.openxmlformats.org/officeDocument/2006/relationships/hyperlink" Target="https://www.unilever.com/news/news-search/2025/how-ai-is-helping-drive-desire-at-scale-across-unilever/" TargetMode="External"/><Relationship Id="rId10" Type="http://schemas.openxmlformats.org/officeDocument/2006/relationships/image" Target="media/image4.png"/><Relationship Id="rId31" Type="http://schemas.openxmlformats.org/officeDocument/2006/relationships/hyperlink" Target="https://www.researchgate.net/profile/Junaid-Butt-6/publication/384675254_Analytical_Study_of_the_World's_First_EU_Artificial_Intelligence_AI_Act_2024/links/670269189e6e82486f055c9d/Analytical-Study-of-the-Worlds-First-EU-Artificial-Intelligence-AI-Act-2024.pdf" TargetMode="External"/><Relationship Id="rId44" Type="http://schemas.openxmlformats.org/officeDocument/2006/relationships/hyperlink" Target="https://italcert.it/NEWS%20ISO%2042001_%20L'implementazione%20della%20IA%20vs%20EU%20AI%20Act.pdf" TargetMode="External"/><Relationship Id="rId52" Type="http://schemas.openxmlformats.org/officeDocument/2006/relationships/hyperlink" Target="https://www.tandfonline.com/doi/pdf/10.1080/0960085X.2021.1955628" TargetMode="External"/><Relationship Id="rId60" Type="http://schemas.openxmlformats.org/officeDocument/2006/relationships/hyperlink" Target="https://www.mdpi.com/2076-3417/12/12/5826" TargetMode="External"/><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D4CE1-19FA-4EDB-8940-D7FC1856E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32</Pages>
  <Words>8876</Words>
  <Characters>50597</Characters>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2026-03-26T23:00:00Z</dcterms:created>
  <dcterms:modified xsi:type="dcterms:W3CDTF">2026-03-27T11:12:00Z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8e39070d-b87f-4bd5-900f-ac4f7fc57918</vt:lpwstr>
  </property>
</Properties>
</file>