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737B5" w14:textId="77777777" w:rsidR="008B4488" w:rsidRDefault="008B4488">
      <w:pPr>
        <w:spacing w:line="360" w:lineRule="auto"/>
        <w:jc w:val="center"/>
        <w:rPr>
          <w:rFonts w:ascii="Times New Roman" w:eastAsia="Times New Roman" w:hAnsi="Times New Roman" w:cs="Times New Roman"/>
          <w:b/>
          <w:bCs/>
          <w:sz w:val="32"/>
          <w:szCs w:val="32"/>
        </w:rPr>
      </w:pPr>
    </w:p>
    <w:p w14:paraId="2370C58A" w14:textId="77777777" w:rsidR="008B4488" w:rsidRDefault="008B4488">
      <w:pPr>
        <w:spacing w:line="360" w:lineRule="auto"/>
        <w:jc w:val="center"/>
        <w:rPr>
          <w:rFonts w:ascii="Times New Roman" w:eastAsia="Times New Roman" w:hAnsi="Times New Roman" w:cs="Times New Roman"/>
          <w:b/>
          <w:bCs/>
          <w:sz w:val="32"/>
          <w:szCs w:val="32"/>
        </w:rPr>
      </w:pPr>
    </w:p>
    <w:p w14:paraId="38570E1C" w14:textId="77777777" w:rsidR="008B4488" w:rsidRDefault="008B4488">
      <w:pPr>
        <w:spacing w:line="360" w:lineRule="auto"/>
        <w:jc w:val="center"/>
        <w:rPr>
          <w:rFonts w:ascii="Times New Roman" w:eastAsia="Times New Roman" w:hAnsi="Times New Roman" w:cs="Times New Roman"/>
          <w:b/>
          <w:bCs/>
          <w:sz w:val="32"/>
          <w:szCs w:val="32"/>
        </w:rPr>
      </w:pPr>
    </w:p>
    <w:p w14:paraId="7EC50CE1" w14:textId="77777777" w:rsidR="008B4488" w:rsidRDefault="008B4488">
      <w:pPr>
        <w:spacing w:line="360" w:lineRule="auto"/>
        <w:jc w:val="center"/>
        <w:rPr>
          <w:rFonts w:ascii="Times New Roman" w:eastAsia="Times New Roman" w:hAnsi="Times New Roman" w:cs="Times New Roman"/>
          <w:b/>
          <w:bCs/>
          <w:sz w:val="32"/>
          <w:szCs w:val="32"/>
        </w:rPr>
      </w:pPr>
    </w:p>
    <w:p w14:paraId="688C033B" w14:textId="77777777" w:rsidR="008B4488"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MSc Public Health and Social Care in Practice</w:t>
      </w:r>
    </w:p>
    <w:p w14:paraId="5E64D310" w14:textId="77777777" w:rsidR="008B4488"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Community Care and Management of Longer-term Conditions</w:t>
      </w:r>
    </w:p>
    <w:p w14:paraId="5D01E47A" w14:textId="77777777" w:rsidR="008B4488"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code: LCHS7003 </w:t>
      </w:r>
    </w:p>
    <w:p w14:paraId="2CA70A17" w14:textId="378E962F" w:rsidR="008B4488"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Lecturer: Muhammed Khan Internal Verifier: Dr Hamdi Hussain</w:t>
      </w:r>
      <w:r w:rsidR="00AF48DB">
        <w:rPr>
          <w:rFonts w:ascii="Times New Roman" w:eastAsia="Times New Roman" w:hAnsi="Times New Roman" w:cs="Times New Roman"/>
          <w:b/>
          <w:bCs/>
          <w:sz w:val="32"/>
          <w:szCs w:val="32"/>
        </w:rPr>
        <w:t xml:space="preserve"> </w:t>
      </w:r>
    </w:p>
    <w:p w14:paraId="314FCF90" w14:textId="7B75B0C6" w:rsidR="00AF48DB" w:rsidRDefault="00AF48DB">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JAHANVI SODHA </w:t>
      </w:r>
    </w:p>
    <w:p w14:paraId="7168F669" w14:textId="31534E68" w:rsidR="00AF48DB" w:rsidRDefault="00AF48DB">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 - 2530085</w:t>
      </w:r>
    </w:p>
    <w:p w14:paraId="1F3AF22B" w14:textId="77777777" w:rsidR="008B4488"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Assignment Title: Component 1 Information Booklet of Long-term Condition Management Chronic kidney disease (CKD)</w:t>
      </w:r>
    </w:p>
    <w:p w14:paraId="33691EFC" w14:textId="04D99BA6" w:rsidR="008B4488" w:rsidRDefault="00BA4675">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Words: </w:t>
      </w:r>
      <w:r w:rsidR="00166EA9">
        <w:rPr>
          <w:rFonts w:ascii="Times New Roman" w:eastAsia="Times New Roman" w:hAnsi="Times New Roman" w:cs="Times New Roman"/>
          <w:b/>
          <w:bCs/>
          <w:sz w:val="32"/>
          <w:szCs w:val="32"/>
        </w:rPr>
        <w:t>2990</w:t>
      </w:r>
      <w:r>
        <w:br w:type="page"/>
      </w:r>
    </w:p>
    <w:p w14:paraId="62D66856" w14:textId="77777777" w:rsidR="008B4488"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Contents</w:t>
      </w:r>
    </w:p>
    <w:sdt>
      <w:sdtPr>
        <w:id w:val="65699852"/>
        <w:docPartObj>
          <w:docPartGallery w:val="Table of Contents"/>
          <w:docPartUnique/>
        </w:docPartObj>
      </w:sdtPr>
      <w:sdtContent>
        <w:p w14:paraId="588B6EED" w14:textId="334DAF5A" w:rsidR="002004B5" w:rsidRDefault="008B4488">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224829853" w:history="1">
            <w:r w:rsidR="002004B5" w:rsidRPr="00D151BF">
              <w:rPr>
                <w:rStyle w:val="Hyperlink"/>
                <w:noProof/>
              </w:rPr>
              <w:t>1. Introduction</w:t>
            </w:r>
            <w:r w:rsidR="002004B5">
              <w:rPr>
                <w:noProof/>
                <w:webHidden/>
              </w:rPr>
              <w:tab/>
            </w:r>
            <w:r w:rsidR="002004B5">
              <w:rPr>
                <w:noProof/>
                <w:webHidden/>
              </w:rPr>
              <w:fldChar w:fldCharType="begin"/>
            </w:r>
            <w:r w:rsidR="002004B5">
              <w:rPr>
                <w:noProof/>
                <w:webHidden/>
              </w:rPr>
              <w:instrText xml:space="preserve"> PAGEREF _Toc224829853 \h </w:instrText>
            </w:r>
            <w:r w:rsidR="002004B5">
              <w:rPr>
                <w:noProof/>
                <w:webHidden/>
              </w:rPr>
            </w:r>
            <w:r w:rsidR="002004B5">
              <w:rPr>
                <w:noProof/>
                <w:webHidden/>
              </w:rPr>
              <w:fldChar w:fldCharType="separate"/>
            </w:r>
            <w:r w:rsidR="00E30920">
              <w:rPr>
                <w:noProof/>
                <w:webHidden/>
              </w:rPr>
              <w:t>1</w:t>
            </w:r>
            <w:r w:rsidR="002004B5">
              <w:rPr>
                <w:noProof/>
                <w:webHidden/>
              </w:rPr>
              <w:fldChar w:fldCharType="end"/>
            </w:r>
          </w:hyperlink>
        </w:p>
        <w:p w14:paraId="782B6E02" w14:textId="0F9C7EF6" w:rsidR="002004B5" w:rsidRDefault="002004B5">
          <w:pPr>
            <w:pStyle w:val="TOC1"/>
            <w:tabs>
              <w:tab w:val="right" w:pos="9019"/>
            </w:tabs>
            <w:rPr>
              <w:noProof/>
            </w:rPr>
          </w:pPr>
          <w:hyperlink w:anchor="_Toc224829854" w:history="1">
            <w:r w:rsidRPr="00D151BF">
              <w:rPr>
                <w:rStyle w:val="Hyperlink"/>
                <w:noProof/>
              </w:rPr>
              <w:t>2. Prevalence Note</w:t>
            </w:r>
            <w:r>
              <w:rPr>
                <w:noProof/>
                <w:webHidden/>
              </w:rPr>
              <w:tab/>
            </w:r>
            <w:r>
              <w:rPr>
                <w:noProof/>
                <w:webHidden/>
              </w:rPr>
              <w:fldChar w:fldCharType="begin"/>
            </w:r>
            <w:r>
              <w:rPr>
                <w:noProof/>
                <w:webHidden/>
              </w:rPr>
              <w:instrText xml:space="preserve"> PAGEREF _Toc224829854 \h </w:instrText>
            </w:r>
            <w:r>
              <w:rPr>
                <w:noProof/>
                <w:webHidden/>
              </w:rPr>
            </w:r>
            <w:r>
              <w:rPr>
                <w:noProof/>
                <w:webHidden/>
              </w:rPr>
              <w:fldChar w:fldCharType="separate"/>
            </w:r>
            <w:r w:rsidR="00E30920">
              <w:rPr>
                <w:noProof/>
                <w:webHidden/>
              </w:rPr>
              <w:t>1</w:t>
            </w:r>
            <w:r>
              <w:rPr>
                <w:noProof/>
                <w:webHidden/>
              </w:rPr>
              <w:fldChar w:fldCharType="end"/>
            </w:r>
          </w:hyperlink>
        </w:p>
        <w:p w14:paraId="352842DB" w14:textId="26DA9277" w:rsidR="002004B5" w:rsidRDefault="002004B5">
          <w:pPr>
            <w:pStyle w:val="TOC1"/>
            <w:tabs>
              <w:tab w:val="right" w:pos="9019"/>
            </w:tabs>
            <w:rPr>
              <w:noProof/>
            </w:rPr>
          </w:pPr>
          <w:hyperlink w:anchor="_Toc224829855" w:history="1">
            <w:r w:rsidRPr="00D151BF">
              <w:rPr>
                <w:rStyle w:val="Hyperlink"/>
                <w:noProof/>
              </w:rPr>
              <w:t>2.1 Risk Factors</w:t>
            </w:r>
            <w:r>
              <w:rPr>
                <w:noProof/>
                <w:webHidden/>
              </w:rPr>
              <w:tab/>
            </w:r>
            <w:r>
              <w:rPr>
                <w:noProof/>
                <w:webHidden/>
              </w:rPr>
              <w:fldChar w:fldCharType="begin"/>
            </w:r>
            <w:r>
              <w:rPr>
                <w:noProof/>
                <w:webHidden/>
              </w:rPr>
              <w:instrText xml:space="preserve"> PAGEREF _Toc224829855 \h </w:instrText>
            </w:r>
            <w:r>
              <w:rPr>
                <w:noProof/>
                <w:webHidden/>
              </w:rPr>
            </w:r>
            <w:r>
              <w:rPr>
                <w:noProof/>
                <w:webHidden/>
              </w:rPr>
              <w:fldChar w:fldCharType="separate"/>
            </w:r>
            <w:r w:rsidR="00E30920">
              <w:rPr>
                <w:noProof/>
                <w:webHidden/>
              </w:rPr>
              <w:t>2</w:t>
            </w:r>
            <w:r>
              <w:rPr>
                <w:noProof/>
                <w:webHidden/>
              </w:rPr>
              <w:fldChar w:fldCharType="end"/>
            </w:r>
          </w:hyperlink>
        </w:p>
        <w:p w14:paraId="64999669" w14:textId="5095D037" w:rsidR="002004B5" w:rsidRDefault="002004B5">
          <w:pPr>
            <w:pStyle w:val="TOC2"/>
            <w:tabs>
              <w:tab w:val="right" w:pos="9019"/>
            </w:tabs>
            <w:rPr>
              <w:noProof/>
            </w:rPr>
          </w:pPr>
          <w:hyperlink w:anchor="_Toc224829856" w:history="1">
            <w:r w:rsidRPr="00D151BF">
              <w:rPr>
                <w:rStyle w:val="Hyperlink"/>
                <w:noProof/>
              </w:rPr>
              <w:t>2.2 Physical Implications</w:t>
            </w:r>
            <w:r>
              <w:rPr>
                <w:noProof/>
                <w:webHidden/>
              </w:rPr>
              <w:tab/>
            </w:r>
            <w:r>
              <w:rPr>
                <w:noProof/>
                <w:webHidden/>
              </w:rPr>
              <w:fldChar w:fldCharType="begin"/>
            </w:r>
            <w:r>
              <w:rPr>
                <w:noProof/>
                <w:webHidden/>
              </w:rPr>
              <w:instrText xml:space="preserve"> PAGEREF _Toc224829856 \h </w:instrText>
            </w:r>
            <w:r>
              <w:rPr>
                <w:noProof/>
                <w:webHidden/>
              </w:rPr>
            </w:r>
            <w:r>
              <w:rPr>
                <w:noProof/>
                <w:webHidden/>
              </w:rPr>
              <w:fldChar w:fldCharType="separate"/>
            </w:r>
            <w:r w:rsidR="00E30920">
              <w:rPr>
                <w:noProof/>
                <w:webHidden/>
              </w:rPr>
              <w:t>3</w:t>
            </w:r>
            <w:r>
              <w:rPr>
                <w:noProof/>
                <w:webHidden/>
              </w:rPr>
              <w:fldChar w:fldCharType="end"/>
            </w:r>
          </w:hyperlink>
        </w:p>
        <w:p w14:paraId="732C2597" w14:textId="2202E563" w:rsidR="002004B5" w:rsidRDefault="002004B5">
          <w:pPr>
            <w:pStyle w:val="TOC2"/>
            <w:tabs>
              <w:tab w:val="right" w:pos="9019"/>
            </w:tabs>
            <w:rPr>
              <w:noProof/>
            </w:rPr>
          </w:pPr>
          <w:hyperlink w:anchor="_Toc224829857" w:history="1">
            <w:r w:rsidRPr="00D151BF">
              <w:rPr>
                <w:rStyle w:val="Hyperlink"/>
                <w:noProof/>
              </w:rPr>
              <w:t>2.3 Psychological Implications</w:t>
            </w:r>
            <w:r>
              <w:rPr>
                <w:noProof/>
                <w:webHidden/>
              </w:rPr>
              <w:tab/>
            </w:r>
            <w:r>
              <w:rPr>
                <w:noProof/>
                <w:webHidden/>
              </w:rPr>
              <w:fldChar w:fldCharType="begin"/>
            </w:r>
            <w:r>
              <w:rPr>
                <w:noProof/>
                <w:webHidden/>
              </w:rPr>
              <w:instrText xml:space="preserve"> PAGEREF _Toc224829857 \h </w:instrText>
            </w:r>
            <w:r>
              <w:rPr>
                <w:noProof/>
                <w:webHidden/>
              </w:rPr>
            </w:r>
            <w:r>
              <w:rPr>
                <w:noProof/>
                <w:webHidden/>
              </w:rPr>
              <w:fldChar w:fldCharType="separate"/>
            </w:r>
            <w:r w:rsidR="00E30920">
              <w:rPr>
                <w:noProof/>
                <w:webHidden/>
              </w:rPr>
              <w:t>3</w:t>
            </w:r>
            <w:r>
              <w:rPr>
                <w:noProof/>
                <w:webHidden/>
              </w:rPr>
              <w:fldChar w:fldCharType="end"/>
            </w:r>
          </w:hyperlink>
        </w:p>
        <w:p w14:paraId="7FAAFDD3" w14:textId="406BC8F3" w:rsidR="002004B5" w:rsidRDefault="002004B5">
          <w:pPr>
            <w:pStyle w:val="TOC2"/>
            <w:tabs>
              <w:tab w:val="right" w:pos="9019"/>
            </w:tabs>
            <w:rPr>
              <w:noProof/>
            </w:rPr>
          </w:pPr>
          <w:hyperlink w:anchor="_Toc224829858" w:history="1">
            <w:r w:rsidRPr="00D151BF">
              <w:rPr>
                <w:rStyle w:val="Hyperlink"/>
                <w:noProof/>
              </w:rPr>
              <w:t>2.4 Social Implications</w:t>
            </w:r>
            <w:r>
              <w:rPr>
                <w:noProof/>
                <w:webHidden/>
              </w:rPr>
              <w:tab/>
            </w:r>
            <w:r>
              <w:rPr>
                <w:noProof/>
                <w:webHidden/>
              </w:rPr>
              <w:fldChar w:fldCharType="begin"/>
            </w:r>
            <w:r>
              <w:rPr>
                <w:noProof/>
                <w:webHidden/>
              </w:rPr>
              <w:instrText xml:space="preserve"> PAGEREF _Toc224829858 \h </w:instrText>
            </w:r>
            <w:r>
              <w:rPr>
                <w:noProof/>
                <w:webHidden/>
              </w:rPr>
            </w:r>
            <w:r>
              <w:rPr>
                <w:noProof/>
                <w:webHidden/>
              </w:rPr>
              <w:fldChar w:fldCharType="separate"/>
            </w:r>
            <w:r w:rsidR="00E30920">
              <w:rPr>
                <w:noProof/>
                <w:webHidden/>
              </w:rPr>
              <w:t>3</w:t>
            </w:r>
            <w:r>
              <w:rPr>
                <w:noProof/>
                <w:webHidden/>
              </w:rPr>
              <w:fldChar w:fldCharType="end"/>
            </w:r>
          </w:hyperlink>
        </w:p>
        <w:p w14:paraId="5DD87E1D" w14:textId="2D03594D" w:rsidR="002004B5" w:rsidRDefault="002004B5">
          <w:pPr>
            <w:pStyle w:val="TOC1"/>
            <w:tabs>
              <w:tab w:val="right" w:pos="9019"/>
            </w:tabs>
            <w:rPr>
              <w:noProof/>
            </w:rPr>
          </w:pPr>
          <w:hyperlink w:anchor="_Toc224829859" w:history="1">
            <w:r w:rsidRPr="00D151BF">
              <w:rPr>
                <w:rStyle w:val="Hyperlink"/>
                <w:noProof/>
              </w:rPr>
              <w:t>3. Treatment and Management Law in the UK</w:t>
            </w:r>
            <w:r>
              <w:rPr>
                <w:noProof/>
                <w:webHidden/>
              </w:rPr>
              <w:tab/>
            </w:r>
            <w:r>
              <w:rPr>
                <w:noProof/>
                <w:webHidden/>
              </w:rPr>
              <w:fldChar w:fldCharType="begin"/>
            </w:r>
            <w:r>
              <w:rPr>
                <w:noProof/>
                <w:webHidden/>
              </w:rPr>
              <w:instrText xml:space="preserve"> PAGEREF _Toc224829859 \h </w:instrText>
            </w:r>
            <w:r>
              <w:rPr>
                <w:noProof/>
                <w:webHidden/>
              </w:rPr>
            </w:r>
            <w:r>
              <w:rPr>
                <w:noProof/>
                <w:webHidden/>
              </w:rPr>
              <w:fldChar w:fldCharType="separate"/>
            </w:r>
            <w:r w:rsidR="00E30920">
              <w:rPr>
                <w:noProof/>
                <w:webHidden/>
              </w:rPr>
              <w:t>4</w:t>
            </w:r>
            <w:r>
              <w:rPr>
                <w:noProof/>
                <w:webHidden/>
              </w:rPr>
              <w:fldChar w:fldCharType="end"/>
            </w:r>
          </w:hyperlink>
        </w:p>
        <w:p w14:paraId="556AFF1E" w14:textId="48F60D67" w:rsidR="002004B5" w:rsidRDefault="002004B5">
          <w:pPr>
            <w:pStyle w:val="TOC1"/>
            <w:tabs>
              <w:tab w:val="right" w:pos="9019"/>
            </w:tabs>
            <w:rPr>
              <w:noProof/>
            </w:rPr>
          </w:pPr>
          <w:hyperlink w:anchor="_Toc224829860" w:history="1">
            <w:r w:rsidRPr="00D151BF">
              <w:rPr>
                <w:rStyle w:val="Hyperlink"/>
                <w:noProof/>
              </w:rPr>
              <w:t>4. Models (International)</w:t>
            </w:r>
            <w:r>
              <w:rPr>
                <w:noProof/>
                <w:webHidden/>
              </w:rPr>
              <w:tab/>
            </w:r>
            <w:r>
              <w:rPr>
                <w:noProof/>
                <w:webHidden/>
              </w:rPr>
              <w:fldChar w:fldCharType="begin"/>
            </w:r>
            <w:r>
              <w:rPr>
                <w:noProof/>
                <w:webHidden/>
              </w:rPr>
              <w:instrText xml:space="preserve"> PAGEREF _Toc224829860 \h </w:instrText>
            </w:r>
            <w:r>
              <w:rPr>
                <w:noProof/>
                <w:webHidden/>
              </w:rPr>
            </w:r>
            <w:r>
              <w:rPr>
                <w:noProof/>
                <w:webHidden/>
              </w:rPr>
              <w:fldChar w:fldCharType="separate"/>
            </w:r>
            <w:r w:rsidR="00E30920">
              <w:rPr>
                <w:noProof/>
                <w:webHidden/>
              </w:rPr>
              <w:t>4</w:t>
            </w:r>
            <w:r>
              <w:rPr>
                <w:noProof/>
                <w:webHidden/>
              </w:rPr>
              <w:fldChar w:fldCharType="end"/>
            </w:r>
          </w:hyperlink>
        </w:p>
        <w:p w14:paraId="04CA00E9" w14:textId="495E8245" w:rsidR="002004B5" w:rsidRDefault="002004B5">
          <w:pPr>
            <w:pStyle w:val="TOC1"/>
            <w:tabs>
              <w:tab w:val="right" w:pos="9019"/>
            </w:tabs>
            <w:rPr>
              <w:noProof/>
            </w:rPr>
          </w:pPr>
          <w:hyperlink w:anchor="_Toc224829861" w:history="1">
            <w:r w:rsidRPr="00D151BF">
              <w:rPr>
                <w:rStyle w:val="Hyperlink"/>
                <w:noProof/>
              </w:rPr>
              <w:t>5. Policies and Guidelines</w:t>
            </w:r>
            <w:r>
              <w:rPr>
                <w:noProof/>
                <w:webHidden/>
              </w:rPr>
              <w:tab/>
            </w:r>
            <w:r>
              <w:rPr>
                <w:noProof/>
                <w:webHidden/>
              </w:rPr>
              <w:fldChar w:fldCharType="begin"/>
            </w:r>
            <w:r>
              <w:rPr>
                <w:noProof/>
                <w:webHidden/>
              </w:rPr>
              <w:instrText xml:space="preserve"> PAGEREF _Toc224829861 \h </w:instrText>
            </w:r>
            <w:r>
              <w:rPr>
                <w:noProof/>
                <w:webHidden/>
              </w:rPr>
            </w:r>
            <w:r>
              <w:rPr>
                <w:noProof/>
                <w:webHidden/>
              </w:rPr>
              <w:fldChar w:fldCharType="separate"/>
            </w:r>
            <w:r w:rsidR="00E30920">
              <w:rPr>
                <w:noProof/>
                <w:webHidden/>
              </w:rPr>
              <w:t>6</w:t>
            </w:r>
            <w:r>
              <w:rPr>
                <w:noProof/>
                <w:webHidden/>
              </w:rPr>
              <w:fldChar w:fldCharType="end"/>
            </w:r>
          </w:hyperlink>
        </w:p>
        <w:p w14:paraId="5491AA68" w14:textId="458AB9B1" w:rsidR="002004B5" w:rsidRDefault="002004B5">
          <w:pPr>
            <w:pStyle w:val="TOC1"/>
            <w:tabs>
              <w:tab w:val="right" w:pos="9019"/>
            </w:tabs>
            <w:rPr>
              <w:noProof/>
            </w:rPr>
          </w:pPr>
          <w:hyperlink w:anchor="_Toc224829862" w:history="1">
            <w:r w:rsidRPr="00D151BF">
              <w:rPr>
                <w:rStyle w:val="Hyperlink"/>
                <w:noProof/>
              </w:rPr>
              <w:t>6. Recommendations</w:t>
            </w:r>
            <w:r>
              <w:rPr>
                <w:noProof/>
                <w:webHidden/>
              </w:rPr>
              <w:tab/>
            </w:r>
            <w:r>
              <w:rPr>
                <w:noProof/>
                <w:webHidden/>
              </w:rPr>
              <w:fldChar w:fldCharType="begin"/>
            </w:r>
            <w:r>
              <w:rPr>
                <w:noProof/>
                <w:webHidden/>
              </w:rPr>
              <w:instrText xml:space="preserve"> PAGEREF _Toc224829862 \h </w:instrText>
            </w:r>
            <w:r>
              <w:rPr>
                <w:noProof/>
                <w:webHidden/>
              </w:rPr>
            </w:r>
            <w:r>
              <w:rPr>
                <w:noProof/>
                <w:webHidden/>
              </w:rPr>
              <w:fldChar w:fldCharType="separate"/>
            </w:r>
            <w:r w:rsidR="00E30920">
              <w:rPr>
                <w:noProof/>
                <w:webHidden/>
              </w:rPr>
              <w:t>6</w:t>
            </w:r>
            <w:r>
              <w:rPr>
                <w:noProof/>
                <w:webHidden/>
              </w:rPr>
              <w:fldChar w:fldCharType="end"/>
            </w:r>
          </w:hyperlink>
        </w:p>
        <w:p w14:paraId="734347B9" w14:textId="5B45E194" w:rsidR="002004B5" w:rsidRDefault="002004B5">
          <w:pPr>
            <w:pStyle w:val="TOC2"/>
            <w:tabs>
              <w:tab w:val="right" w:pos="9019"/>
            </w:tabs>
            <w:rPr>
              <w:noProof/>
            </w:rPr>
          </w:pPr>
          <w:hyperlink w:anchor="_Toc224829863" w:history="1">
            <w:r w:rsidRPr="00D151BF">
              <w:rPr>
                <w:rStyle w:val="Hyperlink"/>
                <w:noProof/>
              </w:rPr>
              <w:t>6.1 Person-Centred Care</w:t>
            </w:r>
            <w:r>
              <w:rPr>
                <w:noProof/>
                <w:webHidden/>
              </w:rPr>
              <w:tab/>
            </w:r>
            <w:r>
              <w:rPr>
                <w:noProof/>
                <w:webHidden/>
              </w:rPr>
              <w:fldChar w:fldCharType="begin"/>
            </w:r>
            <w:r>
              <w:rPr>
                <w:noProof/>
                <w:webHidden/>
              </w:rPr>
              <w:instrText xml:space="preserve"> PAGEREF _Toc224829863 \h </w:instrText>
            </w:r>
            <w:r>
              <w:rPr>
                <w:noProof/>
                <w:webHidden/>
              </w:rPr>
            </w:r>
            <w:r>
              <w:rPr>
                <w:noProof/>
                <w:webHidden/>
              </w:rPr>
              <w:fldChar w:fldCharType="separate"/>
            </w:r>
            <w:r w:rsidR="00E30920">
              <w:rPr>
                <w:noProof/>
                <w:webHidden/>
              </w:rPr>
              <w:t>7</w:t>
            </w:r>
            <w:r>
              <w:rPr>
                <w:noProof/>
                <w:webHidden/>
              </w:rPr>
              <w:fldChar w:fldCharType="end"/>
            </w:r>
          </w:hyperlink>
        </w:p>
        <w:p w14:paraId="77236C48" w14:textId="4AC835A2" w:rsidR="002004B5" w:rsidRDefault="002004B5">
          <w:pPr>
            <w:pStyle w:val="TOC2"/>
            <w:tabs>
              <w:tab w:val="right" w:pos="9019"/>
            </w:tabs>
            <w:rPr>
              <w:noProof/>
            </w:rPr>
          </w:pPr>
          <w:hyperlink w:anchor="_Toc224829864" w:history="1">
            <w:r w:rsidRPr="00D151BF">
              <w:rPr>
                <w:rStyle w:val="Hyperlink"/>
                <w:noProof/>
              </w:rPr>
              <w:t>6.2 Self-Management</w:t>
            </w:r>
            <w:r>
              <w:rPr>
                <w:noProof/>
                <w:webHidden/>
              </w:rPr>
              <w:tab/>
            </w:r>
            <w:r>
              <w:rPr>
                <w:noProof/>
                <w:webHidden/>
              </w:rPr>
              <w:fldChar w:fldCharType="begin"/>
            </w:r>
            <w:r>
              <w:rPr>
                <w:noProof/>
                <w:webHidden/>
              </w:rPr>
              <w:instrText xml:space="preserve"> PAGEREF _Toc224829864 \h </w:instrText>
            </w:r>
            <w:r>
              <w:rPr>
                <w:noProof/>
                <w:webHidden/>
              </w:rPr>
            </w:r>
            <w:r>
              <w:rPr>
                <w:noProof/>
                <w:webHidden/>
              </w:rPr>
              <w:fldChar w:fldCharType="separate"/>
            </w:r>
            <w:r w:rsidR="00E30920">
              <w:rPr>
                <w:noProof/>
                <w:webHidden/>
              </w:rPr>
              <w:t>7</w:t>
            </w:r>
            <w:r>
              <w:rPr>
                <w:noProof/>
                <w:webHidden/>
              </w:rPr>
              <w:fldChar w:fldCharType="end"/>
            </w:r>
          </w:hyperlink>
        </w:p>
        <w:p w14:paraId="24FDEB89" w14:textId="0DFB3ADA" w:rsidR="002004B5" w:rsidRDefault="002004B5">
          <w:pPr>
            <w:pStyle w:val="TOC2"/>
            <w:tabs>
              <w:tab w:val="right" w:pos="9019"/>
            </w:tabs>
            <w:rPr>
              <w:noProof/>
            </w:rPr>
          </w:pPr>
          <w:hyperlink w:anchor="_Toc224829865" w:history="1">
            <w:r w:rsidRPr="00D151BF">
              <w:rPr>
                <w:rStyle w:val="Hyperlink"/>
                <w:noProof/>
              </w:rPr>
              <w:t>6.3 End of life Care</w:t>
            </w:r>
            <w:r>
              <w:rPr>
                <w:noProof/>
                <w:webHidden/>
              </w:rPr>
              <w:tab/>
            </w:r>
            <w:r>
              <w:rPr>
                <w:noProof/>
                <w:webHidden/>
              </w:rPr>
              <w:fldChar w:fldCharType="begin"/>
            </w:r>
            <w:r>
              <w:rPr>
                <w:noProof/>
                <w:webHidden/>
              </w:rPr>
              <w:instrText xml:space="preserve"> PAGEREF _Toc224829865 \h </w:instrText>
            </w:r>
            <w:r>
              <w:rPr>
                <w:noProof/>
                <w:webHidden/>
              </w:rPr>
            </w:r>
            <w:r>
              <w:rPr>
                <w:noProof/>
                <w:webHidden/>
              </w:rPr>
              <w:fldChar w:fldCharType="separate"/>
            </w:r>
            <w:r w:rsidR="00E30920">
              <w:rPr>
                <w:noProof/>
                <w:webHidden/>
              </w:rPr>
              <w:t>7</w:t>
            </w:r>
            <w:r>
              <w:rPr>
                <w:noProof/>
                <w:webHidden/>
              </w:rPr>
              <w:fldChar w:fldCharType="end"/>
            </w:r>
          </w:hyperlink>
        </w:p>
        <w:p w14:paraId="3C41B778" w14:textId="7251B503" w:rsidR="002004B5" w:rsidRDefault="002004B5">
          <w:pPr>
            <w:pStyle w:val="TOC1"/>
            <w:tabs>
              <w:tab w:val="right" w:pos="9019"/>
            </w:tabs>
            <w:rPr>
              <w:noProof/>
            </w:rPr>
          </w:pPr>
          <w:hyperlink w:anchor="_Toc224829866" w:history="1">
            <w:r w:rsidRPr="00D151BF">
              <w:rPr>
                <w:rStyle w:val="Hyperlink"/>
                <w:noProof/>
              </w:rPr>
              <w:t>7. Conclusion</w:t>
            </w:r>
            <w:r>
              <w:rPr>
                <w:noProof/>
                <w:webHidden/>
              </w:rPr>
              <w:tab/>
            </w:r>
            <w:r>
              <w:rPr>
                <w:noProof/>
                <w:webHidden/>
              </w:rPr>
              <w:fldChar w:fldCharType="begin"/>
            </w:r>
            <w:r>
              <w:rPr>
                <w:noProof/>
                <w:webHidden/>
              </w:rPr>
              <w:instrText xml:space="preserve"> PAGEREF _Toc224829866 \h </w:instrText>
            </w:r>
            <w:r>
              <w:rPr>
                <w:noProof/>
                <w:webHidden/>
              </w:rPr>
            </w:r>
            <w:r>
              <w:rPr>
                <w:noProof/>
                <w:webHidden/>
              </w:rPr>
              <w:fldChar w:fldCharType="separate"/>
            </w:r>
            <w:r w:rsidR="00E30920">
              <w:rPr>
                <w:noProof/>
                <w:webHidden/>
              </w:rPr>
              <w:t>8</w:t>
            </w:r>
            <w:r>
              <w:rPr>
                <w:noProof/>
                <w:webHidden/>
              </w:rPr>
              <w:fldChar w:fldCharType="end"/>
            </w:r>
          </w:hyperlink>
        </w:p>
        <w:p w14:paraId="77AAB0BA" w14:textId="4028421F" w:rsidR="008B4488" w:rsidRDefault="008B4488">
          <w:pPr>
            <w:widowControl w:val="0"/>
            <w:tabs>
              <w:tab w:val="right" w:pos="12000"/>
            </w:tabs>
            <w:spacing w:before="60" w:line="360" w:lineRule="auto"/>
            <w:jc w:val="both"/>
            <w:rPr>
              <w:rFonts w:ascii="Times New Roman" w:eastAsia="Times New Roman" w:hAnsi="Times New Roman" w:cs="Times New Roman"/>
              <w:b/>
              <w:bCs/>
              <w:color w:val="FF0000"/>
              <w:sz w:val="24"/>
              <w:szCs w:val="24"/>
            </w:rPr>
          </w:pPr>
          <w:r>
            <w:fldChar w:fldCharType="end"/>
          </w:r>
        </w:p>
      </w:sdtContent>
    </w:sdt>
    <w:p w14:paraId="6A4AD743" w14:textId="77777777" w:rsidR="008B4488" w:rsidRDefault="008B4488">
      <w:pPr>
        <w:spacing w:line="360" w:lineRule="auto"/>
        <w:jc w:val="center"/>
        <w:rPr>
          <w:rFonts w:ascii="Times New Roman" w:eastAsia="Times New Roman" w:hAnsi="Times New Roman" w:cs="Times New Roman"/>
          <w:b/>
          <w:bCs/>
          <w:sz w:val="28"/>
          <w:szCs w:val="28"/>
        </w:rPr>
      </w:pPr>
    </w:p>
    <w:p w14:paraId="543123BE" w14:textId="77777777" w:rsidR="008B4488" w:rsidRDefault="008B4488">
      <w:pPr>
        <w:spacing w:line="360" w:lineRule="auto"/>
        <w:jc w:val="center"/>
        <w:rPr>
          <w:rFonts w:ascii="Times New Roman" w:eastAsia="Times New Roman" w:hAnsi="Times New Roman" w:cs="Times New Roman"/>
          <w:b/>
          <w:bCs/>
          <w:sz w:val="28"/>
          <w:szCs w:val="28"/>
        </w:rPr>
      </w:pPr>
    </w:p>
    <w:p w14:paraId="236CFF4B" w14:textId="77777777" w:rsidR="00B563C9" w:rsidRDefault="00B563C9">
      <w:pPr>
        <w:spacing w:line="360" w:lineRule="auto"/>
        <w:jc w:val="both"/>
        <w:sectPr w:rsidR="00B563C9" w:rsidSect="00475BD9">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pPr>
    </w:p>
    <w:p w14:paraId="7C351A45" w14:textId="77777777" w:rsidR="008B4488" w:rsidRDefault="00000000">
      <w:pPr>
        <w:spacing w:line="360" w:lineRule="auto"/>
        <w:jc w:val="both"/>
        <w:rPr>
          <w:rFonts w:ascii="Times New Roman" w:eastAsia="Times New Roman" w:hAnsi="Times New Roman" w:cs="Times New Roman"/>
          <w:b/>
          <w:bCs/>
          <w:sz w:val="24"/>
          <w:szCs w:val="24"/>
        </w:rPr>
      </w:pPr>
      <w:r>
        <w:br w:type="page"/>
      </w:r>
    </w:p>
    <w:p w14:paraId="1C3DB8A3" w14:textId="77777777" w:rsidR="008B4488" w:rsidRPr="00E30920" w:rsidRDefault="00000000">
      <w:pPr>
        <w:pStyle w:val="Heading1"/>
        <w:rPr>
          <w:rFonts w:ascii="Arial" w:hAnsi="Arial" w:cs="Arial"/>
          <w:sz w:val="22"/>
          <w:szCs w:val="22"/>
        </w:rPr>
      </w:pPr>
      <w:bookmarkStart w:id="0" w:name="_Toc224829853"/>
      <w:r w:rsidRPr="00E30920">
        <w:rPr>
          <w:rFonts w:ascii="Arial" w:hAnsi="Arial" w:cs="Arial"/>
          <w:sz w:val="22"/>
          <w:szCs w:val="22"/>
        </w:rPr>
        <w:lastRenderedPageBreak/>
        <w:t>1. Introduction</w:t>
      </w:r>
      <w:bookmarkEnd w:id="0"/>
    </w:p>
    <w:p w14:paraId="06E10A87" w14:textId="77777777" w:rsidR="008B4488" w:rsidRPr="00E30920" w:rsidRDefault="00000000">
      <w:pPr>
        <w:spacing w:line="360" w:lineRule="auto"/>
        <w:jc w:val="both"/>
        <w:rPr>
          <w:rFonts w:eastAsia="Times New Roman"/>
        </w:rPr>
      </w:pPr>
      <w:r w:rsidRPr="00E30920">
        <w:rPr>
          <w:rFonts w:eastAsia="Times New Roman"/>
        </w:rPr>
        <w:t>Chronic Kidney Disease (CKD) is a long-term disorder that is chronic in nature and is manifested by the demise of a kidney as days go by. It has been a significant health issue in the world because of its high prevalence rate, relationship with other chronic ailments, and effects on mortality and quality of life. CKD is frequently asymptomatic and manifests itself only in secondary stages and therefore, early diagnosis and treatment are requisite. Strategic management of CKD revolves around the reduction in the rate of disease development, control of disease-related complications, and enhancing the quality of life of patients with the help of the medical process and self-management (Borg et al., 2023; Francis et al., 2024).</w:t>
      </w:r>
    </w:p>
    <w:p w14:paraId="025D9132" w14:textId="77777777" w:rsidR="008B4488" w:rsidRPr="00E30920" w:rsidRDefault="00000000">
      <w:pPr>
        <w:pStyle w:val="Heading1"/>
        <w:rPr>
          <w:rFonts w:ascii="Arial" w:hAnsi="Arial" w:cs="Arial"/>
          <w:sz w:val="22"/>
          <w:szCs w:val="22"/>
        </w:rPr>
      </w:pPr>
      <w:bookmarkStart w:id="1" w:name="_Toc224829854"/>
      <w:r w:rsidRPr="00E30920">
        <w:rPr>
          <w:rFonts w:ascii="Arial" w:hAnsi="Arial" w:cs="Arial"/>
          <w:sz w:val="22"/>
          <w:szCs w:val="22"/>
        </w:rPr>
        <w:t>2. Prevalence Note</w:t>
      </w:r>
      <w:bookmarkEnd w:id="1"/>
    </w:p>
    <w:p w14:paraId="5A97EED3" w14:textId="77777777" w:rsidR="008B4488" w:rsidRPr="00E30920" w:rsidRDefault="00000000">
      <w:pPr>
        <w:spacing w:line="360" w:lineRule="auto"/>
        <w:jc w:val="both"/>
        <w:rPr>
          <w:rFonts w:eastAsia="Times New Roman"/>
        </w:rPr>
      </w:pPr>
      <w:r w:rsidRPr="00E30920">
        <w:rPr>
          <w:rFonts w:eastAsia="Times New Roman"/>
        </w:rPr>
        <w:t xml:space="preserve">The definition procedure of CKD is the abnormality of the structure or functioning of the kidney that extends beyond three months, which has health implications. The disease is stage five depending on the glomerular filtration rate (GFR), and stage five is kidney failure that demands dialysis or transplantation. CKD is present in the global population in the range of 10% and is constantly growing because of ageing and the growing rates of diabetes and hypertension (Jadoul et al., 2024; Francis et al., 2024). CKD is a serious health concern of the population that impacts the rising healthcare expenses and hospitalisation. Such a condition is also linked with cardiovascular disease which is </w:t>
      </w:r>
      <w:r w:rsidRPr="00E30920">
        <w:rPr>
          <w:rFonts w:eastAsia="Times New Roman"/>
        </w:rPr>
        <w:t>the cause of death of the greatest number of CKD patients (Borg et al., 2023).</w:t>
      </w:r>
    </w:p>
    <w:p w14:paraId="11B1EF52" w14:textId="77777777" w:rsidR="008B4488" w:rsidRPr="00E30920" w:rsidRDefault="00000000">
      <w:pPr>
        <w:spacing w:line="360" w:lineRule="auto"/>
        <w:jc w:val="both"/>
        <w:rPr>
          <w:rFonts w:eastAsia="Times New Roman"/>
        </w:rPr>
      </w:pPr>
      <w:r w:rsidRPr="00E30920">
        <w:rPr>
          <w:rFonts w:eastAsia="Times New Roman"/>
        </w:rPr>
        <w:t>In the past, kidney diseases have not been well understood and were usually diagnosed when they were in severe states. The previous methods of medical work mainly involved treating kidney failure but not preventing the development of kidney damage. Gradually, medical science and diagnostics technologies enabled medical practitioners to gain deeper insights into the way kidney functions deteriorate over a long period of several years. Laboratory testing, that includes blood creatinine evaluation to detect the damage caused by kidney disorders and urine examination, allowed detecting those issues earlier than the formation of serious symptoms.</w:t>
      </w:r>
    </w:p>
    <w:p w14:paraId="7236DF06" w14:textId="77777777" w:rsidR="008B4488" w:rsidRPr="00E30920" w:rsidRDefault="00000000">
      <w:pPr>
        <w:spacing w:line="360" w:lineRule="auto"/>
        <w:jc w:val="both"/>
        <w:rPr>
          <w:rFonts w:eastAsia="Times New Roman"/>
        </w:rPr>
      </w:pPr>
      <w:r w:rsidRPr="00E30920">
        <w:rPr>
          <w:rFonts w:eastAsia="Times New Roman"/>
        </w:rPr>
        <w:t xml:space="preserve">In the late twentieth century, medical studies came to identify more and more chronic kidney disease as a long-term progressive condition and not an isolated organ disorder (Thorp </w:t>
      </w:r>
      <w:r w:rsidRPr="00E30920">
        <w:rPr>
          <w:rFonts w:eastAsia="Times New Roman"/>
          <w:i/>
          <w:iCs/>
        </w:rPr>
        <w:t xml:space="preserve">et al. </w:t>
      </w:r>
      <w:r w:rsidRPr="00E30920">
        <w:rPr>
          <w:rFonts w:eastAsia="Times New Roman"/>
        </w:rPr>
        <w:t>2023). This knowledge resulted in the development of the stages of CKD dependent on the amount of kidney functions as well as assisted physicians in identifying the level of the disease severity.</w:t>
      </w:r>
    </w:p>
    <w:p w14:paraId="3E16D8E6" w14:textId="77777777" w:rsidR="008B4488" w:rsidRPr="00E30920" w:rsidRDefault="00000000">
      <w:pPr>
        <w:spacing w:line="360" w:lineRule="auto"/>
        <w:jc w:val="both"/>
        <w:rPr>
          <w:rFonts w:eastAsia="Times New Roman"/>
        </w:rPr>
      </w:pPr>
      <w:r w:rsidRPr="00E30920">
        <w:rPr>
          <w:rFonts w:eastAsia="Times New Roman"/>
        </w:rPr>
        <w:t xml:space="preserve">Health care systems over the past decades have focused on early diagnosis and long term management of CKD particularly in the persons suffering other illnesses like diabetes and high blood pressure (Borg </w:t>
      </w:r>
      <w:r w:rsidRPr="00E30920">
        <w:rPr>
          <w:rFonts w:eastAsia="Times New Roman"/>
          <w:i/>
          <w:iCs/>
        </w:rPr>
        <w:t xml:space="preserve">et al. </w:t>
      </w:r>
      <w:r w:rsidRPr="00E30920">
        <w:rPr>
          <w:rFonts w:eastAsia="Times New Roman"/>
        </w:rPr>
        <w:t xml:space="preserve">2023). The history of CKD management thus implies the shift towards the proactive management of the disease instead of </w:t>
      </w:r>
      <w:r w:rsidRPr="00E30920">
        <w:rPr>
          <w:rFonts w:eastAsia="Times New Roman"/>
        </w:rPr>
        <w:lastRenderedPageBreak/>
        <w:t>reactive management of kidney failure and its purpose to slow down the progression and enhance patient health.</w:t>
      </w:r>
    </w:p>
    <w:p w14:paraId="0D8BC2CE" w14:textId="77777777" w:rsidR="008B4488" w:rsidRPr="00E30920" w:rsidRDefault="00000000">
      <w:pPr>
        <w:pStyle w:val="Heading1"/>
        <w:rPr>
          <w:rFonts w:ascii="Arial" w:hAnsi="Arial" w:cs="Arial"/>
          <w:sz w:val="22"/>
          <w:szCs w:val="22"/>
        </w:rPr>
      </w:pPr>
      <w:bookmarkStart w:id="2" w:name="_Toc224829855"/>
      <w:r w:rsidRPr="00E30920">
        <w:rPr>
          <w:rFonts w:ascii="Arial" w:hAnsi="Arial" w:cs="Arial"/>
          <w:sz w:val="22"/>
          <w:szCs w:val="22"/>
        </w:rPr>
        <w:t>2.1 Risk Factors</w:t>
      </w:r>
      <w:bookmarkEnd w:id="2"/>
    </w:p>
    <w:p w14:paraId="45BD04BE" w14:textId="77777777" w:rsidR="008B4488" w:rsidRPr="00E30920" w:rsidRDefault="00000000">
      <w:pPr>
        <w:spacing w:line="360" w:lineRule="auto"/>
        <w:jc w:val="both"/>
        <w:rPr>
          <w:rFonts w:eastAsia="Times New Roman"/>
        </w:rPr>
      </w:pPr>
      <w:r w:rsidRPr="00E30920">
        <w:rPr>
          <w:rFonts w:eastAsia="Times New Roman"/>
        </w:rPr>
        <w:t>Diabetes mellitus, hypertension and cardiovascular disease are the major causes of CKD. The conditions hurt the blood vessels in the kidneys, making them inefficient in the sale of the waste products. Obesity, smoking, ageing, and genetic predisposition are other risk factors that are important (</w:t>
      </w:r>
      <w:proofErr w:type="spellStart"/>
      <w:r w:rsidRPr="00E30920">
        <w:rPr>
          <w:rFonts w:eastAsia="Times New Roman"/>
        </w:rPr>
        <w:t>Mallamaci</w:t>
      </w:r>
      <w:proofErr w:type="spellEnd"/>
      <w:r w:rsidRPr="00E30920">
        <w:rPr>
          <w:rFonts w:eastAsia="Times New Roman"/>
        </w:rPr>
        <w:t xml:space="preserve"> and </w:t>
      </w:r>
      <w:proofErr w:type="spellStart"/>
      <w:r w:rsidRPr="00E30920">
        <w:rPr>
          <w:rFonts w:eastAsia="Times New Roman"/>
        </w:rPr>
        <w:t>Tripepi</w:t>
      </w:r>
      <w:proofErr w:type="spellEnd"/>
      <w:r w:rsidRPr="00E30920">
        <w:rPr>
          <w:rFonts w:eastAsia="Times New Roman"/>
        </w:rPr>
        <w:t>, 2024).</w:t>
      </w:r>
    </w:p>
    <w:p w14:paraId="7F6BD7CB" w14:textId="77777777" w:rsidR="008B4488" w:rsidRPr="00E30920" w:rsidRDefault="00000000">
      <w:pPr>
        <w:spacing w:line="360" w:lineRule="auto"/>
        <w:jc w:val="both"/>
        <w:rPr>
          <w:rFonts w:eastAsia="Times New Roman"/>
        </w:rPr>
      </w:pPr>
      <w:r w:rsidRPr="00E30920">
        <w:rPr>
          <w:rFonts w:eastAsia="Times New Roman"/>
        </w:rPr>
        <w:t xml:space="preserve">CKD is also associated with metabolic syndrome as one of its major causes (Scurt et al., 2024). Also, liver disorders like metabolic-associated </w:t>
      </w:r>
      <w:proofErr w:type="spellStart"/>
      <w:r w:rsidRPr="00E30920">
        <w:rPr>
          <w:rFonts w:eastAsia="Times New Roman"/>
        </w:rPr>
        <w:t>steatotic</w:t>
      </w:r>
      <w:proofErr w:type="spellEnd"/>
      <w:r w:rsidRPr="00E30920">
        <w:rPr>
          <w:rFonts w:eastAsia="Times New Roman"/>
        </w:rPr>
        <w:t xml:space="preserve"> liver disease (MASLD) have also become widely understood as risks of the CKD progression (Bilson</w:t>
      </w:r>
      <w:r w:rsidRPr="00E30920">
        <w:rPr>
          <w:rFonts w:eastAsia="Times New Roman"/>
          <w:i/>
          <w:iCs/>
        </w:rPr>
        <w:t xml:space="preserve"> et al.</w:t>
      </w:r>
      <w:r w:rsidRPr="00E30920">
        <w:rPr>
          <w:rFonts w:eastAsia="Times New Roman"/>
        </w:rPr>
        <w:t xml:space="preserve"> 2024). The above linked conditions underscore the need of a holistic approach to CKD in its prevention and management.</w:t>
      </w:r>
    </w:p>
    <w:p w14:paraId="674280BA" w14:textId="77777777" w:rsidR="008B4488" w:rsidRPr="00E30920" w:rsidRDefault="00000000">
      <w:pPr>
        <w:spacing w:line="360" w:lineRule="auto"/>
        <w:jc w:val="center"/>
        <w:rPr>
          <w:rFonts w:eastAsia="Times New Roman"/>
        </w:rPr>
      </w:pPr>
      <w:r w:rsidRPr="00E30920">
        <w:rPr>
          <w:rFonts w:eastAsia="Times New Roman"/>
          <w:noProof/>
        </w:rPr>
        <w:drawing>
          <wp:inline distT="114300" distB="114300" distL="114300" distR="114300" wp14:anchorId="3CB64F8D" wp14:editId="5863C15B">
            <wp:extent cx="2689226" cy="2155092"/>
            <wp:effectExtent l="38100" t="38100" r="34925" b="36195"/>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712947" cy="2174102"/>
                    </a:xfrm>
                    <a:prstGeom prst="rect">
                      <a:avLst/>
                    </a:prstGeom>
                    <a:ln w="25400">
                      <a:solidFill>
                        <a:srgbClr val="000000"/>
                      </a:solidFill>
                      <a:prstDash val="solid"/>
                    </a:ln>
                  </pic:spPr>
                </pic:pic>
              </a:graphicData>
            </a:graphic>
          </wp:inline>
        </w:drawing>
      </w:r>
    </w:p>
    <w:p w14:paraId="7D5154AE" w14:textId="77777777" w:rsidR="008B4488" w:rsidRPr="00E30920" w:rsidRDefault="00000000">
      <w:pPr>
        <w:spacing w:line="360" w:lineRule="auto"/>
        <w:jc w:val="center"/>
        <w:rPr>
          <w:rFonts w:eastAsia="Times New Roman"/>
          <w:b/>
          <w:bCs/>
        </w:rPr>
      </w:pPr>
      <w:r w:rsidRPr="00E30920">
        <w:rPr>
          <w:rFonts w:eastAsia="Times New Roman"/>
          <w:b/>
          <w:bCs/>
        </w:rPr>
        <w:t>Figure 1: Chronic kidney disease (CKD)</w:t>
      </w:r>
    </w:p>
    <w:p w14:paraId="342A93BE" w14:textId="77777777" w:rsidR="008B4488" w:rsidRPr="00E30920" w:rsidRDefault="00000000">
      <w:pPr>
        <w:spacing w:line="360" w:lineRule="auto"/>
        <w:jc w:val="center"/>
        <w:rPr>
          <w:rFonts w:eastAsia="Times New Roman"/>
        </w:rPr>
      </w:pPr>
      <w:r w:rsidRPr="00E30920">
        <w:rPr>
          <w:rFonts w:eastAsia="Times New Roman"/>
        </w:rPr>
        <w:t xml:space="preserve">(Source: Tu </w:t>
      </w:r>
      <w:r w:rsidRPr="00E30920">
        <w:rPr>
          <w:rFonts w:eastAsia="Times New Roman"/>
          <w:i/>
          <w:iCs/>
        </w:rPr>
        <w:t xml:space="preserve">et al. </w:t>
      </w:r>
      <w:r w:rsidRPr="00E30920">
        <w:rPr>
          <w:rFonts w:eastAsia="Times New Roman"/>
        </w:rPr>
        <w:t>2022)</w:t>
      </w:r>
    </w:p>
    <w:p w14:paraId="6072B5AA" w14:textId="77777777" w:rsidR="008B4488" w:rsidRPr="00E30920" w:rsidRDefault="00000000">
      <w:pPr>
        <w:spacing w:line="360" w:lineRule="auto"/>
        <w:jc w:val="both"/>
        <w:rPr>
          <w:rFonts w:eastAsia="Times New Roman"/>
        </w:rPr>
      </w:pPr>
      <w:r w:rsidRPr="00E30920">
        <w:rPr>
          <w:rFonts w:eastAsia="Times New Roman"/>
        </w:rPr>
        <w:t xml:space="preserve">Besides the systematic medical factors that are typically recognised, there exists a number of other health conditions that are </w:t>
      </w:r>
      <w:r w:rsidRPr="00E30920">
        <w:rPr>
          <w:rFonts w:eastAsia="Times New Roman"/>
        </w:rPr>
        <w:t xml:space="preserve">capable of contributing to the formation of chronic kidney disease (Scurt </w:t>
      </w:r>
      <w:r w:rsidRPr="00E30920">
        <w:rPr>
          <w:rFonts w:eastAsia="Times New Roman"/>
          <w:i/>
          <w:iCs/>
        </w:rPr>
        <w:t xml:space="preserve">et al. </w:t>
      </w:r>
      <w:r w:rsidRPr="00E30920">
        <w:rPr>
          <w:rFonts w:eastAsia="Times New Roman"/>
        </w:rPr>
        <w:t>2024). Kidney infections or prolonged inflammation of kidney tissues may take time to damage kidney tissues and limit their efficiency in filtering waste materials in the blood (</w:t>
      </w:r>
      <w:proofErr w:type="spellStart"/>
      <w:r w:rsidRPr="00E30920">
        <w:rPr>
          <w:rFonts w:eastAsia="Times New Roman"/>
        </w:rPr>
        <w:t>Nalesso</w:t>
      </w:r>
      <w:proofErr w:type="spellEnd"/>
      <w:r w:rsidRPr="00E30920">
        <w:rPr>
          <w:rFonts w:eastAsia="Times New Roman"/>
        </w:rPr>
        <w:t xml:space="preserve"> </w:t>
      </w:r>
      <w:r w:rsidRPr="00E30920">
        <w:rPr>
          <w:rFonts w:eastAsia="Times New Roman"/>
          <w:i/>
          <w:iCs/>
        </w:rPr>
        <w:t xml:space="preserve">et al. </w:t>
      </w:r>
      <w:r w:rsidRPr="00E30920">
        <w:rPr>
          <w:rFonts w:eastAsia="Times New Roman"/>
        </w:rPr>
        <w:t>2024). Some autoimmune diseases, such as the immune system attacking the healthy tissues, can also contribute to damaging kidneys in the long term. Such immune-related diseases may intervene with the normal functioning of the kidneys and damage the small filtering units.</w:t>
      </w:r>
    </w:p>
    <w:p w14:paraId="2BB02C33" w14:textId="77777777" w:rsidR="008B4488" w:rsidRPr="00E30920" w:rsidRDefault="00000000">
      <w:pPr>
        <w:spacing w:line="360" w:lineRule="auto"/>
        <w:jc w:val="both"/>
        <w:rPr>
          <w:rFonts w:eastAsia="Times New Roman"/>
        </w:rPr>
      </w:pPr>
      <w:r w:rsidRPr="00E30920">
        <w:rPr>
          <w:rFonts w:eastAsia="Times New Roman"/>
        </w:rPr>
        <w:t xml:space="preserve">Kidney damage is also likely to occur due to long-term use of some medications (LaForge </w:t>
      </w:r>
      <w:r w:rsidRPr="00E30920">
        <w:rPr>
          <w:rFonts w:eastAsia="Times New Roman"/>
          <w:i/>
          <w:iCs/>
        </w:rPr>
        <w:t xml:space="preserve">et al. </w:t>
      </w:r>
      <w:r w:rsidRPr="00E30920">
        <w:rPr>
          <w:rFonts w:eastAsia="Times New Roman"/>
        </w:rPr>
        <w:t xml:space="preserve">2023). Certain pain relievers, especially those consumed in large doses or during a long time, can have adverse effects on the </w:t>
      </w:r>
      <w:proofErr w:type="spellStart"/>
      <w:r w:rsidRPr="00E30920">
        <w:rPr>
          <w:rFonts w:eastAsia="Times New Roman"/>
        </w:rPr>
        <w:t>well being</w:t>
      </w:r>
      <w:proofErr w:type="spellEnd"/>
      <w:r w:rsidRPr="00E30920">
        <w:rPr>
          <w:rFonts w:eastAsia="Times New Roman"/>
        </w:rPr>
        <w:t xml:space="preserve"> of the kidneys (Chatha </w:t>
      </w:r>
      <w:r w:rsidRPr="00E30920">
        <w:rPr>
          <w:rFonts w:eastAsia="Times New Roman"/>
          <w:i/>
          <w:iCs/>
        </w:rPr>
        <w:t xml:space="preserve">et al. </w:t>
      </w:r>
      <w:r w:rsidRPr="00E30920">
        <w:rPr>
          <w:rFonts w:eastAsia="Times New Roman"/>
        </w:rPr>
        <w:t>2023). On the same note, environmental exposure to adverse toxins, heavy-metals, or chemicals can weaken the kidney functions over time (</w:t>
      </w:r>
      <w:proofErr w:type="spellStart"/>
      <w:r w:rsidRPr="00E30920">
        <w:rPr>
          <w:rFonts w:eastAsia="Times New Roman"/>
        </w:rPr>
        <w:t>Ohiagu</w:t>
      </w:r>
      <w:proofErr w:type="spellEnd"/>
      <w:r w:rsidRPr="00E30920">
        <w:rPr>
          <w:rFonts w:eastAsia="Times New Roman"/>
        </w:rPr>
        <w:t xml:space="preserve"> </w:t>
      </w:r>
      <w:r w:rsidRPr="00E30920">
        <w:rPr>
          <w:rFonts w:eastAsia="Times New Roman"/>
          <w:i/>
          <w:iCs/>
        </w:rPr>
        <w:t xml:space="preserve">et al. </w:t>
      </w:r>
      <w:r w:rsidRPr="00E30920">
        <w:rPr>
          <w:rFonts w:eastAsia="Times New Roman"/>
        </w:rPr>
        <w:t>2022). When this occurs, a person in an environment where they are exposed to industrial chemicals would then be at a greater risk when they do not observe proper safety measures.</w:t>
      </w:r>
    </w:p>
    <w:p w14:paraId="209C7A85" w14:textId="77777777" w:rsidR="008B4488" w:rsidRPr="00E30920" w:rsidRDefault="00000000">
      <w:pPr>
        <w:spacing w:line="360" w:lineRule="auto"/>
        <w:jc w:val="both"/>
        <w:rPr>
          <w:rFonts w:eastAsia="Times New Roman"/>
        </w:rPr>
      </w:pPr>
      <w:r w:rsidRPr="00E30920">
        <w:rPr>
          <w:rFonts w:eastAsia="Times New Roman"/>
        </w:rPr>
        <w:t xml:space="preserve">The lifestyle behaviours are also significant in the cause of chronic kidney disease (Luo </w:t>
      </w:r>
      <w:r w:rsidRPr="00E30920">
        <w:rPr>
          <w:rFonts w:eastAsia="Times New Roman"/>
          <w:i/>
          <w:iCs/>
        </w:rPr>
        <w:t xml:space="preserve">et al. </w:t>
      </w:r>
      <w:r w:rsidRPr="00E30920">
        <w:rPr>
          <w:rFonts w:eastAsia="Times New Roman"/>
        </w:rPr>
        <w:t xml:space="preserve">2022; </w:t>
      </w:r>
      <w:proofErr w:type="spellStart"/>
      <w:r w:rsidRPr="00E30920">
        <w:rPr>
          <w:rFonts w:eastAsia="Times New Roman"/>
        </w:rPr>
        <w:t>Cardol</w:t>
      </w:r>
      <w:proofErr w:type="spellEnd"/>
      <w:r w:rsidRPr="00E30920">
        <w:rPr>
          <w:rFonts w:eastAsia="Times New Roman"/>
        </w:rPr>
        <w:t xml:space="preserve"> </w:t>
      </w:r>
      <w:r w:rsidRPr="00E30920">
        <w:rPr>
          <w:rFonts w:eastAsia="Times New Roman"/>
          <w:i/>
          <w:iCs/>
        </w:rPr>
        <w:t xml:space="preserve">et al. </w:t>
      </w:r>
      <w:r w:rsidRPr="00E30920">
        <w:rPr>
          <w:rFonts w:eastAsia="Times New Roman"/>
        </w:rPr>
        <w:t xml:space="preserve">2022). A diet that is unhealthy like consuming a lot of salt, fats, and processed foods can serve as a factor leading to high blood pressure and other metabolic issues which ultimately influence the kidney functions. The </w:t>
      </w:r>
      <w:r w:rsidRPr="00E30920">
        <w:rPr>
          <w:rFonts w:eastAsia="Times New Roman"/>
        </w:rPr>
        <w:lastRenderedPageBreak/>
        <w:t>conditions that can contribute to the risk include obesity and insulin resistance which are caused by a deficiency of physical activity and increased weight with time.</w:t>
      </w:r>
    </w:p>
    <w:p w14:paraId="2E14F990" w14:textId="77777777" w:rsidR="008B4488" w:rsidRPr="00E30920" w:rsidRDefault="00000000">
      <w:pPr>
        <w:spacing w:line="360" w:lineRule="auto"/>
        <w:jc w:val="both"/>
        <w:rPr>
          <w:rFonts w:eastAsia="Times New Roman"/>
        </w:rPr>
      </w:pPr>
      <w:r w:rsidRPr="00E30920">
        <w:rPr>
          <w:rFonts w:eastAsia="Times New Roman"/>
        </w:rPr>
        <w:t xml:space="preserve">The other relevant cause is lack of access to healthcare services or routine health </w:t>
      </w:r>
      <w:proofErr w:type="spellStart"/>
      <w:r w:rsidRPr="00E30920">
        <w:rPr>
          <w:rFonts w:eastAsia="Times New Roman"/>
        </w:rPr>
        <w:t>check ups</w:t>
      </w:r>
      <w:proofErr w:type="spellEnd"/>
      <w:r w:rsidRPr="00E30920">
        <w:rPr>
          <w:rFonts w:eastAsia="Times New Roman"/>
        </w:rPr>
        <w:t xml:space="preserve">. In most instances, one can be unaware of having early kidney damage as the symptoms are negligible or non-existent (Corkery and Schifano, 2022). The disease can go undetected as one does not go to the doctor regularly until the kidney is seriously impaired (Vassalotti </w:t>
      </w:r>
      <w:r w:rsidRPr="00E30920">
        <w:rPr>
          <w:rFonts w:eastAsia="Times New Roman"/>
          <w:i/>
          <w:iCs/>
        </w:rPr>
        <w:t xml:space="preserve">et al. </w:t>
      </w:r>
      <w:r w:rsidRPr="00E30920">
        <w:rPr>
          <w:rFonts w:eastAsia="Times New Roman"/>
        </w:rPr>
        <w:t>2025). The socioeconomic risks can also affect the probability of early diagnosis and treatment such as income level, education and health awareness.</w:t>
      </w:r>
    </w:p>
    <w:p w14:paraId="75B6DA75" w14:textId="77777777" w:rsidR="008B4488" w:rsidRPr="00E30920" w:rsidRDefault="00000000">
      <w:pPr>
        <w:spacing w:line="360" w:lineRule="auto"/>
        <w:jc w:val="both"/>
        <w:rPr>
          <w:rFonts w:eastAsia="Times New Roman"/>
        </w:rPr>
      </w:pPr>
      <w:r w:rsidRPr="00E30920">
        <w:rPr>
          <w:rFonts w:eastAsia="Times New Roman"/>
        </w:rPr>
        <w:t>The broad spectrum of causes and risk factors related to chronic kidney disease and the significance of the approach toward the prevention of the disease is based on the aspect of adopting a healthy lifestyle, frequent healthcare examination, and early-stage therapy.</w:t>
      </w:r>
    </w:p>
    <w:p w14:paraId="02E7AFD8" w14:textId="77777777" w:rsidR="008B4488" w:rsidRPr="00E30920" w:rsidRDefault="00000000">
      <w:pPr>
        <w:pStyle w:val="Heading2"/>
        <w:rPr>
          <w:rFonts w:ascii="Arial" w:hAnsi="Arial" w:cs="Arial"/>
          <w:color w:val="FF0000"/>
          <w:sz w:val="22"/>
          <w:szCs w:val="22"/>
        </w:rPr>
      </w:pPr>
      <w:bookmarkStart w:id="3" w:name="_Toc224829856"/>
      <w:r w:rsidRPr="00E30920">
        <w:rPr>
          <w:rFonts w:ascii="Arial" w:hAnsi="Arial" w:cs="Arial"/>
          <w:color w:val="FF0000"/>
          <w:sz w:val="22"/>
          <w:szCs w:val="22"/>
        </w:rPr>
        <w:t>2.2 Physical Implications</w:t>
      </w:r>
      <w:bookmarkEnd w:id="3"/>
    </w:p>
    <w:p w14:paraId="0D51B655" w14:textId="77777777" w:rsidR="008B4488" w:rsidRPr="00E30920" w:rsidRDefault="00000000">
      <w:pPr>
        <w:spacing w:line="360" w:lineRule="auto"/>
        <w:jc w:val="both"/>
        <w:rPr>
          <w:rFonts w:eastAsia="Times New Roman"/>
          <w:color w:val="FF0000"/>
        </w:rPr>
      </w:pPr>
      <w:r w:rsidRPr="00E30920">
        <w:rPr>
          <w:rFonts w:eastAsia="Times New Roman"/>
          <w:color w:val="FF0000"/>
        </w:rPr>
        <w:t xml:space="preserve">Chronic Kidney Disease in the patients is manifested profoundly physically. Physiologically, the patient can develop fatigue, fluid retention, </w:t>
      </w:r>
      <w:proofErr w:type="spellStart"/>
      <w:r w:rsidRPr="00E30920">
        <w:rPr>
          <w:rFonts w:eastAsia="Times New Roman"/>
          <w:color w:val="FF0000"/>
        </w:rPr>
        <w:t>dyspnea</w:t>
      </w:r>
      <w:proofErr w:type="spellEnd"/>
      <w:r w:rsidRPr="00E30920">
        <w:rPr>
          <w:rFonts w:eastAsia="Times New Roman"/>
          <w:color w:val="FF0000"/>
        </w:rPr>
        <w:t xml:space="preserve"> and physical dysfunction. Later, there are complications that include anaemia and bone disease (Borg et al., 2023). The disorder may also decrease the level of autonomy, since the deterioration of kidney activity may cause a subsequent decrement in energy levels and difficulty </w:t>
      </w:r>
      <w:r w:rsidRPr="00E30920">
        <w:rPr>
          <w:rFonts w:eastAsia="Times New Roman"/>
          <w:color w:val="FF0000"/>
        </w:rPr>
        <w:t>with daily tasks such as work, physical exercise, or household duties (Kushwaha et al., 2023). Moreover, mobility and freedom may be greatly limited by treatment with dialysis several times a week. Other medical conditions also have more risks with CKD since the kidneys have less possibility to monitor the balance of fluids, blood pressure, and toxin elimination, which means monitoring complex care and constant medical attention.</w:t>
      </w:r>
    </w:p>
    <w:p w14:paraId="12CC8B96" w14:textId="77777777" w:rsidR="008B4488" w:rsidRPr="00E30920" w:rsidRDefault="00000000">
      <w:pPr>
        <w:pStyle w:val="Heading2"/>
        <w:rPr>
          <w:rFonts w:ascii="Arial" w:hAnsi="Arial" w:cs="Arial"/>
          <w:color w:val="FF0000"/>
          <w:sz w:val="22"/>
          <w:szCs w:val="22"/>
        </w:rPr>
      </w:pPr>
      <w:bookmarkStart w:id="4" w:name="_Toc224829857"/>
      <w:r w:rsidRPr="00E30920">
        <w:rPr>
          <w:rFonts w:ascii="Arial" w:hAnsi="Arial" w:cs="Arial"/>
          <w:color w:val="FF0000"/>
          <w:sz w:val="22"/>
          <w:szCs w:val="22"/>
        </w:rPr>
        <w:t>2.3 Psychological Implications</w:t>
      </w:r>
      <w:bookmarkEnd w:id="4"/>
    </w:p>
    <w:p w14:paraId="4C13C682" w14:textId="77777777" w:rsidR="008B4488" w:rsidRPr="00E30920" w:rsidRDefault="00000000">
      <w:pPr>
        <w:spacing w:line="360" w:lineRule="auto"/>
        <w:jc w:val="both"/>
        <w:rPr>
          <w:rFonts w:eastAsia="Times New Roman"/>
          <w:color w:val="FF0000"/>
        </w:rPr>
      </w:pPr>
      <w:r w:rsidRPr="00E30920">
        <w:rPr>
          <w:rFonts w:eastAsia="Times New Roman"/>
          <w:color w:val="FF0000"/>
        </w:rPr>
        <w:t>The lifelong therapy required due to the chronicity of CKD is a major contribution towards psychological anguish. Patients are usually anxious and depressed, especially through dialysis and are considered to relate to the lower quality of life (Francis et al., 2024). The active lifestyle changes, such as the extreme restrictions in the diet and the necessity to use a lot of medication frequently, along with regular medical examinations, may be challenging to sustain in the long term (Yapa et al., 2024). Continuous needs can cause frustration, emotional burnout and more reliance on healthcare systems which impact more on mental health.</w:t>
      </w:r>
    </w:p>
    <w:p w14:paraId="2DB34FB1" w14:textId="77777777" w:rsidR="008B4488" w:rsidRPr="00E30920" w:rsidRDefault="00000000">
      <w:pPr>
        <w:pStyle w:val="Heading2"/>
        <w:rPr>
          <w:rFonts w:ascii="Arial" w:hAnsi="Arial" w:cs="Arial"/>
          <w:color w:val="FF0000"/>
          <w:sz w:val="22"/>
          <w:szCs w:val="22"/>
        </w:rPr>
      </w:pPr>
      <w:bookmarkStart w:id="5" w:name="_Toc224829858"/>
      <w:r w:rsidRPr="00E30920">
        <w:rPr>
          <w:rFonts w:ascii="Arial" w:hAnsi="Arial" w:cs="Arial"/>
          <w:color w:val="FF0000"/>
          <w:sz w:val="22"/>
          <w:szCs w:val="22"/>
        </w:rPr>
        <w:t>2.4 Social Implications</w:t>
      </w:r>
      <w:bookmarkEnd w:id="5"/>
    </w:p>
    <w:p w14:paraId="53050F05" w14:textId="77777777" w:rsidR="008B4488" w:rsidRPr="00E30920" w:rsidRDefault="00000000">
      <w:pPr>
        <w:spacing w:line="360" w:lineRule="auto"/>
        <w:jc w:val="both"/>
        <w:rPr>
          <w:rFonts w:eastAsia="Times New Roman"/>
        </w:rPr>
      </w:pPr>
      <w:r w:rsidRPr="00E30920">
        <w:rPr>
          <w:rFonts w:eastAsia="Times New Roman"/>
          <w:color w:val="FF0000"/>
        </w:rPr>
        <w:t xml:space="preserve">CKD has a great influence on patients affecting their social life such as employment, relationships, and daily life. The disease can impair the work capacity of the person or make him or her quit his job resulting in financial pressure because of rehabilitation expenses, drugs, </w:t>
      </w:r>
      <w:r w:rsidRPr="00E30920">
        <w:rPr>
          <w:rFonts w:eastAsia="Times New Roman"/>
          <w:color w:val="FF0000"/>
        </w:rPr>
        <w:lastRenderedPageBreak/>
        <w:t>transportation, and specialised diets (</w:t>
      </w:r>
      <w:proofErr w:type="spellStart"/>
      <w:r w:rsidRPr="00E30920">
        <w:rPr>
          <w:rFonts w:eastAsia="Times New Roman"/>
          <w:color w:val="FF0000"/>
        </w:rPr>
        <w:t>Powathil</w:t>
      </w:r>
      <w:proofErr w:type="spellEnd"/>
      <w:r w:rsidRPr="00E30920">
        <w:rPr>
          <w:rFonts w:eastAsia="Times New Roman"/>
          <w:color w:val="FF0000"/>
        </w:rPr>
        <w:t xml:space="preserve"> and Kr, 2023). Most employers/management replace phone calls with emails, creating financial and emotional stress for members of the family. The routine schedules of visits to the hospital and other treatments tend to disturb the usual family routine (Jadoul et al., 2024). Further, this chronicity of the illness may have an impact on relationships and the family structure such that there is a measure of caregiver burnout as people simultaneously combine care giving </w:t>
      </w:r>
      <w:r w:rsidRPr="00E30920">
        <w:rPr>
          <w:rFonts w:eastAsia="Times New Roman"/>
        </w:rPr>
        <w:t>duties with their personal and professional responsibilities.</w:t>
      </w:r>
    </w:p>
    <w:p w14:paraId="041E04DE" w14:textId="77777777" w:rsidR="008B4488" w:rsidRPr="00E30920" w:rsidRDefault="00000000">
      <w:pPr>
        <w:pStyle w:val="Heading1"/>
        <w:rPr>
          <w:rFonts w:ascii="Arial" w:hAnsi="Arial" w:cs="Arial"/>
          <w:sz w:val="22"/>
          <w:szCs w:val="22"/>
        </w:rPr>
      </w:pPr>
      <w:bookmarkStart w:id="6" w:name="_Toc224829859"/>
      <w:r w:rsidRPr="00E30920">
        <w:rPr>
          <w:rFonts w:ascii="Arial" w:hAnsi="Arial" w:cs="Arial"/>
          <w:sz w:val="22"/>
          <w:szCs w:val="22"/>
        </w:rPr>
        <w:t>3. Treatment and Management Law in the UK</w:t>
      </w:r>
      <w:bookmarkEnd w:id="6"/>
    </w:p>
    <w:p w14:paraId="0EAD6828" w14:textId="77777777" w:rsidR="008B4488" w:rsidRPr="00E30920" w:rsidRDefault="00000000">
      <w:pPr>
        <w:spacing w:line="360" w:lineRule="auto"/>
        <w:jc w:val="both"/>
        <w:rPr>
          <w:rFonts w:eastAsia="Times New Roman"/>
        </w:rPr>
      </w:pPr>
      <w:r w:rsidRPr="00E30920">
        <w:rPr>
          <w:rFonts w:eastAsia="Times New Roman"/>
        </w:rPr>
        <w:t xml:space="preserve">The management of CKD in the UK aims at preventing the acceleration of disease development and the management of complications. The first-line interventions suggested are the changes in the lifestyles (recommended to be dietary changes, smoking cessation, and the exercise) and changes in the way of living. Therapies involve antihypertensive drugs and glucose reducing ones. Empagliflozin is a SGLT2-inhibitor that has been proved to slow down the progression of CKD and the risk of cardiovascular events (EMPA-Kidney Collaborative Group, 2023). The advanced CKD can necessitate renal replacement therapy such as dialysis or kidney transplants. Another diagnostic method is the conservative kidney management of patients who cannot undergo dialysis, </w:t>
      </w:r>
      <w:r w:rsidRPr="00E30920">
        <w:rPr>
          <w:rFonts w:eastAsia="Times New Roman"/>
        </w:rPr>
        <w:t xml:space="preserve">which entails symptom control and quality of life (Chawla </w:t>
      </w:r>
      <w:r w:rsidRPr="00E30920">
        <w:rPr>
          <w:rFonts w:eastAsia="Times New Roman"/>
          <w:i/>
          <w:iCs/>
        </w:rPr>
        <w:t>et al.</w:t>
      </w:r>
      <w:r w:rsidRPr="00E30920">
        <w:rPr>
          <w:rFonts w:eastAsia="Times New Roman"/>
        </w:rPr>
        <w:t xml:space="preserve"> 2025).</w:t>
      </w:r>
    </w:p>
    <w:p w14:paraId="2D818027" w14:textId="77777777" w:rsidR="008B4488" w:rsidRPr="00E30920" w:rsidRDefault="00000000">
      <w:pPr>
        <w:spacing w:line="360" w:lineRule="auto"/>
        <w:jc w:val="center"/>
        <w:rPr>
          <w:rFonts w:eastAsia="Times New Roman"/>
        </w:rPr>
      </w:pPr>
      <w:r w:rsidRPr="00E30920">
        <w:rPr>
          <w:rFonts w:eastAsia="Times New Roman"/>
          <w:noProof/>
        </w:rPr>
        <w:drawing>
          <wp:inline distT="114300" distB="114300" distL="114300" distR="114300" wp14:anchorId="3503DA4A" wp14:editId="0C1A2ED9">
            <wp:extent cx="2605258" cy="2063603"/>
            <wp:effectExtent l="38100" t="38100" r="43180" b="32385"/>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622496" cy="2077257"/>
                    </a:xfrm>
                    <a:prstGeom prst="rect">
                      <a:avLst/>
                    </a:prstGeom>
                    <a:ln w="25400">
                      <a:solidFill>
                        <a:srgbClr val="000000"/>
                      </a:solidFill>
                      <a:prstDash val="solid"/>
                    </a:ln>
                  </pic:spPr>
                </pic:pic>
              </a:graphicData>
            </a:graphic>
          </wp:inline>
        </w:drawing>
      </w:r>
    </w:p>
    <w:p w14:paraId="5C1E25CB" w14:textId="77777777" w:rsidR="008B4488" w:rsidRPr="00E30920" w:rsidRDefault="00000000">
      <w:pPr>
        <w:spacing w:line="360" w:lineRule="auto"/>
        <w:jc w:val="center"/>
        <w:rPr>
          <w:rFonts w:eastAsia="Times New Roman"/>
          <w:b/>
          <w:bCs/>
        </w:rPr>
      </w:pPr>
      <w:r w:rsidRPr="00E30920">
        <w:rPr>
          <w:rFonts w:eastAsia="Times New Roman"/>
          <w:b/>
          <w:bCs/>
        </w:rPr>
        <w:t>Figure 2: Care of adults with CKD</w:t>
      </w:r>
    </w:p>
    <w:p w14:paraId="0B9CBD7B" w14:textId="77777777" w:rsidR="008B4488" w:rsidRPr="00E30920" w:rsidRDefault="00000000">
      <w:pPr>
        <w:spacing w:line="360" w:lineRule="auto"/>
        <w:jc w:val="center"/>
        <w:rPr>
          <w:rFonts w:eastAsia="Times New Roman"/>
        </w:rPr>
      </w:pPr>
      <w:r w:rsidRPr="00E30920">
        <w:rPr>
          <w:rFonts w:eastAsia="Times New Roman"/>
        </w:rPr>
        <w:t xml:space="preserve">(Source: Shrestha </w:t>
      </w:r>
      <w:r w:rsidRPr="00E30920">
        <w:rPr>
          <w:rFonts w:eastAsia="Times New Roman"/>
          <w:i/>
          <w:iCs/>
        </w:rPr>
        <w:t xml:space="preserve">et al. </w:t>
      </w:r>
      <w:r w:rsidRPr="00E30920">
        <w:rPr>
          <w:rFonts w:eastAsia="Times New Roman"/>
        </w:rPr>
        <w:t>2024)</w:t>
      </w:r>
    </w:p>
    <w:p w14:paraId="171DDE45" w14:textId="77777777" w:rsidR="008B4488" w:rsidRPr="00E30920" w:rsidRDefault="00000000">
      <w:pPr>
        <w:spacing w:line="360" w:lineRule="auto"/>
        <w:jc w:val="both"/>
        <w:rPr>
          <w:rFonts w:eastAsia="Times New Roman"/>
        </w:rPr>
      </w:pPr>
      <w:r w:rsidRPr="00E30920">
        <w:rPr>
          <w:rFonts w:eastAsia="Times New Roman"/>
        </w:rPr>
        <w:t xml:space="preserve">Chronic kidney disease management within the United Kingdom works within a legal and regulatory framework, which is aimed at the achievement of safety, effectiveness, and equity in healthcare provision (Johnston-Webber </w:t>
      </w:r>
      <w:r w:rsidRPr="00E30920">
        <w:rPr>
          <w:rFonts w:eastAsia="Times New Roman"/>
          <w:i/>
          <w:iCs/>
        </w:rPr>
        <w:t xml:space="preserve">et al. </w:t>
      </w:r>
      <w:r w:rsidRPr="00E30920">
        <w:rPr>
          <w:rFonts w:eastAsia="Times New Roman"/>
        </w:rPr>
        <w:t>2025). The healthcare providers should adhere to the national standards of healthcare that will encourage the timely detection, proper treatment, and constant observation of persons with long-term health conditions. These legal systems help in upholding the rights of patients to high-quality care besides holding healthcare professionals responsible for clinical practice.</w:t>
      </w:r>
    </w:p>
    <w:p w14:paraId="6FE4B496" w14:textId="77777777" w:rsidR="008B4488" w:rsidRPr="00E30920" w:rsidRDefault="00000000">
      <w:pPr>
        <w:pStyle w:val="Heading1"/>
        <w:rPr>
          <w:rFonts w:ascii="Arial" w:hAnsi="Arial" w:cs="Arial"/>
          <w:sz w:val="22"/>
          <w:szCs w:val="22"/>
        </w:rPr>
      </w:pPr>
      <w:bookmarkStart w:id="7" w:name="_Toc224829860"/>
      <w:r w:rsidRPr="00E30920">
        <w:rPr>
          <w:rFonts w:ascii="Arial" w:hAnsi="Arial" w:cs="Arial"/>
          <w:sz w:val="22"/>
          <w:szCs w:val="22"/>
        </w:rPr>
        <w:t>4. Models (International)</w:t>
      </w:r>
      <w:bookmarkEnd w:id="7"/>
    </w:p>
    <w:p w14:paraId="617DCCFF" w14:textId="4C5158E8" w:rsidR="00706A3F" w:rsidRPr="00E30920" w:rsidRDefault="00000000">
      <w:pPr>
        <w:spacing w:line="360" w:lineRule="auto"/>
        <w:jc w:val="both"/>
        <w:rPr>
          <w:rFonts w:eastAsia="Times New Roman"/>
          <w:color w:val="EE0000"/>
        </w:rPr>
      </w:pPr>
      <w:r w:rsidRPr="00E30920">
        <w:rPr>
          <w:rFonts w:eastAsia="Times New Roman"/>
          <w:color w:val="EE0000"/>
        </w:rPr>
        <w:t xml:space="preserve">The </w:t>
      </w:r>
      <w:r w:rsidRPr="00E30920">
        <w:rPr>
          <w:rFonts w:eastAsia="Times New Roman"/>
          <w:b/>
          <w:bCs/>
          <w:i/>
          <w:iCs/>
          <w:color w:val="EE0000"/>
        </w:rPr>
        <w:t>Chronic Care Model</w:t>
      </w:r>
      <w:r w:rsidR="00706A3F" w:rsidRPr="00E30920">
        <w:rPr>
          <w:rFonts w:eastAsia="Times New Roman"/>
          <w:b/>
          <w:bCs/>
          <w:i/>
          <w:iCs/>
          <w:color w:val="EE0000"/>
        </w:rPr>
        <w:t xml:space="preserve"> (International Model)</w:t>
      </w:r>
      <w:r w:rsidRPr="00E30920">
        <w:rPr>
          <w:rFonts w:eastAsia="Times New Roman"/>
          <w:color w:val="EE0000"/>
        </w:rPr>
        <w:t xml:space="preserve"> offers a viable model of chronic sickness management like </w:t>
      </w:r>
      <w:r w:rsidR="00706A3F" w:rsidRPr="00E30920">
        <w:rPr>
          <w:rFonts w:eastAsia="Times New Roman"/>
          <w:color w:val="EE0000"/>
        </w:rPr>
        <w:t>chronic kidney disease</w:t>
      </w:r>
      <w:r w:rsidRPr="00E30920">
        <w:rPr>
          <w:rFonts w:eastAsia="Times New Roman"/>
          <w:color w:val="EE0000"/>
        </w:rPr>
        <w:t xml:space="preserve"> because it focuses on patient-centred, unremitting, and coordinated care instead of symptomatic management on a short-term basis (</w:t>
      </w:r>
      <w:proofErr w:type="spellStart"/>
      <w:r w:rsidRPr="00E30920">
        <w:rPr>
          <w:rFonts w:eastAsia="Times New Roman"/>
          <w:color w:val="EE0000"/>
        </w:rPr>
        <w:t>Pomey</w:t>
      </w:r>
      <w:proofErr w:type="spellEnd"/>
      <w:r w:rsidRPr="00E30920">
        <w:rPr>
          <w:rFonts w:eastAsia="Times New Roman"/>
          <w:color w:val="EE0000"/>
        </w:rPr>
        <w:t xml:space="preserve"> </w:t>
      </w:r>
      <w:r w:rsidRPr="00E30920">
        <w:rPr>
          <w:rFonts w:eastAsia="Times New Roman"/>
          <w:i/>
          <w:iCs/>
          <w:color w:val="EE0000"/>
        </w:rPr>
        <w:t xml:space="preserve">et al. </w:t>
      </w:r>
      <w:r w:rsidRPr="00E30920">
        <w:rPr>
          <w:rFonts w:eastAsia="Times New Roman"/>
          <w:color w:val="EE0000"/>
        </w:rPr>
        <w:t xml:space="preserve">2024). This </w:t>
      </w:r>
      <w:r w:rsidRPr="00E30920">
        <w:rPr>
          <w:rFonts w:eastAsia="Times New Roman"/>
          <w:color w:val="EE0000"/>
        </w:rPr>
        <w:lastRenderedPageBreak/>
        <w:t xml:space="preserve">model emphasises the need to prepare healthcare proactively, diagnose it in its early stages, and monitor its development to slow the disease and improve patient outcomes. The model is applicable in CKD management whereby the multidisciplinary healthcare team is represented by nephrologists, nurses, dietitians and primary care physicians to meet the multifaceted needs of patients. It also encourages self-management among patients through education of people on change of lifestyle, observing medication and dietary limitations needed to ensure kidney fitness. </w:t>
      </w:r>
      <w:r w:rsidR="00706A3F" w:rsidRPr="00E30920">
        <w:rPr>
          <w:rFonts w:eastAsia="Times New Roman"/>
          <w:color w:val="EE0000"/>
        </w:rPr>
        <w:t xml:space="preserve">The </w:t>
      </w:r>
      <w:r w:rsidR="00706A3F" w:rsidRPr="00E30920">
        <w:rPr>
          <w:rFonts w:eastAsia="Times New Roman"/>
          <w:b/>
          <w:bCs/>
          <w:i/>
          <w:iCs/>
          <w:color w:val="EE0000"/>
        </w:rPr>
        <w:t>NHS Long Term Plan (UK Model)</w:t>
      </w:r>
      <w:r w:rsidR="00706A3F" w:rsidRPr="00E30920">
        <w:rPr>
          <w:rFonts w:eastAsia="Times New Roman"/>
          <w:color w:val="EE0000"/>
        </w:rPr>
        <w:t xml:space="preserve"> aids the management of CKD, with the help of early detection, integrated care and multidisciplinary team. It also encourages prevention, frequent check-ups, and education of patients to minimise complications and efficiency in the long-term outcomes in both the primary and secondary care environments.</w:t>
      </w:r>
    </w:p>
    <w:p w14:paraId="33F0CF2F" w14:textId="0EC61E1C" w:rsidR="008B4488" w:rsidRPr="00E30920" w:rsidRDefault="00000000">
      <w:pPr>
        <w:spacing w:line="360" w:lineRule="auto"/>
        <w:jc w:val="both"/>
        <w:rPr>
          <w:rFonts w:eastAsia="Times New Roman"/>
        </w:rPr>
      </w:pPr>
      <w:r w:rsidRPr="00E30920">
        <w:rPr>
          <w:rFonts w:eastAsia="Times New Roman"/>
        </w:rPr>
        <w:t>Besides, the Chronic Care Model facilitates the employment of healthcare systems and community resources to facilitate consistent follow-ups and long-term support. This model allows enhancing the quality of life, preventing complications related to CKD, through the integrated consideration of coordinated care, patient education, and periodic monitoring.</w:t>
      </w:r>
    </w:p>
    <w:p w14:paraId="38491F1B" w14:textId="77777777" w:rsidR="008B4488" w:rsidRPr="00E30920" w:rsidRDefault="00000000">
      <w:pPr>
        <w:spacing w:line="360" w:lineRule="auto"/>
        <w:jc w:val="center"/>
        <w:rPr>
          <w:rFonts w:eastAsia="Times New Roman"/>
          <w:color w:val="FF0000"/>
        </w:rPr>
      </w:pPr>
      <w:r w:rsidRPr="00E30920">
        <w:rPr>
          <w:rFonts w:eastAsia="Times New Roman"/>
          <w:noProof/>
          <w:color w:val="FF0000"/>
        </w:rPr>
        <w:drawing>
          <wp:inline distT="114300" distB="114300" distL="114300" distR="114300" wp14:anchorId="1C481DD7" wp14:editId="1141625B">
            <wp:extent cx="2543175" cy="1994682"/>
            <wp:effectExtent l="38100" t="38100" r="28575" b="43815"/>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561832" cy="2009315"/>
                    </a:xfrm>
                    <a:prstGeom prst="rect">
                      <a:avLst/>
                    </a:prstGeom>
                    <a:ln w="25400">
                      <a:solidFill>
                        <a:srgbClr val="000000"/>
                      </a:solidFill>
                      <a:prstDash val="solid"/>
                    </a:ln>
                  </pic:spPr>
                </pic:pic>
              </a:graphicData>
            </a:graphic>
          </wp:inline>
        </w:drawing>
      </w:r>
    </w:p>
    <w:p w14:paraId="683B3143" w14:textId="77777777" w:rsidR="008B4488" w:rsidRPr="00E30920" w:rsidRDefault="00000000">
      <w:pPr>
        <w:spacing w:line="360" w:lineRule="auto"/>
        <w:jc w:val="center"/>
        <w:rPr>
          <w:rFonts w:eastAsia="Times New Roman"/>
          <w:b/>
          <w:bCs/>
          <w:color w:val="FF0000"/>
        </w:rPr>
      </w:pPr>
      <w:r w:rsidRPr="00E30920">
        <w:rPr>
          <w:rFonts w:eastAsia="Times New Roman"/>
          <w:b/>
          <w:bCs/>
          <w:color w:val="FF0000"/>
        </w:rPr>
        <w:t>Figure 2: Chronic Care Model</w:t>
      </w:r>
    </w:p>
    <w:p w14:paraId="41DDCB1B" w14:textId="77777777" w:rsidR="008B4488" w:rsidRPr="00E30920" w:rsidRDefault="00000000">
      <w:pPr>
        <w:spacing w:line="360" w:lineRule="auto"/>
        <w:jc w:val="center"/>
        <w:rPr>
          <w:rFonts w:eastAsia="Times New Roman"/>
          <w:color w:val="FF0000"/>
        </w:rPr>
      </w:pPr>
      <w:r w:rsidRPr="00E30920">
        <w:rPr>
          <w:rFonts w:eastAsia="Times New Roman"/>
          <w:color w:val="FF0000"/>
        </w:rPr>
        <w:t xml:space="preserve">(Source: </w:t>
      </w:r>
      <w:proofErr w:type="spellStart"/>
      <w:r w:rsidRPr="00E30920">
        <w:rPr>
          <w:rFonts w:eastAsia="Times New Roman"/>
          <w:color w:val="FF0000"/>
        </w:rPr>
        <w:t>Pomey</w:t>
      </w:r>
      <w:proofErr w:type="spellEnd"/>
      <w:r w:rsidRPr="00E30920">
        <w:rPr>
          <w:rFonts w:eastAsia="Times New Roman"/>
          <w:color w:val="FF0000"/>
        </w:rPr>
        <w:t xml:space="preserve"> </w:t>
      </w:r>
      <w:r w:rsidRPr="00E30920">
        <w:rPr>
          <w:rFonts w:eastAsia="Times New Roman"/>
          <w:i/>
          <w:iCs/>
          <w:color w:val="FF0000"/>
        </w:rPr>
        <w:t xml:space="preserve">et al. </w:t>
      </w:r>
      <w:r w:rsidRPr="00E30920">
        <w:rPr>
          <w:rFonts w:eastAsia="Times New Roman"/>
          <w:color w:val="FF0000"/>
        </w:rPr>
        <w:t>2024)</w:t>
      </w:r>
    </w:p>
    <w:p w14:paraId="74C596A2" w14:textId="77777777" w:rsidR="008B4488" w:rsidRPr="00E30920" w:rsidRDefault="00000000">
      <w:pPr>
        <w:spacing w:line="360" w:lineRule="auto"/>
        <w:jc w:val="both"/>
        <w:rPr>
          <w:rFonts w:eastAsia="Times New Roman"/>
        </w:rPr>
      </w:pPr>
      <w:r w:rsidRPr="00E30920">
        <w:rPr>
          <w:rFonts w:eastAsia="Times New Roman"/>
        </w:rPr>
        <w:t>The biopsychosocial approach is another perspective that is pertinent to the case of CKD since the condition is identified as chronic, and is caused by a complex of biological, psychological and social factors (</w:t>
      </w:r>
      <w:proofErr w:type="spellStart"/>
      <w:r w:rsidRPr="00E30920">
        <w:rPr>
          <w:rFonts w:eastAsia="Times New Roman"/>
        </w:rPr>
        <w:t>Musthofa</w:t>
      </w:r>
      <w:proofErr w:type="spellEnd"/>
      <w:r w:rsidRPr="00E30920">
        <w:rPr>
          <w:rFonts w:eastAsia="Times New Roman"/>
        </w:rPr>
        <w:t>, 2024). This model has it that effective management of any disease cannot only be realised through medical help, but also psychological support and social help that should address the wider effect of the ailment on the lives of patients.</w:t>
      </w:r>
    </w:p>
    <w:p w14:paraId="5B30BE29" w14:textId="77777777" w:rsidR="008B4488" w:rsidRPr="00E30920" w:rsidRDefault="00000000">
      <w:pPr>
        <w:spacing w:line="360" w:lineRule="auto"/>
        <w:jc w:val="center"/>
        <w:rPr>
          <w:rFonts w:eastAsia="Times New Roman"/>
        </w:rPr>
      </w:pPr>
      <w:r w:rsidRPr="00E30920">
        <w:rPr>
          <w:rFonts w:eastAsia="Times New Roman"/>
          <w:noProof/>
        </w:rPr>
        <w:drawing>
          <wp:inline distT="114300" distB="114300" distL="114300" distR="114300" wp14:anchorId="3E85D9F3" wp14:editId="3E8FC13C">
            <wp:extent cx="2577880" cy="1924343"/>
            <wp:effectExtent l="38100" t="38100" r="32385" b="381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b="9289"/>
                    <a:stretch>
                      <a:fillRect/>
                    </a:stretch>
                  </pic:blipFill>
                  <pic:spPr>
                    <a:xfrm>
                      <a:off x="0" y="0"/>
                      <a:ext cx="2595250" cy="1937309"/>
                    </a:xfrm>
                    <a:prstGeom prst="rect">
                      <a:avLst/>
                    </a:prstGeom>
                    <a:ln w="25400">
                      <a:solidFill>
                        <a:srgbClr val="000000"/>
                      </a:solidFill>
                      <a:prstDash val="solid"/>
                    </a:ln>
                  </pic:spPr>
                </pic:pic>
              </a:graphicData>
            </a:graphic>
          </wp:inline>
        </w:drawing>
      </w:r>
    </w:p>
    <w:p w14:paraId="77FC07BA" w14:textId="77777777" w:rsidR="008B4488" w:rsidRPr="00E30920" w:rsidRDefault="00000000">
      <w:pPr>
        <w:spacing w:line="360" w:lineRule="auto"/>
        <w:jc w:val="center"/>
        <w:rPr>
          <w:rFonts w:eastAsia="Times New Roman"/>
          <w:b/>
          <w:bCs/>
        </w:rPr>
      </w:pPr>
      <w:r w:rsidRPr="00E30920">
        <w:rPr>
          <w:rFonts w:eastAsia="Times New Roman"/>
          <w:b/>
          <w:bCs/>
        </w:rPr>
        <w:t>Figure 3: BPS</w:t>
      </w:r>
    </w:p>
    <w:p w14:paraId="1AC16CCC" w14:textId="77777777" w:rsidR="008B4488" w:rsidRPr="00E30920" w:rsidRDefault="00000000">
      <w:pPr>
        <w:spacing w:line="360" w:lineRule="auto"/>
        <w:jc w:val="center"/>
        <w:rPr>
          <w:rFonts w:eastAsia="Times New Roman"/>
        </w:rPr>
      </w:pPr>
      <w:r w:rsidRPr="00E30920">
        <w:rPr>
          <w:rFonts w:eastAsia="Times New Roman"/>
        </w:rPr>
        <w:t>(Source: Megan, 2021)</w:t>
      </w:r>
    </w:p>
    <w:p w14:paraId="09779C43" w14:textId="77777777" w:rsidR="008B4488" w:rsidRPr="00E30920" w:rsidRDefault="00000000">
      <w:pPr>
        <w:spacing w:line="360" w:lineRule="auto"/>
        <w:jc w:val="both"/>
        <w:rPr>
          <w:rFonts w:eastAsia="Times New Roman"/>
        </w:rPr>
      </w:pPr>
      <w:r w:rsidRPr="00E30920">
        <w:rPr>
          <w:rFonts w:eastAsia="Times New Roman"/>
        </w:rPr>
        <w:t xml:space="preserve">Behavioural change theories play an important role as well in motivating patients to change their lifestyles to healthier ones and stay on top of treatment. Education, </w:t>
      </w:r>
      <w:r w:rsidRPr="00E30920">
        <w:rPr>
          <w:rFonts w:eastAsia="Times New Roman"/>
        </w:rPr>
        <w:lastRenderedPageBreak/>
        <w:t>encouragement and continued support enables the patients to acquire the knowledge and confidence they need to cope with their condition. These theoretical viewpoints are the ones which substantiate the holistic and patient-centred approach to long-term disease management.</w:t>
      </w:r>
    </w:p>
    <w:p w14:paraId="4CB27B20" w14:textId="77777777" w:rsidR="008B4488" w:rsidRPr="00E30920" w:rsidRDefault="00000000">
      <w:pPr>
        <w:pStyle w:val="Heading1"/>
        <w:rPr>
          <w:rFonts w:ascii="Arial" w:hAnsi="Arial" w:cs="Arial"/>
          <w:sz w:val="22"/>
          <w:szCs w:val="22"/>
        </w:rPr>
      </w:pPr>
      <w:bookmarkStart w:id="8" w:name="_Toc224829861"/>
      <w:r w:rsidRPr="00E30920">
        <w:rPr>
          <w:rFonts w:ascii="Arial" w:hAnsi="Arial" w:cs="Arial"/>
          <w:sz w:val="22"/>
          <w:szCs w:val="22"/>
        </w:rPr>
        <w:t>5. Policies and Guidelines</w:t>
      </w:r>
      <w:bookmarkEnd w:id="8"/>
    </w:p>
    <w:p w14:paraId="762A4AB8" w14:textId="77777777" w:rsidR="008B4488" w:rsidRPr="00E30920" w:rsidRDefault="00000000">
      <w:pPr>
        <w:spacing w:line="360" w:lineRule="auto"/>
        <w:jc w:val="both"/>
        <w:rPr>
          <w:rFonts w:eastAsia="Times New Roman"/>
        </w:rPr>
      </w:pPr>
      <w:r w:rsidRPr="00E30920">
        <w:rPr>
          <w:rFonts w:eastAsia="Times New Roman"/>
        </w:rPr>
        <w:t>The management of CKD is sustained by both national and international health policies focusing on enhancement of early treatment and detection. International policies focus on the screening of groups at the risky level and access to treatment (Francis et al., 2024).</w:t>
      </w:r>
    </w:p>
    <w:p w14:paraId="4F817BB7" w14:textId="77777777" w:rsidR="008B4488" w:rsidRPr="00E30920" w:rsidRDefault="00000000">
      <w:pPr>
        <w:spacing w:line="360" w:lineRule="auto"/>
        <w:jc w:val="both"/>
        <w:rPr>
          <w:rFonts w:eastAsia="Times New Roman"/>
        </w:rPr>
      </w:pPr>
      <w:r w:rsidRPr="00E30920">
        <w:rPr>
          <w:rFonts w:eastAsia="Times New Roman"/>
        </w:rPr>
        <w:t>Health policies are also aimed at the reduction of inequalities in CKD care and the enhancement of access to the dialysis and transplantation services. The national kidney health programmes strive to enhance the healthcare systems and the patient outcomes (</w:t>
      </w:r>
      <w:proofErr w:type="spellStart"/>
      <w:r w:rsidRPr="00E30920">
        <w:rPr>
          <w:rFonts w:eastAsia="Times New Roman"/>
        </w:rPr>
        <w:t>Neuen</w:t>
      </w:r>
      <w:proofErr w:type="spellEnd"/>
      <w:r w:rsidRPr="00E30920">
        <w:rPr>
          <w:rFonts w:eastAsia="Times New Roman"/>
        </w:rPr>
        <w:t xml:space="preserve"> et al., 2023). Clinical guidelines and healthcare policies are crucial in the process of guaranteeing steady and quality management of chronic kidney disease within healthcare systems. The policies will help to offer early diagnosis, effective management and long-term follow-up to the kidney disease patients. They give healthcare providers systematic advice regarding how to diagnose CKD, how to screen the development of the disease, and how to control the complications related to the impaired kidney functioning.</w:t>
      </w:r>
    </w:p>
    <w:p w14:paraId="3573F386" w14:textId="77777777" w:rsidR="008B4488" w:rsidRPr="00E30920" w:rsidRDefault="00000000">
      <w:pPr>
        <w:spacing w:line="360" w:lineRule="auto"/>
        <w:jc w:val="both"/>
        <w:rPr>
          <w:rFonts w:eastAsia="Times New Roman"/>
        </w:rPr>
      </w:pPr>
      <w:r w:rsidRPr="00E30920">
        <w:rPr>
          <w:rFonts w:eastAsia="Times New Roman"/>
        </w:rPr>
        <w:t xml:space="preserve">The target in national healthcare strategies usually touches on detection of patients, </w:t>
      </w:r>
      <w:r w:rsidRPr="00E30920">
        <w:rPr>
          <w:rFonts w:eastAsia="Times New Roman"/>
        </w:rPr>
        <w:t xml:space="preserve">who have high risks of contracting kidney disease (Stewart </w:t>
      </w:r>
      <w:r w:rsidRPr="00E30920">
        <w:rPr>
          <w:rFonts w:eastAsia="Times New Roman"/>
          <w:i/>
          <w:iCs/>
        </w:rPr>
        <w:t xml:space="preserve">et al. </w:t>
      </w:r>
      <w:r w:rsidRPr="00E30920">
        <w:rPr>
          <w:rFonts w:eastAsia="Times New Roman"/>
        </w:rPr>
        <w:t>2024). The screening programmes on individuals with cases like diabetes and hypertension are promoted so that the kidney issues are identified at an early stage. With early intervention, the disease may be greatly mitigated and be able to achieve better health outcomes in the long-run.</w:t>
      </w:r>
    </w:p>
    <w:p w14:paraId="3C521F91" w14:textId="77777777" w:rsidR="008B4488" w:rsidRPr="00E30920" w:rsidRDefault="00000000">
      <w:pPr>
        <w:spacing w:line="360" w:lineRule="auto"/>
        <w:jc w:val="both"/>
        <w:rPr>
          <w:rFonts w:eastAsia="Times New Roman"/>
        </w:rPr>
      </w:pPr>
      <w:r w:rsidRPr="00E30920">
        <w:rPr>
          <w:rFonts w:eastAsia="Times New Roman"/>
        </w:rPr>
        <w:t>There are other integrated policies such as the integration of care systems that connect the hospital services with that of the primary care providers and community support organisations. This is a synchronised strategy to help the patients get continuous care in the various healthcare environments. Principles promote employing the multidisciplinary teams to meet the medical, psychological, and social concerns of people with CKD.</w:t>
      </w:r>
    </w:p>
    <w:p w14:paraId="3591C6E2" w14:textId="77777777" w:rsidR="008B4488" w:rsidRPr="00E30920" w:rsidRDefault="00000000">
      <w:pPr>
        <w:pStyle w:val="Heading1"/>
        <w:rPr>
          <w:rFonts w:ascii="Arial" w:hAnsi="Arial" w:cs="Arial"/>
          <w:sz w:val="22"/>
          <w:szCs w:val="22"/>
        </w:rPr>
      </w:pPr>
      <w:bookmarkStart w:id="9" w:name="_Toc224829862"/>
      <w:r w:rsidRPr="00E30920">
        <w:rPr>
          <w:rFonts w:ascii="Arial" w:hAnsi="Arial" w:cs="Arial"/>
          <w:sz w:val="22"/>
          <w:szCs w:val="22"/>
        </w:rPr>
        <w:t>6. Recommendations</w:t>
      </w:r>
      <w:bookmarkEnd w:id="9"/>
    </w:p>
    <w:p w14:paraId="34879156" w14:textId="77777777" w:rsidR="008B4488" w:rsidRPr="00E30920" w:rsidRDefault="00000000">
      <w:pPr>
        <w:spacing w:line="360" w:lineRule="auto"/>
        <w:jc w:val="both"/>
        <w:rPr>
          <w:rFonts w:eastAsia="Times New Roman"/>
        </w:rPr>
      </w:pPr>
      <w:r w:rsidRPr="00E30920">
        <w:rPr>
          <w:rFonts w:eastAsia="Times New Roman"/>
        </w:rPr>
        <w:t>To ameliorate the disease progression, there is the need to improve the early detection of CKD by way of screening programmes. Self-management and adherence to treatment can be improved with additional education and support that a patient receives. Medical systems ought to advocate interdisciplinary care and the accessibility of medical care. Health inequalities also should be addressed by policies and equitable access to CKD care should be guaranteed (</w:t>
      </w:r>
      <w:proofErr w:type="spellStart"/>
      <w:r w:rsidRPr="00E30920">
        <w:rPr>
          <w:rFonts w:eastAsia="Times New Roman"/>
        </w:rPr>
        <w:t>Neuen</w:t>
      </w:r>
      <w:proofErr w:type="spellEnd"/>
      <w:r w:rsidRPr="00E30920">
        <w:rPr>
          <w:rFonts w:eastAsia="Times New Roman"/>
        </w:rPr>
        <w:t xml:space="preserve"> </w:t>
      </w:r>
      <w:r w:rsidRPr="00E30920">
        <w:rPr>
          <w:rFonts w:eastAsia="Times New Roman"/>
          <w:i/>
          <w:iCs/>
        </w:rPr>
        <w:t>et al.</w:t>
      </w:r>
      <w:r w:rsidRPr="00E30920">
        <w:rPr>
          <w:rFonts w:eastAsia="Times New Roman"/>
        </w:rPr>
        <w:t xml:space="preserve"> 2023).</w:t>
      </w:r>
    </w:p>
    <w:p w14:paraId="4FDF63C9" w14:textId="77777777" w:rsidR="008B4488" w:rsidRPr="00E30920" w:rsidRDefault="00000000">
      <w:pPr>
        <w:spacing w:line="360" w:lineRule="auto"/>
        <w:jc w:val="both"/>
        <w:rPr>
          <w:rFonts w:eastAsia="Times New Roman"/>
        </w:rPr>
      </w:pPr>
      <w:r w:rsidRPr="00E30920">
        <w:rPr>
          <w:rFonts w:eastAsia="Times New Roman"/>
        </w:rPr>
        <w:t xml:space="preserve">In order to manage chronic kidney disease, it is necessary to pay more attention to managing prevention, early diagnosis, and coordinating healthcare services. The </w:t>
      </w:r>
      <w:r w:rsidRPr="00E30920">
        <w:rPr>
          <w:rFonts w:eastAsia="Times New Roman"/>
        </w:rPr>
        <w:lastRenderedPageBreak/>
        <w:t>awareness of kidney health needs to be promoted by the public health initiatives and the people who are at high risk need to be encouraged to take the health screenings, especially on the cases that have a known predisposing factor (Tannor and Calice-Silva, 2022). The healthcare systems are supposed to enhance multidisciplinary collaboration so that the patient acquires all-encompassing care that is based not only on medical care but also on social care. Enhancing patient education can be achieved through more patient education programmes which will lead to enabling patients to take part in their conditions management as well as ensuring healthy lifestyles. Also, healthcare policies are still required to concentrate in order to decrease inequalities in access to treatment and provide all patients with timely and effective care of their kidneys.</w:t>
      </w:r>
    </w:p>
    <w:p w14:paraId="4804042A" w14:textId="77777777" w:rsidR="008B4488" w:rsidRPr="00E30920" w:rsidRDefault="00000000">
      <w:pPr>
        <w:pStyle w:val="Heading2"/>
        <w:rPr>
          <w:rFonts w:ascii="Arial" w:hAnsi="Arial" w:cs="Arial"/>
          <w:sz w:val="22"/>
          <w:szCs w:val="22"/>
        </w:rPr>
      </w:pPr>
      <w:bookmarkStart w:id="10" w:name="_Toc224829863"/>
      <w:r w:rsidRPr="00E30920">
        <w:rPr>
          <w:rFonts w:ascii="Arial" w:hAnsi="Arial" w:cs="Arial"/>
          <w:sz w:val="22"/>
          <w:szCs w:val="22"/>
        </w:rPr>
        <w:t>6.1 Person-Centred Care</w:t>
      </w:r>
      <w:bookmarkEnd w:id="10"/>
    </w:p>
    <w:p w14:paraId="5D20998C" w14:textId="77777777" w:rsidR="008B4488" w:rsidRPr="00E30920" w:rsidRDefault="00000000">
      <w:pPr>
        <w:spacing w:line="360" w:lineRule="auto"/>
        <w:jc w:val="both"/>
        <w:rPr>
          <w:rFonts w:eastAsia="Times New Roman"/>
        </w:rPr>
      </w:pPr>
      <w:r w:rsidRPr="00E30920">
        <w:rPr>
          <w:rFonts w:eastAsia="Times New Roman"/>
        </w:rPr>
        <w:t xml:space="preserve">The person-centred approach is necessary when managing CKD because the patients need long-term care and lifestyle modification. This is a practice that entails the use of shared decision-making and individualised treatment involving preferences and needs of the patients. Person-centred care can enhance compliance with treatment and patient satisfaction in addition to promoting improved health outcomes (Borg </w:t>
      </w:r>
      <w:r w:rsidRPr="00E30920">
        <w:rPr>
          <w:rFonts w:eastAsia="Times New Roman"/>
          <w:i/>
          <w:iCs/>
        </w:rPr>
        <w:t>et al.</w:t>
      </w:r>
      <w:r w:rsidRPr="00E30920">
        <w:rPr>
          <w:rFonts w:eastAsia="Times New Roman"/>
        </w:rPr>
        <w:t xml:space="preserve"> 2023).</w:t>
      </w:r>
    </w:p>
    <w:p w14:paraId="46AF64FA" w14:textId="77777777" w:rsidR="008B4488" w:rsidRPr="00E30920" w:rsidRDefault="00000000">
      <w:pPr>
        <w:pStyle w:val="Heading2"/>
        <w:rPr>
          <w:rFonts w:ascii="Arial" w:hAnsi="Arial" w:cs="Arial"/>
          <w:sz w:val="22"/>
          <w:szCs w:val="22"/>
        </w:rPr>
      </w:pPr>
      <w:bookmarkStart w:id="11" w:name="_Toc224829864"/>
      <w:r w:rsidRPr="00E30920">
        <w:rPr>
          <w:rFonts w:ascii="Arial" w:hAnsi="Arial" w:cs="Arial"/>
          <w:sz w:val="22"/>
          <w:szCs w:val="22"/>
        </w:rPr>
        <w:t>6.2 Self-Management</w:t>
      </w:r>
      <w:bookmarkEnd w:id="11"/>
    </w:p>
    <w:tbl>
      <w:tblPr>
        <w:tblStyle w:val="a"/>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4144"/>
      </w:tblGrid>
      <w:tr w:rsidR="008B4488" w:rsidRPr="00E30920" w14:paraId="0ED0A24F" w14:textId="77777777" w:rsidTr="003679E4">
        <w:tc>
          <w:tcPr>
            <w:tcW w:w="5000" w:type="pct"/>
          </w:tcPr>
          <w:p w14:paraId="51C1B1D9" w14:textId="77777777" w:rsidR="008B4488" w:rsidRPr="00E30920" w:rsidRDefault="00000000">
            <w:pPr>
              <w:spacing w:line="360" w:lineRule="auto"/>
              <w:jc w:val="both"/>
            </w:pPr>
            <w:r w:rsidRPr="00E30920">
              <w:rPr>
                <w:rFonts w:eastAsia="Times New Roman"/>
              </w:rPr>
              <w:t xml:space="preserve">Self-management and CKD are essential in CKD care. </w:t>
            </w:r>
          </w:p>
        </w:tc>
      </w:tr>
      <w:tr w:rsidR="008B4488" w:rsidRPr="00E30920" w14:paraId="1F5B9E97" w14:textId="77777777" w:rsidTr="003679E4">
        <w:tc>
          <w:tcPr>
            <w:tcW w:w="5000" w:type="pct"/>
          </w:tcPr>
          <w:p w14:paraId="74EF6752" w14:textId="77777777" w:rsidR="008B4488" w:rsidRPr="00E30920" w:rsidRDefault="00000000">
            <w:pPr>
              <w:spacing w:line="360" w:lineRule="auto"/>
              <w:jc w:val="both"/>
            </w:pPr>
            <w:r w:rsidRPr="00E30920">
              <w:rPr>
                <w:rFonts w:eastAsia="Times New Roman"/>
              </w:rPr>
              <w:t>Patients are advised to check blood pressure, diet and take drugs as they have been given.</w:t>
            </w:r>
          </w:p>
        </w:tc>
      </w:tr>
      <w:tr w:rsidR="008B4488" w:rsidRPr="00E30920" w14:paraId="5CB980FE" w14:textId="77777777" w:rsidTr="003679E4">
        <w:tc>
          <w:tcPr>
            <w:tcW w:w="5000" w:type="pct"/>
          </w:tcPr>
          <w:p w14:paraId="18DFCC9E" w14:textId="77777777" w:rsidR="008B4488" w:rsidRPr="00E30920" w:rsidRDefault="00000000">
            <w:pPr>
              <w:spacing w:line="360" w:lineRule="auto"/>
              <w:jc w:val="both"/>
            </w:pPr>
            <w:r w:rsidRPr="00E30920">
              <w:rPr>
                <w:rFonts w:eastAsia="Times New Roman"/>
              </w:rPr>
              <w:t xml:space="preserve"> Support programmes and education enable the patients to acquire skills of effective management of their condition.</w:t>
            </w:r>
          </w:p>
        </w:tc>
      </w:tr>
      <w:tr w:rsidR="008B4488" w:rsidRPr="00E30920" w14:paraId="50E9B8BC" w14:textId="77777777" w:rsidTr="003679E4">
        <w:tc>
          <w:tcPr>
            <w:tcW w:w="5000" w:type="pct"/>
          </w:tcPr>
          <w:p w14:paraId="539687EF" w14:textId="77777777" w:rsidR="008B4488" w:rsidRPr="00E30920" w:rsidRDefault="00000000">
            <w:pPr>
              <w:spacing w:line="360" w:lineRule="auto"/>
              <w:jc w:val="both"/>
              <w:rPr>
                <w:rFonts w:eastAsia="Times New Roman"/>
              </w:rPr>
            </w:pPr>
            <w:r w:rsidRPr="00E30920">
              <w:rPr>
                <w:rFonts w:eastAsia="Times New Roman"/>
              </w:rPr>
              <w:t xml:space="preserve"> It has been demonstrated that self-management strategies lead to better health outcomes and less hospitalisation (Francis et al., 2024).</w:t>
            </w:r>
          </w:p>
        </w:tc>
      </w:tr>
    </w:tbl>
    <w:p w14:paraId="3160E721" w14:textId="77777777" w:rsidR="008B4488" w:rsidRPr="00E30920" w:rsidRDefault="008B4488"/>
    <w:p w14:paraId="6D8FA6DD" w14:textId="77777777" w:rsidR="008B4488" w:rsidRPr="00E30920" w:rsidRDefault="00000000">
      <w:pPr>
        <w:spacing w:line="360" w:lineRule="auto"/>
        <w:jc w:val="center"/>
        <w:rPr>
          <w:rFonts w:eastAsia="Times New Roman"/>
          <w:b/>
          <w:bCs/>
        </w:rPr>
      </w:pPr>
      <w:r w:rsidRPr="00E30920">
        <w:rPr>
          <w:rFonts w:eastAsia="Times New Roman"/>
          <w:b/>
          <w:bCs/>
        </w:rPr>
        <w:t>Table 1: Self-management steps</w:t>
      </w:r>
    </w:p>
    <w:p w14:paraId="3B01703C" w14:textId="77777777" w:rsidR="008B4488" w:rsidRPr="00E30920" w:rsidRDefault="00000000">
      <w:pPr>
        <w:spacing w:line="360" w:lineRule="auto"/>
        <w:jc w:val="center"/>
        <w:rPr>
          <w:rFonts w:eastAsia="Times New Roman"/>
        </w:rPr>
      </w:pPr>
      <w:r w:rsidRPr="00E30920">
        <w:rPr>
          <w:rFonts w:eastAsia="Times New Roman"/>
        </w:rPr>
        <w:t>(Source: Self developed)</w:t>
      </w:r>
    </w:p>
    <w:p w14:paraId="413B82B1" w14:textId="77777777" w:rsidR="008B4488" w:rsidRPr="00E30920" w:rsidRDefault="00000000">
      <w:pPr>
        <w:pStyle w:val="Heading2"/>
        <w:rPr>
          <w:rFonts w:ascii="Arial" w:hAnsi="Arial" w:cs="Arial"/>
          <w:sz w:val="22"/>
          <w:szCs w:val="22"/>
        </w:rPr>
      </w:pPr>
      <w:bookmarkStart w:id="12" w:name="_Toc224829865"/>
      <w:r w:rsidRPr="00E30920">
        <w:rPr>
          <w:rFonts w:ascii="Arial" w:hAnsi="Arial" w:cs="Arial"/>
          <w:sz w:val="22"/>
          <w:szCs w:val="22"/>
        </w:rPr>
        <w:t>6.3 End of life Care</w:t>
      </w:r>
      <w:bookmarkEnd w:id="12"/>
    </w:p>
    <w:p w14:paraId="2311926D" w14:textId="77777777" w:rsidR="008B4488" w:rsidRPr="00E30920" w:rsidRDefault="00000000">
      <w:pPr>
        <w:spacing w:line="360" w:lineRule="auto"/>
        <w:jc w:val="both"/>
        <w:rPr>
          <w:rFonts w:eastAsia="Times New Roman"/>
          <w:color w:val="FF0000"/>
        </w:rPr>
      </w:pPr>
      <w:r w:rsidRPr="00E30920">
        <w:rPr>
          <w:rFonts w:eastAsia="Times New Roman"/>
          <w:color w:val="FF0000"/>
        </w:rPr>
        <w:t>The end-of-life care in Chronic Kidney Disease is aimed at offering comfort, dignity, and quality of life to the patients when the curative therapy is no longer useful. It embraces patient-centred care, which tackles the physical symptoms of a patient like pain, loss of breath, and difficulty, as well as psychological and emotional assistance. Placing patients, families, and health care professionals decide on continuation or withdrawal of dialysis together taking into account patient preferences and values. Palliative Care is involved as it controls symptoms and provides holistic care. Moreover, communication, advance care planning, and family involvement matters in order to provide caring care, well-being, and a dignified end-of-life to patients.</w:t>
      </w:r>
    </w:p>
    <w:p w14:paraId="742B1611" w14:textId="77777777" w:rsidR="008B4488" w:rsidRPr="00E30920" w:rsidRDefault="00000000">
      <w:pPr>
        <w:pStyle w:val="Heading1"/>
        <w:rPr>
          <w:rFonts w:ascii="Arial" w:hAnsi="Arial" w:cs="Arial"/>
          <w:sz w:val="22"/>
          <w:szCs w:val="22"/>
        </w:rPr>
      </w:pPr>
      <w:bookmarkStart w:id="13" w:name="_Toc224829866"/>
      <w:r w:rsidRPr="00E30920">
        <w:rPr>
          <w:rFonts w:ascii="Arial" w:hAnsi="Arial" w:cs="Arial"/>
          <w:sz w:val="22"/>
          <w:szCs w:val="22"/>
        </w:rPr>
        <w:lastRenderedPageBreak/>
        <w:t>7. Conclusion</w:t>
      </w:r>
      <w:bookmarkEnd w:id="13"/>
    </w:p>
    <w:p w14:paraId="33FA8C67" w14:textId="77777777" w:rsidR="008B4488" w:rsidRPr="00E30920" w:rsidRDefault="00000000">
      <w:pPr>
        <w:spacing w:line="360" w:lineRule="auto"/>
        <w:jc w:val="both"/>
        <w:rPr>
          <w:rFonts w:eastAsia="Times New Roman"/>
        </w:rPr>
      </w:pPr>
      <w:r w:rsidRPr="00E30920">
        <w:rPr>
          <w:rFonts w:eastAsia="Times New Roman"/>
        </w:rPr>
        <w:t xml:space="preserve">Chronic Kidney Disease is a major health issue in the world with severe physical, psychological, and social consequences. Management entails early detection, multidisciplinary care and patient engagement. Healthcare systems are able to lessen CKD burden and enhance patient outcomes by enhancing prevention tactics as well as person-based treatment </w:t>
      </w:r>
      <w:proofErr w:type="spellStart"/>
      <w:r w:rsidRPr="00E30920">
        <w:rPr>
          <w:rFonts w:eastAsia="Times New Roman"/>
        </w:rPr>
        <w:t>methods.On</w:t>
      </w:r>
      <w:proofErr w:type="spellEnd"/>
      <w:r w:rsidRPr="00E30920">
        <w:rPr>
          <w:rFonts w:eastAsia="Times New Roman"/>
        </w:rPr>
        <w:t xml:space="preserve"> one hand, chronic kidney disease is a major health issue, a long-lasting problem, which gives human beings a physical, psychological, and social burden. Early detection, regular medical attention and effective working relationships between patients and health care professionals are essential in effective management. The joint efforts are needed to reduce disease progression and increase the quality of life through a combination of correct treatment, favourable healthcare policies, and patient engagement. The health burden of chronic kidney disease can be mitigated through the promotion of person-centred care, enhanced healthcare systems, and self-management strategies. Further commitment to prevention, education, and equal access to healthcare services will be an important factor in enhancing the postnatal outcomes of those affected by this condition.</w:t>
      </w:r>
    </w:p>
    <w:p w14:paraId="2DE91992" w14:textId="77777777" w:rsidR="008B4488" w:rsidRPr="00E30920" w:rsidRDefault="008B4488">
      <w:pPr>
        <w:spacing w:line="360" w:lineRule="auto"/>
        <w:jc w:val="both"/>
        <w:rPr>
          <w:rFonts w:eastAsia="Times New Roman"/>
        </w:rPr>
      </w:pPr>
    </w:p>
    <w:p w14:paraId="6286BAD2" w14:textId="77777777" w:rsidR="008B4488" w:rsidRPr="00E30920" w:rsidRDefault="00000000">
      <w:pPr>
        <w:spacing w:line="360" w:lineRule="auto"/>
        <w:jc w:val="both"/>
        <w:rPr>
          <w:rFonts w:eastAsia="Times New Roman"/>
          <w:b/>
          <w:bCs/>
        </w:rPr>
      </w:pPr>
      <w:r w:rsidRPr="00E30920">
        <w:br w:type="page"/>
      </w:r>
    </w:p>
    <w:p w14:paraId="65BA00C0" w14:textId="77777777" w:rsidR="008B4488" w:rsidRPr="00E30920" w:rsidRDefault="00000000">
      <w:pPr>
        <w:spacing w:line="360" w:lineRule="auto"/>
        <w:jc w:val="both"/>
        <w:rPr>
          <w:rFonts w:eastAsia="Times New Roman"/>
          <w:b/>
          <w:bCs/>
        </w:rPr>
      </w:pPr>
      <w:r w:rsidRPr="00E30920">
        <w:rPr>
          <w:rFonts w:eastAsia="Times New Roman"/>
          <w:b/>
          <w:bCs/>
        </w:rPr>
        <w:lastRenderedPageBreak/>
        <w:t>References</w:t>
      </w:r>
    </w:p>
    <w:p w14:paraId="2BBBA642"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Bilson, J., Mantovani, A., Byrne, C.D. and </w:t>
      </w:r>
      <w:proofErr w:type="spellStart"/>
      <w:r w:rsidRPr="00E30920">
        <w:rPr>
          <w:rFonts w:eastAsia="Times New Roman"/>
          <w:color w:val="222222"/>
          <w:highlight w:val="white"/>
        </w:rPr>
        <w:t>Targher</w:t>
      </w:r>
      <w:proofErr w:type="spellEnd"/>
      <w:r w:rsidRPr="00E30920">
        <w:rPr>
          <w:rFonts w:eastAsia="Times New Roman"/>
          <w:color w:val="222222"/>
          <w:highlight w:val="white"/>
        </w:rPr>
        <w:t xml:space="preserve">, G., 2024. </w:t>
      </w:r>
      <w:proofErr w:type="spellStart"/>
      <w:r w:rsidRPr="00E30920">
        <w:rPr>
          <w:rFonts w:eastAsia="Times New Roman"/>
          <w:color w:val="222222"/>
          <w:highlight w:val="white"/>
        </w:rPr>
        <w:t>Steatotic</w:t>
      </w:r>
      <w:proofErr w:type="spellEnd"/>
      <w:r w:rsidRPr="00E30920">
        <w:rPr>
          <w:rFonts w:eastAsia="Times New Roman"/>
          <w:color w:val="222222"/>
          <w:highlight w:val="white"/>
        </w:rPr>
        <w:t xml:space="preserve"> liver disease, MASLD and risk of chronic kidney disease. </w:t>
      </w:r>
      <w:r w:rsidRPr="00E30920">
        <w:rPr>
          <w:rFonts w:eastAsia="Times New Roman"/>
          <w:i/>
          <w:iCs/>
          <w:color w:val="222222"/>
          <w:highlight w:val="white"/>
        </w:rPr>
        <w:t>Diabetes &amp; metabolism</w:t>
      </w:r>
      <w:r w:rsidRPr="00E30920">
        <w:rPr>
          <w:rFonts w:eastAsia="Times New Roman"/>
          <w:color w:val="222222"/>
          <w:highlight w:val="white"/>
        </w:rPr>
        <w:t xml:space="preserve">, </w:t>
      </w:r>
      <w:r w:rsidRPr="00E30920">
        <w:rPr>
          <w:rFonts w:eastAsia="Times New Roman"/>
          <w:i/>
          <w:iCs/>
          <w:color w:val="222222"/>
          <w:highlight w:val="white"/>
        </w:rPr>
        <w:t>50</w:t>
      </w:r>
      <w:r w:rsidRPr="00E30920">
        <w:rPr>
          <w:rFonts w:eastAsia="Times New Roman"/>
          <w:color w:val="222222"/>
          <w:highlight w:val="white"/>
        </w:rPr>
        <w:t>(1), p.101506.</w:t>
      </w:r>
    </w:p>
    <w:p w14:paraId="58E60A04"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Borg, R., Carlson, N., Søndergaard, J. and Persson, F., 2023. The growing challenge of chronic kidney disease: an overview of current knowledge. </w:t>
      </w:r>
      <w:r w:rsidRPr="00E30920">
        <w:rPr>
          <w:rFonts w:eastAsia="Times New Roman"/>
          <w:i/>
          <w:iCs/>
          <w:color w:val="222222"/>
          <w:highlight w:val="white"/>
        </w:rPr>
        <w:t>International Journal of Nephrology</w:t>
      </w:r>
      <w:r w:rsidRPr="00E30920">
        <w:rPr>
          <w:rFonts w:eastAsia="Times New Roman"/>
          <w:color w:val="222222"/>
          <w:highlight w:val="white"/>
        </w:rPr>
        <w:t xml:space="preserve">, </w:t>
      </w:r>
      <w:r w:rsidRPr="00E30920">
        <w:rPr>
          <w:rFonts w:eastAsia="Times New Roman"/>
          <w:i/>
          <w:iCs/>
          <w:color w:val="222222"/>
          <w:highlight w:val="white"/>
        </w:rPr>
        <w:t>2023</w:t>
      </w:r>
      <w:r w:rsidRPr="00E30920">
        <w:rPr>
          <w:rFonts w:eastAsia="Times New Roman"/>
          <w:color w:val="222222"/>
          <w:highlight w:val="white"/>
        </w:rPr>
        <w:t>(1), p.9609266.</w:t>
      </w:r>
    </w:p>
    <w:p w14:paraId="0C1B25B4"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Borg, R., Carlson, N., Søndergaard, J. and Persson, F., 2023. The growing challenge of chronic kidney disease: an overview of current knowledge. </w:t>
      </w:r>
      <w:r w:rsidRPr="00E30920">
        <w:rPr>
          <w:rFonts w:eastAsia="Times New Roman"/>
          <w:i/>
          <w:iCs/>
          <w:highlight w:val="white"/>
        </w:rPr>
        <w:t>International Journal of Nephrology</w:t>
      </w:r>
      <w:r w:rsidRPr="00E30920">
        <w:rPr>
          <w:rFonts w:eastAsia="Times New Roman"/>
          <w:highlight w:val="white"/>
        </w:rPr>
        <w:t xml:space="preserve">, </w:t>
      </w:r>
      <w:r w:rsidRPr="00E30920">
        <w:rPr>
          <w:rFonts w:eastAsia="Times New Roman"/>
          <w:i/>
          <w:iCs/>
          <w:highlight w:val="white"/>
        </w:rPr>
        <w:t>2023</w:t>
      </w:r>
      <w:r w:rsidRPr="00E30920">
        <w:rPr>
          <w:rFonts w:eastAsia="Times New Roman"/>
          <w:highlight w:val="white"/>
        </w:rPr>
        <w:t>(1), p.9609266.</w:t>
      </w:r>
    </w:p>
    <w:p w14:paraId="08823399"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Borg, R., Carlson, N., Søndergaard, J. and Persson, F., 2023. The growing challenge of chronic kidney disease: an overview of current knowledge. </w:t>
      </w:r>
      <w:r w:rsidRPr="00E30920">
        <w:rPr>
          <w:rFonts w:eastAsia="Times New Roman"/>
          <w:i/>
          <w:iCs/>
          <w:highlight w:val="white"/>
        </w:rPr>
        <w:t>International Journal of Nephrology</w:t>
      </w:r>
      <w:r w:rsidRPr="00E30920">
        <w:rPr>
          <w:rFonts w:eastAsia="Times New Roman"/>
          <w:highlight w:val="white"/>
        </w:rPr>
        <w:t xml:space="preserve">, </w:t>
      </w:r>
      <w:r w:rsidRPr="00E30920">
        <w:rPr>
          <w:rFonts w:eastAsia="Times New Roman"/>
          <w:i/>
          <w:iCs/>
          <w:highlight w:val="white"/>
        </w:rPr>
        <w:t>2023</w:t>
      </w:r>
      <w:r w:rsidRPr="00E30920">
        <w:rPr>
          <w:rFonts w:eastAsia="Times New Roman"/>
          <w:highlight w:val="white"/>
        </w:rPr>
        <w:t>(1), p.9609266.</w:t>
      </w:r>
    </w:p>
    <w:p w14:paraId="060239D2" w14:textId="77777777" w:rsidR="008B4488" w:rsidRPr="00E30920" w:rsidRDefault="00000000">
      <w:pPr>
        <w:spacing w:before="200" w:line="360" w:lineRule="auto"/>
        <w:jc w:val="both"/>
        <w:rPr>
          <w:rFonts w:eastAsia="Times New Roman"/>
          <w:highlight w:val="white"/>
        </w:rPr>
      </w:pPr>
      <w:proofErr w:type="spellStart"/>
      <w:r w:rsidRPr="00E30920">
        <w:rPr>
          <w:rFonts w:eastAsia="Times New Roman"/>
          <w:highlight w:val="white"/>
        </w:rPr>
        <w:t>Cardol</w:t>
      </w:r>
      <w:proofErr w:type="spellEnd"/>
      <w:r w:rsidRPr="00E30920">
        <w:rPr>
          <w:rFonts w:eastAsia="Times New Roman"/>
          <w:highlight w:val="white"/>
        </w:rPr>
        <w:t xml:space="preserve">, C.K., </w:t>
      </w:r>
      <w:proofErr w:type="spellStart"/>
      <w:r w:rsidRPr="00E30920">
        <w:rPr>
          <w:rFonts w:eastAsia="Times New Roman"/>
          <w:highlight w:val="white"/>
        </w:rPr>
        <w:t>Boslooper-Meulenbelt</w:t>
      </w:r>
      <w:proofErr w:type="spellEnd"/>
      <w:r w:rsidRPr="00E30920">
        <w:rPr>
          <w:rFonts w:eastAsia="Times New Roman"/>
          <w:highlight w:val="white"/>
        </w:rPr>
        <w:t xml:space="preserve">, K., Van </w:t>
      </w:r>
      <w:proofErr w:type="spellStart"/>
      <w:r w:rsidRPr="00E30920">
        <w:rPr>
          <w:rFonts w:eastAsia="Times New Roman"/>
          <w:highlight w:val="white"/>
        </w:rPr>
        <w:t>Middendorp</w:t>
      </w:r>
      <w:proofErr w:type="spellEnd"/>
      <w:r w:rsidRPr="00E30920">
        <w:rPr>
          <w:rFonts w:eastAsia="Times New Roman"/>
          <w:highlight w:val="white"/>
        </w:rPr>
        <w:t xml:space="preserve">, H., Meuleman, Y., Evers, A.W. and Van Dijk, S., 2022. Psychosocial barriers and facilitators for adherence to a healthy lifestyle among patients with chronic kidney disease: a focus group study. </w:t>
      </w:r>
      <w:r w:rsidRPr="00E30920">
        <w:rPr>
          <w:rFonts w:eastAsia="Times New Roman"/>
          <w:i/>
          <w:iCs/>
          <w:highlight w:val="white"/>
        </w:rPr>
        <w:t>BMC nephrology</w:t>
      </w:r>
      <w:r w:rsidRPr="00E30920">
        <w:rPr>
          <w:rFonts w:eastAsia="Times New Roman"/>
          <w:highlight w:val="white"/>
        </w:rPr>
        <w:t xml:space="preserve">, </w:t>
      </w:r>
      <w:r w:rsidRPr="00E30920">
        <w:rPr>
          <w:rFonts w:eastAsia="Times New Roman"/>
          <w:i/>
          <w:iCs/>
          <w:highlight w:val="white"/>
        </w:rPr>
        <w:t>23</w:t>
      </w:r>
      <w:r w:rsidRPr="00E30920">
        <w:rPr>
          <w:rFonts w:eastAsia="Times New Roman"/>
          <w:highlight w:val="white"/>
        </w:rPr>
        <w:t>(1), p.205.</w:t>
      </w:r>
    </w:p>
    <w:p w14:paraId="1E70DA79"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Chawla, N., </w:t>
      </w:r>
      <w:proofErr w:type="spellStart"/>
      <w:r w:rsidRPr="00E30920">
        <w:rPr>
          <w:rFonts w:eastAsia="Times New Roman"/>
          <w:color w:val="222222"/>
          <w:highlight w:val="white"/>
        </w:rPr>
        <w:t>Teerawattananon</w:t>
      </w:r>
      <w:proofErr w:type="spellEnd"/>
      <w:r w:rsidRPr="00E30920">
        <w:rPr>
          <w:rFonts w:eastAsia="Times New Roman"/>
          <w:color w:val="222222"/>
          <w:highlight w:val="white"/>
        </w:rPr>
        <w:t xml:space="preserve">, Y., </w:t>
      </w:r>
      <w:proofErr w:type="spellStart"/>
      <w:r w:rsidRPr="00E30920">
        <w:rPr>
          <w:rFonts w:eastAsia="Times New Roman"/>
          <w:color w:val="222222"/>
          <w:highlight w:val="white"/>
        </w:rPr>
        <w:t>Yongphiphatwong</w:t>
      </w:r>
      <w:proofErr w:type="spellEnd"/>
      <w:r w:rsidRPr="00E30920">
        <w:rPr>
          <w:rFonts w:eastAsia="Times New Roman"/>
          <w:color w:val="222222"/>
          <w:highlight w:val="white"/>
        </w:rPr>
        <w:t xml:space="preserve">, N., </w:t>
      </w:r>
      <w:proofErr w:type="spellStart"/>
      <w:r w:rsidRPr="00E30920">
        <w:rPr>
          <w:rFonts w:eastAsia="Times New Roman"/>
          <w:color w:val="222222"/>
          <w:highlight w:val="white"/>
        </w:rPr>
        <w:t>Thamcharoen</w:t>
      </w:r>
      <w:proofErr w:type="spellEnd"/>
      <w:r w:rsidRPr="00E30920">
        <w:rPr>
          <w:rFonts w:eastAsia="Times New Roman"/>
          <w:color w:val="222222"/>
          <w:highlight w:val="white"/>
        </w:rPr>
        <w:t>, N., Aryani, H., Tun, Y.M., Butani, D.H., Ngam-</w:t>
      </w:r>
      <w:proofErr w:type="spellStart"/>
      <w:r w:rsidRPr="00E30920">
        <w:rPr>
          <w:rFonts w:eastAsia="Times New Roman"/>
          <w:color w:val="222222"/>
          <w:highlight w:val="white"/>
        </w:rPr>
        <w:t>Prukwanit</w:t>
      </w:r>
      <w:proofErr w:type="spellEnd"/>
      <w:r w:rsidRPr="00E30920">
        <w:rPr>
          <w:rFonts w:eastAsia="Times New Roman"/>
          <w:color w:val="222222"/>
          <w:highlight w:val="white"/>
        </w:rPr>
        <w:t xml:space="preserve">, R. and </w:t>
      </w:r>
      <w:proofErr w:type="spellStart"/>
      <w:r w:rsidRPr="00E30920">
        <w:rPr>
          <w:rFonts w:eastAsia="Times New Roman"/>
          <w:color w:val="222222"/>
          <w:highlight w:val="white"/>
        </w:rPr>
        <w:t>Anothaisintawee</w:t>
      </w:r>
      <w:proofErr w:type="spellEnd"/>
      <w:r w:rsidRPr="00E30920">
        <w:rPr>
          <w:rFonts w:eastAsia="Times New Roman"/>
          <w:color w:val="222222"/>
          <w:highlight w:val="white"/>
        </w:rPr>
        <w:t xml:space="preserve">, T., 2025. Policy strategies to enhance uptake of conservative kidney management in </w:t>
      </w:r>
      <w:r w:rsidRPr="00E30920">
        <w:rPr>
          <w:rFonts w:eastAsia="Times New Roman"/>
          <w:color w:val="222222"/>
          <w:highlight w:val="white"/>
        </w:rPr>
        <w:t xml:space="preserve">advanced chronic kidney disease: a systematic review and meta-analysis. </w:t>
      </w:r>
      <w:r w:rsidRPr="00E30920">
        <w:rPr>
          <w:rFonts w:eastAsia="Times New Roman"/>
          <w:i/>
          <w:iCs/>
          <w:color w:val="222222"/>
          <w:highlight w:val="white"/>
        </w:rPr>
        <w:t>BMC nephrology</w:t>
      </w:r>
      <w:r w:rsidRPr="00E30920">
        <w:rPr>
          <w:rFonts w:eastAsia="Times New Roman"/>
          <w:color w:val="222222"/>
          <w:highlight w:val="white"/>
        </w:rPr>
        <w:t xml:space="preserve">, </w:t>
      </w:r>
      <w:r w:rsidRPr="00E30920">
        <w:rPr>
          <w:rFonts w:eastAsia="Times New Roman"/>
          <w:i/>
          <w:iCs/>
          <w:color w:val="222222"/>
          <w:highlight w:val="white"/>
        </w:rPr>
        <w:t>26</w:t>
      </w:r>
      <w:r w:rsidRPr="00E30920">
        <w:rPr>
          <w:rFonts w:eastAsia="Times New Roman"/>
          <w:color w:val="222222"/>
          <w:highlight w:val="white"/>
        </w:rPr>
        <w:t>(1), p.388.</w:t>
      </w:r>
    </w:p>
    <w:p w14:paraId="6A7A1BBC"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Corkery, J.M. and Schifano, F., 2022. First death involving 4-fluoroethylphenidate (4F-EPH): case report, user experiences, and review of the related literature. </w:t>
      </w:r>
      <w:r w:rsidRPr="00E30920">
        <w:rPr>
          <w:rFonts w:eastAsia="Times New Roman"/>
          <w:i/>
          <w:iCs/>
          <w:highlight w:val="white"/>
        </w:rPr>
        <w:t>Academic forensic pathology</w:t>
      </w:r>
      <w:r w:rsidRPr="00E30920">
        <w:rPr>
          <w:rFonts w:eastAsia="Times New Roman"/>
          <w:highlight w:val="white"/>
        </w:rPr>
        <w:t xml:space="preserve">, </w:t>
      </w:r>
      <w:r w:rsidRPr="00E30920">
        <w:rPr>
          <w:rFonts w:eastAsia="Times New Roman"/>
          <w:i/>
          <w:iCs/>
          <w:highlight w:val="white"/>
        </w:rPr>
        <w:t>12</w:t>
      </w:r>
      <w:r w:rsidRPr="00E30920">
        <w:rPr>
          <w:rFonts w:eastAsia="Times New Roman"/>
          <w:highlight w:val="white"/>
        </w:rPr>
        <w:t>(4), pp.149-166.</w:t>
      </w:r>
    </w:p>
    <w:p w14:paraId="6986FBF2"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EMPA-Kidney Collaborative Group, 2023. Empagliflozin in patients with chronic kidney disease. </w:t>
      </w:r>
      <w:r w:rsidRPr="00E30920">
        <w:rPr>
          <w:rFonts w:eastAsia="Times New Roman"/>
          <w:i/>
          <w:iCs/>
          <w:color w:val="222222"/>
          <w:highlight w:val="white"/>
        </w:rPr>
        <w:t>New England Journal of Medicine</w:t>
      </w:r>
      <w:r w:rsidRPr="00E30920">
        <w:rPr>
          <w:rFonts w:eastAsia="Times New Roman"/>
          <w:color w:val="222222"/>
          <w:highlight w:val="white"/>
        </w:rPr>
        <w:t xml:space="preserve">, </w:t>
      </w:r>
      <w:r w:rsidRPr="00E30920">
        <w:rPr>
          <w:rFonts w:eastAsia="Times New Roman"/>
          <w:i/>
          <w:iCs/>
          <w:color w:val="222222"/>
          <w:highlight w:val="white"/>
        </w:rPr>
        <w:t>388</w:t>
      </w:r>
      <w:r w:rsidRPr="00E30920">
        <w:rPr>
          <w:rFonts w:eastAsia="Times New Roman"/>
          <w:color w:val="222222"/>
          <w:highlight w:val="white"/>
        </w:rPr>
        <w:t>(2), pp.117-127.</w:t>
      </w:r>
    </w:p>
    <w:p w14:paraId="7A7C6E65"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Francis, A., Harhay, M.N., Ong, A.C., </w:t>
      </w:r>
      <w:proofErr w:type="spellStart"/>
      <w:r w:rsidRPr="00E30920">
        <w:rPr>
          <w:rFonts w:eastAsia="Times New Roman"/>
          <w:color w:val="222222"/>
          <w:highlight w:val="white"/>
        </w:rPr>
        <w:t>Tummalapalli</w:t>
      </w:r>
      <w:proofErr w:type="spellEnd"/>
      <w:r w:rsidRPr="00E30920">
        <w:rPr>
          <w:rFonts w:eastAsia="Times New Roman"/>
          <w:color w:val="222222"/>
          <w:highlight w:val="white"/>
        </w:rPr>
        <w:t xml:space="preserve">, S.L., Ortiz, A., Fogo, A.B., </w:t>
      </w:r>
      <w:proofErr w:type="spellStart"/>
      <w:r w:rsidRPr="00E30920">
        <w:rPr>
          <w:rFonts w:eastAsia="Times New Roman"/>
          <w:color w:val="222222"/>
          <w:highlight w:val="white"/>
        </w:rPr>
        <w:t>Fliser</w:t>
      </w:r>
      <w:proofErr w:type="spellEnd"/>
      <w:r w:rsidRPr="00E30920">
        <w:rPr>
          <w:rFonts w:eastAsia="Times New Roman"/>
          <w:color w:val="222222"/>
          <w:highlight w:val="white"/>
        </w:rPr>
        <w:t xml:space="preserve">, D., Roy-Chaudhury, P., Fontana, M., </w:t>
      </w:r>
      <w:proofErr w:type="spellStart"/>
      <w:r w:rsidRPr="00E30920">
        <w:rPr>
          <w:rFonts w:eastAsia="Times New Roman"/>
          <w:color w:val="222222"/>
          <w:highlight w:val="white"/>
        </w:rPr>
        <w:t>Nangaku</w:t>
      </w:r>
      <w:proofErr w:type="spellEnd"/>
      <w:r w:rsidRPr="00E30920">
        <w:rPr>
          <w:rFonts w:eastAsia="Times New Roman"/>
          <w:color w:val="222222"/>
          <w:highlight w:val="white"/>
        </w:rPr>
        <w:t xml:space="preserve">, M. and </w:t>
      </w:r>
      <w:proofErr w:type="spellStart"/>
      <w:r w:rsidRPr="00E30920">
        <w:rPr>
          <w:rFonts w:eastAsia="Times New Roman"/>
          <w:color w:val="222222"/>
          <w:highlight w:val="white"/>
        </w:rPr>
        <w:t>Wanner</w:t>
      </w:r>
      <w:proofErr w:type="spellEnd"/>
      <w:r w:rsidRPr="00E30920">
        <w:rPr>
          <w:rFonts w:eastAsia="Times New Roman"/>
          <w:color w:val="222222"/>
          <w:highlight w:val="white"/>
        </w:rPr>
        <w:t xml:space="preserve">, C., 2024. Chronic kidney disease and the global public health agenda: an international consensus. </w:t>
      </w:r>
      <w:r w:rsidRPr="00E30920">
        <w:rPr>
          <w:rFonts w:eastAsia="Times New Roman"/>
          <w:i/>
          <w:iCs/>
          <w:color w:val="222222"/>
          <w:highlight w:val="white"/>
        </w:rPr>
        <w:t>Nature Reviews Nephrology</w:t>
      </w:r>
      <w:r w:rsidRPr="00E30920">
        <w:rPr>
          <w:rFonts w:eastAsia="Times New Roman"/>
          <w:color w:val="222222"/>
          <w:highlight w:val="white"/>
        </w:rPr>
        <w:t xml:space="preserve">, </w:t>
      </w:r>
      <w:r w:rsidRPr="00E30920">
        <w:rPr>
          <w:rFonts w:eastAsia="Times New Roman"/>
          <w:i/>
          <w:iCs/>
          <w:color w:val="222222"/>
          <w:highlight w:val="white"/>
        </w:rPr>
        <w:t>20</w:t>
      </w:r>
      <w:r w:rsidRPr="00E30920">
        <w:rPr>
          <w:rFonts w:eastAsia="Times New Roman"/>
          <w:color w:val="222222"/>
          <w:highlight w:val="white"/>
        </w:rPr>
        <w:t>(7), pp.473-485.</w:t>
      </w:r>
    </w:p>
    <w:p w14:paraId="12A3FFB9"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Jadoul, M., Aoun, M. and Imani, M.M., 2024. The major global burden of chronic kidney disease. </w:t>
      </w:r>
      <w:r w:rsidRPr="00E30920">
        <w:rPr>
          <w:rFonts w:eastAsia="Times New Roman"/>
          <w:i/>
          <w:iCs/>
          <w:color w:val="222222"/>
          <w:highlight w:val="white"/>
        </w:rPr>
        <w:t>The Lancet Global Health</w:t>
      </w:r>
      <w:r w:rsidRPr="00E30920">
        <w:rPr>
          <w:rFonts w:eastAsia="Times New Roman"/>
          <w:color w:val="222222"/>
          <w:highlight w:val="white"/>
        </w:rPr>
        <w:t xml:space="preserve">, </w:t>
      </w:r>
      <w:r w:rsidRPr="00E30920">
        <w:rPr>
          <w:rFonts w:eastAsia="Times New Roman"/>
          <w:i/>
          <w:iCs/>
          <w:color w:val="222222"/>
          <w:highlight w:val="white"/>
        </w:rPr>
        <w:t>12</w:t>
      </w:r>
      <w:r w:rsidRPr="00E30920">
        <w:rPr>
          <w:rFonts w:eastAsia="Times New Roman"/>
          <w:color w:val="222222"/>
          <w:highlight w:val="white"/>
        </w:rPr>
        <w:t>(3), pp.e342-e343.</w:t>
      </w:r>
    </w:p>
    <w:p w14:paraId="38960664"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Johnston-Webber, C., Bencomo-Bermudez, I., Wharton, G., van Kessel, R., Barone, S., </w:t>
      </w:r>
      <w:proofErr w:type="spellStart"/>
      <w:r w:rsidRPr="00E30920">
        <w:rPr>
          <w:rFonts w:eastAsia="Times New Roman"/>
          <w:highlight w:val="white"/>
        </w:rPr>
        <w:t>Muntó</w:t>
      </w:r>
      <w:proofErr w:type="spellEnd"/>
      <w:r w:rsidRPr="00E30920">
        <w:rPr>
          <w:rFonts w:eastAsia="Times New Roman"/>
          <w:highlight w:val="white"/>
        </w:rPr>
        <w:t xml:space="preserve">, F.B., Chadban, S., Sanchez, J.J.G., Kocks, J.W., Obolensky, K. and Sandow, P., 2025. A conceptual framework to assess the health, socioeconomic and environmental burden of chronic kidney disease. </w:t>
      </w:r>
      <w:r w:rsidRPr="00E30920">
        <w:rPr>
          <w:rFonts w:eastAsia="Times New Roman"/>
          <w:i/>
          <w:iCs/>
          <w:highlight w:val="white"/>
        </w:rPr>
        <w:t>Health Policy</w:t>
      </w:r>
      <w:r w:rsidRPr="00E30920">
        <w:rPr>
          <w:rFonts w:eastAsia="Times New Roman"/>
          <w:highlight w:val="white"/>
        </w:rPr>
        <w:t xml:space="preserve">, </w:t>
      </w:r>
      <w:r w:rsidRPr="00E30920">
        <w:rPr>
          <w:rFonts w:eastAsia="Times New Roman"/>
          <w:i/>
          <w:iCs/>
          <w:highlight w:val="white"/>
        </w:rPr>
        <w:t>152</w:t>
      </w:r>
      <w:r w:rsidRPr="00E30920">
        <w:rPr>
          <w:rFonts w:eastAsia="Times New Roman"/>
          <w:highlight w:val="white"/>
        </w:rPr>
        <w:t>, p.105244.</w:t>
      </w:r>
    </w:p>
    <w:p w14:paraId="6E800E48"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lastRenderedPageBreak/>
        <w:t xml:space="preserve">Kushwaha, R., Vardhan, P.S. and Kushwaha, P.P., 2023. Chronic kidney disease interplay with comorbidities and carbohydrate metabolism: a review. </w:t>
      </w:r>
      <w:r w:rsidRPr="00E30920">
        <w:rPr>
          <w:rFonts w:eastAsia="Times New Roman"/>
          <w:i/>
          <w:iCs/>
          <w:highlight w:val="white"/>
        </w:rPr>
        <w:t>Life</w:t>
      </w:r>
      <w:r w:rsidRPr="00E30920">
        <w:rPr>
          <w:rFonts w:eastAsia="Times New Roman"/>
          <w:highlight w:val="white"/>
        </w:rPr>
        <w:t xml:space="preserve">, </w:t>
      </w:r>
      <w:r w:rsidRPr="00E30920">
        <w:rPr>
          <w:rFonts w:eastAsia="Times New Roman"/>
          <w:i/>
          <w:iCs/>
          <w:highlight w:val="white"/>
        </w:rPr>
        <w:t>14</w:t>
      </w:r>
      <w:r w:rsidRPr="00E30920">
        <w:rPr>
          <w:rFonts w:eastAsia="Times New Roman"/>
          <w:highlight w:val="white"/>
        </w:rPr>
        <w:t>(1), p.13.</w:t>
      </w:r>
    </w:p>
    <w:p w14:paraId="41B0C5D6"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LaForge, J.M., Urso, K., Day, J.M., Bourgeois, C.W., Ross, M.M., Ahmadzadeh, S., </w:t>
      </w:r>
      <w:proofErr w:type="spellStart"/>
      <w:r w:rsidRPr="00E30920">
        <w:rPr>
          <w:rFonts w:eastAsia="Times New Roman"/>
          <w:highlight w:val="white"/>
        </w:rPr>
        <w:t>Shekoohi</w:t>
      </w:r>
      <w:proofErr w:type="spellEnd"/>
      <w:r w:rsidRPr="00E30920">
        <w:rPr>
          <w:rFonts w:eastAsia="Times New Roman"/>
          <w:highlight w:val="white"/>
        </w:rPr>
        <w:t xml:space="preserve">, S., Cornett, E.M., Kaye, A.M. and Kaye, A.D., 2023. Non-steroidal anti-inflammatory drugs: clinical implications, renal impairment risks, and AKI. </w:t>
      </w:r>
      <w:r w:rsidRPr="00E30920">
        <w:rPr>
          <w:rFonts w:eastAsia="Times New Roman"/>
          <w:i/>
          <w:iCs/>
          <w:highlight w:val="white"/>
        </w:rPr>
        <w:t>Advances in therapy</w:t>
      </w:r>
      <w:r w:rsidRPr="00E30920">
        <w:rPr>
          <w:rFonts w:eastAsia="Times New Roman"/>
          <w:highlight w:val="white"/>
        </w:rPr>
        <w:t xml:space="preserve">, </w:t>
      </w:r>
      <w:r w:rsidRPr="00E30920">
        <w:rPr>
          <w:rFonts w:eastAsia="Times New Roman"/>
          <w:i/>
          <w:iCs/>
          <w:highlight w:val="white"/>
        </w:rPr>
        <w:t>40</w:t>
      </w:r>
      <w:r w:rsidRPr="00E30920">
        <w:rPr>
          <w:rFonts w:eastAsia="Times New Roman"/>
          <w:highlight w:val="white"/>
        </w:rPr>
        <w:t>(5), pp.2082-2096.</w:t>
      </w:r>
    </w:p>
    <w:p w14:paraId="35A268F3"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Luo, W., Gong, L., Chen, X., Gao, R., Peng, B., Wang, Y., Luo, T., Yang, Y., Kang, B., Peng, C. and Ma, L., 2022. Lifestyle and chronic kidney disease: A machine learning </w:t>
      </w:r>
      <w:proofErr w:type="spellStart"/>
      <w:r w:rsidRPr="00E30920">
        <w:rPr>
          <w:rFonts w:eastAsia="Times New Roman"/>
          <w:highlight w:val="white"/>
        </w:rPr>
        <w:t>modeling</w:t>
      </w:r>
      <w:proofErr w:type="spellEnd"/>
      <w:r w:rsidRPr="00E30920">
        <w:rPr>
          <w:rFonts w:eastAsia="Times New Roman"/>
          <w:highlight w:val="white"/>
        </w:rPr>
        <w:t xml:space="preserve"> study. </w:t>
      </w:r>
      <w:r w:rsidRPr="00E30920">
        <w:rPr>
          <w:rFonts w:eastAsia="Times New Roman"/>
          <w:i/>
          <w:iCs/>
          <w:highlight w:val="white"/>
        </w:rPr>
        <w:t>Frontiers in nutrition</w:t>
      </w:r>
      <w:r w:rsidRPr="00E30920">
        <w:rPr>
          <w:rFonts w:eastAsia="Times New Roman"/>
          <w:highlight w:val="white"/>
        </w:rPr>
        <w:t xml:space="preserve">, </w:t>
      </w:r>
      <w:r w:rsidRPr="00E30920">
        <w:rPr>
          <w:rFonts w:eastAsia="Times New Roman"/>
          <w:i/>
          <w:iCs/>
          <w:highlight w:val="white"/>
        </w:rPr>
        <w:t>9</w:t>
      </w:r>
      <w:r w:rsidRPr="00E30920">
        <w:rPr>
          <w:rFonts w:eastAsia="Times New Roman"/>
          <w:highlight w:val="white"/>
        </w:rPr>
        <w:t>, p.918576.</w:t>
      </w:r>
    </w:p>
    <w:p w14:paraId="32A113AF"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Mallamaci, F. and </w:t>
      </w:r>
      <w:proofErr w:type="spellStart"/>
      <w:r w:rsidRPr="00E30920">
        <w:rPr>
          <w:rFonts w:eastAsia="Times New Roman"/>
          <w:color w:val="222222"/>
          <w:highlight w:val="white"/>
        </w:rPr>
        <w:t>Tripepi</w:t>
      </w:r>
      <w:proofErr w:type="spellEnd"/>
      <w:r w:rsidRPr="00E30920">
        <w:rPr>
          <w:rFonts w:eastAsia="Times New Roman"/>
          <w:color w:val="222222"/>
          <w:highlight w:val="white"/>
        </w:rPr>
        <w:t xml:space="preserve">, G., 2024. Risk factors of chronic kidney disease progression: between old and new concepts. </w:t>
      </w:r>
      <w:r w:rsidRPr="00E30920">
        <w:rPr>
          <w:rFonts w:eastAsia="Times New Roman"/>
          <w:i/>
          <w:iCs/>
          <w:color w:val="222222"/>
          <w:highlight w:val="white"/>
        </w:rPr>
        <w:t>Journal of Clinical Medicine</w:t>
      </w:r>
      <w:r w:rsidRPr="00E30920">
        <w:rPr>
          <w:rFonts w:eastAsia="Times New Roman"/>
          <w:color w:val="222222"/>
          <w:highlight w:val="white"/>
        </w:rPr>
        <w:t xml:space="preserve">, </w:t>
      </w:r>
      <w:r w:rsidRPr="00E30920">
        <w:rPr>
          <w:rFonts w:eastAsia="Times New Roman"/>
          <w:i/>
          <w:iCs/>
          <w:color w:val="222222"/>
          <w:highlight w:val="white"/>
        </w:rPr>
        <w:t>13</w:t>
      </w:r>
      <w:r w:rsidRPr="00E30920">
        <w:rPr>
          <w:rFonts w:eastAsia="Times New Roman"/>
          <w:color w:val="222222"/>
          <w:highlight w:val="white"/>
        </w:rPr>
        <w:t>(3), p.678.</w:t>
      </w:r>
    </w:p>
    <w:p w14:paraId="687CFF82"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highlight w:val="white"/>
        </w:rPr>
        <w:t xml:space="preserve">Megan, 2021. Three aspects of health and healing: The biopsychosocial model in medicine. </w:t>
      </w:r>
      <w:r w:rsidRPr="00E30920">
        <w:rPr>
          <w:rFonts w:eastAsia="Times New Roman"/>
          <w:i/>
          <w:iCs/>
          <w:highlight w:val="white"/>
        </w:rPr>
        <w:t>Washington University in St. Louis, Department of Surgery</w:t>
      </w:r>
      <w:r w:rsidRPr="00E30920">
        <w:rPr>
          <w:rFonts w:eastAsia="Times New Roman"/>
          <w:highlight w:val="white"/>
        </w:rPr>
        <w:t>. Available at:</w:t>
      </w:r>
      <w:hyperlink r:id="rId12">
        <w:r w:rsidR="008B4488" w:rsidRPr="00E30920">
          <w:rPr>
            <w:rFonts w:eastAsia="Times New Roman"/>
            <w:highlight w:val="white"/>
          </w:rPr>
          <w:t xml:space="preserve"> </w:t>
        </w:r>
      </w:hyperlink>
      <w:hyperlink r:id="rId13">
        <w:r w:rsidR="008B4488" w:rsidRPr="00E30920">
          <w:rPr>
            <w:rFonts w:eastAsia="Times New Roman"/>
            <w:highlight w:val="white"/>
            <w:u w:val="single"/>
          </w:rPr>
          <w:t>Three aspects of health and healing: The biopsychosocial model in medicine</w:t>
        </w:r>
      </w:hyperlink>
      <w:r w:rsidRPr="00E30920">
        <w:rPr>
          <w:rFonts w:eastAsia="Times New Roman"/>
          <w:highlight w:val="white"/>
        </w:rPr>
        <w:t xml:space="preserve"> (Accessed: 9 March 2026).</w:t>
      </w:r>
    </w:p>
    <w:p w14:paraId="1E62FD63" w14:textId="77777777" w:rsidR="008B4488" w:rsidRPr="00E30920" w:rsidRDefault="00000000">
      <w:pPr>
        <w:spacing w:before="200" w:line="360" w:lineRule="auto"/>
        <w:jc w:val="both"/>
        <w:rPr>
          <w:rFonts w:eastAsia="Times New Roman"/>
          <w:highlight w:val="white"/>
        </w:rPr>
      </w:pPr>
      <w:proofErr w:type="spellStart"/>
      <w:r w:rsidRPr="00E30920">
        <w:rPr>
          <w:rFonts w:eastAsia="Times New Roman"/>
          <w:highlight w:val="white"/>
        </w:rPr>
        <w:t>Musthofa</w:t>
      </w:r>
      <w:proofErr w:type="spellEnd"/>
      <w:r w:rsidRPr="00E30920">
        <w:rPr>
          <w:rFonts w:eastAsia="Times New Roman"/>
          <w:highlight w:val="white"/>
        </w:rPr>
        <w:t xml:space="preserve">, W., 2024. Biopsychosocial-Spiritual: A Proposed Holistic Approach To </w:t>
      </w:r>
      <w:proofErr w:type="spellStart"/>
      <w:r w:rsidRPr="00E30920">
        <w:rPr>
          <w:rFonts w:eastAsia="Times New Roman"/>
          <w:highlight w:val="white"/>
        </w:rPr>
        <w:t>Ckd</w:t>
      </w:r>
      <w:proofErr w:type="spellEnd"/>
      <w:r w:rsidRPr="00E30920">
        <w:rPr>
          <w:rFonts w:eastAsia="Times New Roman"/>
          <w:highlight w:val="white"/>
        </w:rPr>
        <w:t xml:space="preserve"> Patient Mental Health. </w:t>
      </w:r>
      <w:r w:rsidRPr="00E30920">
        <w:rPr>
          <w:rFonts w:eastAsia="Times New Roman"/>
          <w:i/>
          <w:iCs/>
          <w:highlight w:val="white"/>
        </w:rPr>
        <w:t xml:space="preserve">PROSIDING </w:t>
      </w:r>
      <w:r w:rsidRPr="00E30920">
        <w:rPr>
          <w:rFonts w:eastAsia="Times New Roman"/>
          <w:i/>
          <w:iCs/>
          <w:highlight w:val="white"/>
        </w:rPr>
        <w:t>RELIGION, PSYCHOLOGY AND ENVIRONMENT</w:t>
      </w:r>
      <w:r w:rsidRPr="00E30920">
        <w:rPr>
          <w:rFonts w:eastAsia="Times New Roman"/>
          <w:highlight w:val="white"/>
        </w:rPr>
        <w:t>, pp.9-15.</w:t>
      </w:r>
    </w:p>
    <w:p w14:paraId="569F8CAA" w14:textId="77777777" w:rsidR="008B4488" w:rsidRPr="00E30920" w:rsidRDefault="00000000">
      <w:pPr>
        <w:spacing w:before="200" w:line="360" w:lineRule="auto"/>
        <w:jc w:val="both"/>
        <w:rPr>
          <w:rFonts w:eastAsia="Times New Roman"/>
          <w:highlight w:val="white"/>
        </w:rPr>
      </w:pPr>
      <w:proofErr w:type="spellStart"/>
      <w:r w:rsidRPr="00E30920">
        <w:rPr>
          <w:rFonts w:eastAsia="Times New Roman"/>
          <w:highlight w:val="white"/>
        </w:rPr>
        <w:t>Nalesso</w:t>
      </w:r>
      <w:proofErr w:type="spellEnd"/>
      <w:r w:rsidRPr="00E30920">
        <w:rPr>
          <w:rFonts w:eastAsia="Times New Roman"/>
          <w:highlight w:val="white"/>
        </w:rPr>
        <w:t xml:space="preserve">, F., Garzotto, F., </w:t>
      </w:r>
      <w:proofErr w:type="spellStart"/>
      <w:r w:rsidRPr="00E30920">
        <w:rPr>
          <w:rFonts w:eastAsia="Times New Roman"/>
          <w:highlight w:val="white"/>
        </w:rPr>
        <w:t>Cattarin</w:t>
      </w:r>
      <w:proofErr w:type="spellEnd"/>
      <w:r w:rsidRPr="00E30920">
        <w:rPr>
          <w:rFonts w:eastAsia="Times New Roman"/>
          <w:highlight w:val="white"/>
        </w:rPr>
        <w:t xml:space="preserve">, L., Bettin, E., Cacciapuoti, M., Silvestre, C., Stefanelli, L.F., Furian, L. and </w:t>
      </w:r>
      <w:proofErr w:type="spellStart"/>
      <w:r w:rsidRPr="00E30920">
        <w:rPr>
          <w:rFonts w:eastAsia="Times New Roman"/>
          <w:highlight w:val="white"/>
        </w:rPr>
        <w:t>Calò</w:t>
      </w:r>
      <w:proofErr w:type="spellEnd"/>
      <w:r w:rsidRPr="00E30920">
        <w:rPr>
          <w:rFonts w:eastAsia="Times New Roman"/>
          <w:highlight w:val="white"/>
        </w:rPr>
        <w:t xml:space="preserve">, L.A., 2024. The future for end-stage kidney disease treatment: Implantable bioartificial kidney challenge. </w:t>
      </w:r>
      <w:r w:rsidRPr="00E30920">
        <w:rPr>
          <w:rFonts w:eastAsia="Times New Roman"/>
          <w:i/>
          <w:iCs/>
          <w:highlight w:val="white"/>
        </w:rPr>
        <w:t>Applied Sciences</w:t>
      </w:r>
      <w:r w:rsidRPr="00E30920">
        <w:rPr>
          <w:rFonts w:eastAsia="Times New Roman"/>
          <w:highlight w:val="white"/>
        </w:rPr>
        <w:t xml:space="preserve">, </w:t>
      </w:r>
      <w:r w:rsidRPr="00E30920">
        <w:rPr>
          <w:rFonts w:eastAsia="Times New Roman"/>
          <w:i/>
          <w:iCs/>
          <w:highlight w:val="white"/>
        </w:rPr>
        <w:t>14</w:t>
      </w:r>
      <w:r w:rsidRPr="00E30920">
        <w:rPr>
          <w:rFonts w:eastAsia="Times New Roman"/>
          <w:highlight w:val="white"/>
        </w:rPr>
        <w:t>(2), p.491.</w:t>
      </w:r>
    </w:p>
    <w:p w14:paraId="41E43D75" w14:textId="77777777" w:rsidR="008B4488" w:rsidRPr="00E30920" w:rsidRDefault="00000000">
      <w:pPr>
        <w:spacing w:before="200" w:line="360" w:lineRule="auto"/>
        <w:jc w:val="both"/>
        <w:rPr>
          <w:rFonts w:eastAsia="Times New Roman"/>
          <w:highlight w:val="white"/>
        </w:rPr>
      </w:pPr>
      <w:proofErr w:type="spellStart"/>
      <w:r w:rsidRPr="00E30920">
        <w:rPr>
          <w:rFonts w:eastAsia="Times New Roman"/>
          <w:highlight w:val="white"/>
        </w:rPr>
        <w:t>Pomey</w:t>
      </w:r>
      <w:proofErr w:type="spellEnd"/>
      <w:r w:rsidRPr="00E30920">
        <w:rPr>
          <w:rFonts w:eastAsia="Times New Roman"/>
          <w:highlight w:val="white"/>
        </w:rPr>
        <w:t>, M.P., Schaad, B., Lasserre</w:t>
      </w:r>
      <w:r w:rsidRPr="00E30920">
        <w:rPr>
          <w:rFonts w:ascii="Cambria Math" w:eastAsia="Times New Roman" w:hAnsi="Cambria Math" w:cs="Cambria Math"/>
          <w:highlight w:val="white"/>
        </w:rPr>
        <w:t>‐</w:t>
      </w:r>
      <w:r w:rsidRPr="00E30920">
        <w:rPr>
          <w:rFonts w:eastAsia="Times New Roman"/>
          <w:highlight w:val="white"/>
        </w:rPr>
        <w:t>Moutet, A., Böhme, P. and Jackson, M., 2024. Towards a new integrated model for taking into account the experiential knowledge of people with chronic diseases, integrating mediation, therapeutic education and partnership: the expanded chronic care patient–professional partnership model. Health Expectations, 27(5), p.e70054.</w:t>
      </w:r>
    </w:p>
    <w:p w14:paraId="6C169A54" w14:textId="77777777" w:rsidR="008B4488" w:rsidRPr="00E30920" w:rsidRDefault="00000000">
      <w:pPr>
        <w:spacing w:before="200" w:line="360" w:lineRule="auto"/>
        <w:jc w:val="both"/>
        <w:rPr>
          <w:rFonts w:eastAsia="Times New Roman"/>
          <w:highlight w:val="white"/>
        </w:rPr>
      </w:pPr>
      <w:proofErr w:type="spellStart"/>
      <w:r w:rsidRPr="00E30920">
        <w:rPr>
          <w:rFonts w:eastAsia="Times New Roman"/>
          <w:highlight w:val="white"/>
        </w:rPr>
        <w:t>Odoma</w:t>
      </w:r>
      <w:proofErr w:type="spellEnd"/>
      <w:r w:rsidRPr="00E30920">
        <w:rPr>
          <w:rFonts w:eastAsia="Times New Roman"/>
          <w:highlight w:val="white"/>
        </w:rPr>
        <w:t xml:space="preserve">, V.A., </w:t>
      </w:r>
      <w:proofErr w:type="spellStart"/>
      <w:r w:rsidRPr="00E30920">
        <w:rPr>
          <w:rFonts w:eastAsia="Times New Roman"/>
          <w:highlight w:val="white"/>
        </w:rPr>
        <w:t>Pitliya</w:t>
      </w:r>
      <w:proofErr w:type="spellEnd"/>
      <w:r w:rsidRPr="00E30920">
        <w:rPr>
          <w:rFonts w:eastAsia="Times New Roman"/>
          <w:highlight w:val="white"/>
        </w:rPr>
        <w:t xml:space="preserve">, A., </w:t>
      </w:r>
      <w:proofErr w:type="spellStart"/>
      <w:r w:rsidRPr="00E30920">
        <w:rPr>
          <w:rFonts w:eastAsia="Times New Roman"/>
          <w:highlight w:val="white"/>
        </w:rPr>
        <w:t>AlEdani</w:t>
      </w:r>
      <w:proofErr w:type="spellEnd"/>
      <w:r w:rsidRPr="00E30920">
        <w:rPr>
          <w:rFonts w:eastAsia="Times New Roman"/>
          <w:highlight w:val="white"/>
        </w:rPr>
        <w:t xml:space="preserve">, E., Bhangu, J., Javed, K., </w:t>
      </w:r>
      <w:proofErr w:type="spellStart"/>
      <w:r w:rsidRPr="00E30920">
        <w:rPr>
          <w:rFonts w:eastAsia="Times New Roman"/>
          <w:highlight w:val="white"/>
        </w:rPr>
        <w:t>Manshahia</w:t>
      </w:r>
      <w:proofErr w:type="spellEnd"/>
      <w:r w:rsidRPr="00E30920">
        <w:rPr>
          <w:rFonts w:eastAsia="Times New Roman"/>
          <w:highlight w:val="white"/>
        </w:rPr>
        <w:t xml:space="preserve">, P.K., Nahar, S., Kanda, S., Chatha, U., Mohammed, L. and </w:t>
      </w:r>
      <w:proofErr w:type="spellStart"/>
      <w:r w:rsidRPr="00E30920">
        <w:rPr>
          <w:rFonts w:eastAsia="Times New Roman"/>
          <w:highlight w:val="white"/>
        </w:rPr>
        <w:t>AlEdani</w:t>
      </w:r>
      <w:proofErr w:type="spellEnd"/>
      <w:r w:rsidRPr="00E30920">
        <w:rPr>
          <w:rFonts w:eastAsia="Times New Roman"/>
          <w:highlight w:val="white"/>
        </w:rPr>
        <w:t xml:space="preserve">, E.M., 2023. Opioid prescription in patients with chronic kidney disease: a systematic review of comparing safety and efficacy of opioid use in chronic kidney disease patients. </w:t>
      </w:r>
      <w:r w:rsidRPr="00E30920">
        <w:rPr>
          <w:rFonts w:eastAsia="Times New Roman"/>
          <w:i/>
          <w:iCs/>
          <w:highlight w:val="white"/>
        </w:rPr>
        <w:t>Cureus</w:t>
      </w:r>
      <w:r w:rsidRPr="00E30920">
        <w:rPr>
          <w:rFonts w:eastAsia="Times New Roman"/>
          <w:highlight w:val="white"/>
        </w:rPr>
        <w:t xml:space="preserve">, </w:t>
      </w:r>
      <w:r w:rsidRPr="00E30920">
        <w:rPr>
          <w:rFonts w:eastAsia="Times New Roman"/>
          <w:i/>
          <w:iCs/>
          <w:highlight w:val="white"/>
        </w:rPr>
        <w:t>15</w:t>
      </w:r>
      <w:r w:rsidRPr="00E30920">
        <w:rPr>
          <w:rFonts w:eastAsia="Times New Roman"/>
          <w:highlight w:val="white"/>
        </w:rPr>
        <w:t>(9).</w:t>
      </w:r>
    </w:p>
    <w:p w14:paraId="3A2B66C7" w14:textId="77777777" w:rsidR="008B4488" w:rsidRPr="00E30920" w:rsidRDefault="00000000">
      <w:pPr>
        <w:spacing w:before="200" w:line="360" w:lineRule="auto"/>
        <w:jc w:val="both"/>
        <w:rPr>
          <w:rFonts w:eastAsia="Times New Roman"/>
          <w:highlight w:val="white"/>
        </w:rPr>
      </w:pPr>
      <w:proofErr w:type="spellStart"/>
      <w:r w:rsidRPr="00E30920">
        <w:rPr>
          <w:rFonts w:eastAsia="Times New Roman"/>
          <w:highlight w:val="white"/>
        </w:rPr>
        <w:t>Ohiagu</w:t>
      </w:r>
      <w:proofErr w:type="spellEnd"/>
      <w:r w:rsidRPr="00E30920">
        <w:rPr>
          <w:rFonts w:eastAsia="Times New Roman"/>
          <w:highlight w:val="white"/>
        </w:rPr>
        <w:t xml:space="preserve">, F.O., Chikezie, P.C., Ahaneku, C.C. and Chikezie, C.M., 2022. Human exposure to heavy metals: toxicity mechanisms and health implications. </w:t>
      </w:r>
      <w:r w:rsidRPr="00E30920">
        <w:rPr>
          <w:rFonts w:eastAsia="Times New Roman"/>
          <w:i/>
          <w:iCs/>
          <w:highlight w:val="white"/>
        </w:rPr>
        <w:t>Material Science &amp; Engineering International Journal</w:t>
      </w:r>
      <w:r w:rsidRPr="00E30920">
        <w:rPr>
          <w:rFonts w:eastAsia="Times New Roman"/>
          <w:highlight w:val="white"/>
        </w:rPr>
        <w:t xml:space="preserve">, </w:t>
      </w:r>
      <w:r w:rsidRPr="00E30920">
        <w:rPr>
          <w:rFonts w:eastAsia="Times New Roman"/>
          <w:i/>
          <w:iCs/>
          <w:highlight w:val="white"/>
        </w:rPr>
        <w:t>6</w:t>
      </w:r>
      <w:r w:rsidRPr="00E30920">
        <w:rPr>
          <w:rFonts w:eastAsia="Times New Roman"/>
          <w:highlight w:val="white"/>
        </w:rPr>
        <w:t>(2), pp.78-87.</w:t>
      </w:r>
    </w:p>
    <w:p w14:paraId="2E12A740"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lastRenderedPageBreak/>
        <w:t xml:space="preserve">Pallocci, M., Treglia, M., Passalacqua, P., Tittarelli, R., </w:t>
      </w:r>
      <w:proofErr w:type="spellStart"/>
      <w:r w:rsidRPr="00E30920">
        <w:rPr>
          <w:rFonts w:eastAsia="Times New Roman"/>
          <w:highlight w:val="white"/>
        </w:rPr>
        <w:t>Zanovello</w:t>
      </w:r>
      <w:proofErr w:type="spellEnd"/>
      <w:r w:rsidRPr="00E30920">
        <w:rPr>
          <w:rFonts w:eastAsia="Times New Roman"/>
          <w:highlight w:val="white"/>
        </w:rPr>
        <w:t xml:space="preserve">, C., De Luca, L., </w:t>
      </w:r>
      <w:proofErr w:type="spellStart"/>
      <w:r w:rsidRPr="00E30920">
        <w:rPr>
          <w:rFonts w:eastAsia="Times New Roman"/>
          <w:highlight w:val="white"/>
        </w:rPr>
        <w:t>Caparrelli</w:t>
      </w:r>
      <w:proofErr w:type="spellEnd"/>
      <w:r w:rsidRPr="00E30920">
        <w:rPr>
          <w:rFonts w:eastAsia="Times New Roman"/>
          <w:highlight w:val="white"/>
        </w:rPr>
        <w:t xml:space="preserve">, V., De Luna, V., Cisterna, A.M., Quintavalle, G. and Marsella, L.T., 2023. Informed consent: legal obligation or cornerstone of the care relationship?. </w:t>
      </w:r>
      <w:r w:rsidRPr="00E30920">
        <w:rPr>
          <w:rFonts w:eastAsia="Times New Roman"/>
          <w:i/>
          <w:iCs/>
          <w:highlight w:val="white"/>
        </w:rPr>
        <w:t>International journal of environmental research and public health</w:t>
      </w:r>
      <w:r w:rsidRPr="00E30920">
        <w:rPr>
          <w:rFonts w:eastAsia="Times New Roman"/>
          <w:highlight w:val="white"/>
        </w:rPr>
        <w:t xml:space="preserve">, </w:t>
      </w:r>
      <w:r w:rsidRPr="00E30920">
        <w:rPr>
          <w:rFonts w:eastAsia="Times New Roman"/>
          <w:i/>
          <w:iCs/>
          <w:highlight w:val="white"/>
        </w:rPr>
        <w:t>20</w:t>
      </w:r>
      <w:r w:rsidRPr="00E30920">
        <w:rPr>
          <w:rFonts w:eastAsia="Times New Roman"/>
          <w:highlight w:val="white"/>
        </w:rPr>
        <w:t>(3), p.2118.</w:t>
      </w:r>
    </w:p>
    <w:p w14:paraId="1CA71C9E" w14:textId="77777777" w:rsidR="008B4488" w:rsidRPr="00E30920" w:rsidRDefault="00000000">
      <w:pPr>
        <w:spacing w:before="200" w:line="360" w:lineRule="auto"/>
        <w:jc w:val="both"/>
        <w:rPr>
          <w:rFonts w:eastAsia="Times New Roman"/>
          <w:highlight w:val="white"/>
        </w:rPr>
      </w:pPr>
      <w:proofErr w:type="spellStart"/>
      <w:r w:rsidRPr="00E30920">
        <w:rPr>
          <w:rFonts w:eastAsia="Times New Roman"/>
          <w:highlight w:val="white"/>
        </w:rPr>
        <w:t>Powathil</w:t>
      </w:r>
      <w:proofErr w:type="spellEnd"/>
      <w:r w:rsidRPr="00E30920">
        <w:rPr>
          <w:rFonts w:eastAsia="Times New Roman"/>
          <w:highlight w:val="white"/>
        </w:rPr>
        <w:t xml:space="preserve">, G.G. and Kr, A., 2023. The experience of living with a chronic illness: a qualitative study among end-stage renal disease patients. </w:t>
      </w:r>
      <w:r w:rsidRPr="00E30920">
        <w:rPr>
          <w:rFonts w:eastAsia="Times New Roman"/>
          <w:i/>
          <w:iCs/>
          <w:highlight w:val="white"/>
        </w:rPr>
        <w:t>Journal of Social Work in End-of-Life &amp; Palliative Care</w:t>
      </w:r>
      <w:r w:rsidRPr="00E30920">
        <w:rPr>
          <w:rFonts w:eastAsia="Times New Roman"/>
          <w:highlight w:val="white"/>
        </w:rPr>
        <w:t xml:space="preserve">, </w:t>
      </w:r>
      <w:r w:rsidRPr="00E30920">
        <w:rPr>
          <w:rFonts w:eastAsia="Times New Roman"/>
          <w:i/>
          <w:iCs/>
          <w:highlight w:val="white"/>
        </w:rPr>
        <w:t>19</w:t>
      </w:r>
      <w:r w:rsidRPr="00E30920">
        <w:rPr>
          <w:rFonts w:eastAsia="Times New Roman"/>
          <w:highlight w:val="white"/>
        </w:rPr>
        <w:t>(3), pp.190-208.</w:t>
      </w:r>
    </w:p>
    <w:p w14:paraId="52018F1F"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Scurt, F.G., Ganz, M.J., Herzog, C., Bose, K., Mertens, P.R. and Chatzikyrkou, C., 2024. Association of metabolic syndrome and chronic kidney disease. </w:t>
      </w:r>
      <w:r w:rsidRPr="00E30920">
        <w:rPr>
          <w:rFonts w:eastAsia="Times New Roman"/>
          <w:i/>
          <w:iCs/>
          <w:color w:val="222222"/>
          <w:highlight w:val="white"/>
        </w:rPr>
        <w:t>Obesity reviews</w:t>
      </w:r>
      <w:r w:rsidRPr="00E30920">
        <w:rPr>
          <w:rFonts w:eastAsia="Times New Roman"/>
          <w:color w:val="222222"/>
          <w:highlight w:val="white"/>
        </w:rPr>
        <w:t xml:space="preserve">, </w:t>
      </w:r>
      <w:r w:rsidRPr="00E30920">
        <w:rPr>
          <w:rFonts w:eastAsia="Times New Roman"/>
          <w:i/>
          <w:iCs/>
          <w:color w:val="222222"/>
          <w:highlight w:val="white"/>
        </w:rPr>
        <w:t>25</w:t>
      </w:r>
      <w:r w:rsidRPr="00E30920">
        <w:rPr>
          <w:rFonts w:eastAsia="Times New Roman"/>
          <w:color w:val="222222"/>
          <w:highlight w:val="white"/>
        </w:rPr>
        <w:t>(1), p.e13649.</w:t>
      </w:r>
    </w:p>
    <w:p w14:paraId="20DC7B2B"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Scurt, F.G., Ganz, M.J., Herzog, C., Bose, K., Mertens, P.R. and Chatzikyrkou, C., 2024. Association of metabolic syndrome and chronic kidney disease. </w:t>
      </w:r>
      <w:r w:rsidRPr="00E30920">
        <w:rPr>
          <w:rFonts w:eastAsia="Times New Roman"/>
          <w:i/>
          <w:iCs/>
          <w:highlight w:val="white"/>
        </w:rPr>
        <w:t>Obesity reviews</w:t>
      </w:r>
      <w:r w:rsidRPr="00E30920">
        <w:rPr>
          <w:rFonts w:eastAsia="Times New Roman"/>
          <w:highlight w:val="white"/>
        </w:rPr>
        <w:t xml:space="preserve">, </w:t>
      </w:r>
      <w:r w:rsidRPr="00E30920">
        <w:rPr>
          <w:rFonts w:eastAsia="Times New Roman"/>
          <w:i/>
          <w:iCs/>
          <w:highlight w:val="white"/>
        </w:rPr>
        <w:t>25</w:t>
      </w:r>
      <w:r w:rsidRPr="00E30920">
        <w:rPr>
          <w:rFonts w:eastAsia="Times New Roman"/>
          <w:highlight w:val="white"/>
        </w:rPr>
        <w:t>(1), p.e13649.</w:t>
      </w:r>
    </w:p>
    <w:p w14:paraId="456DF178"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Shrestha, S., Haq, K., Malhotra, D. and Patel, D.M., 2024. Care of adults with advanced chronic kidney disease. </w:t>
      </w:r>
      <w:r w:rsidRPr="00E30920">
        <w:rPr>
          <w:rFonts w:eastAsia="Times New Roman"/>
          <w:i/>
          <w:iCs/>
          <w:highlight w:val="white"/>
        </w:rPr>
        <w:t>Journal of Clinical Medicine</w:t>
      </w:r>
      <w:r w:rsidRPr="00E30920">
        <w:rPr>
          <w:rFonts w:eastAsia="Times New Roman"/>
          <w:highlight w:val="white"/>
        </w:rPr>
        <w:t>, 13(15), p.4378. Available at:</w:t>
      </w:r>
      <w:hyperlink r:id="rId14">
        <w:r w:rsidR="008B4488" w:rsidRPr="00E30920">
          <w:rPr>
            <w:rFonts w:eastAsia="Times New Roman"/>
            <w:highlight w:val="white"/>
          </w:rPr>
          <w:t xml:space="preserve"> </w:t>
        </w:r>
      </w:hyperlink>
      <w:hyperlink r:id="rId15">
        <w:r w:rsidR="008B4488" w:rsidRPr="00E30920">
          <w:rPr>
            <w:rFonts w:eastAsia="Times New Roman"/>
            <w:highlight w:val="white"/>
            <w:u w:val="single"/>
          </w:rPr>
          <w:t>https://www.mdpi.com/2077-0383/13/15/4378</w:t>
        </w:r>
      </w:hyperlink>
      <w:r w:rsidRPr="00E30920">
        <w:rPr>
          <w:rFonts w:eastAsia="Times New Roman"/>
          <w:highlight w:val="white"/>
        </w:rPr>
        <w:t xml:space="preserve"> (Accessed: 9 March 2026).</w:t>
      </w:r>
    </w:p>
    <w:p w14:paraId="25D5620F"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Stewart, S., Kalra, P.A., Blakeman, T., </w:t>
      </w:r>
      <w:proofErr w:type="spellStart"/>
      <w:r w:rsidRPr="00E30920">
        <w:rPr>
          <w:rFonts w:eastAsia="Times New Roman"/>
          <w:highlight w:val="white"/>
        </w:rPr>
        <w:t>Kontopantelis</w:t>
      </w:r>
      <w:proofErr w:type="spellEnd"/>
      <w:r w:rsidRPr="00E30920">
        <w:rPr>
          <w:rFonts w:eastAsia="Times New Roman"/>
          <w:highlight w:val="white"/>
        </w:rPr>
        <w:t xml:space="preserve">, E., Cranmer-Gordon, H. and Sinha, S., 2024. Chronic kidney </w:t>
      </w:r>
      <w:r w:rsidRPr="00E30920">
        <w:rPr>
          <w:rFonts w:eastAsia="Times New Roman"/>
          <w:highlight w:val="white"/>
        </w:rPr>
        <w:t xml:space="preserve">disease: detect, diagnose, disclose—a UK primary care perspective of barriers and enablers to effective kidney care. </w:t>
      </w:r>
      <w:r w:rsidRPr="00E30920">
        <w:rPr>
          <w:rFonts w:eastAsia="Times New Roman"/>
          <w:i/>
          <w:iCs/>
          <w:highlight w:val="white"/>
        </w:rPr>
        <w:t>BMC medicine</w:t>
      </w:r>
      <w:r w:rsidRPr="00E30920">
        <w:rPr>
          <w:rFonts w:eastAsia="Times New Roman"/>
          <w:highlight w:val="white"/>
        </w:rPr>
        <w:t xml:space="preserve">, </w:t>
      </w:r>
      <w:r w:rsidRPr="00E30920">
        <w:rPr>
          <w:rFonts w:eastAsia="Times New Roman"/>
          <w:i/>
          <w:iCs/>
          <w:highlight w:val="white"/>
        </w:rPr>
        <w:t>22</w:t>
      </w:r>
      <w:r w:rsidRPr="00E30920">
        <w:rPr>
          <w:rFonts w:eastAsia="Times New Roman"/>
          <w:highlight w:val="white"/>
        </w:rPr>
        <w:t>(1), p.331.</w:t>
      </w:r>
    </w:p>
    <w:p w14:paraId="061FAEA6"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Tannor, E.K. and Calice-Silva, V., 2022. Kidney health for all—Efforts in low-income settings to enhance community engagement, kidney health awareness, and screening. </w:t>
      </w:r>
      <w:r w:rsidRPr="00E30920">
        <w:rPr>
          <w:rFonts w:eastAsia="Times New Roman"/>
          <w:i/>
          <w:iCs/>
          <w:highlight w:val="white"/>
        </w:rPr>
        <w:t>Kidney International Reports</w:t>
      </w:r>
      <w:r w:rsidRPr="00E30920">
        <w:rPr>
          <w:rFonts w:eastAsia="Times New Roman"/>
          <w:highlight w:val="white"/>
        </w:rPr>
        <w:t xml:space="preserve">, </w:t>
      </w:r>
      <w:r w:rsidRPr="00E30920">
        <w:rPr>
          <w:rFonts w:eastAsia="Times New Roman"/>
          <w:i/>
          <w:iCs/>
          <w:highlight w:val="white"/>
        </w:rPr>
        <w:t>7</w:t>
      </w:r>
      <w:r w:rsidRPr="00E30920">
        <w:rPr>
          <w:rFonts w:eastAsia="Times New Roman"/>
          <w:highlight w:val="white"/>
        </w:rPr>
        <w:t>(3), pp.359-362.</w:t>
      </w:r>
    </w:p>
    <w:p w14:paraId="087BB794"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Thorp, K.E., Thorp, J.A., Northrup, C., Thorp, E.M., Scott-</w:t>
      </w:r>
      <w:proofErr w:type="spellStart"/>
      <w:r w:rsidRPr="00E30920">
        <w:rPr>
          <w:rFonts w:eastAsia="Times New Roman"/>
          <w:highlight w:val="white"/>
        </w:rPr>
        <w:t>Emuakpor</w:t>
      </w:r>
      <w:proofErr w:type="spellEnd"/>
      <w:r w:rsidRPr="00E30920">
        <w:rPr>
          <w:rFonts w:eastAsia="Times New Roman"/>
          <w:highlight w:val="white"/>
        </w:rPr>
        <w:t xml:space="preserve">, A. and </w:t>
      </w:r>
      <w:proofErr w:type="spellStart"/>
      <w:r w:rsidRPr="00E30920">
        <w:rPr>
          <w:rFonts w:eastAsia="Times New Roman"/>
          <w:highlight w:val="white"/>
        </w:rPr>
        <w:t>Kepros</w:t>
      </w:r>
      <w:proofErr w:type="spellEnd"/>
      <w:r w:rsidRPr="00E30920">
        <w:rPr>
          <w:rFonts w:eastAsia="Times New Roman"/>
          <w:highlight w:val="white"/>
        </w:rPr>
        <w:t xml:space="preserve">, J.P., 2023. Energy dynamics in chronic heart failure, chronic kidney disease &amp; the cardiorenal syndrome: a new causal paradigm. </w:t>
      </w:r>
      <w:r w:rsidRPr="00E30920">
        <w:rPr>
          <w:rFonts w:eastAsia="Times New Roman"/>
          <w:i/>
          <w:iCs/>
          <w:highlight w:val="white"/>
        </w:rPr>
        <w:t>dialysis and transplantation</w:t>
      </w:r>
      <w:r w:rsidRPr="00E30920">
        <w:rPr>
          <w:rFonts w:eastAsia="Times New Roman"/>
          <w:highlight w:val="white"/>
        </w:rPr>
        <w:t xml:space="preserve">, </w:t>
      </w:r>
      <w:r w:rsidRPr="00E30920">
        <w:rPr>
          <w:rFonts w:eastAsia="Times New Roman"/>
          <w:i/>
          <w:iCs/>
          <w:highlight w:val="white"/>
        </w:rPr>
        <w:t>5</w:t>
      </w:r>
      <w:r w:rsidRPr="00E30920">
        <w:rPr>
          <w:rFonts w:eastAsia="Times New Roman"/>
          <w:highlight w:val="white"/>
        </w:rPr>
        <w:t>, p.6.</w:t>
      </w:r>
    </w:p>
    <w:p w14:paraId="0D3E4EC2"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Tu, C., Wang, L., Wei, L. and Jiang, Z. (2022) </w:t>
      </w:r>
      <w:r w:rsidRPr="00E30920">
        <w:rPr>
          <w:rFonts w:eastAsia="Times New Roman"/>
          <w:i/>
          <w:iCs/>
          <w:color w:val="222222"/>
          <w:highlight w:val="white"/>
        </w:rPr>
        <w:t>The role of circular RNA in diabetic nephropathy</w:t>
      </w:r>
      <w:r w:rsidRPr="00E30920">
        <w:rPr>
          <w:rFonts w:eastAsia="Times New Roman"/>
          <w:color w:val="222222"/>
          <w:highlight w:val="white"/>
        </w:rPr>
        <w:t>. Available at:</w:t>
      </w:r>
      <w:hyperlink r:id="rId16">
        <w:r w:rsidR="008B4488" w:rsidRPr="00E30920">
          <w:rPr>
            <w:rFonts w:eastAsia="Times New Roman"/>
            <w:color w:val="222222"/>
            <w:highlight w:val="white"/>
          </w:rPr>
          <w:t xml:space="preserve"> </w:t>
        </w:r>
      </w:hyperlink>
      <w:hyperlink r:id="rId17">
        <w:r w:rsidR="008B4488" w:rsidRPr="00E30920">
          <w:rPr>
            <w:rFonts w:eastAsia="Times New Roman"/>
            <w:color w:val="1155CC"/>
            <w:highlight w:val="white"/>
            <w:u w:val="single"/>
          </w:rPr>
          <w:t>https://www.researchgate.net/figure/Illustration-of-the-kidney-diseases-pathogenesis-and-disease-development_fig1_378106074</w:t>
        </w:r>
      </w:hyperlink>
      <w:r w:rsidRPr="00E30920">
        <w:rPr>
          <w:rFonts w:eastAsia="Times New Roman"/>
          <w:color w:val="222222"/>
          <w:highlight w:val="white"/>
        </w:rPr>
        <w:t xml:space="preserve"> (Accessed: 4 March 2026).</w:t>
      </w:r>
    </w:p>
    <w:p w14:paraId="2A601F7A"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Vassalotti, J.A., Francis, A., Soares dos Santos Jr, A.C., Correa-Rotter, R., Abdellatif, D., Hsiao, L.L., Roumeliotis, S., Haris, A., Kumaraswami, L.A., Lui, S.F. and Balducci, A., 2025. Are your kidneys ok? Detect early to protect kidney health. </w:t>
      </w:r>
      <w:r w:rsidRPr="00E30920">
        <w:rPr>
          <w:rFonts w:eastAsia="Times New Roman"/>
          <w:i/>
          <w:iCs/>
          <w:highlight w:val="white"/>
        </w:rPr>
        <w:t>Nephron</w:t>
      </w:r>
      <w:r w:rsidRPr="00E30920">
        <w:rPr>
          <w:rFonts w:eastAsia="Times New Roman"/>
          <w:highlight w:val="white"/>
        </w:rPr>
        <w:t xml:space="preserve">, </w:t>
      </w:r>
      <w:r w:rsidRPr="00E30920">
        <w:rPr>
          <w:rFonts w:eastAsia="Times New Roman"/>
          <w:i/>
          <w:iCs/>
          <w:highlight w:val="white"/>
        </w:rPr>
        <w:t>149</w:t>
      </w:r>
      <w:r w:rsidRPr="00E30920">
        <w:rPr>
          <w:rFonts w:eastAsia="Times New Roman"/>
          <w:highlight w:val="white"/>
        </w:rPr>
        <w:t>(11), pp.691-700.</w:t>
      </w:r>
    </w:p>
    <w:p w14:paraId="44A44B3C" w14:textId="77777777" w:rsidR="008B4488" w:rsidRPr="00E30920" w:rsidRDefault="00000000">
      <w:pPr>
        <w:spacing w:before="200" w:line="360" w:lineRule="auto"/>
        <w:jc w:val="both"/>
        <w:rPr>
          <w:rFonts w:eastAsia="Times New Roman"/>
          <w:color w:val="222222"/>
          <w:highlight w:val="white"/>
        </w:rPr>
      </w:pPr>
      <w:r w:rsidRPr="00E30920">
        <w:rPr>
          <w:rFonts w:eastAsia="Times New Roman"/>
          <w:color w:val="222222"/>
          <w:highlight w:val="white"/>
        </w:rPr>
        <w:t xml:space="preserve">Wang, Y., Feng, Y., Li, M., Yang, M., Shi, G., Xuan, Z., Yin, D. and Xu, F., 2022. </w:t>
      </w:r>
      <w:r w:rsidRPr="00E30920">
        <w:rPr>
          <w:rFonts w:eastAsia="Times New Roman"/>
          <w:color w:val="222222"/>
          <w:highlight w:val="white"/>
        </w:rPr>
        <w:lastRenderedPageBreak/>
        <w:t xml:space="preserve">Traditional Chinese medicine in the treatment of chronic kidney diseases: theories, applications, and mechanisms. </w:t>
      </w:r>
      <w:r w:rsidRPr="00E30920">
        <w:rPr>
          <w:rFonts w:eastAsia="Times New Roman"/>
          <w:i/>
          <w:iCs/>
          <w:color w:val="222222"/>
          <w:highlight w:val="white"/>
        </w:rPr>
        <w:t>Frontiers in pharmacology</w:t>
      </w:r>
      <w:r w:rsidRPr="00E30920">
        <w:rPr>
          <w:rFonts w:eastAsia="Times New Roman"/>
          <w:color w:val="222222"/>
          <w:highlight w:val="white"/>
        </w:rPr>
        <w:t xml:space="preserve">, </w:t>
      </w:r>
      <w:r w:rsidRPr="00E30920">
        <w:rPr>
          <w:rFonts w:eastAsia="Times New Roman"/>
          <w:i/>
          <w:iCs/>
          <w:color w:val="222222"/>
          <w:highlight w:val="white"/>
        </w:rPr>
        <w:t>13</w:t>
      </w:r>
      <w:r w:rsidRPr="00E30920">
        <w:rPr>
          <w:rFonts w:eastAsia="Times New Roman"/>
          <w:color w:val="222222"/>
          <w:highlight w:val="white"/>
        </w:rPr>
        <w:t>, p.917975.</w:t>
      </w:r>
    </w:p>
    <w:p w14:paraId="6DE71450" w14:textId="77777777" w:rsidR="008B4488" w:rsidRPr="00E30920" w:rsidRDefault="00000000">
      <w:pPr>
        <w:spacing w:before="200" w:line="360" w:lineRule="auto"/>
        <w:jc w:val="both"/>
        <w:rPr>
          <w:rFonts w:eastAsia="Times New Roman"/>
          <w:highlight w:val="white"/>
        </w:rPr>
      </w:pPr>
      <w:r w:rsidRPr="00E30920">
        <w:rPr>
          <w:rFonts w:eastAsia="Times New Roman"/>
          <w:highlight w:val="white"/>
        </w:rPr>
        <w:t xml:space="preserve">Yapa, H.E., Chambers, S., Purtell, L. and Bonner, A., 2024. Impact of chronic kidney disease on everyday life: A descriptive qualitative study. </w:t>
      </w:r>
      <w:r w:rsidRPr="00E30920">
        <w:rPr>
          <w:rFonts w:eastAsia="Times New Roman"/>
          <w:i/>
          <w:iCs/>
          <w:highlight w:val="white"/>
        </w:rPr>
        <w:t>Journal of Renal Care</w:t>
      </w:r>
      <w:r w:rsidRPr="00E30920">
        <w:rPr>
          <w:rFonts w:eastAsia="Times New Roman"/>
          <w:highlight w:val="white"/>
        </w:rPr>
        <w:t xml:space="preserve">, </w:t>
      </w:r>
      <w:r w:rsidRPr="00E30920">
        <w:rPr>
          <w:rFonts w:eastAsia="Times New Roman"/>
          <w:i/>
          <w:iCs/>
          <w:highlight w:val="white"/>
        </w:rPr>
        <w:t>50</w:t>
      </w:r>
      <w:r w:rsidRPr="00E30920">
        <w:rPr>
          <w:rFonts w:eastAsia="Times New Roman"/>
          <w:highlight w:val="white"/>
        </w:rPr>
        <w:t>(3), pp.201-211.</w:t>
      </w:r>
    </w:p>
    <w:p w14:paraId="550320E5" w14:textId="77777777" w:rsidR="008B4488" w:rsidRPr="00E30920" w:rsidRDefault="008B4488">
      <w:pPr>
        <w:spacing w:before="200" w:line="360" w:lineRule="auto"/>
        <w:jc w:val="both"/>
        <w:rPr>
          <w:rFonts w:eastAsia="Times New Roman"/>
          <w:color w:val="222222"/>
          <w:highlight w:val="white"/>
        </w:rPr>
      </w:pPr>
    </w:p>
    <w:p w14:paraId="7411D751" w14:textId="77777777" w:rsidR="008B4488" w:rsidRPr="00E30920" w:rsidRDefault="008B4488">
      <w:pPr>
        <w:spacing w:before="200" w:line="360" w:lineRule="auto"/>
        <w:jc w:val="both"/>
        <w:rPr>
          <w:rFonts w:eastAsia="Times New Roman"/>
          <w:color w:val="222222"/>
          <w:highlight w:val="white"/>
        </w:rPr>
      </w:pPr>
    </w:p>
    <w:p w14:paraId="6B7E2E5E" w14:textId="77777777" w:rsidR="008B4488" w:rsidRPr="00E30920" w:rsidRDefault="008B4488">
      <w:pPr>
        <w:spacing w:before="200" w:line="360" w:lineRule="auto"/>
        <w:jc w:val="both"/>
        <w:rPr>
          <w:rFonts w:eastAsia="Times New Roman"/>
          <w:color w:val="222222"/>
          <w:highlight w:val="white"/>
        </w:rPr>
      </w:pPr>
    </w:p>
    <w:p w14:paraId="62C5B45F" w14:textId="77777777" w:rsidR="008B4488" w:rsidRPr="00E30920" w:rsidRDefault="008B4488">
      <w:pPr>
        <w:spacing w:before="200" w:line="360" w:lineRule="auto"/>
        <w:jc w:val="both"/>
        <w:rPr>
          <w:rFonts w:eastAsia="Times New Roman"/>
          <w:color w:val="222222"/>
          <w:highlight w:val="white"/>
        </w:rPr>
      </w:pPr>
    </w:p>
    <w:p w14:paraId="55A593D3" w14:textId="77777777" w:rsidR="008B4488" w:rsidRPr="00E30920" w:rsidRDefault="008B4488">
      <w:pPr>
        <w:spacing w:before="200" w:line="360" w:lineRule="auto"/>
        <w:jc w:val="both"/>
        <w:rPr>
          <w:rFonts w:eastAsia="Times New Roman"/>
          <w:color w:val="222222"/>
          <w:highlight w:val="white"/>
        </w:rPr>
      </w:pPr>
    </w:p>
    <w:p w14:paraId="4C24F465" w14:textId="77777777" w:rsidR="008B4488" w:rsidRPr="00E30920" w:rsidRDefault="008B4488">
      <w:pPr>
        <w:spacing w:before="200" w:line="360" w:lineRule="auto"/>
        <w:jc w:val="both"/>
        <w:rPr>
          <w:rFonts w:eastAsia="Times New Roman"/>
          <w:color w:val="222222"/>
          <w:highlight w:val="white"/>
        </w:rPr>
      </w:pPr>
    </w:p>
    <w:p w14:paraId="40C0B25D" w14:textId="77777777" w:rsidR="008B4488" w:rsidRPr="00E30920" w:rsidRDefault="008B4488">
      <w:pPr>
        <w:spacing w:before="200" w:line="360" w:lineRule="auto"/>
        <w:jc w:val="both"/>
        <w:rPr>
          <w:rFonts w:eastAsia="Times New Roman"/>
          <w:color w:val="222222"/>
          <w:highlight w:val="white"/>
        </w:rPr>
      </w:pPr>
    </w:p>
    <w:p w14:paraId="3B87744D" w14:textId="77777777" w:rsidR="008B4488" w:rsidRPr="00E30920" w:rsidRDefault="008B4488">
      <w:pPr>
        <w:spacing w:before="200" w:line="360" w:lineRule="auto"/>
        <w:jc w:val="both"/>
        <w:rPr>
          <w:rFonts w:eastAsia="Times New Roman"/>
          <w:color w:val="222222"/>
          <w:highlight w:val="white"/>
        </w:rPr>
      </w:pPr>
    </w:p>
    <w:p w14:paraId="568571A2" w14:textId="77777777" w:rsidR="008B4488" w:rsidRPr="00E30920" w:rsidRDefault="008B4488">
      <w:pPr>
        <w:spacing w:line="360" w:lineRule="auto"/>
        <w:jc w:val="both"/>
        <w:rPr>
          <w:rFonts w:eastAsia="Times New Roman"/>
          <w:b/>
          <w:bCs/>
        </w:rPr>
      </w:pPr>
    </w:p>
    <w:p w14:paraId="58652E83" w14:textId="77777777" w:rsidR="008B4488" w:rsidRPr="00E30920" w:rsidRDefault="008B4488">
      <w:pPr>
        <w:spacing w:line="360" w:lineRule="auto"/>
        <w:jc w:val="both"/>
        <w:rPr>
          <w:rFonts w:eastAsia="Times New Roman"/>
          <w:b/>
          <w:bCs/>
        </w:rPr>
      </w:pPr>
    </w:p>
    <w:sectPr w:rsidR="008B4488" w:rsidRPr="00E30920" w:rsidSect="00B563C9">
      <w:type w:val="continuous"/>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num="2"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64055" w14:textId="77777777" w:rsidR="00E5066A" w:rsidRDefault="00E5066A">
      <w:pPr>
        <w:spacing w:line="240" w:lineRule="auto"/>
      </w:pPr>
      <w:r>
        <w:separator/>
      </w:r>
    </w:p>
  </w:endnote>
  <w:endnote w:type="continuationSeparator" w:id="0">
    <w:p w14:paraId="5C9B67D5" w14:textId="77777777" w:rsidR="00E5066A" w:rsidRDefault="00E506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E9BA1B93-5381-4033-8BF6-9A48A91CDCE4}"/>
  </w:font>
  <w:font w:name="Calibri">
    <w:panose1 w:val="020F0502020204030204"/>
    <w:charset w:val="00"/>
    <w:family w:val="swiss"/>
    <w:pitch w:val="variable"/>
    <w:sig w:usb0="E4002EFF" w:usb1="C200247B" w:usb2="00000009" w:usb3="00000000" w:csb0="000001FF" w:csb1="00000000"/>
    <w:embedRegular r:id="rId2" w:fontKey="{19B993C8-1856-4023-8C0A-719841C50F83}"/>
  </w:font>
  <w:font w:name="Shruti">
    <w:panose1 w:val="020B0502040204020203"/>
    <w:charset w:val="00"/>
    <w:family w:val="swiss"/>
    <w:pitch w:val="variable"/>
    <w:sig w:usb0="00040003" w:usb1="00000000" w:usb2="00000000" w:usb3="00000000" w:csb0="00000001" w:csb1="00000000"/>
    <w:embedRegular r:id="rId3" w:fontKey="{AB4755C5-0158-43A9-A7A0-EA1E7CBA2E09}"/>
  </w:font>
  <w:font w:name="Cambria">
    <w:panose1 w:val="02040503050406030204"/>
    <w:charset w:val="00"/>
    <w:family w:val="roman"/>
    <w:pitch w:val="variable"/>
    <w:sig w:usb0="E00006FF" w:usb1="420024FF" w:usb2="02000000" w:usb3="00000000" w:csb0="0000019F" w:csb1="00000000"/>
    <w:embedRegular r:id="rId4" w:fontKey="{FE01408E-493A-48C6-8EC3-BAE212156A4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B15C7" w14:textId="77777777" w:rsidR="008B4488" w:rsidRPr="0062415B" w:rsidRDefault="00000000">
    <w:pPr>
      <w:jc w:val="right"/>
      <w:rPr>
        <w:rFonts w:ascii="Times New Roman" w:eastAsia="Times New Roman" w:hAnsi="Times New Roman" w:cs="Times New Roman"/>
        <w:sz w:val="24"/>
        <w:szCs w:val="24"/>
      </w:rPr>
    </w:pPr>
    <w:r w:rsidRPr="0062415B">
      <w:rPr>
        <w:rFonts w:ascii="Times New Roman" w:eastAsia="Times New Roman" w:hAnsi="Times New Roman" w:cs="Times New Roman"/>
        <w:sz w:val="24"/>
        <w:szCs w:val="24"/>
      </w:rPr>
      <w:fldChar w:fldCharType="begin"/>
    </w:r>
    <w:r w:rsidRPr="0062415B">
      <w:rPr>
        <w:rFonts w:ascii="Times New Roman" w:eastAsia="Times New Roman" w:hAnsi="Times New Roman" w:cs="Times New Roman"/>
        <w:sz w:val="24"/>
        <w:szCs w:val="24"/>
      </w:rPr>
      <w:instrText>PAGE</w:instrText>
    </w:r>
    <w:r w:rsidRPr="0062415B">
      <w:rPr>
        <w:rFonts w:ascii="Times New Roman" w:eastAsia="Times New Roman" w:hAnsi="Times New Roman" w:cs="Times New Roman"/>
        <w:sz w:val="24"/>
        <w:szCs w:val="24"/>
      </w:rPr>
      <w:fldChar w:fldCharType="separate"/>
    </w:r>
    <w:r w:rsidR="00475BD9" w:rsidRPr="0062415B">
      <w:rPr>
        <w:rFonts w:ascii="Times New Roman" w:eastAsia="Times New Roman" w:hAnsi="Times New Roman" w:cs="Times New Roman"/>
        <w:noProof/>
        <w:sz w:val="24"/>
        <w:szCs w:val="24"/>
      </w:rPr>
      <w:t>1</w:t>
    </w:r>
    <w:r w:rsidRPr="0062415B">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73A30" w14:textId="77777777" w:rsidR="00E5066A" w:rsidRDefault="00E5066A">
      <w:pPr>
        <w:spacing w:line="240" w:lineRule="auto"/>
      </w:pPr>
      <w:r>
        <w:separator/>
      </w:r>
    </w:p>
  </w:footnote>
  <w:footnote w:type="continuationSeparator" w:id="0">
    <w:p w14:paraId="300297DF" w14:textId="77777777" w:rsidR="00E5066A" w:rsidRDefault="00E506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488"/>
    <w:rsid w:val="00166EA9"/>
    <w:rsid w:val="00177AB4"/>
    <w:rsid w:val="002004B5"/>
    <w:rsid w:val="002C6A15"/>
    <w:rsid w:val="00301A98"/>
    <w:rsid w:val="003679E4"/>
    <w:rsid w:val="00475BD9"/>
    <w:rsid w:val="004F56E4"/>
    <w:rsid w:val="0062415B"/>
    <w:rsid w:val="00706A3F"/>
    <w:rsid w:val="007F0F28"/>
    <w:rsid w:val="00821D8A"/>
    <w:rsid w:val="008B4488"/>
    <w:rsid w:val="00AF48DB"/>
    <w:rsid w:val="00B00160"/>
    <w:rsid w:val="00B563C9"/>
    <w:rsid w:val="00BA4675"/>
    <w:rsid w:val="00BD5B49"/>
    <w:rsid w:val="00C017CB"/>
    <w:rsid w:val="00D43912"/>
    <w:rsid w:val="00E30920"/>
    <w:rsid w:val="00E5066A"/>
    <w:rsid w:val="00FE387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C51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styleId="TableGrid">
    <w:name w:val="Table Grid"/>
    <w:basedOn w:val="TableNormal"/>
    <w:uiPriority w:val="39"/>
    <w:rsid w:val="00F13D8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13B5"/>
    <w:pPr>
      <w:ind w:left="720"/>
      <w:contextualSpacing/>
    </w:pPr>
  </w:style>
  <w:style w:type="paragraph" w:styleId="Header">
    <w:name w:val="header"/>
    <w:basedOn w:val="Normal"/>
    <w:link w:val="HeaderChar"/>
    <w:uiPriority w:val="99"/>
    <w:unhideWhenUsed/>
    <w:rsid w:val="003E756F"/>
    <w:pPr>
      <w:tabs>
        <w:tab w:val="center" w:pos="4513"/>
        <w:tab w:val="right" w:pos="9026"/>
      </w:tabs>
      <w:spacing w:line="240" w:lineRule="auto"/>
    </w:pPr>
  </w:style>
  <w:style w:type="character" w:customStyle="1" w:styleId="HeaderChar">
    <w:name w:val="Header Char"/>
    <w:basedOn w:val="DefaultParagraphFont"/>
    <w:link w:val="Header"/>
    <w:uiPriority w:val="99"/>
    <w:rsid w:val="003E756F"/>
  </w:style>
  <w:style w:type="paragraph" w:styleId="Footer">
    <w:name w:val="footer"/>
    <w:basedOn w:val="Normal"/>
    <w:link w:val="FooterChar"/>
    <w:uiPriority w:val="99"/>
    <w:unhideWhenUsed/>
    <w:rsid w:val="003E756F"/>
    <w:pPr>
      <w:tabs>
        <w:tab w:val="center" w:pos="4513"/>
        <w:tab w:val="right" w:pos="9026"/>
      </w:tabs>
      <w:spacing w:line="240" w:lineRule="auto"/>
    </w:pPr>
  </w:style>
  <w:style w:type="character" w:customStyle="1" w:styleId="FooterChar">
    <w:name w:val="Footer Char"/>
    <w:basedOn w:val="DefaultParagraphFont"/>
    <w:link w:val="Footer"/>
    <w:uiPriority w:val="99"/>
    <w:rsid w:val="003E756F"/>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style>
  <w:style w:type="paragraph" w:styleId="TOC1">
    <w:name w:val="toc 1"/>
    <w:basedOn w:val="Normal"/>
    <w:next w:val="Normal"/>
    <w:autoRedefine/>
    <w:uiPriority w:val="39"/>
    <w:unhideWhenUsed/>
    <w:rsid w:val="002004B5"/>
    <w:pPr>
      <w:spacing w:after="100"/>
    </w:pPr>
  </w:style>
  <w:style w:type="paragraph" w:styleId="TOC2">
    <w:name w:val="toc 2"/>
    <w:basedOn w:val="Normal"/>
    <w:next w:val="Normal"/>
    <w:autoRedefine/>
    <w:uiPriority w:val="39"/>
    <w:unhideWhenUsed/>
    <w:rsid w:val="002004B5"/>
    <w:pPr>
      <w:spacing w:after="100"/>
      <w:ind w:left="220"/>
    </w:pPr>
  </w:style>
  <w:style w:type="character" w:styleId="Hyperlink">
    <w:name w:val="Hyperlink"/>
    <w:basedOn w:val="DefaultParagraphFont"/>
    <w:uiPriority w:val="99"/>
    <w:unhideWhenUsed/>
    <w:rsid w:val="002004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urgery.wustl.edu/three-aspects-of-health-and-healing-the-biopsychosocial-model/?utm_source=chatgp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surgery.wustl.edu/three-aspects-of-health-and-healing-the-biopsychosocial-model/?utm_source=chatgpt.com" TargetMode="External"/><Relationship Id="rId17" Type="http://schemas.openxmlformats.org/officeDocument/2006/relationships/hyperlink" Target="https://www.researchgate.net/figure/Illustration-of-the-kidney-diseases-pathogenesis-and-disease-development_fig1_378106074" TargetMode="External"/><Relationship Id="rId2" Type="http://schemas.openxmlformats.org/officeDocument/2006/relationships/styles" Target="styles.xml"/><Relationship Id="rId16" Type="http://schemas.openxmlformats.org/officeDocument/2006/relationships/hyperlink" Target="https://www.researchgate.net/figure/Illustration-of-the-kidney-diseases-pathogenesis-and-disease-development_fig1_37810607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mdpi.com/2077-0383/13/15/4378/notes?utm_source=chatgpt.com"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mdpi.com/2077-0383/13/15/4378/notes?utm_source=chatgpt.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TvWTgaWc8Xb3p92c9taLwnpgiQ==">CgMxLjAyDmgucGlhdW00cm5jbXRtMg5oLndrNzIxa3M0dnhmYTIOaC4xcGJ3emh4a3YyN2oyDmgubjAxNmxnNXh3eWRlMg5oLnh1bHE0ZHc1YWdldjIOaC5oOW1iaXY0NHRsdHYyDmguOGh4cnljbmk5cHdvMg5oLm1iY3pzZ21sMGt1bzIOaC5sNjgyeW1iOGZwNmUyDWgudWMwbTVpZzE4M24yDmguNXg4eWp4bHBoZGFwMg5oLnZvendpNmN5cDg2NDIOaC5yMnR6bzIybnE4Z3QyDmguZXpobDZjMmlqYjVwOAByITFoVE56UjE3SWJQcjJUM3NCMzB1cl9tdW1WUVgxV2Y2T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4410</Words>
  <Characters>25142</Characters>
  <Application>Microsoft Office Word</Application>
  <DocSecurity>0</DocSecurity>
  <Lines>209</Lines>
  <Paragraphs>58</Paragraphs>
  <ScaleCrop>false</ScaleCrop>
  <LinksUpToDate>false</LinksUpToDate>
  <CharactersWithSpaces>29494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2026-03-19T11:13:00Z</dcterms:created>
  <dcterms:modified xsi:type="dcterms:W3CDTF">2026-03-19T11:13:00Z</dcterms:modified>
</cp:coreProperties>
</file>