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3B9DB0" w14:textId="50D4DE30" w:rsidR="00613545" w:rsidRDefault="00EE553A" w:rsidP="00EE553A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References for Video </w:t>
      </w:r>
    </w:p>
    <w:p w14:paraId="053F06D5" w14:textId="77777777" w:rsidR="00EE553A" w:rsidRPr="002A7B19" w:rsidRDefault="00EE553A" w:rsidP="00EE553A">
      <w:pPr>
        <w:rPr>
          <w:rFonts w:ascii="Arial" w:hAnsi="Arial" w:cs="Arial"/>
          <w:sz w:val="24"/>
          <w:szCs w:val="24"/>
          <w:u w:val="single"/>
        </w:rPr>
      </w:pPr>
      <w:r w:rsidRPr="002A7B19">
        <w:rPr>
          <w:rFonts w:ascii="Arial" w:hAnsi="Arial" w:cs="Arial"/>
          <w:sz w:val="24"/>
          <w:szCs w:val="24"/>
          <w:u w:val="single"/>
        </w:rPr>
        <w:t xml:space="preserve">References </w:t>
      </w:r>
    </w:p>
    <w:p w14:paraId="47A529D9" w14:textId="77777777" w:rsidR="00EE553A" w:rsidRPr="00060541" w:rsidRDefault="00EE553A" w:rsidP="00EE553A">
      <w:pPr>
        <w:rPr>
          <w:rFonts w:ascii="Arial" w:hAnsi="Arial" w:cs="Arial"/>
          <w:sz w:val="24"/>
          <w:szCs w:val="24"/>
        </w:rPr>
      </w:pPr>
      <w:r w:rsidRPr="00060541">
        <w:rPr>
          <w:rFonts w:ascii="Arial" w:hAnsi="Arial" w:cs="Arial"/>
          <w:sz w:val="24"/>
          <w:szCs w:val="24"/>
        </w:rPr>
        <w:t>chrome-extension://efaidnbmnnnibpcajpcglclefindmkaj/file:///C:/Users/Jack%20Watkins-Hughes/Downloads/BERA-Ethical-Guidelines-for-Educational-Research_4thEdn_2018.pdf (Guideline 28).</w:t>
      </w:r>
      <w:r>
        <w:rPr>
          <w:rFonts w:ascii="Arial" w:hAnsi="Arial" w:cs="Arial"/>
          <w:sz w:val="24"/>
          <w:szCs w:val="24"/>
        </w:rPr>
        <w:t xml:space="preserve"> (accessed 28.04.24)</w:t>
      </w:r>
    </w:p>
    <w:p w14:paraId="264349F8" w14:textId="77777777" w:rsidR="00EE553A" w:rsidRPr="002A7B19" w:rsidRDefault="00EE553A" w:rsidP="00EE553A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2A7B19">
        <w:rPr>
          <w:rFonts w:ascii="Arial" w:hAnsi="Arial" w:cs="Arial"/>
          <w:sz w:val="24"/>
          <w:szCs w:val="24"/>
          <w:shd w:val="clear" w:color="auto" w:fill="FFFFFF"/>
        </w:rPr>
        <w:t>Hobbs, G. and Vignoles, A., 2007. </w:t>
      </w:r>
      <w:r w:rsidRPr="002A7B19">
        <w:rPr>
          <w:rFonts w:ascii="Arial" w:hAnsi="Arial" w:cs="Arial"/>
          <w:i/>
          <w:iCs/>
          <w:sz w:val="24"/>
          <w:szCs w:val="24"/>
          <w:shd w:val="clear" w:color="auto" w:fill="FFFFFF"/>
        </w:rPr>
        <w:t>Is free school meal status a valid proxy for socio-economic status (in schools research)?</w:t>
      </w:r>
      <w:r w:rsidRPr="002A7B19">
        <w:rPr>
          <w:rFonts w:ascii="Arial" w:hAnsi="Arial" w:cs="Arial"/>
          <w:sz w:val="24"/>
          <w:szCs w:val="24"/>
          <w:shd w:val="clear" w:color="auto" w:fill="FFFFFF"/>
        </w:rPr>
        <w:t> (No. 84). Centre for the Economics of Education, London School of Economics and Political Science.</w:t>
      </w:r>
    </w:p>
    <w:p w14:paraId="7E79644A" w14:textId="77777777" w:rsidR="00EE553A" w:rsidRDefault="00EE553A" w:rsidP="00EE553A">
      <w:pPr>
        <w:rPr>
          <w:rFonts w:ascii="Arial" w:hAnsi="Arial" w:cs="Arial"/>
          <w:sz w:val="24"/>
          <w:szCs w:val="24"/>
        </w:rPr>
      </w:pPr>
      <w:hyperlink r:id="rId4" w:anchor="/media/File:Cwmparc.jpp" w:history="1">
        <w:r w:rsidRPr="00060541">
          <w:rPr>
            <w:rStyle w:val="Hyperlink"/>
            <w:rFonts w:ascii="Arial" w:hAnsi="Arial" w:cs="Arial"/>
            <w:sz w:val="24"/>
            <w:szCs w:val="24"/>
          </w:rPr>
          <w:t>https://en.wikipedia.org/wiki/South_Wales_Valleys#/media/File:Cwmparc.jp</w:t>
        </w:r>
        <w:r w:rsidRPr="002411D3">
          <w:rPr>
            <w:rStyle w:val="Hyperlink"/>
            <w:rFonts w:ascii="Arial" w:hAnsi="Arial" w:cs="Arial"/>
            <w:sz w:val="24"/>
            <w:szCs w:val="24"/>
          </w:rPr>
          <w:t>p</w:t>
        </w:r>
      </w:hyperlink>
      <w:r>
        <w:rPr>
          <w:rFonts w:ascii="Arial" w:hAnsi="Arial" w:cs="Arial"/>
          <w:sz w:val="24"/>
          <w:szCs w:val="24"/>
        </w:rPr>
        <w:t xml:space="preserve"> (accessed 28.04.24)</w:t>
      </w:r>
    </w:p>
    <w:p w14:paraId="120969BD" w14:textId="77777777" w:rsidR="00EE553A" w:rsidRDefault="00EE553A" w:rsidP="00EE553A">
      <w:pPr>
        <w:rPr>
          <w:rFonts w:ascii="Arial" w:hAnsi="Arial" w:cs="Arial"/>
          <w:sz w:val="24"/>
          <w:szCs w:val="24"/>
        </w:rPr>
      </w:pPr>
      <w:hyperlink r:id="rId5" w:anchor="purpose-of-this-section" w:history="1">
        <w:r w:rsidRPr="002A7B19">
          <w:rPr>
            <w:rStyle w:val="Hyperlink"/>
            <w:rFonts w:ascii="Arial" w:hAnsi="Arial" w:cs="Arial"/>
            <w:sz w:val="24"/>
            <w:szCs w:val="24"/>
          </w:rPr>
          <w:t>https://hwb.gov.wales/curriculum-for-wales/curriculum-for-wales-continuing-the-journey#purpose-of-this-section</w:t>
        </w:r>
      </w:hyperlink>
      <w:r>
        <w:rPr>
          <w:rFonts w:ascii="Arial" w:hAnsi="Arial" w:cs="Arial"/>
          <w:sz w:val="24"/>
          <w:szCs w:val="24"/>
        </w:rPr>
        <w:t xml:space="preserve"> (accessed 28.04.24)</w:t>
      </w:r>
    </w:p>
    <w:p w14:paraId="0E2A3F12" w14:textId="77777777" w:rsidR="00EE553A" w:rsidRDefault="00EE553A" w:rsidP="00EE553A">
      <w:pPr>
        <w:rPr>
          <w:rFonts w:ascii="Arial" w:hAnsi="Arial" w:cs="Arial"/>
          <w:sz w:val="24"/>
          <w:szCs w:val="24"/>
        </w:rPr>
      </w:pPr>
      <w:hyperlink r:id="rId6" w:history="1">
        <w:r w:rsidRPr="002411D3">
          <w:rPr>
            <w:rStyle w:val="Hyperlink"/>
            <w:rFonts w:ascii="Arial" w:hAnsi="Arial" w:cs="Arial"/>
            <w:sz w:val="24"/>
            <w:szCs w:val="24"/>
          </w:rPr>
          <w:t>https://hwb.gov.wales/playlists/view/b87d757e-fefc-4e3e-a457-5cd9ebb9ab9b/en/1</w:t>
        </w:r>
      </w:hyperlink>
      <w:r>
        <w:rPr>
          <w:rFonts w:ascii="Arial" w:hAnsi="Arial" w:cs="Arial"/>
          <w:sz w:val="24"/>
          <w:szCs w:val="24"/>
        </w:rPr>
        <w:t xml:space="preserve"> (accessed 28.04.24) </w:t>
      </w:r>
    </w:p>
    <w:p w14:paraId="05C24CFD" w14:textId="77777777" w:rsidR="00EE553A" w:rsidRDefault="00EE553A" w:rsidP="00EE553A">
      <w:pPr>
        <w:rPr>
          <w:rFonts w:ascii="Arial" w:hAnsi="Arial" w:cs="Arial"/>
          <w:sz w:val="24"/>
          <w:szCs w:val="24"/>
        </w:rPr>
      </w:pPr>
      <w:hyperlink r:id="rId7" w:history="1">
        <w:r w:rsidRPr="002411D3">
          <w:rPr>
            <w:rStyle w:val="Hyperlink"/>
            <w:rFonts w:ascii="Arial" w:hAnsi="Arial" w:cs="Arial"/>
            <w:sz w:val="24"/>
            <w:szCs w:val="24"/>
          </w:rPr>
          <w:t>https://www.estyn.gov.wales/blog/building-strengths-and-removing-barriers-preparing-curriculum-wales</w:t>
        </w:r>
      </w:hyperlink>
      <w:r>
        <w:rPr>
          <w:rFonts w:ascii="Arial" w:hAnsi="Arial" w:cs="Arial"/>
          <w:sz w:val="24"/>
          <w:szCs w:val="24"/>
        </w:rPr>
        <w:t xml:space="preserve"> (accessed 28.04.24) </w:t>
      </w:r>
    </w:p>
    <w:p w14:paraId="0A104946" w14:textId="77777777" w:rsidR="00EE553A" w:rsidRDefault="00EE553A" w:rsidP="00EE553A">
      <w:pPr>
        <w:rPr>
          <w:rFonts w:ascii="Arial" w:hAnsi="Arial" w:cs="Arial"/>
          <w:sz w:val="24"/>
          <w:szCs w:val="24"/>
        </w:rPr>
      </w:pPr>
      <w:hyperlink r:id="rId8" w:history="1">
        <w:r w:rsidRPr="00183657">
          <w:rPr>
            <w:rStyle w:val="Hyperlink"/>
            <w:rFonts w:ascii="Arial" w:hAnsi="Arial" w:cs="Arial"/>
            <w:sz w:val="24"/>
            <w:szCs w:val="24"/>
          </w:rPr>
          <w:t>https://www.simplypsychology.org/bronfenbrenner.htm</w:t>
        </w:r>
        <w:r w:rsidRPr="00F72528">
          <w:rPr>
            <w:rStyle w:val="Hyperlink"/>
            <w:rFonts w:ascii="Arial" w:hAnsi="Arial" w:cs="Arial"/>
            <w:sz w:val="24"/>
            <w:szCs w:val="24"/>
          </w:rPr>
          <w:t>l</w:t>
        </w:r>
      </w:hyperlink>
      <w:r>
        <w:rPr>
          <w:rFonts w:ascii="Arial" w:hAnsi="Arial" w:cs="Arial"/>
          <w:sz w:val="24"/>
          <w:szCs w:val="24"/>
        </w:rPr>
        <w:t xml:space="preserve"> (accessed 28.04.24)</w:t>
      </w:r>
    </w:p>
    <w:p w14:paraId="2DD7C139" w14:textId="77777777" w:rsidR="00EE553A" w:rsidRDefault="00EE553A" w:rsidP="00EE553A">
      <w:pPr>
        <w:rPr>
          <w:rFonts w:ascii="Arial" w:hAnsi="Arial" w:cs="Arial"/>
          <w:sz w:val="24"/>
          <w:szCs w:val="24"/>
        </w:rPr>
      </w:pPr>
      <w:hyperlink r:id="rId9" w:history="1">
        <w:r w:rsidRPr="002411D3">
          <w:rPr>
            <w:rStyle w:val="Hyperlink"/>
            <w:rFonts w:ascii="Arial" w:hAnsi="Arial" w:cs="Arial"/>
            <w:sz w:val="24"/>
            <w:szCs w:val="24"/>
          </w:rPr>
          <w:t>https://www.twinkl.co.uk/teaching-wiki/community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r w:rsidRPr="002A7B19">
        <w:rPr>
          <w:rFonts w:ascii="Arial" w:hAnsi="Arial" w:cs="Arial"/>
          <w:sz w:val="24"/>
          <w:szCs w:val="24"/>
        </w:rPr>
        <w:t>accessed 28.04.24</w:t>
      </w:r>
      <w:r>
        <w:rPr>
          <w:rFonts w:ascii="Arial" w:hAnsi="Arial" w:cs="Arial"/>
          <w:sz w:val="24"/>
          <w:szCs w:val="24"/>
        </w:rPr>
        <w:t>)</w:t>
      </w:r>
    </w:p>
    <w:p w14:paraId="491C636D" w14:textId="77777777" w:rsidR="00EE553A" w:rsidRPr="002A7B19" w:rsidRDefault="00EE553A" w:rsidP="00EE553A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2A7B19">
        <w:rPr>
          <w:rFonts w:ascii="Arial" w:hAnsi="Arial" w:cs="Arial"/>
          <w:sz w:val="24"/>
          <w:szCs w:val="24"/>
          <w:shd w:val="clear" w:color="auto" w:fill="FFFFFF"/>
        </w:rPr>
        <w:t>Ilie, S., Sutherland, A. and Vignoles, A., 2017. Revisiting free school meal eligibility as a proxy for pupil socio</w:t>
      </w:r>
      <w:r w:rsidRPr="002A7B19">
        <w:rPr>
          <w:rFonts w:ascii="Cambria Math" w:hAnsi="Cambria Math" w:cs="Cambria Math"/>
          <w:sz w:val="24"/>
          <w:szCs w:val="24"/>
          <w:shd w:val="clear" w:color="auto" w:fill="FFFFFF"/>
        </w:rPr>
        <w:t>‐</w:t>
      </w:r>
      <w:r w:rsidRPr="002A7B19">
        <w:rPr>
          <w:rFonts w:ascii="Arial" w:hAnsi="Arial" w:cs="Arial"/>
          <w:sz w:val="24"/>
          <w:szCs w:val="24"/>
          <w:shd w:val="clear" w:color="auto" w:fill="FFFFFF"/>
        </w:rPr>
        <w:t>economic deprivation. </w:t>
      </w:r>
      <w:r w:rsidRPr="002A7B19">
        <w:rPr>
          <w:rFonts w:ascii="Arial" w:hAnsi="Arial" w:cs="Arial"/>
          <w:i/>
          <w:iCs/>
          <w:sz w:val="24"/>
          <w:szCs w:val="24"/>
          <w:shd w:val="clear" w:color="auto" w:fill="FFFFFF"/>
        </w:rPr>
        <w:t>British Educational Research Journal</w:t>
      </w:r>
      <w:r w:rsidRPr="002A7B19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2A7B19">
        <w:rPr>
          <w:rFonts w:ascii="Arial" w:hAnsi="Arial" w:cs="Arial"/>
          <w:i/>
          <w:iCs/>
          <w:sz w:val="24"/>
          <w:szCs w:val="24"/>
          <w:shd w:val="clear" w:color="auto" w:fill="FFFFFF"/>
        </w:rPr>
        <w:t>43</w:t>
      </w:r>
      <w:r w:rsidRPr="002A7B19">
        <w:rPr>
          <w:rFonts w:ascii="Arial" w:hAnsi="Arial" w:cs="Arial"/>
          <w:sz w:val="24"/>
          <w:szCs w:val="24"/>
          <w:shd w:val="clear" w:color="auto" w:fill="FFFFFF"/>
        </w:rPr>
        <w:t>(2), pp.253-274.</w:t>
      </w:r>
    </w:p>
    <w:p w14:paraId="611F1D85" w14:textId="77777777" w:rsidR="00EE553A" w:rsidRDefault="00EE553A" w:rsidP="00EE55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J., L., Epstein (2012) </w:t>
      </w:r>
      <w:r>
        <w:rPr>
          <w:rFonts w:ascii="Arial" w:hAnsi="Arial" w:cs="Arial"/>
          <w:i/>
          <w:iCs/>
          <w:sz w:val="24"/>
          <w:szCs w:val="24"/>
        </w:rPr>
        <w:t xml:space="preserve">School Family and Community Partnerships: Preparing Educators and Improving Schools. </w:t>
      </w:r>
      <w:r>
        <w:rPr>
          <w:rFonts w:ascii="Arial" w:hAnsi="Arial" w:cs="Arial"/>
          <w:sz w:val="24"/>
          <w:szCs w:val="24"/>
        </w:rPr>
        <w:t>2</w:t>
      </w:r>
      <w:r w:rsidRPr="003C3789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ed. Western Press. Philadelphia. p.9-10</w:t>
      </w:r>
    </w:p>
    <w:p w14:paraId="01BC57C1" w14:textId="77777777" w:rsidR="00EE553A" w:rsidRDefault="00EE553A" w:rsidP="00EE553A">
      <w:pPr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2A7B19">
        <w:rPr>
          <w:rFonts w:ascii="Arial" w:hAnsi="Arial" w:cs="Arial"/>
          <w:sz w:val="24"/>
          <w:szCs w:val="24"/>
          <w:shd w:val="clear" w:color="auto" w:fill="FFFFFF"/>
        </w:rPr>
        <w:t>Kounali</w:t>
      </w:r>
      <w:proofErr w:type="spellEnd"/>
      <w:r w:rsidRPr="002A7B19">
        <w:rPr>
          <w:rFonts w:ascii="Arial" w:hAnsi="Arial" w:cs="Arial"/>
          <w:sz w:val="24"/>
          <w:szCs w:val="24"/>
          <w:shd w:val="clear" w:color="auto" w:fill="FFFFFF"/>
        </w:rPr>
        <w:t>, D., Robinson, T., Goldstein, H. and Lauder, H., 2008. The probity of free school meals as a proxy measure for disadvantage. </w:t>
      </w:r>
      <w:r w:rsidRPr="002A7B19">
        <w:rPr>
          <w:rFonts w:ascii="Arial" w:hAnsi="Arial" w:cs="Arial"/>
          <w:i/>
          <w:iCs/>
          <w:sz w:val="24"/>
          <w:szCs w:val="24"/>
          <w:shd w:val="clear" w:color="auto" w:fill="FFFFFF"/>
        </w:rPr>
        <w:t>University of Bath, Maths/Education</w:t>
      </w:r>
      <w:r w:rsidRPr="002A7B19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317F31D3" w14:textId="77777777" w:rsidR="00EE553A" w:rsidRPr="002A7B19" w:rsidRDefault="00EE553A" w:rsidP="00EE55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M., Ledwith (2020) </w:t>
      </w:r>
      <w:r>
        <w:rPr>
          <w:rFonts w:ascii="Arial" w:hAnsi="Arial" w:cs="Arial"/>
          <w:i/>
          <w:iCs/>
          <w:sz w:val="24"/>
          <w:szCs w:val="24"/>
        </w:rPr>
        <w:t>Community development: A critical and radical approach. 3</w:t>
      </w:r>
      <w:r w:rsidRPr="00664889">
        <w:rPr>
          <w:rFonts w:ascii="Arial" w:hAnsi="Arial" w:cs="Arial"/>
          <w:i/>
          <w:iCs/>
          <w:sz w:val="24"/>
          <w:szCs w:val="24"/>
          <w:vertAlign w:val="superscript"/>
        </w:rPr>
        <w:t>rd</w:t>
      </w:r>
      <w:r>
        <w:rPr>
          <w:rFonts w:ascii="Arial" w:hAnsi="Arial" w:cs="Arial"/>
          <w:i/>
          <w:iCs/>
          <w:sz w:val="24"/>
          <w:szCs w:val="24"/>
        </w:rPr>
        <w:t xml:space="preserve"> edition. </w:t>
      </w:r>
      <w:r w:rsidRPr="00664889">
        <w:rPr>
          <w:rFonts w:ascii="Arial" w:hAnsi="Arial" w:cs="Arial"/>
          <w:sz w:val="24"/>
          <w:szCs w:val="24"/>
        </w:rPr>
        <w:t xml:space="preserve">Bristol: Policy Press. </w:t>
      </w:r>
      <w:r>
        <w:rPr>
          <w:rFonts w:ascii="Arial" w:hAnsi="Arial" w:cs="Arial"/>
          <w:sz w:val="24"/>
          <w:szCs w:val="24"/>
        </w:rPr>
        <w:t>p.1</w:t>
      </w:r>
    </w:p>
    <w:p w14:paraId="77A733A8" w14:textId="77777777" w:rsidR="00EE553A" w:rsidRPr="00EE553A" w:rsidRDefault="00EE553A" w:rsidP="00EE553A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P., Townsend (1979) </w:t>
      </w:r>
      <w:r>
        <w:rPr>
          <w:rFonts w:ascii="Arial" w:hAnsi="Arial" w:cs="Arial"/>
          <w:i/>
          <w:iCs/>
          <w:sz w:val="24"/>
          <w:szCs w:val="24"/>
        </w:rPr>
        <w:t xml:space="preserve">Poverty in the United Kingdom, </w:t>
      </w:r>
      <w:r>
        <w:rPr>
          <w:rFonts w:ascii="Arial" w:hAnsi="Arial" w:cs="Arial"/>
          <w:sz w:val="24"/>
          <w:szCs w:val="24"/>
        </w:rPr>
        <w:t>London: Allen Lane</w:t>
      </w:r>
    </w:p>
    <w:sectPr w:rsidR="00EE553A" w:rsidRPr="00EE55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53A"/>
    <w:rsid w:val="00613545"/>
    <w:rsid w:val="00EE5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59A74"/>
  <w15:chartTrackingRefBased/>
  <w15:docId w15:val="{06D4D593-9BB9-4E34-BEEF-6672EF6C0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55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55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55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55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55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55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55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55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55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55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55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55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55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55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55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55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55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55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55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55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55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55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55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55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55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55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55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55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553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E553A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mplypsychology.org/bronfenbrenner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styn.gov.wales/blog/building-strengths-and-removing-barriers-preparing-curriculum-wale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hwb.gov.wales/playlists/view/b87d757e-fefc-4e3e-a457-5cd9ebb9ab9b/en/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hwb.gov.wales/curriculum-for-wales/curriculum-for-wales-continuing-the-journey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en.wikipedia.org/wiki/South_Wales_Valleys" TargetMode="External"/><Relationship Id="rId9" Type="http://schemas.openxmlformats.org/officeDocument/2006/relationships/hyperlink" Target="https://www.twinkl.co.uk/teaching-wiki/commun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1972</Characters>
  <Application>Microsoft Office Word</Application>
  <DocSecurity>0</DocSecurity>
  <Lines>16</Lines>
  <Paragraphs>4</Paragraphs>
  <ScaleCrop>false</ScaleCrop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Watkins-Hughes</dc:creator>
  <cp:keywords/>
  <dc:description/>
  <cp:lastModifiedBy>Jack Watkins-Hughes</cp:lastModifiedBy>
  <cp:revision>1</cp:revision>
  <dcterms:created xsi:type="dcterms:W3CDTF">2024-05-30T11:17:00Z</dcterms:created>
  <dcterms:modified xsi:type="dcterms:W3CDTF">2024-05-30T11:18:00Z</dcterms:modified>
</cp:coreProperties>
</file>