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3A0C" w:rsidRPr="004B3A0C" w:rsidRDefault="004B3A0C" w:rsidP="004B3A0C">
      <w:pPr>
        <w:spacing w:line="360" w:lineRule="auto"/>
        <w:jc w:val="both"/>
        <w:rPr>
          <w:rFonts w:ascii="Arial" w:hAnsi="Arial" w:cs="Arial"/>
          <w:b/>
          <w:bCs/>
          <w:lang w:val="en-US"/>
        </w:rPr>
      </w:pPr>
      <w:r w:rsidRPr="004B3A0C">
        <w:rPr>
          <w:rFonts w:ascii="Arial" w:hAnsi="Arial" w:cs="Arial"/>
          <w:b/>
          <w:bCs/>
          <w:lang w:val="en-US"/>
        </w:rPr>
        <w:t>SARWATANVEER KAZMI</w:t>
      </w:r>
    </w:p>
    <w:p w:rsidR="004B3A0C" w:rsidRPr="004B3A0C" w:rsidRDefault="004B3A0C" w:rsidP="004B3A0C">
      <w:pPr>
        <w:spacing w:line="360" w:lineRule="auto"/>
        <w:jc w:val="both"/>
        <w:rPr>
          <w:rFonts w:ascii="Arial" w:hAnsi="Arial" w:cs="Arial"/>
          <w:b/>
          <w:bCs/>
          <w:lang w:val="en-US"/>
        </w:rPr>
      </w:pPr>
      <w:r w:rsidRPr="004B3A0C">
        <w:rPr>
          <w:rFonts w:ascii="Arial" w:hAnsi="Arial" w:cs="Arial"/>
          <w:b/>
          <w:bCs/>
        </w:rPr>
        <w:t>STUDENT I'D:</w:t>
      </w:r>
      <w:r w:rsidRPr="004B3A0C">
        <w:rPr>
          <w:rFonts w:ascii="Arial" w:hAnsi="Arial" w:cs="Arial"/>
          <w:b/>
          <w:bCs/>
          <w:lang w:val="en-US"/>
        </w:rPr>
        <w:t xml:space="preserve"> 2020626</w:t>
      </w:r>
    </w:p>
    <w:p w:rsidR="004B3A0C" w:rsidRPr="004B3A0C" w:rsidRDefault="004B3A0C" w:rsidP="004B3A0C">
      <w:pPr>
        <w:pStyle w:val="Header"/>
        <w:spacing w:line="360" w:lineRule="auto"/>
        <w:rPr>
          <w:rFonts w:cs="Arial"/>
          <w:b/>
          <w:bCs/>
          <w:sz w:val="22"/>
        </w:rPr>
      </w:pPr>
      <w:r w:rsidRPr="004B3A0C">
        <w:rPr>
          <w:rFonts w:cs="Arial"/>
          <w:b/>
          <w:bCs/>
          <w:sz w:val="22"/>
        </w:rPr>
        <w:t>MODULE: PROFESSIONAL CAREER DEVELOPMENT (BMSW_4005)</w:t>
      </w:r>
    </w:p>
    <w:p w:rsidR="004B3A0C" w:rsidRPr="004B3A0C" w:rsidRDefault="004B3A0C" w:rsidP="004B3A0C">
      <w:pPr>
        <w:spacing w:line="360" w:lineRule="auto"/>
        <w:jc w:val="both"/>
        <w:rPr>
          <w:rFonts w:ascii="Arial" w:hAnsi="Arial" w:cs="Arial"/>
          <w:lang w:val="en-US"/>
        </w:rPr>
      </w:pPr>
    </w:p>
    <w:p w:rsidR="004B3A0C" w:rsidRPr="004B3A0C" w:rsidRDefault="004B3A0C" w:rsidP="004B3A0C">
      <w:pPr>
        <w:spacing w:line="360" w:lineRule="auto"/>
        <w:jc w:val="both"/>
        <w:rPr>
          <w:rFonts w:ascii="Arial" w:hAnsi="Arial" w:cs="Arial"/>
          <w:b/>
          <w:bCs/>
          <w:lang w:val="en-US"/>
        </w:rPr>
      </w:pPr>
      <w:r w:rsidRPr="004B3A0C">
        <w:rPr>
          <w:rFonts w:ascii="Arial" w:hAnsi="Arial" w:cs="Arial"/>
          <w:b/>
          <w:bCs/>
          <w:lang w:val="en-US"/>
        </w:rPr>
        <w:t>Discuss some of the identified initiatives towards raising workplace health and well-being awareness</w:t>
      </w:r>
    </w:p>
    <w:p w:rsidR="004B3A0C" w:rsidRPr="004B3A0C" w:rsidRDefault="004B3A0C" w:rsidP="004B3A0C">
      <w:pPr>
        <w:spacing w:line="360" w:lineRule="auto"/>
        <w:jc w:val="both"/>
        <w:rPr>
          <w:rFonts w:ascii="Arial" w:hAnsi="Arial" w:cs="Arial"/>
          <w:lang w:val="en-US"/>
        </w:rPr>
      </w:pPr>
      <w:r w:rsidRPr="004B3A0C">
        <w:rPr>
          <w:rFonts w:ascii="Arial" w:hAnsi="Arial" w:cs="Arial"/>
        </w:rPr>
        <w:t>Workplace wellness initiatives are a planned and comprehensive collection of measures that include programmes, policies, benefits, environmental support, and community connections to fulfil the health and safety requirements of all employees.</w:t>
      </w:r>
    </w:p>
    <w:p w:rsidR="004B3A0C" w:rsidRPr="004B3A0C" w:rsidRDefault="003D4164" w:rsidP="004B3A0C">
      <w:pPr>
        <w:spacing w:line="360" w:lineRule="auto"/>
        <w:jc w:val="both"/>
        <w:rPr>
          <w:rFonts w:ascii="Arial" w:hAnsi="Arial" w:cs="Arial"/>
          <w:lang w:val="en-US"/>
        </w:rPr>
      </w:pPr>
      <w:r w:rsidRPr="004B3A0C">
        <w:rPr>
          <w:rFonts w:ascii="Arial" w:hAnsi="Arial" w:cs="Arial"/>
          <w:lang w:val="en-US"/>
        </w:rPr>
        <w:t>This discussion looks at some of the techniques for promoting workplace health and well-being that have been discovered.</w:t>
      </w:r>
    </w:p>
    <w:p w:rsidR="003D4164" w:rsidRPr="004B3A0C" w:rsidRDefault="003D4164" w:rsidP="004B3A0C">
      <w:pPr>
        <w:spacing w:line="360" w:lineRule="auto"/>
        <w:jc w:val="both"/>
        <w:rPr>
          <w:rFonts w:ascii="Arial" w:hAnsi="Arial" w:cs="Arial"/>
        </w:rPr>
      </w:pPr>
      <w:r w:rsidRPr="004B3A0C">
        <w:rPr>
          <w:rFonts w:ascii="Arial" w:hAnsi="Arial" w:cs="Arial"/>
        </w:rPr>
        <w:t>The European Agency for Safety and Health at Work created some of the awareness-raising activities through its ‘Healthy Workplaces Campaigns.' These increase awareness of workplace concerns and activities, as well as produce and promote free-to-use practical guidelines and resources. Lightening loads when lifting, reducing exposure to dangerous substances, using the right tools, communicating, following occupational health and safety rules, managing stress, working together to manage risk, performing timely preventative maintenance and risk assessments, noise reduction, and proper manual handling are just a few of the suggestions made. (</w:t>
      </w:r>
      <w:hyperlink r:id="rId4" w:history="1">
        <w:r w:rsidRPr="004B3A0C">
          <w:rPr>
            <w:rStyle w:val="Hyperlink"/>
            <w:rFonts w:ascii="Arial" w:hAnsi="Arial" w:cs="Arial"/>
          </w:rPr>
          <w:t>https://osha.europa.eu/en</w:t>
        </w:r>
      </w:hyperlink>
      <w:r w:rsidRPr="004B3A0C">
        <w:rPr>
          <w:rFonts w:ascii="Arial" w:hAnsi="Arial" w:cs="Arial"/>
        </w:rPr>
        <w:t>).</w:t>
      </w:r>
    </w:p>
    <w:p w:rsidR="003D4164" w:rsidRPr="004B3A0C" w:rsidRDefault="003D4164" w:rsidP="004B3A0C">
      <w:pPr>
        <w:spacing w:line="360" w:lineRule="auto"/>
        <w:jc w:val="both"/>
        <w:rPr>
          <w:rFonts w:ascii="Arial" w:hAnsi="Arial" w:cs="Arial"/>
          <w:lang w:val="en-US"/>
        </w:rPr>
      </w:pPr>
      <w:r w:rsidRPr="004B3A0C">
        <w:rPr>
          <w:rFonts w:ascii="Arial" w:hAnsi="Arial" w:cs="Arial"/>
          <w:lang w:val="en-US"/>
        </w:rPr>
        <w:t>In the United Kingdom, Pauline's management of workplace health results in high rates of sick leave. Musculoskeletal diseases and mental health issues are the two most prevalent reasons. Any chronic or long-term ailment that is poorly managed – by the individual or the company – leads to further issues. Employees may lose their jobs or find it difficult to re-enter the workforce. The Department for Work and Pensions (DWP) and the Department of Health (</w:t>
      </w:r>
      <w:proofErr w:type="spellStart"/>
      <w:r w:rsidRPr="004B3A0C">
        <w:rPr>
          <w:rFonts w:ascii="Arial" w:hAnsi="Arial" w:cs="Arial"/>
          <w:lang w:val="en-US"/>
        </w:rPr>
        <w:t>DoH</w:t>
      </w:r>
      <w:proofErr w:type="spellEnd"/>
      <w:r w:rsidRPr="004B3A0C">
        <w:rPr>
          <w:rFonts w:ascii="Arial" w:hAnsi="Arial" w:cs="Arial"/>
          <w:lang w:val="en-US"/>
        </w:rPr>
        <w:t>) estimated in 2016 that sick leave costs businesses £9 billion per year and costs the economy up to £100 billion per year.</w:t>
      </w:r>
    </w:p>
    <w:p w:rsidR="003D4164" w:rsidRPr="004B3A0C" w:rsidRDefault="003D4164" w:rsidP="004B3A0C">
      <w:pPr>
        <w:spacing w:line="360" w:lineRule="auto"/>
        <w:jc w:val="both"/>
        <w:rPr>
          <w:rFonts w:ascii="Arial" w:hAnsi="Arial" w:cs="Arial"/>
          <w:lang w:val="en-US"/>
        </w:rPr>
      </w:pPr>
      <w:r w:rsidRPr="004B3A0C">
        <w:rPr>
          <w:rFonts w:ascii="Arial" w:hAnsi="Arial" w:cs="Arial"/>
          <w:lang w:val="en-US"/>
        </w:rPr>
        <w:t xml:space="preserve">Individuals interested in enhancing employee health and well-being can also join the European Network for Workplace Health Promotion, a platform that promotes best workplace </w:t>
      </w:r>
      <w:r w:rsidR="002A0598" w:rsidRPr="004B3A0C">
        <w:rPr>
          <w:rFonts w:ascii="Arial" w:hAnsi="Arial" w:cs="Arial"/>
          <w:lang w:val="en-US"/>
        </w:rPr>
        <w:t>practices</w:t>
      </w:r>
      <w:r w:rsidRPr="004B3A0C">
        <w:rPr>
          <w:rFonts w:ascii="Arial" w:hAnsi="Arial" w:cs="Arial"/>
          <w:lang w:val="en-US"/>
        </w:rPr>
        <w:t xml:space="preserve">. Various branches of the European Union (EU) have also promised to guarantee healthy and safe working conditions for all EU employees, including the European Parliament, the Council, and the European Commission. </w:t>
      </w:r>
      <w:proofErr w:type="spellStart"/>
      <w:r w:rsidRPr="004B3A0C">
        <w:rPr>
          <w:rFonts w:ascii="Arial" w:hAnsi="Arial" w:cs="Arial"/>
          <w:lang w:val="en-US"/>
        </w:rPr>
        <w:t>Eurofound's</w:t>
      </w:r>
      <w:proofErr w:type="spellEnd"/>
      <w:r w:rsidRPr="004B3A0C">
        <w:rPr>
          <w:rFonts w:ascii="Arial" w:hAnsi="Arial" w:cs="Arial"/>
          <w:lang w:val="en-US"/>
        </w:rPr>
        <w:t xml:space="preserve"> European Working Conditions Survey also gives useful information. This survey is important because it provides data on various job responsibilities and how they affect employees' physical and emotional health.</w:t>
      </w:r>
    </w:p>
    <w:p w:rsidR="002A0598" w:rsidRPr="004B3A0C" w:rsidRDefault="002A0598" w:rsidP="004B3A0C">
      <w:pPr>
        <w:pStyle w:val="root-block-node"/>
        <w:spacing w:line="360" w:lineRule="auto"/>
        <w:jc w:val="both"/>
        <w:rPr>
          <w:rFonts w:ascii="Arial" w:hAnsi="Arial" w:cs="Arial"/>
          <w:sz w:val="22"/>
          <w:szCs w:val="22"/>
        </w:rPr>
      </w:pPr>
      <w:r w:rsidRPr="004B3A0C">
        <w:rPr>
          <w:rFonts w:ascii="Arial" w:hAnsi="Arial" w:cs="Arial"/>
          <w:sz w:val="22"/>
          <w:szCs w:val="22"/>
        </w:rPr>
        <w:lastRenderedPageBreak/>
        <w:t>Dame Carol Black presented data in 2008 that demonstrated a relationship between excellent employee health and well-being and the impact they have on businesses, individuals, and society. She came to the conclusion that if businesses focused on improving workplace health, both businesses and the government would gain from cost reductions. The research stated that businesses needed to adjust their mindset in order for employees and employers to recognise and appreciate the importance of preventing illness. Preventing illness results in a more engaged, resourceful staff, which improves strategic performance (Vaughan, Jones and Barham, 2009).</w:t>
      </w:r>
    </w:p>
    <w:p w:rsidR="004B3A0C" w:rsidRPr="004B3A0C" w:rsidRDefault="004B3A0C" w:rsidP="004B3A0C">
      <w:pPr>
        <w:pStyle w:val="root-block-node"/>
        <w:spacing w:line="360" w:lineRule="auto"/>
        <w:jc w:val="both"/>
        <w:rPr>
          <w:rFonts w:ascii="Arial" w:hAnsi="Arial" w:cs="Arial"/>
          <w:sz w:val="22"/>
          <w:szCs w:val="22"/>
        </w:rPr>
      </w:pPr>
      <w:r w:rsidRPr="004B3A0C">
        <w:rPr>
          <w:rFonts w:ascii="Arial" w:hAnsi="Arial" w:cs="Arial"/>
          <w:sz w:val="22"/>
          <w:szCs w:val="22"/>
        </w:rPr>
        <w:t>The well-being of employees is a critical aspect in determining a company's long-term effectiveness. Many studies have found a direct link between employee productivity and their overall health and well-being.</w:t>
      </w:r>
    </w:p>
    <w:p w:rsidR="004B3A0C" w:rsidRPr="004B3A0C" w:rsidRDefault="004B3A0C" w:rsidP="004B3A0C">
      <w:pPr>
        <w:pStyle w:val="root-block-node"/>
        <w:spacing w:line="360" w:lineRule="auto"/>
        <w:jc w:val="both"/>
        <w:rPr>
          <w:rFonts w:ascii="Arial" w:hAnsi="Arial" w:cs="Arial"/>
          <w:sz w:val="22"/>
          <w:szCs w:val="22"/>
        </w:rPr>
      </w:pPr>
      <w:r w:rsidRPr="004B3A0C">
        <w:rPr>
          <w:rFonts w:ascii="Arial" w:hAnsi="Arial" w:cs="Arial"/>
          <w:sz w:val="22"/>
          <w:szCs w:val="22"/>
        </w:rPr>
        <w:t>If employment safety and health is included in the design and implementation of workplace health promotion initiatives, they are more likely to succeed. Indeed, a growing body of data suggests that workplace-based treatments that take a coordinated, planned, or integrated approach to decreasing health hazards to employees in and out of the workplace are more successful than typical standalone initiatives. Combining or integrating occupational safety and health with health promotion can boost project participation and efficacy while also benefiting the larger context of the workplace and environment.</w:t>
      </w:r>
      <w:bookmarkStart w:id="0" w:name="_GoBack"/>
      <w:bookmarkEnd w:id="0"/>
    </w:p>
    <w:p w:rsidR="00FC5FCB" w:rsidRPr="004B3A0C" w:rsidRDefault="004B3A0C" w:rsidP="004B3A0C">
      <w:pPr>
        <w:pStyle w:val="root-block-node"/>
        <w:spacing w:line="360" w:lineRule="auto"/>
        <w:jc w:val="both"/>
        <w:rPr>
          <w:rFonts w:ascii="Arial" w:hAnsi="Arial" w:cs="Arial"/>
          <w:sz w:val="22"/>
          <w:szCs w:val="22"/>
        </w:rPr>
      </w:pPr>
    </w:p>
    <w:sectPr w:rsidR="00FC5FCB" w:rsidRPr="004B3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64"/>
    <w:rsid w:val="002A0598"/>
    <w:rsid w:val="003D4164"/>
    <w:rsid w:val="004B3A0C"/>
    <w:rsid w:val="00574FE9"/>
    <w:rsid w:val="00E57C5E"/>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CE748"/>
  <w15:chartTrackingRefBased/>
  <w15:docId w15:val="{98C41FC3-4D55-4A09-A334-C258D4D94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A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ot-block-node">
    <w:name w:val="root-block-node"/>
    <w:basedOn w:val="Normal"/>
    <w:rsid w:val="003D4164"/>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styleId="Hyperlink">
    <w:name w:val="Hyperlink"/>
    <w:basedOn w:val="DefaultParagraphFont"/>
    <w:uiPriority w:val="99"/>
    <w:unhideWhenUsed/>
    <w:rsid w:val="003D4164"/>
    <w:rPr>
      <w:color w:val="0563C1" w:themeColor="hyperlink"/>
      <w:u w:val="single"/>
    </w:rPr>
  </w:style>
  <w:style w:type="paragraph" w:styleId="Header">
    <w:name w:val="header"/>
    <w:basedOn w:val="Normal"/>
    <w:link w:val="HeaderChar"/>
    <w:uiPriority w:val="99"/>
    <w:unhideWhenUsed/>
    <w:rsid w:val="004B3A0C"/>
    <w:pPr>
      <w:tabs>
        <w:tab w:val="center" w:pos="4513"/>
        <w:tab w:val="right" w:pos="9026"/>
      </w:tabs>
      <w:spacing w:after="0" w:line="240" w:lineRule="auto"/>
      <w:jc w:val="both"/>
    </w:pPr>
    <w:rPr>
      <w:rFonts w:ascii="Arial" w:hAnsi="Arial"/>
      <w:sz w:val="24"/>
      <w:lang w:val="en-GB"/>
    </w:rPr>
  </w:style>
  <w:style w:type="character" w:customStyle="1" w:styleId="HeaderChar">
    <w:name w:val="Header Char"/>
    <w:basedOn w:val="DefaultParagraphFont"/>
    <w:link w:val="Header"/>
    <w:uiPriority w:val="99"/>
    <w:rsid w:val="004B3A0C"/>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6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sha.europa.eu/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2021-10-15T14:08:00Z</dcterms:created>
  <dcterms:modified xsi:type="dcterms:W3CDTF">2021-10-15T14:48:00Z</dcterms:modified>
</cp:coreProperties>
</file>