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ECA093" w14:textId="6279C290" w:rsidR="008F2E56" w:rsidRDefault="008F2E56">
      <w:pPr>
        <w:spacing w:line="259" w:lineRule="auto"/>
        <w:jc w:val="left"/>
        <w:rPr>
          <w:rFonts w:asciiTheme="minorBidi" w:hAnsiTheme="minorBidi"/>
          <w:sz w:val="23"/>
          <w:szCs w:val="23"/>
          <w:lang w:val="en-GB"/>
        </w:rPr>
      </w:pPr>
    </w:p>
    <w:p w14:paraId="42A9DFEF" w14:textId="77777777" w:rsidR="00350443" w:rsidRPr="00B941F4" w:rsidRDefault="00350443" w:rsidP="00350443">
      <w:pPr>
        <w:jc w:val="center"/>
        <w:rPr>
          <w:rFonts w:cs="Arial"/>
          <w:b/>
          <w:bCs/>
          <w:lang w:val="en-GB"/>
        </w:rPr>
      </w:pPr>
      <w:r w:rsidRPr="00B941F4">
        <w:rPr>
          <w:rFonts w:cs="Arial"/>
          <w:b/>
          <w:bCs/>
          <w:lang w:val="en-GB"/>
        </w:rPr>
        <w:t>BMHP5019_BIRM – Introduction to Independent Research Skills</w:t>
      </w:r>
    </w:p>
    <w:p w14:paraId="51BDD653" w14:textId="77777777" w:rsidR="008F6C93" w:rsidRDefault="008F6C93" w:rsidP="00350443">
      <w:pPr>
        <w:jc w:val="center"/>
        <w:rPr>
          <w:rFonts w:cs="Arial"/>
          <w:b/>
          <w:bCs/>
          <w:lang w:val="en-GB"/>
        </w:rPr>
      </w:pPr>
    </w:p>
    <w:p w14:paraId="0A0099BC" w14:textId="4A87AB27" w:rsidR="00350443" w:rsidRPr="00B941F4" w:rsidRDefault="00350443" w:rsidP="00350443">
      <w:pPr>
        <w:jc w:val="center"/>
        <w:rPr>
          <w:rFonts w:cs="Arial"/>
          <w:b/>
          <w:bCs/>
          <w:lang w:val="en-GB"/>
        </w:rPr>
      </w:pPr>
      <w:r w:rsidRPr="00B941F4">
        <w:rPr>
          <w:rFonts w:cs="Arial"/>
          <w:b/>
          <w:bCs/>
          <w:lang w:val="en-GB"/>
        </w:rPr>
        <w:t xml:space="preserve">Component </w:t>
      </w:r>
      <w:r w:rsidR="00421B65">
        <w:rPr>
          <w:rFonts w:cs="Arial"/>
          <w:b/>
          <w:bCs/>
          <w:lang w:val="en-GB"/>
        </w:rPr>
        <w:t>2</w:t>
      </w:r>
      <w:r w:rsidRPr="00B941F4">
        <w:rPr>
          <w:rFonts w:cs="Arial"/>
          <w:b/>
          <w:bCs/>
          <w:lang w:val="en-GB"/>
        </w:rPr>
        <w:t xml:space="preserve"> </w:t>
      </w:r>
      <w:r w:rsidR="00421B65">
        <w:rPr>
          <w:rFonts w:cs="Arial"/>
          <w:b/>
          <w:bCs/>
          <w:lang w:val="en-GB"/>
        </w:rPr>
        <w:t>Written Assignment (Research Report)</w:t>
      </w:r>
    </w:p>
    <w:p w14:paraId="1809C999" w14:textId="77777777" w:rsidR="008F6C93" w:rsidRDefault="008F6C93" w:rsidP="00350443">
      <w:pPr>
        <w:jc w:val="center"/>
        <w:rPr>
          <w:rFonts w:cs="Arial"/>
          <w:b/>
          <w:bCs/>
          <w:lang w:val="en-GB"/>
        </w:rPr>
      </w:pPr>
    </w:p>
    <w:p w14:paraId="541686D4" w14:textId="14ABA5F1" w:rsidR="00350443" w:rsidRPr="00B941F4" w:rsidRDefault="00421B65" w:rsidP="00350443">
      <w:pPr>
        <w:jc w:val="center"/>
        <w:rPr>
          <w:rFonts w:cs="Arial"/>
          <w:b/>
          <w:bCs/>
          <w:lang w:val="en-GB"/>
        </w:rPr>
      </w:pPr>
      <w:r>
        <w:rPr>
          <w:rFonts w:cs="Arial"/>
          <w:b/>
          <w:bCs/>
          <w:lang w:val="en-GB"/>
        </w:rPr>
        <w:t>Scoping Review</w:t>
      </w:r>
    </w:p>
    <w:p w14:paraId="116B6F4F" w14:textId="77777777" w:rsidR="008F6C93" w:rsidRPr="00233073" w:rsidRDefault="008F6C93" w:rsidP="008F6C93">
      <w:pPr>
        <w:jc w:val="center"/>
        <w:rPr>
          <w:kern w:val="0"/>
          <w:lang w:val="en-GB"/>
          <w14:ligatures w14:val="none"/>
        </w:rPr>
      </w:pPr>
      <w:r w:rsidRPr="00233073">
        <w:rPr>
          <w:lang w:val="en-GB"/>
        </w:rPr>
        <w:t>A Scoping Review of Whether the Shortage of School Placements for Children with Special Educational Needs is Affecting Their Learning, Development, and Mental Health</w:t>
      </w:r>
    </w:p>
    <w:p w14:paraId="6199DA07" w14:textId="77777777" w:rsidR="008F6C93" w:rsidRPr="00C76DE7" w:rsidRDefault="008F6C93" w:rsidP="008F6C93">
      <w:pPr>
        <w:jc w:val="center"/>
        <w:rPr>
          <w:lang w:val="en-GB"/>
        </w:rPr>
      </w:pPr>
      <w:r w:rsidRPr="00B941F4">
        <w:rPr>
          <w:rFonts w:cs="Arial"/>
          <w:lang w:val="en-GB"/>
        </w:rPr>
        <w:t>Identifying Themes Using Aveyard’s Simplified Thematic Analysis</w:t>
      </w:r>
    </w:p>
    <w:p w14:paraId="7F3F626E" w14:textId="77777777" w:rsidR="00350443" w:rsidRPr="00B941F4" w:rsidRDefault="00350443" w:rsidP="00350443">
      <w:pPr>
        <w:jc w:val="center"/>
        <w:rPr>
          <w:rFonts w:cs="Arial"/>
          <w:b/>
          <w:bCs/>
          <w:lang w:val="en-GB"/>
        </w:rPr>
      </w:pPr>
    </w:p>
    <w:p w14:paraId="3DB019FC" w14:textId="77777777" w:rsidR="00350443" w:rsidRPr="00B941F4" w:rsidRDefault="00350443" w:rsidP="00350443">
      <w:pPr>
        <w:jc w:val="center"/>
        <w:rPr>
          <w:rFonts w:cs="Arial"/>
          <w:b/>
          <w:bCs/>
          <w:lang w:val="en-GB"/>
        </w:rPr>
      </w:pPr>
    </w:p>
    <w:p w14:paraId="27E1B47C" w14:textId="30D7279D" w:rsidR="00350443" w:rsidRPr="00B941F4" w:rsidRDefault="00350443" w:rsidP="00350443">
      <w:pPr>
        <w:jc w:val="center"/>
        <w:rPr>
          <w:rFonts w:cs="Arial"/>
          <w:b/>
          <w:bCs/>
          <w:lang w:val="en-GB"/>
        </w:rPr>
      </w:pPr>
      <w:r w:rsidRPr="00B941F4">
        <w:rPr>
          <w:rFonts w:cs="Arial"/>
          <w:b/>
          <w:bCs/>
          <w:lang w:val="en-GB"/>
        </w:rPr>
        <w:t>Student Name:</w:t>
      </w:r>
      <w:r w:rsidR="00AB4197">
        <w:rPr>
          <w:rFonts w:cs="Arial"/>
          <w:b/>
          <w:bCs/>
          <w:lang w:val="en-GB"/>
        </w:rPr>
        <w:t xml:space="preserve"> Mihai </w:t>
      </w:r>
      <w:proofErr w:type="spellStart"/>
      <w:r w:rsidR="00AB4197">
        <w:rPr>
          <w:rFonts w:cs="Arial"/>
          <w:b/>
          <w:bCs/>
          <w:lang w:val="en-GB"/>
        </w:rPr>
        <w:t>Boldizsar</w:t>
      </w:r>
      <w:proofErr w:type="spellEnd"/>
    </w:p>
    <w:p w14:paraId="60DA946A" w14:textId="2FA96CD6" w:rsidR="00AE503E" w:rsidRPr="00B941F4" w:rsidRDefault="00350443" w:rsidP="00F53488">
      <w:pPr>
        <w:jc w:val="center"/>
        <w:rPr>
          <w:rFonts w:cs="Arial"/>
          <w:b/>
          <w:bCs/>
          <w:lang w:val="en-GB"/>
        </w:rPr>
      </w:pPr>
      <w:r w:rsidRPr="00B941F4">
        <w:rPr>
          <w:rFonts w:cs="Arial"/>
          <w:b/>
          <w:bCs/>
          <w:lang w:val="en-GB"/>
        </w:rPr>
        <w:t>Student Number:</w:t>
      </w:r>
      <w:r w:rsidR="00FC6D3D">
        <w:rPr>
          <w:rFonts w:cs="Arial"/>
          <w:b/>
          <w:bCs/>
          <w:lang w:val="en-GB"/>
        </w:rPr>
        <w:t>2247855</w:t>
      </w:r>
    </w:p>
    <w:p w14:paraId="5D4D488B" w14:textId="77777777" w:rsidR="00350443" w:rsidRPr="00B941F4" w:rsidRDefault="00350443" w:rsidP="00350443">
      <w:pPr>
        <w:jc w:val="center"/>
        <w:rPr>
          <w:rFonts w:cs="Arial"/>
          <w:lang w:val="en-GB"/>
        </w:rPr>
      </w:pPr>
    </w:p>
    <w:p w14:paraId="78E4D535" w14:textId="50735760" w:rsidR="00350443" w:rsidRDefault="008F6C93" w:rsidP="00350443">
      <w:pPr>
        <w:jc w:val="center"/>
        <w:rPr>
          <w:rFonts w:cs="Arial"/>
          <w:lang w:val="en-GB"/>
        </w:rPr>
      </w:pPr>
      <w:r>
        <w:rPr>
          <w:rFonts w:cs="Arial"/>
          <w:lang w:val="en-GB"/>
        </w:rPr>
        <w:t>Word count: 3,690 words</w:t>
      </w:r>
    </w:p>
    <w:p w14:paraId="7DD454DA" w14:textId="4834E106" w:rsidR="00350443" w:rsidRPr="00B941F4" w:rsidRDefault="008F6C93" w:rsidP="00F53488">
      <w:pPr>
        <w:jc w:val="center"/>
        <w:rPr>
          <w:rFonts w:cs="Arial"/>
          <w:lang w:val="en-GB"/>
        </w:rPr>
      </w:pPr>
      <w:r>
        <w:rPr>
          <w:rFonts w:cs="Arial"/>
          <w:lang w:val="en-GB"/>
        </w:rPr>
        <w:t>Deadline: 17</w:t>
      </w:r>
      <w:r w:rsidRPr="008F6C93">
        <w:rPr>
          <w:rFonts w:cs="Arial"/>
          <w:vertAlign w:val="superscript"/>
          <w:lang w:val="en-GB"/>
        </w:rPr>
        <w:t>th</w:t>
      </w:r>
      <w:r>
        <w:rPr>
          <w:rFonts w:cs="Arial"/>
          <w:lang w:val="en-GB"/>
        </w:rPr>
        <w:t xml:space="preserve"> November 2025</w:t>
      </w:r>
    </w:p>
    <w:p w14:paraId="55C8201C" w14:textId="77777777" w:rsidR="00350443" w:rsidRPr="00B941F4" w:rsidRDefault="00350443" w:rsidP="00350443">
      <w:pPr>
        <w:jc w:val="center"/>
        <w:rPr>
          <w:rFonts w:cs="Arial"/>
          <w:lang w:val="en-GB"/>
        </w:rPr>
      </w:pPr>
    </w:p>
    <w:p w14:paraId="64548C24" w14:textId="742A07FE" w:rsidR="008F6C93" w:rsidRDefault="008F6C93">
      <w:pPr>
        <w:spacing w:line="259" w:lineRule="auto"/>
        <w:jc w:val="left"/>
        <w:rPr>
          <w:rFonts w:asciiTheme="minorBidi" w:hAnsiTheme="minorBidi"/>
          <w:sz w:val="23"/>
          <w:szCs w:val="23"/>
          <w:lang w:val="en-GB"/>
        </w:rPr>
      </w:pPr>
      <w:r>
        <w:rPr>
          <w:rFonts w:asciiTheme="minorBidi" w:hAnsiTheme="minorBidi"/>
          <w:sz w:val="23"/>
          <w:szCs w:val="23"/>
          <w:lang w:val="en-GB"/>
        </w:rPr>
        <w:br w:type="page"/>
      </w:r>
    </w:p>
    <w:sdt>
      <w:sdtPr>
        <w:rPr>
          <w:rFonts w:ascii="Arial" w:eastAsiaTheme="minorHAnsi" w:hAnsi="Arial" w:cstheme="minorBidi"/>
          <w:color w:val="auto"/>
          <w:kern w:val="2"/>
          <w:sz w:val="22"/>
          <w:szCs w:val="22"/>
          <w:lang w:val="it-IT" w:eastAsia="en-US"/>
          <w14:ligatures w14:val="standardContextual"/>
        </w:rPr>
        <w:id w:val="-171419104"/>
        <w:docPartObj>
          <w:docPartGallery w:val="Table of Contents"/>
          <w:docPartUnique/>
        </w:docPartObj>
      </w:sdtPr>
      <w:sdtEndPr>
        <w:rPr>
          <w:b/>
          <w:bCs/>
        </w:rPr>
      </w:sdtEndPr>
      <w:sdtContent>
        <w:p w14:paraId="63863755" w14:textId="18719F7B" w:rsidR="008F6C93" w:rsidRDefault="008F6C93">
          <w:pPr>
            <w:pStyle w:val="TOCHeading"/>
          </w:pPr>
          <w:r>
            <w:t>Table of Contents</w:t>
          </w:r>
        </w:p>
        <w:p w14:paraId="00577D09" w14:textId="77777777" w:rsidR="008F6C93" w:rsidRPr="008F6C93" w:rsidRDefault="008F6C93" w:rsidP="008F6C93">
          <w:pPr>
            <w:rPr>
              <w:lang w:val="en-GB" w:eastAsia="en-GB"/>
            </w:rPr>
          </w:pPr>
        </w:p>
        <w:p w14:paraId="7CA82E94" w14:textId="0A6E20A3" w:rsidR="008F6C93" w:rsidRDefault="008F6C93">
          <w:pPr>
            <w:pStyle w:val="TOC1"/>
            <w:tabs>
              <w:tab w:val="left" w:pos="480"/>
              <w:tab w:val="right" w:leader="dot" w:pos="9016"/>
            </w:tabs>
            <w:rPr>
              <w:rFonts w:asciiTheme="minorHAnsi" w:eastAsiaTheme="minorEastAsia" w:hAnsiTheme="minorHAnsi"/>
              <w:noProof/>
              <w:sz w:val="24"/>
              <w:szCs w:val="24"/>
              <w:lang w:val="en-GB" w:eastAsia="en-GB"/>
            </w:rPr>
          </w:pPr>
          <w:r>
            <w:fldChar w:fldCharType="begin"/>
          </w:r>
          <w:r>
            <w:instrText xml:space="preserve"> TOC \o "1-3" \h \z \u </w:instrText>
          </w:r>
          <w:r>
            <w:fldChar w:fldCharType="separate"/>
          </w:r>
          <w:hyperlink w:anchor="_Toc214114791" w:history="1">
            <w:r w:rsidRPr="00BA10CD">
              <w:rPr>
                <w:rStyle w:val="Hyperlink"/>
                <w:noProof/>
                <w:lang w:val="en-GB"/>
              </w:rPr>
              <w:t>1.</w:t>
            </w:r>
            <w:r>
              <w:rPr>
                <w:rFonts w:asciiTheme="minorHAnsi" w:eastAsiaTheme="minorEastAsia" w:hAnsiTheme="minorHAnsi"/>
                <w:noProof/>
                <w:sz w:val="24"/>
                <w:szCs w:val="24"/>
                <w:lang w:val="en-GB" w:eastAsia="en-GB"/>
              </w:rPr>
              <w:tab/>
            </w:r>
            <w:r w:rsidRPr="00BA10CD">
              <w:rPr>
                <w:rStyle w:val="Hyperlink"/>
                <w:noProof/>
                <w:lang w:val="en-GB"/>
              </w:rPr>
              <w:t>INTRODUCTION</w:t>
            </w:r>
            <w:r>
              <w:rPr>
                <w:noProof/>
                <w:webHidden/>
              </w:rPr>
              <w:tab/>
            </w:r>
            <w:r>
              <w:rPr>
                <w:noProof/>
                <w:webHidden/>
              </w:rPr>
              <w:fldChar w:fldCharType="begin"/>
            </w:r>
            <w:r>
              <w:rPr>
                <w:noProof/>
                <w:webHidden/>
              </w:rPr>
              <w:instrText xml:space="preserve"> PAGEREF _Toc214114791 \h </w:instrText>
            </w:r>
            <w:r>
              <w:rPr>
                <w:noProof/>
                <w:webHidden/>
              </w:rPr>
            </w:r>
            <w:r>
              <w:rPr>
                <w:noProof/>
                <w:webHidden/>
              </w:rPr>
              <w:fldChar w:fldCharType="separate"/>
            </w:r>
            <w:r>
              <w:rPr>
                <w:noProof/>
                <w:webHidden/>
              </w:rPr>
              <w:t>3</w:t>
            </w:r>
            <w:r>
              <w:rPr>
                <w:noProof/>
                <w:webHidden/>
              </w:rPr>
              <w:fldChar w:fldCharType="end"/>
            </w:r>
          </w:hyperlink>
        </w:p>
        <w:p w14:paraId="5B0FE7DD" w14:textId="567B6EFE" w:rsidR="008F6C93" w:rsidRDefault="008F6C93">
          <w:pPr>
            <w:pStyle w:val="TOC1"/>
            <w:tabs>
              <w:tab w:val="left" w:pos="480"/>
              <w:tab w:val="right" w:leader="dot" w:pos="9016"/>
            </w:tabs>
            <w:rPr>
              <w:rFonts w:asciiTheme="minorHAnsi" w:eastAsiaTheme="minorEastAsia" w:hAnsiTheme="minorHAnsi"/>
              <w:noProof/>
              <w:sz w:val="24"/>
              <w:szCs w:val="24"/>
              <w:lang w:val="en-GB" w:eastAsia="en-GB"/>
            </w:rPr>
          </w:pPr>
          <w:hyperlink w:anchor="_Toc214114792" w:history="1">
            <w:r w:rsidRPr="00BA10CD">
              <w:rPr>
                <w:rStyle w:val="Hyperlink"/>
                <w:noProof/>
                <w:lang w:val="en-GB"/>
              </w:rPr>
              <w:t>2.</w:t>
            </w:r>
            <w:r>
              <w:rPr>
                <w:rFonts w:asciiTheme="minorHAnsi" w:eastAsiaTheme="minorEastAsia" w:hAnsiTheme="minorHAnsi"/>
                <w:noProof/>
                <w:sz w:val="24"/>
                <w:szCs w:val="24"/>
                <w:lang w:val="en-GB" w:eastAsia="en-GB"/>
              </w:rPr>
              <w:tab/>
            </w:r>
            <w:r w:rsidRPr="00BA10CD">
              <w:rPr>
                <w:rStyle w:val="Hyperlink"/>
                <w:noProof/>
                <w:lang w:val="en-GB"/>
              </w:rPr>
              <w:t>BACKGROUND</w:t>
            </w:r>
            <w:r>
              <w:rPr>
                <w:noProof/>
                <w:webHidden/>
              </w:rPr>
              <w:tab/>
            </w:r>
            <w:r>
              <w:rPr>
                <w:noProof/>
                <w:webHidden/>
              </w:rPr>
              <w:fldChar w:fldCharType="begin"/>
            </w:r>
            <w:r>
              <w:rPr>
                <w:noProof/>
                <w:webHidden/>
              </w:rPr>
              <w:instrText xml:space="preserve"> PAGEREF _Toc214114792 \h </w:instrText>
            </w:r>
            <w:r>
              <w:rPr>
                <w:noProof/>
                <w:webHidden/>
              </w:rPr>
            </w:r>
            <w:r>
              <w:rPr>
                <w:noProof/>
                <w:webHidden/>
              </w:rPr>
              <w:fldChar w:fldCharType="separate"/>
            </w:r>
            <w:r>
              <w:rPr>
                <w:noProof/>
                <w:webHidden/>
              </w:rPr>
              <w:t>5</w:t>
            </w:r>
            <w:r>
              <w:rPr>
                <w:noProof/>
                <w:webHidden/>
              </w:rPr>
              <w:fldChar w:fldCharType="end"/>
            </w:r>
          </w:hyperlink>
        </w:p>
        <w:p w14:paraId="0C3EEC1E" w14:textId="250C82F7" w:rsidR="008F6C93" w:rsidRDefault="008F6C93">
          <w:pPr>
            <w:pStyle w:val="TOC2"/>
            <w:tabs>
              <w:tab w:val="left" w:pos="960"/>
              <w:tab w:val="right" w:leader="dot" w:pos="9016"/>
            </w:tabs>
            <w:rPr>
              <w:rFonts w:asciiTheme="minorHAnsi" w:eastAsiaTheme="minorEastAsia" w:hAnsiTheme="minorHAnsi"/>
              <w:noProof/>
              <w:sz w:val="24"/>
              <w:szCs w:val="24"/>
              <w:lang w:val="en-GB" w:eastAsia="en-GB"/>
            </w:rPr>
          </w:pPr>
          <w:hyperlink w:anchor="_Toc214114793" w:history="1">
            <w:r w:rsidRPr="00BA10CD">
              <w:rPr>
                <w:rStyle w:val="Hyperlink"/>
                <w:noProof/>
                <w:lang w:val="en-GB"/>
              </w:rPr>
              <w:t>2.1.</w:t>
            </w:r>
            <w:r>
              <w:rPr>
                <w:rFonts w:asciiTheme="minorHAnsi" w:eastAsiaTheme="minorEastAsia" w:hAnsiTheme="minorHAnsi"/>
                <w:noProof/>
                <w:sz w:val="24"/>
                <w:szCs w:val="24"/>
                <w:lang w:val="en-GB" w:eastAsia="en-GB"/>
              </w:rPr>
              <w:tab/>
            </w:r>
            <w:r w:rsidRPr="00BA10CD">
              <w:rPr>
                <w:rStyle w:val="Hyperlink"/>
                <w:noProof/>
                <w:lang w:val="en-GB"/>
              </w:rPr>
              <w:t>POLICY AND LEGISLATIVE FRAMEWORK</w:t>
            </w:r>
            <w:r>
              <w:rPr>
                <w:noProof/>
                <w:webHidden/>
              </w:rPr>
              <w:tab/>
            </w:r>
            <w:r>
              <w:rPr>
                <w:noProof/>
                <w:webHidden/>
              </w:rPr>
              <w:fldChar w:fldCharType="begin"/>
            </w:r>
            <w:r>
              <w:rPr>
                <w:noProof/>
                <w:webHidden/>
              </w:rPr>
              <w:instrText xml:space="preserve"> PAGEREF _Toc214114793 \h </w:instrText>
            </w:r>
            <w:r>
              <w:rPr>
                <w:noProof/>
                <w:webHidden/>
              </w:rPr>
            </w:r>
            <w:r>
              <w:rPr>
                <w:noProof/>
                <w:webHidden/>
              </w:rPr>
              <w:fldChar w:fldCharType="separate"/>
            </w:r>
            <w:r>
              <w:rPr>
                <w:noProof/>
                <w:webHidden/>
              </w:rPr>
              <w:t>5</w:t>
            </w:r>
            <w:r>
              <w:rPr>
                <w:noProof/>
                <w:webHidden/>
              </w:rPr>
              <w:fldChar w:fldCharType="end"/>
            </w:r>
          </w:hyperlink>
        </w:p>
        <w:p w14:paraId="64F504C7" w14:textId="33B1CF86" w:rsidR="008F6C93" w:rsidRDefault="008F6C93">
          <w:pPr>
            <w:pStyle w:val="TOC2"/>
            <w:tabs>
              <w:tab w:val="left" w:pos="960"/>
              <w:tab w:val="right" w:leader="dot" w:pos="9016"/>
            </w:tabs>
            <w:rPr>
              <w:rFonts w:asciiTheme="minorHAnsi" w:eastAsiaTheme="minorEastAsia" w:hAnsiTheme="minorHAnsi"/>
              <w:noProof/>
              <w:sz w:val="24"/>
              <w:szCs w:val="24"/>
              <w:lang w:val="en-GB" w:eastAsia="en-GB"/>
            </w:rPr>
          </w:pPr>
          <w:hyperlink w:anchor="_Toc214114794" w:history="1">
            <w:r w:rsidRPr="00BA10CD">
              <w:rPr>
                <w:rStyle w:val="Hyperlink"/>
                <w:noProof/>
                <w:lang w:val="en-GB"/>
              </w:rPr>
              <w:t>2.2.</w:t>
            </w:r>
            <w:r>
              <w:rPr>
                <w:rFonts w:asciiTheme="minorHAnsi" w:eastAsiaTheme="minorEastAsia" w:hAnsiTheme="minorHAnsi"/>
                <w:noProof/>
                <w:sz w:val="24"/>
                <w:szCs w:val="24"/>
                <w:lang w:val="en-GB" w:eastAsia="en-GB"/>
              </w:rPr>
              <w:tab/>
            </w:r>
            <w:r w:rsidRPr="00BA10CD">
              <w:rPr>
                <w:rStyle w:val="Hyperlink"/>
                <w:noProof/>
                <w:lang w:val="en-GB"/>
              </w:rPr>
              <w:t>CURRENT SITUATION AND STATISTICS</w:t>
            </w:r>
            <w:r>
              <w:rPr>
                <w:noProof/>
                <w:webHidden/>
              </w:rPr>
              <w:tab/>
            </w:r>
            <w:r>
              <w:rPr>
                <w:noProof/>
                <w:webHidden/>
              </w:rPr>
              <w:fldChar w:fldCharType="begin"/>
            </w:r>
            <w:r>
              <w:rPr>
                <w:noProof/>
                <w:webHidden/>
              </w:rPr>
              <w:instrText xml:space="preserve"> PAGEREF _Toc214114794 \h </w:instrText>
            </w:r>
            <w:r>
              <w:rPr>
                <w:noProof/>
                <w:webHidden/>
              </w:rPr>
            </w:r>
            <w:r>
              <w:rPr>
                <w:noProof/>
                <w:webHidden/>
              </w:rPr>
              <w:fldChar w:fldCharType="separate"/>
            </w:r>
            <w:r>
              <w:rPr>
                <w:noProof/>
                <w:webHidden/>
              </w:rPr>
              <w:t>6</w:t>
            </w:r>
            <w:r>
              <w:rPr>
                <w:noProof/>
                <w:webHidden/>
              </w:rPr>
              <w:fldChar w:fldCharType="end"/>
            </w:r>
          </w:hyperlink>
        </w:p>
        <w:p w14:paraId="26C523E1" w14:textId="23EE5E9D" w:rsidR="008F6C93" w:rsidRDefault="008F6C93">
          <w:pPr>
            <w:pStyle w:val="TOC2"/>
            <w:tabs>
              <w:tab w:val="left" w:pos="960"/>
              <w:tab w:val="right" w:leader="dot" w:pos="9016"/>
            </w:tabs>
            <w:rPr>
              <w:rFonts w:asciiTheme="minorHAnsi" w:eastAsiaTheme="minorEastAsia" w:hAnsiTheme="minorHAnsi"/>
              <w:noProof/>
              <w:sz w:val="24"/>
              <w:szCs w:val="24"/>
              <w:lang w:val="en-GB" w:eastAsia="en-GB"/>
            </w:rPr>
          </w:pPr>
          <w:hyperlink w:anchor="_Toc214114795" w:history="1">
            <w:r w:rsidRPr="00BA10CD">
              <w:rPr>
                <w:rStyle w:val="Hyperlink"/>
                <w:noProof/>
                <w:lang w:val="en-GB"/>
              </w:rPr>
              <w:t>2.3.</w:t>
            </w:r>
            <w:r>
              <w:rPr>
                <w:rFonts w:asciiTheme="minorHAnsi" w:eastAsiaTheme="minorEastAsia" w:hAnsiTheme="minorHAnsi"/>
                <w:noProof/>
                <w:sz w:val="24"/>
                <w:szCs w:val="24"/>
                <w:lang w:val="en-GB" w:eastAsia="en-GB"/>
              </w:rPr>
              <w:tab/>
            </w:r>
            <w:r w:rsidRPr="00BA10CD">
              <w:rPr>
                <w:rStyle w:val="Hyperlink"/>
                <w:noProof/>
                <w:lang w:val="en-GB"/>
              </w:rPr>
              <w:t>IMPLICATIONS FOR SEND CHILDREN</w:t>
            </w:r>
            <w:r>
              <w:rPr>
                <w:noProof/>
                <w:webHidden/>
              </w:rPr>
              <w:tab/>
            </w:r>
            <w:r>
              <w:rPr>
                <w:noProof/>
                <w:webHidden/>
              </w:rPr>
              <w:fldChar w:fldCharType="begin"/>
            </w:r>
            <w:r>
              <w:rPr>
                <w:noProof/>
                <w:webHidden/>
              </w:rPr>
              <w:instrText xml:space="preserve"> PAGEREF _Toc214114795 \h </w:instrText>
            </w:r>
            <w:r>
              <w:rPr>
                <w:noProof/>
                <w:webHidden/>
              </w:rPr>
            </w:r>
            <w:r>
              <w:rPr>
                <w:noProof/>
                <w:webHidden/>
              </w:rPr>
              <w:fldChar w:fldCharType="separate"/>
            </w:r>
            <w:r>
              <w:rPr>
                <w:noProof/>
                <w:webHidden/>
              </w:rPr>
              <w:t>7</w:t>
            </w:r>
            <w:r>
              <w:rPr>
                <w:noProof/>
                <w:webHidden/>
              </w:rPr>
              <w:fldChar w:fldCharType="end"/>
            </w:r>
          </w:hyperlink>
        </w:p>
        <w:p w14:paraId="73FE438E" w14:textId="30BA567B" w:rsidR="008F6C93" w:rsidRDefault="008F6C93">
          <w:pPr>
            <w:pStyle w:val="TOC2"/>
            <w:tabs>
              <w:tab w:val="left" w:pos="960"/>
              <w:tab w:val="right" w:leader="dot" w:pos="9016"/>
            </w:tabs>
            <w:rPr>
              <w:rFonts w:asciiTheme="minorHAnsi" w:eastAsiaTheme="minorEastAsia" w:hAnsiTheme="minorHAnsi"/>
              <w:noProof/>
              <w:sz w:val="24"/>
              <w:szCs w:val="24"/>
              <w:lang w:val="en-GB" w:eastAsia="en-GB"/>
            </w:rPr>
          </w:pPr>
          <w:hyperlink w:anchor="_Toc214114796" w:history="1">
            <w:r w:rsidRPr="00BA10CD">
              <w:rPr>
                <w:rStyle w:val="Hyperlink"/>
                <w:noProof/>
                <w:lang w:val="en-GB"/>
              </w:rPr>
              <w:t>2.4.</w:t>
            </w:r>
            <w:r>
              <w:rPr>
                <w:rFonts w:asciiTheme="minorHAnsi" w:eastAsiaTheme="minorEastAsia" w:hAnsiTheme="minorHAnsi"/>
                <w:noProof/>
                <w:sz w:val="24"/>
                <w:szCs w:val="24"/>
                <w:lang w:val="en-GB" w:eastAsia="en-GB"/>
              </w:rPr>
              <w:tab/>
            </w:r>
            <w:r w:rsidRPr="00BA10CD">
              <w:rPr>
                <w:rStyle w:val="Hyperlink"/>
                <w:noProof/>
                <w:lang w:val="en-GB"/>
              </w:rPr>
              <w:t>RESEARCH GAPS</w:t>
            </w:r>
            <w:r>
              <w:rPr>
                <w:noProof/>
                <w:webHidden/>
              </w:rPr>
              <w:tab/>
            </w:r>
            <w:r>
              <w:rPr>
                <w:noProof/>
                <w:webHidden/>
              </w:rPr>
              <w:fldChar w:fldCharType="begin"/>
            </w:r>
            <w:r>
              <w:rPr>
                <w:noProof/>
                <w:webHidden/>
              </w:rPr>
              <w:instrText xml:space="preserve"> PAGEREF _Toc214114796 \h </w:instrText>
            </w:r>
            <w:r>
              <w:rPr>
                <w:noProof/>
                <w:webHidden/>
              </w:rPr>
            </w:r>
            <w:r>
              <w:rPr>
                <w:noProof/>
                <w:webHidden/>
              </w:rPr>
              <w:fldChar w:fldCharType="separate"/>
            </w:r>
            <w:r>
              <w:rPr>
                <w:noProof/>
                <w:webHidden/>
              </w:rPr>
              <w:t>7</w:t>
            </w:r>
            <w:r>
              <w:rPr>
                <w:noProof/>
                <w:webHidden/>
              </w:rPr>
              <w:fldChar w:fldCharType="end"/>
            </w:r>
          </w:hyperlink>
        </w:p>
        <w:p w14:paraId="7C729019" w14:textId="1519B576" w:rsidR="008F6C93" w:rsidRDefault="008F6C93">
          <w:pPr>
            <w:pStyle w:val="TOC1"/>
            <w:tabs>
              <w:tab w:val="left" w:pos="480"/>
              <w:tab w:val="right" w:leader="dot" w:pos="9016"/>
            </w:tabs>
            <w:rPr>
              <w:rFonts w:asciiTheme="minorHAnsi" w:eastAsiaTheme="minorEastAsia" w:hAnsiTheme="minorHAnsi"/>
              <w:noProof/>
              <w:sz w:val="24"/>
              <w:szCs w:val="24"/>
              <w:lang w:val="en-GB" w:eastAsia="en-GB"/>
            </w:rPr>
          </w:pPr>
          <w:hyperlink w:anchor="_Toc214114797" w:history="1">
            <w:r w:rsidRPr="00BA10CD">
              <w:rPr>
                <w:rStyle w:val="Hyperlink"/>
                <w:noProof/>
                <w:lang w:val="en-GB"/>
              </w:rPr>
              <w:t>3.</w:t>
            </w:r>
            <w:r>
              <w:rPr>
                <w:rFonts w:asciiTheme="minorHAnsi" w:eastAsiaTheme="minorEastAsia" w:hAnsiTheme="minorHAnsi"/>
                <w:noProof/>
                <w:sz w:val="24"/>
                <w:szCs w:val="24"/>
                <w:lang w:val="en-GB" w:eastAsia="en-GB"/>
              </w:rPr>
              <w:tab/>
            </w:r>
            <w:r w:rsidRPr="00BA10CD">
              <w:rPr>
                <w:rStyle w:val="Hyperlink"/>
                <w:noProof/>
                <w:lang w:val="en-GB"/>
              </w:rPr>
              <w:t>METHODS</w:t>
            </w:r>
            <w:r>
              <w:rPr>
                <w:noProof/>
                <w:webHidden/>
              </w:rPr>
              <w:tab/>
            </w:r>
            <w:r>
              <w:rPr>
                <w:noProof/>
                <w:webHidden/>
              </w:rPr>
              <w:fldChar w:fldCharType="begin"/>
            </w:r>
            <w:r>
              <w:rPr>
                <w:noProof/>
                <w:webHidden/>
              </w:rPr>
              <w:instrText xml:space="preserve"> PAGEREF _Toc214114797 \h </w:instrText>
            </w:r>
            <w:r>
              <w:rPr>
                <w:noProof/>
                <w:webHidden/>
              </w:rPr>
            </w:r>
            <w:r>
              <w:rPr>
                <w:noProof/>
                <w:webHidden/>
              </w:rPr>
              <w:fldChar w:fldCharType="separate"/>
            </w:r>
            <w:r>
              <w:rPr>
                <w:noProof/>
                <w:webHidden/>
              </w:rPr>
              <w:t>8</w:t>
            </w:r>
            <w:r>
              <w:rPr>
                <w:noProof/>
                <w:webHidden/>
              </w:rPr>
              <w:fldChar w:fldCharType="end"/>
            </w:r>
          </w:hyperlink>
        </w:p>
        <w:p w14:paraId="520F167A" w14:textId="1154180E" w:rsidR="008F6C93" w:rsidRDefault="008F6C93">
          <w:pPr>
            <w:pStyle w:val="TOC2"/>
            <w:tabs>
              <w:tab w:val="left" w:pos="960"/>
              <w:tab w:val="right" w:leader="dot" w:pos="9016"/>
            </w:tabs>
            <w:rPr>
              <w:rFonts w:asciiTheme="minorHAnsi" w:eastAsiaTheme="minorEastAsia" w:hAnsiTheme="minorHAnsi"/>
              <w:noProof/>
              <w:sz w:val="24"/>
              <w:szCs w:val="24"/>
              <w:lang w:val="en-GB" w:eastAsia="en-GB"/>
            </w:rPr>
          </w:pPr>
          <w:hyperlink w:anchor="_Toc214114798" w:history="1">
            <w:r w:rsidRPr="00BA10CD">
              <w:rPr>
                <w:rStyle w:val="Hyperlink"/>
                <w:noProof/>
                <w:lang w:val="en-GB"/>
              </w:rPr>
              <w:t>3.1.</w:t>
            </w:r>
            <w:r>
              <w:rPr>
                <w:rFonts w:asciiTheme="minorHAnsi" w:eastAsiaTheme="minorEastAsia" w:hAnsiTheme="minorHAnsi"/>
                <w:noProof/>
                <w:sz w:val="24"/>
                <w:szCs w:val="24"/>
                <w:lang w:val="en-GB" w:eastAsia="en-GB"/>
              </w:rPr>
              <w:tab/>
            </w:r>
            <w:r w:rsidRPr="00BA10CD">
              <w:rPr>
                <w:rStyle w:val="Hyperlink"/>
                <w:noProof/>
                <w:lang w:val="en-GB"/>
              </w:rPr>
              <w:t>RESEARCH DESIGN</w:t>
            </w:r>
            <w:r>
              <w:rPr>
                <w:noProof/>
                <w:webHidden/>
              </w:rPr>
              <w:tab/>
            </w:r>
            <w:r>
              <w:rPr>
                <w:noProof/>
                <w:webHidden/>
              </w:rPr>
              <w:fldChar w:fldCharType="begin"/>
            </w:r>
            <w:r>
              <w:rPr>
                <w:noProof/>
                <w:webHidden/>
              </w:rPr>
              <w:instrText xml:space="preserve"> PAGEREF _Toc214114798 \h </w:instrText>
            </w:r>
            <w:r>
              <w:rPr>
                <w:noProof/>
                <w:webHidden/>
              </w:rPr>
            </w:r>
            <w:r>
              <w:rPr>
                <w:noProof/>
                <w:webHidden/>
              </w:rPr>
              <w:fldChar w:fldCharType="separate"/>
            </w:r>
            <w:r>
              <w:rPr>
                <w:noProof/>
                <w:webHidden/>
              </w:rPr>
              <w:t>8</w:t>
            </w:r>
            <w:r>
              <w:rPr>
                <w:noProof/>
                <w:webHidden/>
              </w:rPr>
              <w:fldChar w:fldCharType="end"/>
            </w:r>
          </w:hyperlink>
        </w:p>
        <w:p w14:paraId="27DE28DA" w14:textId="3A109F6B" w:rsidR="008F6C93" w:rsidRDefault="008F6C93">
          <w:pPr>
            <w:pStyle w:val="TOC2"/>
            <w:tabs>
              <w:tab w:val="left" w:pos="960"/>
              <w:tab w:val="right" w:leader="dot" w:pos="9016"/>
            </w:tabs>
            <w:rPr>
              <w:rFonts w:asciiTheme="minorHAnsi" w:eastAsiaTheme="minorEastAsia" w:hAnsiTheme="minorHAnsi"/>
              <w:noProof/>
              <w:sz w:val="24"/>
              <w:szCs w:val="24"/>
              <w:lang w:val="en-GB" w:eastAsia="en-GB"/>
            </w:rPr>
          </w:pPr>
          <w:hyperlink w:anchor="_Toc214114799" w:history="1">
            <w:r w:rsidRPr="00BA10CD">
              <w:rPr>
                <w:rStyle w:val="Hyperlink"/>
                <w:noProof/>
                <w:lang w:val="en-GB"/>
              </w:rPr>
              <w:t>3.2.</w:t>
            </w:r>
            <w:r>
              <w:rPr>
                <w:rFonts w:asciiTheme="minorHAnsi" w:eastAsiaTheme="minorEastAsia" w:hAnsiTheme="minorHAnsi"/>
                <w:noProof/>
                <w:sz w:val="24"/>
                <w:szCs w:val="24"/>
                <w:lang w:val="en-GB" w:eastAsia="en-GB"/>
              </w:rPr>
              <w:tab/>
            </w:r>
            <w:r w:rsidRPr="00BA10CD">
              <w:rPr>
                <w:rStyle w:val="Hyperlink"/>
                <w:noProof/>
                <w:lang w:val="en-GB"/>
              </w:rPr>
              <w:t>RESEARCH AIM, QUESTION AND OBJECTIVES</w:t>
            </w:r>
            <w:r>
              <w:rPr>
                <w:noProof/>
                <w:webHidden/>
              </w:rPr>
              <w:tab/>
            </w:r>
            <w:r>
              <w:rPr>
                <w:noProof/>
                <w:webHidden/>
              </w:rPr>
              <w:fldChar w:fldCharType="begin"/>
            </w:r>
            <w:r>
              <w:rPr>
                <w:noProof/>
                <w:webHidden/>
              </w:rPr>
              <w:instrText xml:space="preserve"> PAGEREF _Toc214114799 \h </w:instrText>
            </w:r>
            <w:r>
              <w:rPr>
                <w:noProof/>
                <w:webHidden/>
              </w:rPr>
            </w:r>
            <w:r>
              <w:rPr>
                <w:noProof/>
                <w:webHidden/>
              </w:rPr>
              <w:fldChar w:fldCharType="separate"/>
            </w:r>
            <w:r>
              <w:rPr>
                <w:noProof/>
                <w:webHidden/>
              </w:rPr>
              <w:t>8</w:t>
            </w:r>
            <w:r>
              <w:rPr>
                <w:noProof/>
                <w:webHidden/>
              </w:rPr>
              <w:fldChar w:fldCharType="end"/>
            </w:r>
          </w:hyperlink>
        </w:p>
        <w:p w14:paraId="10D20791" w14:textId="38C229E6" w:rsidR="008F6C93" w:rsidRDefault="008F6C93">
          <w:pPr>
            <w:pStyle w:val="TOC2"/>
            <w:tabs>
              <w:tab w:val="left" w:pos="960"/>
              <w:tab w:val="right" w:leader="dot" w:pos="9016"/>
            </w:tabs>
            <w:rPr>
              <w:rFonts w:asciiTheme="minorHAnsi" w:eastAsiaTheme="minorEastAsia" w:hAnsiTheme="minorHAnsi"/>
              <w:noProof/>
              <w:sz w:val="24"/>
              <w:szCs w:val="24"/>
              <w:lang w:val="en-GB" w:eastAsia="en-GB"/>
            </w:rPr>
          </w:pPr>
          <w:hyperlink w:anchor="_Toc214114800" w:history="1">
            <w:r w:rsidRPr="00BA10CD">
              <w:rPr>
                <w:rStyle w:val="Hyperlink"/>
                <w:noProof/>
                <w:lang w:val="en-GB"/>
              </w:rPr>
              <w:t>3.3.</w:t>
            </w:r>
            <w:r>
              <w:rPr>
                <w:rFonts w:asciiTheme="minorHAnsi" w:eastAsiaTheme="minorEastAsia" w:hAnsiTheme="minorHAnsi"/>
                <w:noProof/>
                <w:sz w:val="24"/>
                <w:szCs w:val="24"/>
                <w:lang w:val="en-GB" w:eastAsia="en-GB"/>
              </w:rPr>
              <w:tab/>
            </w:r>
            <w:r w:rsidRPr="00BA10CD">
              <w:rPr>
                <w:rStyle w:val="Hyperlink"/>
                <w:noProof/>
                <w:lang w:val="en-GB"/>
              </w:rPr>
              <w:t>INCLUSION AND EXCLUSION CRITERIA</w:t>
            </w:r>
            <w:r>
              <w:rPr>
                <w:noProof/>
                <w:webHidden/>
              </w:rPr>
              <w:tab/>
            </w:r>
            <w:r>
              <w:rPr>
                <w:noProof/>
                <w:webHidden/>
              </w:rPr>
              <w:fldChar w:fldCharType="begin"/>
            </w:r>
            <w:r>
              <w:rPr>
                <w:noProof/>
                <w:webHidden/>
              </w:rPr>
              <w:instrText xml:space="preserve"> PAGEREF _Toc214114800 \h </w:instrText>
            </w:r>
            <w:r>
              <w:rPr>
                <w:noProof/>
                <w:webHidden/>
              </w:rPr>
            </w:r>
            <w:r>
              <w:rPr>
                <w:noProof/>
                <w:webHidden/>
              </w:rPr>
              <w:fldChar w:fldCharType="separate"/>
            </w:r>
            <w:r>
              <w:rPr>
                <w:noProof/>
                <w:webHidden/>
              </w:rPr>
              <w:t>8</w:t>
            </w:r>
            <w:r>
              <w:rPr>
                <w:noProof/>
                <w:webHidden/>
              </w:rPr>
              <w:fldChar w:fldCharType="end"/>
            </w:r>
          </w:hyperlink>
        </w:p>
        <w:p w14:paraId="64790D61" w14:textId="7E18743E" w:rsidR="008F6C93" w:rsidRDefault="008F6C93">
          <w:pPr>
            <w:pStyle w:val="TOC2"/>
            <w:tabs>
              <w:tab w:val="left" w:pos="960"/>
              <w:tab w:val="right" w:leader="dot" w:pos="9016"/>
            </w:tabs>
            <w:rPr>
              <w:rFonts w:asciiTheme="minorHAnsi" w:eastAsiaTheme="minorEastAsia" w:hAnsiTheme="minorHAnsi"/>
              <w:noProof/>
              <w:sz w:val="24"/>
              <w:szCs w:val="24"/>
              <w:lang w:val="en-GB" w:eastAsia="en-GB"/>
            </w:rPr>
          </w:pPr>
          <w:hyperlink w:anchor="_Toc214114801" w:history="1">
            <w:r w:rsidRPr="00BA10CD">
              <w:rPr>
                <w:rStyle w:val="Hyperlink"/>
                <w:noProof/>
                <w:lang w:val="en-GB"/>
              </w:rPr>
              <w:t>3.4.</w:t>
            </w:r>
            <w:r>
              <w:rPr>
                <w:rFonts w:asciiTheme="minorHAnsi" w:eastAsiaTheme="minorEastAsia" w:hAnsiTheme="minorHAnsi"/>
                <w:noProof/>
                <w:sz w:val="24"/>
                <w:szCs w:val="24"/>
                <w:lang w:val="en-GB" w:eastAsia="en-GB"/>
              </w:rPr>
              <w:tab/>
            </w:r>
            <w:r w:rsidRPr="00BA10CD">
              <w:rPr>
                <w:rStyle w:val="Hyperlink"/>
                <w:noProof/>
                <w:lang w:val="en-GB"/>
              </w:rPr>
              <w:t>RESEARCH STRATEGY AND STUDY SELECTION</w:t>
            </w:r>
            <w:r>
              <w:rPr>
                <w:noProof/>
                <w:webHidden/>
              </w:rPr>
              <w:tab/>
            </w:r>
            <w:r>
              <w:rPr>
                <w:noProof/>
                <w:webHidden/>
              </w:rPr>
              <w:fldChar w:fldCharType="begin"/>
            </w:r>
            <w:r>
              <w:rPr>
                <w:noProof/>
                <w:webHidden/>
              </w:rPr>
              <w:instrText xml:space="preserve"> PAGEREF _Toc214114801 \h </w:instrText>
            </w:r>
            <w:r>
              <w:rPr>
                <w:noProof/>
                <w:webHidden/>
              </w:rPr>
            </w:r>
            <w:r>
              <w:rPr>
                <w:noProof/>
                <w:webHidden/>
              </w:rPr>
              <w:fldChar w:fldCharType="separate"/>
            </w:r>
            <w:r>
              <w:rPr>
                <w:noProof/>
                <w:webHidden/>
              </w:rPr>
              <w:t>9</w:t>
            </w:r>
            <w:r>
              <w:rPr>
                <w:noProof/>
                <w:webHidden/>
              </w:rPr>
              <w:fldChar w:fldCharType="end"/>
            </w:r>
          </w:hyperlink>
        </w:p>
        <w:p w14:paraId="13033BED" w14:textId="5CD81E86" w:rsidR="008F6C93" w:rsidRDefault="008F6C93">
          <w:pPr>
            <w:pStyle w:val="TOC2"/>
            <w:tabs>
              <w:tab w:val="left" w:pos="960"/>
              <w:tab w:val="right" w:leader="dot" w:pos="9016"/>
            </w:tabs>
            <w:rPr>
              <w:rFonts w:asciiTheme="minorHAnsi" w:eastAsiaTheme="minorEastAsia" w:hAnsiTheme="minorHAnsi"/>
              <w:noProof/>
              <w:sz w:val="24"/>
              <w:szCs w:val="24"/>
              <w:lang w:val="en-GB" w:eastAsia="en-GB"/>
            </w:rPr>
          </w:pPr>
          <w:hyperlink w:anchor="_Toc214114802" w:history="1">
            <w:r w:rsidRPr="00BA10CD">
              <w:rPr>
                <w:rStyle w:val="Hyperlink"/>
                <w:noProof/>
                <w:lang w:val="en-GB"/>
              </w:rPr>
              <w:t>3.5.</w:t>
            </w:r>
            <w:r>
              <w:rPr>
                <w:rFonts w:asciiTheme="minorHAnsi" w:eastAsiaTheme="minorEastAsia" w:hAnsiTheme="minorHAnsi"/>
                <w:noProof/>
                <w:sz w:val="24"/>
                <w:szCs w:val="24"/>
                <w:lang w:val="en-GB" w:eastAsia="en-GB"/>
              </w:rPr>
              <w:tab/>
            </w:r>
            <w:r w:rsidRPr="00BA10CD">
              <w:rPr>
                <w:rStyle w:val="Hyperlink"/>
                <w:noProof/>
                <w:lang w:val="en-GB"/>
              </w:rPr>
              <w:t>RESEARCH AND ANALYSIS FRAMEWORK</w:t>
            </w:r>
            <w:r>
              <w:rPr>
                <w:noProof/>
                <w:webHidden/>
              </w:rPr>
              <w:tab/>
            </w:r>
            <w:r>
              <w:rPr>
                <w:noProof/>
                <w:webHidden/>
              </w:rPr>
              <w:fldChar w:fldCharType="begin"/>
            </w:r>
            <w:r>
              <w:rPr>
                <w:noProof/>
                <w:webHidden/>
              </w:rPr>
              <w:instrText xml:space="preserve"> PAGEREF _Toc214114802 \h </w:instrText>
            </w:r>
            <w:r>
              <w:rPr>
                <w:noProof/>
                <w:webHidden/>
              </w:rPr>
            </w:r>
            <w:r>
              <w:rPr>
                <w:noProof/>
                <w:webHidden/>
              </w:rPr>
              <w:fldChar w:fldCharType="separate"/>
            </w:r>
            <w:r>
              <w:rPr>
                <w:noProof/>
                <w:webHidden/>
              </w:rPr>
              <w:t>9</w:t>
            </w:r>
            <w:r>
              <w:rPr>
                <w:noProof/>
                <w:webHidden/>
              </w:rPr>
              <w:fldChar w:fldCharType="end"/>
            </w:r>
          </w:hyperlink>
        </w:p>
        <w:p w14:paraId="7E1EA5F8" w14:textId="2E7A6CEA" w:rsidR="008F6C93" w:rsidRDefault="008F6C93">
          <w:pPr>
            <w:pStyle w:val="TOC2"/>
            <w:tabs>
              <w:tab w:val="left" w:pos="960"/>
              <w:tab w:val="right" w:leader="dot" w:pos="9016"/>
            </w:tabs>
            <w:rPr>
              <w:rFonts w:asciiTheme="minorHAnsi" w:eastAsiaTheme="minorEastAsia" w:hAnsiTheme="minorHAnsi"/>
              <w:noProof/>
              <w:sz w:val="24"/>
              <w:szCs w:val="24"/>
              <w:lang w:val="en-GB" w:eastAsia="en-GB"/>
            </w:rPr>
          </w:pPr>
          <w:hyperlink w:anchor="_Toc214114803" w:history="1">
            <w:r w:rsidRPr="00BA10CD">
              <w:rPr>
                <w:rStyle w:val="Hyperlink"/>
                <w:noProof/>
                <w:lang w:val="en-GB"/>
              </w:rPr>
              <w:t>3.6.</w:t>
            </w:r>
            <w:r>
              <w:rPr>
                <w:rFonts w:asciiTheme="minorHAnsi" w:eastAsiaTheme="minorEastAsia" w:hAnsiTheme="minorHAnsi"/>
                <w:noProof/>
                <w:sz w:val="24"/>
                <w:szCs w:val="24"/>
                <w:lang w:val="en-GB" w:eastAsia="en-GB"/>
              </w:rPr>
              <w:tab/>
            </w:r>
            <w:r w:rsidRPr="00BA10CD">
              <w:rPr>
                <w:rStyle w:val="Hyperlink"/>
                <w:noProof/>
                <w:lang w:val="en-GB"/>
              </w:rPr>
              <w:t>QUALITY APPRISAL AND ETHICAL CONSIDERATIONS</w:t>
            </w:r>
            <w:r>
              <w:rPr>
                <w:noProof/>
                <w:webHidden/>
              </w:rPr>
              <w:tab/>
            </w:r>
            <w:r>
              <w:rPr>
                <w:noProof/>
                <w:webHidden/>
              </w:rPr>
              <w:fldChar w:fldCharType="begin"/>
            </w:r>
            <w:r>
              <w:rPr>
                <w:noProof/>
                <w:webHidden/>
              </w:rPr>
              <w:instrText xml:space="preserve"> PAGEREF _Toc214114803 \h </w:instrText>
            </w:r>
            <w:r>
              <w:rPr>
                <w:noProof/>
                <w:webHidden/>
              </w:rPr>
            </w:r>
            <w:r>
              <w:rPr>
                <w:noProof/>
                <w:webHidden/>
              </w:rPr>
              <w:fldChar w:fldCharType="separate"/>
            </w:r>
            <w:r>
              <w:rPr>
                <w:noProof/>
                <w:webHidden/>
              </w:rPr>
              <w:t>9</w:t>
            </w:r>
            <w:r>
              <w:rPr>
                <w:noProof/>
                <w:webHidden/>
              </w:rPr>
              <w:fldChar w:fldCharType="end"/>
            </w:r>
          </w:hyperlink>
        </w:p>
        <w:p w14:paraId="78D2281B" w14:textId="08B9AC36" w:rsidR="008F6C93" w:rsidRDefault="008F6C93">
          <w:pPr>
            <w:pStyle w:val="TOC2"/>
            <w:tabs>
              <w:tab w:val="left" w:pos="960"/>
              <w:tab w:val="right" w:leader="dot" w:pos="9016"/>
            </w:tabs>
            <w:rPr>
              <w:rFonts w:asciiTheme="minorHAnsi" w:eastAsiaTheme="minorEastAsia" w:hAnsiTheme="minorHAnsi"/>
              <w:noProof/>
              <w:sz w:val="24"/>
              <w:szCs w:val="24"/>
              <w:lang w:val="en-GB" w:eastAsia="en-GB"/>
            </w:rPr>
          </w:pPr>
          <w:hyperlink w:anchor="_Toc214114804" w:history="1">
            <w:r w:rsidRPr="00BA10CD">
              <w:rPr>
                <w:rStyle w:val="Hyperlink"/>
                <w:noProof/>
                <w:lang w:val="en-GB"/>
              </w:rPr>
              <w:t>3.7.</w:t>
            </w:r>
            <w:r>
              <w:rPr>
                <w:rFonts w:asciiTheme="minorHAnsi" w:eastAsiaTheme="minorEastAsia" w:hAnsiTheme="minorHAnsi"/>
                <w:noProof/>
                <w:sz w:val="24"/>
                <w:szCs w:val="24"/>
                <w:lang w:val="en-GB" w:eastAsia="en-GB"/>
              </w:rPr>
              <w:tab/>
            </w:r>
            <w:r w:rsidRPr="00BA10CD">
              <w:rPr>
                <w:rStyle w:val="Hyperlink"/>
                <w:noProof/>
                <w:lang w:val="en-GB"/>
              </w:rPr>
              <w:t>LIMITATIONS</w:t>
            </w:r>
            <w:r>
              <w:rPr>
                <w:noProof/>
                <w:webHidden/>
              </w:rPr>
              <w:tab/>
            </w:r>
            <w:r>
              <w:rPr>
                <w:noProof/>
                <w:webHidden/>
              </w:rPr>
              <w:fldChar w:fldCharType="begin"/>
            </w:r>
            <w:r>
              <w:rPr>
                <w:noProof/>
                <w:webHidden/>
              </w:rPr>
              <w:instrText xml:space="preserve"> PAGEREF _Toc214114804 \h </w:instrText>
            </w:r>
            <w:r>
              <w:rPr>
                <w:noProof/>
                <w:webHidden/>
              </w:rPr>
            </w:r>
            <w:r>
              <w:rPr>
                <w:noProof/>
                <w:webHidden/>
              </w:rPr>
              <w:fldChar w:fldCharType="separate"/>
            </w:r>
            <w:r>
              <w:rPr>
                <w:noProof/>
                <w:webHidden/>
              </w:rPr>
              <w:t>10</w:t>
            </w:r>
            <w:r>
              <w:rPr>
                <w:noProof/>
                <w:webHidden/>
              </w:rPr>
              <w:fldChar w:fldCharType="end"/>
            </w:r>
          </w:hyperlink>
        </w:p>
        <w:p w14:paraId="31598E51" w14:textId="49535797" w:rsidR="008F6C93" w:rsidRDefault="008F6C93">
          <w:pPr>
            <w:pStyle w:val="TOC1"/>
            <w:tabs>
              <w:tab w:val="left" w:pos="480"/>
              <w:tab w:val="right" w:leader="dot" w:pos="9016"/>
            </w:tabs>
            <w:rPr>
              <w:rFonts w:asciiTheme="minorHAnsi" w:eastAsiaTheme="minorEastAsia" w:hAnsiTheme="minorHAnsi"/>
              <w:noProof/>
              <w:sz w:val="24"/>
              <w:szCs w:val="24"/>
              <w:lang w:val="en-GB" w:eastAsia="en-GB"/>
            </w:rPr>
          </w:pPr>
          <w:hyperlink w:anchor="_Toc214114805" w:history="1">
            <w:r w:rsidRPr="00BA10CD">
              <w:rPr>
                <w:rStyle w:val="Hyperlink"/>
                <w:noProof/>
                <w:lang w:val="en-GB"/>
              </w:rPr>
              <w:t>4.</w:t>
            </w:r>
            <w:r>
              <w:rPr>
                <w:rFonts w:asciiTheme="minorHAnsi" w:eastAsiaTheme="minorEastAsia" w:hAnsiTheme="minorHAnsi"/>
                <w:noProof/>
                <w:sz w:val="24"/>
                <w:szCs w:val="24"/>
                <w:lang w:val="en-GB" w:eastAsia="en-GB"/>
              </w:rPr>
              <w:tab/>
            </w:r>
            <w:r w:rsidRPr="00BA10CD">
              <w:rPr>
                <w:rStyle w:val="Hyperlink"/>
                <w:noProof/>
                <w:lang w:val="en-GB"/>
              </w:rPr>
              <w:t>RESULTS</w:t>
            </w:r>
            <w:r>
              <w:rPr>
                <w:noProof/>
                <w:webHidden/>
              </w:rPr>
              <w:tab/>
            </w:r>
            <w:r>
              <w:rPr>
                <w:noProof/>
                <w:webHidden/>
              </w:rPr>
              <w:fldChar w:fldCharType="begin"/>
            </w:r>
            <w:r>
              <w:rPr>
                <w:noProof/>
                <w:webHidden/>
              </w:rPr>
              <w:instrText xml:space="preserve"> PAGEREF _Toc214114805 \h </w:instrText>
            </w:r>
            <w:r>
              <w:rPr>
                <w:noProof/>
                <w:webHidden/>
              </w:rPr>
            </w:r>
            <w:r>
              <w:rPr>
                <w:noProof/>
                <w:webHidden/>
              </w:rPr>
              <w:fldChar w:fldCharType="separate"/>
            </w:r>
            <w:r>
              <w:rPr>
                <w:noProof/>
                <w:webHidden/>
              </w:rPr>
              <w:t>11</w:t>
            </w:r>
            <w:r>
              <w:rPr>
                <w:noProof/>
                <w:webHidden/>
              </w:rPr>
              <w:fldChar w:fldCharType="end"/>
            </w:r>
          </w:hyperlink>
        </w:p>
        <w:p w14:paraId="53B592AA" w14:textId="3CC00B9F" w:rsidR="008F6C93" w:rsidRDefault="008F6C93">
          <w:pPr>
            <w:pStyle w:val="TOC1"/>
            <w:tabs>
              <w:tab w:val="left" w:pos="480"/>
              <w:tab w:val="right" w:leader="dot" w:pos="9016"/>
            </w:tabs>
            <w:rPr>
              <w:rFonts w:asciiTheme="minorHAnsi" w:eastAsiaTheme="minorEastAsia" w:hAnsiTheme="minorHAnsi"/>
              <w:noProof/>
              <w:sz w:val="24"/>
              <w:szCs w:val="24"/>
              <w:lang w:val="en-GB" w:eastAsia="en-GB"/>
            </w:rPr>
          </w:pPr>
          <w:hyperlink w:anchor="_Toc214114806" w:history="1">
            <w:r w:rsidRPr="00BA10CD">
              <w:rPr>
                <w:rStyle w:val="Hyperlink"/>
                <w:noProof/>
                <w:lang w:val="en-GB"/>
              </w:rPr>
              <w:t>5.</w:t>
            </w:r>
            <w:r>
              <w:rPr>
                <w:rFonts w:asciiTheme="minorHAnsi" w:eastAsiaTheme="minorEastAsia" w:hAnsiTheme="minorHAnsi"/>
                <w:noProof/>
                <w:sz w:val="24"/>
                <w:szCs w:val="24"/>
                <w:lang w:val="en-GB" w:eastAsia="en-GB"/>
              </w:rPr>
              <w:tab/>
            </w:r>
            <w:r w:rsidRPr="00BA10CD">
              <w:rPr>
                <w:rStyle w:val="Hyperlink"/>
                <w:noProof/>
                <w:lang w:val="en-GB"/>
              </w:rPr>
              <w:t>DISCUSSION</w:t>
            </w:r>
            <w:r>
              <w:rPr>
                <w:noProof/>
                <w:webHidden/>
              </w:rPr>
              <w:tab/>
            </w:r>
            <w:r>
              <w:rPr>
                <w:noProof/>
                <w:webHidden/>
              </w:rPr>
              <w:fldChar w:fldCharType="begin"/>
            </w:r>
            <w:r>
              <w:rPr>
                <w:noProof/>
                <w:webHidden/>
              </w:rPr>
              <w:instrText xml:space="preserve"> PAGEREF _Toc214114806 \h </w:instrText>
            </w:r>
            <w:r>
              <w:rPr>
                <w:noProof/>
                <w:webHidden/>
              </w:rPr>
            </w:r>
            <w:r>
              <w:rPr>
                <w:noProof/>
                <w:webHidden/>
              </w:rPr>
              <w:fldChar w:fldCharType="separate"/>
            </w:r>
            <w:r>
              <w:rPr>
                <w:noProof/>
                <w:webHidden/>
              </w:rPr>
              <w:t>14</w:t>
            </w:r>
            <w:r>
              <w:rPr>
                <w:noProof/>
                <w:webHidden/>
              </w:rPr>
              <w:fldChar w:fldCharType="end"/>
            </w:r>
          </w:hyperlink>
        </w:p>
        <w:p w14:paraId="77C86A68" w14:textId="1A28F4D1" w:rsidR="008F6C93" w:rsidRDefault="008F6C93">
          <w:pPr>
            <w:pStyle w:val="TOC1"/>
            <w:tabs>
              <w:tab w:val="left" w:pos="480"/>
              <w:tab w:val="right" w:leader="dot" w:pos="9016"/>
            </w:tabs>
            <w:rPr>
              <w:rFonts w:asciiTheme="minorHAnsi" w:eastAsiaTheme="minorEastAsia" w:hAnsiTheme="minorHAnsi"/>
              <w:noProof/>
              <w:sz w:val="24"/>
              <w:szCs w:val="24"/>
              <w:lang w:val="en-GB" w:eastAsia="en-GB"/>
            </w:rPr>
          </w:pPr>
          <w:hyperlink w:anchor="_Toc214114807" w:history="1">
            <w:r w:rsidRPr="00BA10CD">
              <w:rPr>
                <w:rStyle w:val="Hyperlink"/>
                <w:noProof/>
                <w:lang w:val="en-GB"/>
              </w:rPr>
              <w:t>6.</w:t>
            </w:r>
            <w:r>
              <w:rPr>
                <w:rFonts w:asciiTheme="minorHAnsi" w:eastAsiaTheme="minorEastAsia" w:hAnsiTheme="minorHAnsi"/>
                <w:noProof/>
                <w:sz w:val="24"/>
                <w:szCs w:val="24"/>
                <w:lang w:val="en-GB" w:eastAsia="en-GB"/>
              </w:rPr>
              <w:tab/>
            </w:r>
            <w:r w:rsidRPr="00BA10CD">
              <w:rPr>
                <w:rStyle w:val="Hyperlink"/>
                <w:noProof/>
                <w:lang w:val="en-GB"/>
              </w:rPr>
              <w:t>CONCLUSIONS AND RECOMMENDATIONS</w:t>
            </w:r>
            <w:r>
              <w:rPr>
                <w:noProof/>
                <w:webHidden/>
              </w:rPr>
              <w:tab/>
            </w:r>
            <w:r>
              <w:rPr>
                <w:noProof/>
                <w:webHidden/>
              </w:rPr>
              <w:fldChar w:fldCharType="begin"/>
            </w:r>
            <w:r>
              <w:rPr>
                <w:noProof/>
                <w:webHidden/>
              </w:rPr>
              <w:instrText xml:space="preserve"> PAGEREF _Toc214114807 \h </w:instrText>
            </w:r>
            <w:r>
              <w:rPr>
                <w:noProof/>
                <w:webHidden/>
              </w:rPr>
            </w:r>
            <w:r>
              <w:rPr>
                <w:noProof/>
                <w:webHidden/>
              </w:rPr>
              <w:fldChar w:fldCharType="separate"/>
            </w:r>
            <w:r>
              <w:rPr>
                <w:noProof/>
                <w:webHidden/>
              </w:rPr>
              <w:t>16</w:t>
            </w:r>
            <w:r>
              <w:rPr>
                <w:noProof/>
                <w:webHidden/>
              </w:rPr>
              <w:fldChar w:fldCharType="end"/>
            </w:r>
          </w:hyperlink>
        </w:p>
        <w:p w14:paraId="5EA71223" w14:textId="572BEEAE" w:rsidR="008F6C93" w:rsidRDefault="008F6C93">
          <w:pPr>
            <w:pStyle w:val="TOC1"/>
            <w:tabs>
              <w:tab w:val="left" w:pos="480"/>
              <w:tab w:val="right" w:leader="dot" w:pos="9016"/>
            </w:tabs>
            <w:rPr>
              <w:rFonts w:asciiTheme="minorHAnsi" w:eastAsiaTheme="minorEastAsia" w:hAnsiTheme="minorHAnsi"/>
              <w:noProof/>
              <w:sz w:val="24"/>
              <w:szCs w:val="24"/>
              <w:lang w:val="en-GB" w:eastAsia="en-GB"/>
            </w:rPr>
          </w:pPr>
          <w:hyperlink w:anchor="_Toc214114808" w:history="1">
            <w:r w:rsidRPr="00BA10CD">
              <w:rPr>
                <w:rStyle w:val="Hyperlink"/>
                <w:noProof/>
                <w:lang w:val="en-GB"/>
              </w:rPr>
              <w:t>7.</w:t>
            </w:r>
            <w:r>
              <w:rPr>
                <w:rFonts w:asciiTheme="minorHAnsi" w:eastAsiaTheme="minorEastAsia" w:hAnsiTheme="minorHAnsi"/>
                <w:noProof/>
                <w:sz w:val="24"/>
                <w:szCs w:val="24"/>
                <w:lang w:val="en-GB" w:eastAsia="en-GB"/>
              </w:rPr>
              <w:tab/>
            </w:r>
            <w:r w:rsidRPr="00BA10CD">
              <w:rPr>
                <w:rStyle w:val="Hyperlink"/>
                <w:noProof/>
                <w:lang w:val="en-GB"/>
              </w:rPr>
              <w:t>REFERENCES</w:t>
            </w:r>
            <w:r>
              <w:rPr>
                <w:noProof/>
                <w:webHidden/>
              </w:rPr>
              <w:tab/>
            </w:r>
            <w:r>
              <w:rPr>
                <w:noProof/>
                <w:webHidden/>
              </w:rPr>
              <w:fldChar w:fldCharType="begin"/>
            </w:r>
            <w:r>
              <w:rPr>
                <w:noProof/>
                <w:webHidden/>
              </w:rPr>
              <w:instrText xml:space="preserve"> PAGEREF _Toc214114808 \h </w:instrText>
            </w:r>
            <w:r>
              <w:rPr>
                <w:noProof/>
                <w:webHidden/>
              </w:rPr>
            </w:r>
            <w:r>
              <w:rPr>
                <w:noProof/>
                <w:webHidden/>
              </w:rPr>
              <w:fldChar w:fldCharType="separate"/>
            </w:r>
            <w:r>
              <w:rPr>
                <w:noProof/>
                <w:webHidden/>
              </w:rPr>
              <w:t>17</w:t>
            </w:r>
            <w:r>
              <w:rPr>
                <w:noProof/>
                <w:webHidden/>
              </w:rPr>
              <w:fldChar w:fldCharType="end"/>
            </w:r>
          </w:hyperlink>
        </w:p>
        <w:p w14:paraId="4A6FBA61" w14:textId="34B6B750" w:rsidR="008F6C93" w:rsidRDefault="008F6C93">
          <w:pPr>
            <w:pStyle w:val="TOC1"/>
            <w:tabs>
              <w:tab w:val="left" w:pos="480"/>
              <w:tab w:val="right" w:leader="dot" w:pos="9016"/>
            </w:tabs>
            <w:rPr>
              <w:rFonts w:asciiTheme="minorHAnsi" w:eastAsiaTheme="minorEastAsia" w:hAnsiTheme="minorHAnsi"/>
              <w:noProof/>
              <w:sz w:val="24"/>
              <w:szCs w:val="24"/>
              <w:lang w:val="en-GB" w:eastAsia="en-GB"/>
            </w:rPr>
          </w:pPr>
          <w:hyperlink w:anchor="_Toc214114809" w:history="1">
            <w:r w:rsidRPr="00BA10CD">
              <w:rPr>
                <w:rStyle w:val="Hyperlink"/>
                <w:noProof/>
                <w:lang w:val="en-GB"/>
              </w:rPr>
              <w:t>8.</w:t>
            </w:r>
            <w:r>
              <w:rPr>
                <w:rFonts w:asciiTheme="minorHAnsi" w:eastAsiaTheme="minorEastAsia" w:hAnsiTheme="minorHAnsi"/>
                <w:noProof/>
                <w:sz w:val="24"/>
                <w:szCs w:val="24"/>
                <w:lang w:val="en-GB" w:eastAsia="en-GB"/>
              </w:rPr>
              <w:tab/>
            </w:r>
            <w:r w:rsidRPr="00BA10CD">
              <w:rPr>
                <w:rStyle w:val="Hyperlink"/>
                <w:noProof/>
                <w:lang w:val="en-GB"/>
              </w:rPr>
              <w:t>APPENDIX 1</w:t>
            </w:r>
            <w:r>
              <w:rPr>
                <w:noProof/>
                <w:webHidden/>
              </w:rPr>
              <w:tab/>
            </w:r>
            <w:r>
              <w:rPr>
                <w:noProof/>
                <w:webHidden/>
              </w:rPr>
              <w:fldChar w:fldCharType="begin"/>
            </w:r>
            <w:r>
              <w:rPr>
                <w:noProof/>
                <w:webHidden/>
              </w:rPr>
              <w:instrText xml:space="preserve"> PAGEREF _Toc214114809 \h </w:instrText>
            </w:r>
            <w:r>
              <w:rPr>
                <w:noProof/>
                <w:webHidden/>
              </w:rPr>
            </w:r>
            <w:r>
              <w:rPr>
                <w:noProof/>
                <w:webHidden/>
              </w:rPr>
              <w:fldChar w:fldCharType="separate"/>
            </w:r>
            <w:r>
              <w:rPr>
                <w:noProof/>
                <w:webHidden/>
              </w:rPr>
              <w:t>21</w:t>
            </w:r>
            <w:r>
              <w:rPr>
                <w:noProof/>
                <w:webHidden/>
              </w:rPr>
              <w:fldChar w:fldCharType="end"/>
            </w:r>
          </w:hyperlink>
        </w:p>
        <w:p w14:paraId="3B4E0A22" w14:textId="74A3BB6C" w:rsidR="008F6C93" w:rsidRDefault="008F6C93">
          <w:pPr>
            <w:pStyle w:val="TOC2"/>
            <w:tabs>
              <w:tab w:val="right" w:leader="dot" w:pos="9016"/>
            </w:tabs>
            <w:rPr>
              <w:rFonts w:asciiTheme="minorHAnsi" w:eastAsiaTheme="minorEastAsia" w:hAnsiTheme="minorHAnsi"/>
              <w:noProof/>
              <w:sz w:val="24"/>
              <w:szCs w:val="24"/>
              <w:lang w:val="en-GB" w:eastAsia="en-GB"/>
            </w:rPr>
          </w:pPr>
          <w:hyperlink w:anchor="_Toc214114810" w:history="1">
            <w:r w:rsidRPr="00BA10CD">
              <w:rPr>
                <w:rStyle w:val="Hyperlink"/>
                <w:noProof/>
                <w:lang w:val="en-GB"/>
              </w:rPr>
              <w:t>The 10 questions of the CASP qualitative check list tool</w:t>
            </w:r>
            <w:r>
              <w:rPr>
                <w:noProof/>
                <w:webHidden/>
              </w:rPr>
              <w:tab/>
            </w:r>
            <w:r>
              <w:rPr>
                <w:noProof/>
                <w:webHidden/>
              </w:rPr>
              <w:fldChar w:fldCharType="begin"/>
            </w:r>
            <w:r>
              <w:rPr>
                <w:noProof/>
                <w:webHidden/>
              </w:rPr>
              <w:instrText xml:space="preserve"> PAGEREF _Toc214114810 \h </w:instrText>
            </w:r>
            <w:r>
              <w:rPr>
                <w:noProof/>
                <w:webHidden/>
              </w:rPr>
            </w:r>
            <w:r>
              <w:rPr>
                <w:noProof/>
                <w:webHidden/>
              </w:rPr>
              <w:fldChar w:fldCharType="separate"/>
            </w:r>
            <w:r>
              <w:rPr>
                <w:noProof/>
                <w:webHidden/>
              </w:rPr>
              <w:t>21</w:t>
            </w:r>
            <w:r>
              <w:rPr>
                <w:noProof/>
                <w:webHidden/>
              </w:rPr>
              <w:fldChar w:fldCharType="end"/>
            </w:r>
          </w:hyperlink>
        </w:p>
        <w:p w14:paraId="2F05940B" w14:textId="3BE78D99" w:rsidR="008F6C93" w:rsidRDefault="008F6C93">
          <w:r>
            <w:rPr>
              <w:b/>
              <w:bCs/>
            </w:rPr>
            <w:fldChar w:fldCharType="end"/>
          </w:r>
        </w:p>
      </w:sdtContent>
    </w:sdt>
    <w:p w14:paraId="0B819AE1" w14:textId="77777777" w:rsidR="008F2E56" w:rsidRDefault="008F2E56" w:rsidP="000C68BB">
      <w:pPr>
        <w:spacing w:after="0"/>
        <w:rPr>
          <w:rFonts w:asciiTheme="minorBidi" w:hAnsiTheme="minorBidi"/>
          <w:sz w:val="23"/>
          <w:szCs w:val="23"/>
          <w:lang w:val="en-GB"/>
        </w:rPr>
      </w:pPr>
    </w:p>
    <w:p w14:paraId="58FB483A" w14:textId="77777777" w:rsidR="000C68BB" w:rsidRDefault="000C68BB" w:rsidP="000C68BB">
      <w:pPr>
        <w:spacing w:after="0"/>
        <w:rPr>
          <w:rFonts w:asciiTheme="minorBidi" w:hAnsiTheme="minorBidi"/>
          <w:sz w:val="23"/>
          <w:szCs w:val="23"/>
          <w:lang w:val="en-GB"/>
        </w:rPr>
      </w:pPr>
    </w:p>
    <w:p w14:paraId="0DDC0151" w14:textId="08E597CE" w:rsidR="00AF65B9" w:rsidRDefault="00AF65B9">
      <w:pPr>
        <w:spacing w:line="259" w:lineRule="auto"/>
        <w:rPr>
          <w:lang w:val="en-GB"/>
        </w:rPr>
      </w:pPr>
      <w:r>
        <w:rPr>
          <w:lang w:val="en-GB"/>
        </w:rPr>
        <w:br w:type="page"/>
      </w:r>
    </w:p>
    <w:p w14:paraId="6AFD8284" w14:textId="523EEC34" w:rsidR="00AF65B9" w:rsidRDefault="00AF65B9" w:rsidP="00AF65B9">
      <w:pPr>
        <w:pStyle w:val="Heading1"/>
        <w:rPr>
          <w:lang w:val="en-GB"/>
        </w:rPr>
      </w:pPr>
      <w:bookmarkStart w:id="0" w:name="_Toc214114791"/>
      <w:r>
        <w:rPr>
          <w:lang w:val="en-GB"/>
        </w:rPr>
        <w:t>INTRODUCTION</w:t>
      </w:r>
      <w:bookmarkEnd w:id="0"/>
    </w:p>
    <w:p w14:paraId="54FA45F6" w14:textId="77777777" w:rsidR="009E2185" w:rsidRDefault="00EC7D58" w:rsidP="00DB6F01">
      <w:pPr>
        <w:spacing w:before="240"/>
        <w:rPr>
          <w:lang w:val="en-GB"/>
        </w:rPr>
      </w:pPr>
      <w:r>
        <w:rPr>
          <w:lang w:val="en-GB"/>
        </w:rPr>
        <w:t xml:space="preserve">Children with special educational needs represent an important part of the school population in UK. </w:t>
      </w:r>
      <w:r w:rsidR="00AD010F">
        <w:rPr>
          <w:lang w:val="en-GB"/>
        </w:rPr>
        <w:t xml:space="preserve">According to the latest statistics of the British Government </w:t>
      </w:r>
      <w:r w:rsidR="00F119A6">
        <w:rPr>
          <w:lang w:val="en-GB"/>
        </w:rPr>
        <w:t>the percentage of pupils that have special educational needs has reached over 1.7 million in England for the academic year 2024/2025 (Gov.uk, 2025)</w:t>
      </w:r>
      <w:r w:rsidR="004D3A9D">
        <w:rPr>
          <w:lang w:val="en-GB"/>
        </w:rPr>
        <w:t>. Nevertheless, despite the growing demand and increasing attention to this topic over the last years, children and young people face co</w:t>
      </w:r>
      <w:r w:rsidR="00786504">
        <w:rPr>
          <w:lang w:val="en-GB"/>
        </w:rPr>
        <w:t>nstant challenges ass the system designed to support them is constantly impacted by factors that influence its positive performance – from underfunding to delays or inconsistent quality of Education Health and Care Plans and lack of sustainable school placements</w:t>
      </w:r>
      <w:r w:rsidR="007642BA">
        <w:rPr>
          <w:lang w:val="en-GB"/>
        </w:rPr>
        <w:t xml:space="preserve"> (Olafimihan, 2024). </w:t>
      </w:r>
      <w:r w:rsidR="008C52B0">
        <w:rPr>
          <w:lang w:val="en-GB"/>
        </w:rPr>
        <w:t xml:space="preserve">These inadequacies are reflected also by the 4,600 complaints </w:t>
      </w:r>
      <w:r w:rsidR="004916B6">
        <w:rPr>
          <w:lang w:val="en-GB"/>
        </w:rPr>
        <w:t>received by</w:t>
      </w:r>
      <w:r w:rsidR="007C58D8">
        <w:rPr>
          <w:lang w:val="en-GB"/>
        </w:rPr>
        <w:t xml:space="preserve"> LGSCO</w:t>
      </w:r>
      <w:r w:rsidR="00BE74CE">
        <w:rPr>
          <w:lang w:val="en-GB"/>
        </w:rPr>
        <w:t xml:space="preserve"> (the independent body in England that investigates complaints) </w:t>
      </w:r>
      <w:r w:rsidR="00935047">
        <w:rPr>
          <w:lang w:val="en-GB"/>
        </w:rPr>
        <w:t xml:space="preserve">related to the negative impact of the lack of effective school placements on children’s education. </w:t>
      </w:r>
    </w:p>
    <w:p w14:paraId="13D01F9F" w14:textId="6832B7D3" w:rsidR="00741BCF" w:rsidRDefault="009E2185" w:rsidP="00DB6F01">
      <w:pPr>
        <w:spacing w:before="240"/>
        <w:rPr>
          <w:lang w:val="en-GB"/>
        </w:rPr>
      </w:pPr>
      <w:r>
        <w:rPr>
          <w:lang w:val="en-GB"/>
        </w:rPr>
        <w:t xml:space="preserve">First of all, it is important to highlight that </w:t>
      </w:r>
      <w:r w:rsidR="00253007">
        <w:rPr>
          <w:lang w:val="en-GB"/>
        </w:rPr>
        <w:t>the terms ‘special educational needs’ and ‘disability’ have legal definition</w:t>
      </w:r>
      <w:r w:rsidR="0069234A">
        <w:rPr>
          <w:lang w:val="en-GB"/>
        </w:rPr>
        <w:t xml:space="preserve">. As stated in the 0-25 SEND Code of Practice Introduction, </w:t>
      </w:r>
      <w:r w:rsidR="00B61F9C" w:rsidRPr="001843FE">
        <w:rPr>
          <w:i/>
          <w:iCs/>
          <w:lang w:val="en-GB"/>
        </w:rPr>
        <w:t>a child or a young person has SEN if they have a learning difficulty or disability which calls for special educational provisions to be made for him or her</w:t>
      </w:r>
      <w:r w:rsidR="00B61F9C">
        <w:rPr>
          <w:lang w:val="en-GB"/>
        </w:rPr>
        <w:t xml:space="preserve"> (</w:t>
      </w:r>
      <w:r w:rsidR="00EF1431">
        <w:rPr>
          <w:lang w:val="en-GB"/>
        </w:rPr>
        <w:t xml:space="preserve">Gov.uk, 2015, p. </w:t>
      </w:r>
      <w:r w:rsidR="001843FE">
        <w:rPr>
          <w:lang w:val="en-GB"/>
        </w:rPr>
        <w:t xml:space="preserve">15). </w:t>
      </w:r>
      <w:r w:rsidR="0022016B">
        <w:rPr>
          <w:lang w:val="en-GB"/>
        </w:rPr>
        <w:t xml:space="preserve">Moreover, </w:t>
      </w:r>
      <w:r w:rsidR="00920959">
        <w:rPr>
          <w:lang w:val="en-GB"/>
        </w:rPr>
        <w:t xml:space="preserve">through the Children and Families Act 2014 it was also introduced the statutory framework </w:t>
      </w:r>
      <w:r w:rsidR="002E6419">
        <w:rPr>
          <w:lang w:val="en-GB"/>
        </w:rPr>
        <w:t>for supporting SEND children through Education, Health and Care Plans (EHCPs) who aim to proposed customised education based on the needs of SEND pupil (</w:t>
      </w:r>
      <w:r w:rsidR="004715EF">
        <w:rPr>
          <w:lang w:val="en-GB"/>
        </w:rPr>
        <w:t xml:space="preserve">Legislation.uk, </w:t>
      </w:r>
      <w:r w:rsidR="00754732">
        <w:rPr>
          <w:lang w:val="en-GB"/>
        </w:rPr>
        <w:t xml:space="preserve">2025). </w:t>
      </w:r>
      <w:r w:rsidR="00BB319F">
        <w:rPr>
          <w:lang w:val="en-GB"/>
        </w:rPr>
        <w:t xml:space="preserve">In this context, </w:t>
      </w:r>
      <w:r w:rsidR="00EB2E9F">
        <w:rPr>
          <w:lang w:val="en-GB"/>
        </w:rPr>
        <w:t xml:space="preserve">the availability and suitability of </w:t>
      </w:r>
      <w:r w:rsidR="00BB319F">
        <w:rPr>
          <w:lang w:val="en-GB"/>
        </w:rPr>
        <w:t xml:space="preserve">school placements become fundamental to support SEND children. </w:t>
      </w:r>
      <w:r w:rsidR="00EB2E9F">
        <w:rPr>
          <w:lang w:val="en-GB"/>
        </w:rPr>
        <w:t xml:space="preserve">More specifically, school placements can be defined as </w:t>
      </w:r>
      <w:r w:rsidR="007358E4">
        <w:rPr>
          <w:lang w:val="en-GB"/>
        </w:rPr>
        <w:t xml:space="preserve">the decision-making process that determines the most appropriate learning environment for a student based on their learning needs and abilities </w:t>
      </w:r>
      <w:r w:rsidR="005E764F">
        <w:rPr>
          <w:lang w:val="en-GB"/>
        </w:rPr>
        <w:t xml:space="preserve">(EA, 2025). </w:t>
      </w:r>
      <w:r w:rsidR="00D84622">
        <w:rPr>
          <w:lang w:val="en-GB"/>
        </w:rPr>
        <w:t>While this framework should provide a strong support for SEND pupils</w:t>
      </w:r>
      <w:r w:rsidR="00F627F7">
        <w:rPr>
          <w:lang w:val="en-GB"/>
        </w:rPr>
        <w:t>,</w:t>
      </w:r>
      <w:r w:rsidR="00D84622">
        <w:rPr>
          <w:lang w:val="en-GB"/>
        </w:rPr>
        <w:t xml:space="preserve"> persistent issues like underfunding, delays, a</w:t>
      </w:r>
      <w:r w:rsidR="001E7A82">
        <w:rPr>
          <w:lang w:val="en-GB"/>
        </w:rPr>
        <w:t xml:space="preserve">nd inconsistent quality of EHCPs </w:t>
      </w:r>
      <w:r w:rsidR="00F627F7">
        <w:rPr>
          <w:lang w:val="en-GB"/>
        </w:rPr>
        <w:t xml:space="preserve">have </w:t>
      </w:r>
      <w:r w:rsidR="00D3715C">
        <w:rPr>
          <w:lang w:val="en-GB"/>
        </w:rPr>
        <w:t>thrown the SEND system in crisis</w:t>
      </w:r>
      <w:r w:rsidR="000400CF">
        <w:rPr>
          <w:lang w:val="en-GB"/>
        </w:rPr>
        <w:t xml:space="preserve"> impacting also the availability of suitable school placement with the negative result of children being place in inappropriate </w:t>
      </w:r>
      <w:r w:rsidR="0079726A">
        <w:rPr>
          <w:lang w:val="en-GB"/>
        </w:rPr>
        <w:t xml:space="preserve">environments or even being left without a school place at all (Olafimihan, 2024).  </w:t>
      </w:r>
    </w:p>
    <w:p w14:paraId="3B0C282F" w14:textId="49A81999" w:rsidR="00741BCF" w:rsidRDefault="00C13898" w:rsidP="00DB6F01">
      <w:pPr>
        <w:spacing w:before="240"/>
        <w:rPr>
          <w:lang w:val="en-GB"/>
        </w:rPr>
      </w:pPr>
      <w:r>
        <w:rPr>
          <w:lang w:val="en-GB"/>
        </w:rPr>
        <w:t xml:space="preserve">Second, as highlighted by Wilson Fadiji &amp; Lomas (2024) education is one of the factors that play a key role </w:t>
      </w:r>
      <w:r w:rsidR="00855F1F">
        <w:rPr>
          <w:lang w:val="en-GB"/>
        </w:rPr>
        <w:t xml:space="preserve">in children’s wellbeing. Therefore, </w:t>
      </w:r>
      <w:r w:rsidR="00680E4E">
        <w:rPr>
          <w:lang w:val="en-GB"/>
        </w:rPr>
        <w:t xml:space="preserve">the consequences of these inadequacies go beyond administrative inconvenience as they directly impact children wellbeing, affecting </w:t>
      </w:r>
      <w:r w:rsidR="00FF62E5">
        <w:rPr>
          <w:lang w:val="en-GB"/>
        </w:rPr>
        <w:t xml:space="preserve">not only their current learning and mental health but triggering negative consequences on their overall educational trajectory </w:t>
      </w:r>
      <w:r w:rsidR="002C7F75">
        <w:rPr>
          <w:lang w:val="en-GB"/>
        </w:rPr>
        <w:t xml:space="preserve">and social development and inclusion. </w:t>
      </w:r>
      <w:r w:rsidR="0013793C">
        <w:rPr>
          <w:lang w:val="en-GB"/>
        </w:rPr>
        <w:t xml:space="preserve">Moreover, </w:t>
      </w:r>
      <w:r w:rsidR="006C1B3D">
        <w:rPr>
          <w:lang w:val="en-GB"/>
        </w:rPr>
        <w:t xml:space="preserve">the parents and families or SEND children are also highly affected suffering devastating consequences </w:t>
      </w:r>
      <w:r w:rsidR="0003481D">
        <w:rPr>
          <w:lang w:val="en-GB"/>
        </w:rPr>
        <w:t xml:space="preserve">from mental health breakdowns due to stress and uncertainty to </w:t>
      </w:r>
      <w:r w:rsidR="00EF6B18">
        <w:rPr>
          <w:lang w:val="en-GB"/>
        </w:rPr>
        <w:t>financial difficulties (Olafimihan, 2024)</w:t>
      </w:r>
      <w:r w:rsidR="008F6C93">
        <w:rPr>
          <w:lang w:val="en-GB"/>
        </w:rPr>
        <w:t xml:space="preserve">. </w:t>
      </w:r>
    </w:p>
    <w:p w14:paraId="6E3622C4" w14:textId="487EE3F5" w:rsidR="00DC5003" w:rsidRDefault="00643D9A" w:rsidP="00DB6F01">
      <w:pPr>
        <w:spacing w:before="240"/>
        <w:rPr>
          <w:lang w:val="en-GB"/>
        </w:rPr>
      </w:pPr>
      <w:r>
        <w:rPr>
          <w:lang w:val="en-GB"/>
        </w:rPr>
        <w:t xml:space="preserve">Therefore, </w:t>
      </w:r>
      <w:r w:rsidR="00987544">
        <w:rPr>
          <w:lang w:val="en-GB"/>
        </w:rPr>
        <w:t>the rationale behind this scoping review is build on the reasons mentioned above. In fact, the aim o</w:t>
      </w:r>
      <w:r w:rsidR="00E717B5">
        <w:rPr>
          <w:lang w:val="en-GB"/>
        </w:rPr>
        <w:t xml:space="preserve">f this research </w:t>
      </w:r>
      <w:r w:rsidR="00DC5003">
        <w:rPr>
          <w:lang w:val="en-GB"/>
        </w:rPr>
        <w:t>is to individuate and evaluate studies that discuss the importance of school placement for SEND pupil, and how the lack of adequate school placements is affecting their wellbeing.</w:t>
      </w:r>
      <w:r w:rsidR="00E717B5">
        <w:rPr>
          <w:lang w:val="en-GB"/>
        </w:rPr>
        <w:t xml:space="preserve"> Hence, this scoping review </w:t>
      </w:r>
      <w:r w:rsidR="00B60B55">
        <w:rPr>
          <w:lang w:val="en-GB"/>
        </w:rPr>
        <w:t xml:space="preserve">seeks to answer the following research question: </w:t>
      </w:r>
      <w:r w:rsidR="008D44A4">
        <w:rPr>
          <w:lang w:val="en-GB"/>
        </w:rPr>
        <w:t>What is the impact of the shortage of school placements on the learning, development, and mental health for children with SEND?</w:t>
      </w:r>
      <w:r w:rsidR="00D01FDB">
        <w:rPr>
          <w:lang w:val="en-GB"/>
        </w:rPr>
        <w:t xml:space="preserve"> To address this, three main objectives were identified: </w:t>
      </w:r>
    </w:p>
    <w:p w14:paraId="7FDFF096" w14:textId="77777777" w:rsidR="004414EA" w:rsidRDefault="004414EA" w:rsidP="004414EA">
      <w:pPr>
        <w:pStyle w:val="ListParagraph"/>
        <w:numPr>
          <w:ilvl w:val="0"/>
          <w:numId w:val="3"/>
        </w:numPr>
        <w:rPr>
          <w:lang w:val="en-GB"/>
        </w:rPr>
      </w:pPr>
      <w:r>
        <w:rPr>
          <w:lang w:val="en-GB"/>
        </w:rPr>
        <w:t>Identify the existing literature and establish the key existing themes.</w:t>
      </w:r>
    </w:p>
    <w:p w14:paraId="4D1DAE11" w14:textId="77777777" w:rsidR="004414EA" w:rsidRDefault="004414EA" w:rsidP="004414EA">
      <w:pPr>
        <w:pStyle w:val="ListParagraph"/>
        <w:numPr>
          <w:ilvl w:val="0"/>
          <w:numId w:val="3"/>
        </w:numPr>
        <w:rPr>
          <w:lang w:val="en-GB"/>
        </w:rPr>
      </w:pPr>
      <w:r>
        <w:rPr>
          <w:lang w:val="en-GB"/>
        </w:rPr>
        <w:t>Examine practical application within the UK educational field.</w:t>
      </w:r>
    </w:p>
    <w:p w14:paraId="06AB9A85" w14:textId="77777777" w:rsidR="004414EA" w:rsidRDefault="004414EA" w:rsidP="004414EA">
      <w:pPr>
        <w:pStyle w:val="ListParagraph"/>
        <w:numPr>
          <w:ilvl w:val="0"/>
          <w:numId w:val="3"/>
        </w:numPr>
        <w:rPr>
          <w:lang w:val="en-GB"/>
        </w:rPr>
      </w:pPr>
      <w:r>
        <w:rPr>
          <w:lang w:val="en-GB"/>
        </w:rPr>
        <w:t xml:space="preserve">Identify the gaps in research that require attention. </w:t>
      </w:r>
    </w:p>
    <w:p w14:paraId="15DADCBF" w14:textId="15A22E65" w:rsidR="003845FB" w:rsidRDefault="00C6595F" w:rsidP="00C6595F">
      <w:pPr>
        <w:spacing w:line="259" w:lineRule="auto"/>
        <w:jc w:val="left"/>
        <w:rPr>
          <w:lang w:val="en-GB"/>
        </w:rPr>
      </w:pPr>
      <w:r>
        <w:rPr>
          <w:lang w:val="en-GB"/>
        </w:rPr>
        <w:br w:type="page"/>
      </w:r>
    </w:p>
    <w:p w14:paraId="475CDCDD" w14:textId="1B138881" w:rsidR="003845FB" w:rsidRDefault="003845FB" w:rsidP="003845FB">
      <w:pPr>
        <w:pStyle w:val="Heading1"/>
        <w:rPr>
          <w:lang w:val="en-GB"/>
        </w:rPr>
      </w:pPr>
      <w:bookmarkStart w:id="1" w:name="_Toc214114792"/>
      <w:r>
        <w:rPr>
          <w:lang w:val="en-GB"/>
        </w:rPr>
        <w:t>BACKGROUND</w:t>
      </w:r>
      <w:bookmarkEnd w:id="1"/>
    </w:p>
    <w:p w14:paraId="71624CB6" w14:textId="0C47C0B4" w:rsidR="00273928" w:rsidRDefault="00273928" w:rsidP="008F6C93">
      <w:pPr>
        <w:pStyle w:val="Heading2"/>
        <w:numPr>
          <w:ilvl w:val="1"/>
          <w:numId w:val="9"/>
        </w:numPr>
        <w:rPr>
          <w:lang w:val="en-GB"/>
        </w:rPr>
      </w:pPr>
      <w:bookmarkStart w:id="2" w:name="_Toc214114793"/>
      <w:r>
        <w:rPr>
          <w:lang w:val="en-GB"/>
        </w:rPr>
        <w:t>POLICY AND LEGISLATIVE FRAMEWORK</w:t>
      </w:r>
      <w:bookmarkEnd w:id="2"/>
    </w:p>
    <w:p w14:paraId="28EAD801" w14:textId="4AE940A8" w:rsidR="003845FB" w:rsidRDefault="00EB61F2" w:rsidP="00EB61F2">
      <w:pPr>
        <w:spacing w:before="240"/>
        <w:rPr>
          <w:lang w:val="en-GB"/>
        </w:rPr>
      </w:pPr>
      <w:r>
        <w:rPr>
          <w:lang w:val="en-GB"/>
        </w:rPr>
        <w:t xml:space="preserve">In order to conduct an accurate and comprehensive research it is first necessary to situate this issue within the broader context of UK context including legislation, policy, practice, and current challenges. </w:t>
      </w:r>
      <w:r w:rsidR="0042543F">
        <w:rPr>
          <w:lang w:val="en-GB"/>
        </w:rPr>
        <w:t xml:space="preserve">As stated by NHS England, </w:t>
      </w:r>
      <w:r w:rsidR="00476966">
        <w:rPr>
          <w:lang w:val="en-GB"/>
        </w:rPr>
        <w:t xml:space="preserve">in UK there is a strong statutory framework for supporting SEND </w:t>
      </w:r>
      <w:r w:rsidR="00D77E82">
        <w:rPr>
          <w:lang w:val="en-GB"/>
        </w:rPr>
        <w:t xml:space="preserve">children </w:t>
      </w:r>
      <w:r w:rsidR="00D81FD5">
        <w:rPr>
          <w:lang w:val="en-GB"/>
        </w:rPr>
        <w:t>through the Children and Families Act 2014</w:t>
      </w:r>
      <w:r w:rsidR="00273928">
        <w:rPr>
          <w:lang w:val="en-GB"/>
        </w:rPr>
        <w:t xml:space="preserve"> and SEND Code of Practice 2014</w:t>
      </w:r>
      <w:r w:rsidR="007F160C">
        <w:rPr>
          <w:lang w:val="en-GB"/>
        </w:rPr>
        <w:t xml:space="preserve"> whose purpose is to provide guidance to local authorities and organisation on how to properly support SEND children (NHS, 2025). </w:t>
      </w:r>
    </w:p>
    <w:p w14:paraId="1724E7AD" w14:textId="6F8D2004" w:rsidR="00273928" w:rsidRDefault="00686C4B" w:rsidP="00EB61F2">
      <w:pPr>
        <w:spacing w:before="240"/>
        <w:rPr>
          <w:lang w:val="en-GB"/>
        </w:rPr>
      </w:pPr>
      <w:r>
        <w:rPr>
          <w:lang w:val="en-GB"/>
        </w:rPr>
        <w:t xml:space="preserve">First, the </w:t>
      </w:r>
      <w:r w:rsidRPr="00E3330A">
        <w:rPr>
          <w:b/>
          <w:bCs/>
          <w:lang w:val="en-GB"/>
        </w:rPr>
        <w:t>Children and Families Act 2014</w:t>
      </w:r>
      <w:r w:rsidR="00DF139C">
        <w:rPr>
          <w:lang w:val="en-GB"/>
        </w:rPr>
        <w:t xml:space="preserve"> is </w:t>
      </w:r>
      <w:r w:rsidR="00F15DE0">
        <w:rPr>
          <w:lang w:val="en-GB"/>
        </w:rPr>
        <w:t xml:space="preserve">the key </w:t>
      </w:r>
      <w:r w:rsidR="00DF139C">
        <w:rPr>
          <w:lang w:val="en-GB"/>
        </w:rPr>
        <w:t xml:space="preserve">piece of legislation and guidance that aims to collect </w:t>
      </w:r>
      <w:r w:rsidR="00DF2DF5">
        <w:rPr>
          <w:lang w:val="en-GB"/>
        </w:rPr>
        <w:t>and update all child welfare laws to ensure protection and support for children</w:t>
      </w:r>
      <w:r w:rsidR="0027192B">
        <w:rPr>
          <w:lang w:val="en-GB"/>
        </w:rPr>
        <w:t xml:space="preserve">, young people and their families (Legislation.uk, 2025). </w:t>
      </w:r>
      <w:r w:rsidR="006041B5">
        <w:rPr>
          <w:lang w:val="en-GB"/>
        </w:rPr>
        <w:t xml:space="preserve">The act represents one of the most significant and comprehensive reforms of children’s services in UK as it </w:t>
      </w:r>
      <w:r w:rsidR="009E3931">
        <w:rPr>
          <w:lang w:val="en-GB"/>
        </w:rPr>
        <w:t>focusses</w:t>
      </w:r>
      <w:r w:rsidR="006041B5">
        <w:rPr>
          <w:lang w:val="en-GB"/>
        </w:rPr>
        <w:t xml:space="preserve"> </w:t>
      </w:r>
      <w:r w:rsidR="00C026C1">
        <w:rPr>
          <w:lang w:val="en-GB"/>
        </w:rPr>
        <w:t>its attention on critical topics like adoption, family justice, childcare, and the rights of children with SEND (Gov.uk, 2014</w:t>
      </w:r>
      <w:r w:rsidR="00FB3FEA">
        <w:rPr>
          <w:lang w:val="en-GB"/>
        </w:rPr>
        <w:t>a</w:t>
      </w:r>
      <w:r w:rsidR="00C026C1">
        <w:rPr>
          <w:lang w:val="en-GB"/>
        </w:rPr>
        <w:t xml:space="preserve">). </w:t>
      </w:r>
      <w:r w:rsidR="009E3931">
        <w:rPr>
          <w:lang w:val="en-GB"/>
        </w:rPr>
        <w:t xml:space="preserve">In fact, the Act has introduced the Education, Health and Care Plans (EHCPs) for </w:t>
      </w:r>
      <w:r w:rsidR="006F5C39">
        <w:rPr>
          <w:lang w:val="en-GB"/>
        </w:rPr>
        <w:t>SEND</w:t>
      </w:r>
      <w:r w:rsidR="009E3931">
        <w:rPr>
          <w:lang w:val="en-GB"/>
        </w:rPr>
        <w:t xml:space="preserve"> pupils </w:t>
      </w:r>
      <w:r w:rsidR="006F5C39">
        <w:rPr>
          <w:lang w:val="en-GB"/>
        </w:rPr>
        <w:t>from 0 to 25 years of age</w:t>
      </w:r>
      <w:r w:rsidR="0013478E">
        <w:rPr>
          <w:lang w:val="en-GB"/>
        </w:rPr>
        <w:t xml:space="preserve"> to ensure children and families receive the appropriate support based on their needs. </w:t>
      </w:r>
      <w:r w:rsidR="00B24B0E">
        <w:rPr>
          <w:lang w:val="en-GB"/>
        </w:rPr>
        <w:t>More specifically, an EHCP is a legal document that highlights the child’s special educational needs</w:t>
      </w:r>
      <w:r w:rsidR="00DC4403">
        <w:rPr>
          <w:lang w:val="en-GB"/>
        </w:rPr>
        <w:t>, the specialist care required to support those needs</w:t>
      </w:r>
      <w:r w:rsidR="002E74AA">
        <w:rPr>
          <w:lang w:val="en-GB"/>
        </w:rPr>
        <w:t xml:space="preserve">, the outcomes the child should achieve with the support of special care, and the placement that is suitable for </w:t>
      </w:r>
      <w:r w:rsidR="00296A92">
        <w:rPr>
          <w:lang w:val="en-GB"/>
        </w:rPr>
        <w:t xml:space="preserve">his/her needs (Sen Help, 2025). </w:t>
      </w:r>
    </w:p>
    <w:p w14:paraId="385B69AD" w14:textId="46F55450" w:rsidR="0051170E" w:rsidRDefault="0051170E" w:rsidP="00EB61F2">
      <w:pPr>
        <w:spacing w:before="240"/>
        <w:rPr>
          <w:lang w:val="en-GB"/>
        </w:rPr>
      </w:pPr>
      <w:r>
        <w:rPr>
          <w:lang w:val="en-GB"/>
        </w:rPr>
        <w:t xml:space="preserve">Second, the </w:t>
      </w:r>
      <w:r w:rsidRPr="00E3330A">
        <w:rPr>
          <w:b/>
          <w:bCs/>
          <w:lang w:val="en-GB"/>
        </w:rPr>
        <w:t>SEND Code of Practice 2015</w:t>
      </w:r>
      <w:r>
        <w:rPr>
          <w:lang w:val="en-GB"/>
        </w:rPr>
        <w:t xml:space="preserve"> represents the statutory guidance </w:t>
      </w:r>
      <w:r w:rsidR="00B33234">
        <w:rPr>
          <w:lang w:val="en-GB"/>
        </w:rPr>
        <w:t>for</w:t>
      </w:r>
      <w:r>
        <w:rPr>
          <w:lang w:val="en-GB"/>
        </w:rPr>
        <w:t xml:space="preserve"> organisations like schools, local authorities, and </w:t>
      </w:r>
      <w:r w:rsidR="00CE6E21">
        <w:rPr>
          <w:lang w:val="en-GB"/>
        </w:rPr>
        <w:t xml:space="preserve">health bodies </w:t>
      </w:r>
      <w:r w:rsidR="00B33234">
        <w:rPr>
          <w:lang w:val="en-GB"/>
        </w:rPr>
        <w:t xml:space="preserve">on their duties, policies and procedures </w:t>
      </w:r>
      <w:r w:rsidR="00D21BA7">
        <w:rPr>
          <w:lang w:val="en-GB"/>
        </w:rPr>
        <w:t xml:space="preserve">to ensure SEND children and young people are supported to </w:t>
      </w:r>
      <w:r w:rsidR="00555BD1">
        <w:rPr>
          <w:lang w:val="en-GB"/>
        </w:rPr>
        <w:t xml:space="preserve">achieve positive educational and social outcomes in their lives (Gov.uk, 2015). </w:t>
      </w:r>
      <w:r w:rsidR="00DD1607">
        <w:rPr>
          <w:lang w:val="en-GB"/>
        </w:rPr>
        <w:t xml:space="preserve">According to KIDS ORG </w:t>
      </w:r>
      <w:r w:rsidR="00EA01AC">
        <w:rPr>
          <w:lang w:val="en-GB"/>
        </w:rPr>
        <w:t xml:space="preserve">(2025), the SEND Code of Practice 2025 is a powerful tool for parents and caregivers of SEND children </w:t>
      </w:r>
      <w:r w:rsidR="001C356A">
        <w:rPr>
          <w:lang w:val="en-GB"/>
        </w:rPr>
        <w:t xml:space="preserve">as it provides clear guidance on </w:t>
      </w:r>
      <w:r w:rsidR="003E49E1">
        <w:rPr>
          <w:lang w:val="en-GB"/>
        </w:rPr>
        <w:t>their</w:t>
      </w:r>
      <w:r w:rsidR="001C356A">
        <w:rPr>
          <w:lang w:val="en-GB"/>
        </w:rPr>
        <w:t xml:space="preserve"> rights and on the legal requirements schools and professional are required to adhere in order to ensure children’s needs are met and supported. </w:t>
      </w:r>
    </w:p>
    <w:p w14:paraId="249297A0" w14:textId="5DE2D1F1" w:rsidR="008C4288" w:rsidRDefault="00F5018D" w:rsidP="00EB61F2">
      <w:pPr>
        <w:spacing w:before="240"/>
        <w:rPr>
          <w:lang w:val="en-GB"/>
        </w:rPr>
      </w:pPr>
      <w:r>
        <w:rPr>
          <w:lang w:val="en-GB"/>
        </w:rPr>
        <w:t xml:space="preserve">Finally, the </w:t>
      </w:r>
      <w:r w:rsidRPr="00F5018D">
        <w:rPr>
          <w:b/>
          <w:bCs/>
          <w:lang w:val="en-GB"/>
        </w:rPr>
        <w:t>Equality Act 2010</w:t>
      </w:r>
      <w:r>
        <w:rPr>
          <w:lang w:val="en-GB"/>
        </w:rPr>
        <w:t xml:space="preserve"> ensures children and young people with SEND are protected against all forms of discriminations highlighting the schools’ obligations to ensure equality and inclusion</w:t>
      </w:r>
      <w:r w:rsidR="00FB3FEA">
        <w:rPr>
          <w:lang w:val="en-GB"/>
        </w:rPr>
        <w:t xml:space="preserve"> (Gov.uk, 2014b). Therefore, these frameworks form the legislative umbrella that protects SEND children, young people, and their families by placing a duty on local authorities and organisation to ensure access to appropriate environment for a positive development and wellbeing. </w:t>
      </w:r>
    </w:p>
    <w:p w14:paraId="63A3C680" w14:textId="4DD061D2" w:rsidR="008C4288" w:rsidRPr="003845FB" w:rsidRDefault="008C4288" w:rsidP="008F6C93">
      <w:pPr>
        <w:pStyle w:val="Heading2"/>
        <w:numPr>
          <w:ilvl w:val="1"/>
          <w:numId w:val="9"/>
        </w:numPr>
        <w:rPr>
          <w:lang w:val="en-GB"/>
        </w:rPr>
      </w:pPr>
      <w:bookmarkStart w:id="3" w:name="_Toc214114794"/>
      <w:r>
        <w:rPr>
          <w:lang w:val="en-GB"/>
        </w:rPr>
        <w:t xml:space="preserve">CURRENT SITUATION AND </w:t>
      </w:r>
      <w:r w:rsidR="00DD4A87">
        <w:rPr>
          <w:lang w:val="en-GB"/>
        </w:rPr>
        <w:t>STATISTICS</w:t>
      </w:r>
      <w:bookmarkEnd w:id="3"/>
    </w:p>
    <w:p w14:paraId="1EA37583" w14:textId="07D8BBCB" w:rsidR="004414EA" w:rsidRDefault="0094322D" w:rsidP="00DB6F01">
      <w:pPr>
        <w:spacing w:before="240"/>
        <w:rPr>
          <w:lang w:val="en-GB"/>
        </w:rPr>
      </w:pPr>
      <w:r>
        <w:rPr>
          <w:lang w:val="en-GB"/>
        </w:rPr>
        <w:t xml:space="preserve">Recent statistics show </w:t>
      </w:r>
      <w:r w:rsidR="00005099">
        <w:rPr>
          <w:lang w:val="en-GB"/>
        </w:rPr>
        <w:t xml:space="preserve">that the number of SEND individuals </w:t>
      </w:r>
      <w:r w:rsidR="006E70A7">
        <w:rPr>
          <w:lang w:val="en-GB"/>
        </w:rPr>
        <w:t xml:space="preserve">has steadily grown over the last decade, indicating </w:t>
      </w:r>
      <w:r w:rsidR="006E52FE">
        <w:rPr>
          <w:lang w:val="en-GB"/>
        </w:rPr>
        <w:t>only in 2025 an increase of 5.6% compared to the previous years</w:t>
      </w:r>
      <w:r w:rsidR="00B97B04">
        <w:rPr>
          <w:lang w:val="en-GB"/>
        </w:rPr>
        <w:t>.</w:t>
      </w:r>
      <w:r w:rsidR="00303A7D">
        <w:rPr>
          <w:lang w:val="en-GB"/>
        </w:rPr>
        <w:t xml:space="preserve"> </w:t>
      </w:r>
      <w:r w:rsidR="00B63580">
        <w:rPr>
          <w:lang w:val="en-GB"/>
        </w:rPr>
        <w:t xml:space="preserve">However, it is fundamental to highlight that the reason for this increment is not due to the fact that there are more children, but rather </w:t>
      </w:r>
      <w:r w:rsidR="007A1E80">
        <w:rPr>
          <w:lang w:val="en-GB"/>
        </w:rPr>
        <w:t xml:space="preserve">because of the greater awareness among professionals and educators together with changes in the assessment, diagnostic criteria, and policy </w:t>
      </w:r>
      <w:r w:rsidR="002E1421">
        <w:rPr>
          <w:lang w:val="en-GB"/>
        </w:rPr>
        <w:t>(</w:t>
      </w:r>
      <w:r w:rsidR="002E1421" w:rsidRPr="002E1421">
        <w:rPr>
          <w:lang w:val="en-GB"/>
        </w:rPr>
        <w:t>Centre for Educational Neuroscience</w:t>
      </w:r>
      <w:r w:rsidR="002E1421">
        <w:rPr>
          <w:lang w:val="en-GB"/>
        </w:rPr>
        <w:t xml:space="preserve">, </w:t>
      </w:r>
      <w:r w:rsidR="002E1421" w:rsidRPr="002E1421">
        <w:rPr>
          <w:lang w:val="en-GB"/>
        </w:rPr>
        <w:t>2022)</w:t>
      </w:r>
      <w:r w:rsidR="002E1421">
        <w:rPr>
          <w:lang w:val="en-GB"/>
        </w:rPr>
        <w:t>.</w:t>
      </w:r>
    </w:p>
    <w:p w14:paraId="5DF4F597" w14:textId="6062F84E" w:rsidR="002F787F" w:rsidRPr="002F787F" w:rsidRDefault="002F787F" w:rsidP="002F787F">
      <w:pPr>
        <w:pStyle w:val="Caption"/>
        <w:keepNext/>
        <w:rPr>
          <w:lang w:val="en-GB"/>
        </w:rPr>
      </w:pPr>
      <w:r w:rsidRPr="002F787F">
        <w:rPr>
          <w:lang w:val="en-GB"/>
        </w:rPr>
        <w:t xml:space="preserve">Table </w:t>
      </w:r>
      <w:r>
        <w:fldChar w:fldCharType="begin"/>
      </w:r>
      <w:r w:rsidRPr="002F787F">
        <w:rPr>
          <w:lang w:val="en-GB"/>
        </w:rPr>
        <w:instrText xml:space="preserve"> SEQ Table \* ARABIC </w:instrText>
      </w:r>
      <w:r>
        <w:fldChar w:fldCharType="separate"/>
      </w:r>
      <w:r w:rsidR="00FB3E73">
        <w:rPr>
          <w:noProof/>
          <w:lang w:val="en-GB"/>
        </w:rPr>
        <w:t>1</w:t>
      </w:r>
      <w:r>
        <w:fldChar w:fldCharType="end"/>
      </w:r>
      <w:r w:rsidRPr="002F787F">
        <w:rPr>
          <w:lang w:val="en-GB"/>
        </w:rPr>
        <w:t>. Pupils in all schools, by type of SEN provision in England between 2015/16 and 2024/25 (Sourced from, Gov.uk, 2025b)</w:t>
      </w:r>
    </w:p>
    <w:tbl>
      <w:tblPr>
        <w:tblW w:w="8779" w:type="dxa"/>
        <w:jc w:val="center"/>
        <w:tblLayout w:type="fixed"/>
        <w:tblLook w:val="04A0" w:firstRow="1" w:lastRow="0" w:firstColumn="1" w:lastColumn="0" w:noHBand="0" w:noVBand="1"/>
      </w:tblPr>
      <w:tblGrid>
        <w:gridCol w:w="1266"/>
        <w:gridCol w:w="1016"/>
        <w:gridCol w:w="1110"/>
        <w:gridCol w:w="1418"/>
        <w:gridCol w:w="2126"/>
        <w:gridCol w:w="1843"/>
      </w:tblGrid>
      <w:tr w:rsidR="00EE24AA" w:rsidRPr="008F2E56" w14:paraId="74669A44" w14:textId="77777777" w:rsidTr="00997E31">
        <w:trPr>
          <w:trHeight w:val="1164"/>
          <w:jc w:val="center"/>
        </w:trPr>
        <w:tc>
          <w:tcPr>
            <w:tcW w:w="1266" w:type="dxa"/>
            <w:tcBorders>
              <w:top w:val="single" w:sz="8" w:space="0" w:color="auto"/>
              <w:left w:val="single" w:sz="8" w:space="0" w:color="auto"/>
              <w:bottom w:val="single" w:sz="8" w:space="0" w:color="auto"/>
              <w:right w:val="single" w:sz="8" w:space="0" w:color="auto"/>
            </w:tcBorders>
            <w:vAlign w:val="center"/>
            <w:hideMark/>
          </w:tcPr>
          <w:p w14:paraId="50E75E93" w14:textId="77777777" w:rsidR="00B97B04" w:rsidRPr="00B97B04" w:rsidRDefault="00B97B04" w:rsidP="00B97B04">
            <w:pPr>
              <w:spacing w:after="0" w:line="240" w:lineRule="auto"/>
              <w:jc w:val="center"/>
              <w:rPr>
                <w:rFonts w:eastAsia="Times New Roman" w:cs="Arial"/>
                <w:b/>
                <w:bCs/>
                <w:color w:val="000000"/>
                <w:kern w:val="0"/>
                <w:lang w:val="en-GB" w:eastAsia="en-GB"/>
                <w14:ligatures w14:val="none"/>
              </w:rPr>
            </w:pPr>
            <w:r w:rsidRPr="00B97B04">
              <w:rPr>
                <w:rFonts w:eastAsia="Times New Roman" w:cs="Arial"/>
                <w:b/>
                <w:bCs/>
                <w:color w:val="000000"/>
                <w:kern w:val="0"/>
                <w:lang w:val="en-GB" w:eastAsia="en-GB"/>
                <w14:ligatures w14:val="none"/>
              </w:rPr>
              <w:t>Academic Year</w:t>
            </w:r>
          </w:p>
        </w:tc>
        <w:tc>
          <w:tcPr>
            <w:tcW w:w="1016" w:type="dxa"/>
            <w:tcBorders>
              <w:top w:val="single" w:sz="8" w:space="0" w:color="auto"/>
              <w:left w:val="nil"/>
              <w:bottom w:val="single" w:sz="8" w:space="0" w:color="auto"/>
              <w:right w:val="single" w:sz="8" w:space="0" w:color="auto"/>
            </w:tcBorders>
            <w:vAlign w:val="center"/>
            <w:hideMark/>
          </w:tcPr>
          <w:p w14:paraId="57240358" w14:textId="77777777" w:rsidR="00B97B04" w:rsidRPr="00B97B04" w:rsidRDefault="00B97B04" w:rsidP="00B97B04">
            <w:pPr>
              <w:spacing w:after="0" w:line="240" w:lineRule="auto"/>
              <w:jc w:val="center"/>
              <w:rPr>
                <w:rFonts w:eastAsia="Times New Roman" w:cs="Arial"/>
                <w:b/>
                <w:bCs/>
                <w:color w:val="000000"/>
                <w:kern w:val="0"/>
                <w:lang w:val="en-GB" w:eastAsia="en-GB"/>
                <w14:ligatures w14:val="none"/>
              </w:rPr>
            </w:pPr>
            <w:r w:rsidRPr="00B97B04">
              <w:rPr>
                <w:rFonts w:eastAsia="Times New Roman" w:cs="Arial"/>
                <w:b/>
                <w:bCs/>
                <w:color w:val="000000"/>
                <w:kern w:val="0"/>
                <w:lang w:val="en-GB" w:eastAsia="en-GB"/>
                <w14:ligatures w14:val="none"/>
              </w:rPr>
              <w:t>EHC plans</w:t>
            </w:r>
          </w:p>
        </w:tc>
        <w:tc>
          <w:tcPr>
            <w:tcW w:w="1110" w:type="dxa"/>
            <w:tcBorders>
              <w:top w:val="single" w:sz="8" w:space="0" w:color="auto"/>
              <w:left w:val="nil"/>
              <w:bottom w:val="single" w:sz="8" w:space="0" w:color="auto"/>
              <w:right w:val="single" w:sz="8" w:space="0" w:color="auto"/>
            </w:tcBorders>
            <w:vAlign w:val="center"/>
            <w:hideMark/>
          </w:tcPr>
          <w:p w14:paraId="1BA12DEC" w14:textId="77777777" w:rsidR="00B97B04" w:rsidRPr="00B97B04" w:rsidRDefault="00B97B04" w:rsidP="00B97B04">
            <w:pPr>
              <w:spacing w:after="0" w:line="240" w:lineRule="auto"/>
              <w:jc w:val="center"/>
              <w:rPr>
                <w:rFonts w:eastAsia="Times New Roman" w:cs="Arial"/>
                <w:b/>
                <w:bCs/>
                <w:color w:val="000000"/>
                <w:kern w:val="0"/>
                <w:lang w:val="en-GB" w:eastAsia="en-GB"/>
                <w14:ligatures w14:val="none"/>
              </w:rPr>
            </w:pPr>
            <w:r w:rsidRPr="00B97B04">
              <w:rPr>
                <w:rFonts w:eastAsia="Times New Roman" w:cs="Arial"/>
                <w:b/>
                <w:bCs/>
                <w:color w:val="000000"/>
                <w:kern w:val="0"/>
                <w:lang w:val="en-GB" w:eastAsia="en-GB"/>
                <w14:ligatures w14:val="none"/>
              </w:rPr>
              <w:t>EHC plans %</w:t>
            </w:r>
          </w:p>
        </w:tc>
        <w:tc>
          <w:tcPr>
            <w:tcW w:w="1418" w:type="dxa"/>
            <w:tcBorders>
              <w:top w:val="single" w:sz="8" w:space="0" w:color="auto"/>
              <w:left w:val="nil"/>
              <w:bottom w:val="single" w:sz="8" w:space="0" w:color="auto"/>
              <w:right w:val="single" w:sz="8" w:space="0" w:color="auto"/>
            </w:tcBorders>
            <w:vAlign w:val="center"/>
            <w:hideMark/>
          </w:tcPr>
          <w:p w14:paraId="116B803E" w14:textId="77777777" w:rsidR="00B97B04" w:rsidRPr="00B97B04" w:rsidRDefault="00B97B04" w:rsidP="00B97B04">
            <w:pPr>
              <w:spacing w:after="0" w:line="240" w:lineRule="auto"/>
              <w:jc w:val="center"/>
              <w:rPr>
                <w:rFonts w:eastAsia="Times New Roman" w:cs="Arial"/>
                <w:b/>
                <w:bCs/>
                <w:color w:val="000000"/>
                <w:kern w:val="0"/>
                <w:lang w:val="en-GB" w:eastAsia="en-GB"/>
                <w14:ligatures w14:val="none"/>
              </w:rPr>
            </w:pPr>
            <w:r w:rsidRPr="00B97B04">
              <w:rPr>
                <w:rFonts w:eastAsia="Times New Roman" w:cs="Arial"/>
                <w:b/>
                <w:bCs/>
                <w:color w:val="000000"/>
                <w:kern w:val="0"/>
                <w:lang w:val="en-GB" w:eastAsia="en-GB"/>
                <w14:ligatures w14:val="none"/>
              </w:rPr>
              <w:t>Headcount</w:t>
            </w:r>
          </w:p>
        </w:tc>
        <w:tc>
          <w:tcPr>
            <w:tcW w:w="2126" w:type="dxa"/>
            <w:tcBorders>
              <w:top w:val="single" w:sz="8" w:space="0" w:color="auto"/>
              <w:left w:val="nil"/>
              <w:bottom w:val="single" w:sz="8" w:space="0" w:color="auto"/>
              <w:right w:val="single" w:sz="8" w:space="0" w:color="auto"/>
            </w:tcBorders>
            <w:vAlign w:val="center"/>
            <w:hideMark/>
          </w:tcPr>
          <w:p w14:paraId="64238544" w14:textId="77777777" w:rsidR="00B97B04" w:rsidRPr="00B97B04" w:rsidRDefault="00B97B04" w:rsidP="00B97B04">
            <w:pPr>
              <w:spacing w:after="0" w:line="240" w:lineRule="auto"/>
              <w:jc w:val="center"/>
              <w:rPr>
                <w:rFonts w:eastAsia="Times New Roman" w:cs="Arial"/>
                <w:b/>
                <w:bCs/>
                <w:color w:val="000000"/>
                <w:kern w:val="0"/>
                <w:lang w:val="en-GB" w:eastAsia="en-GB"/>
                <w14:ligatures w14:val="none"/>
              </w:rPr>
            </w:pPr>
            <w:r w:rsidRPr="00B97B04">
              <w:rPr>
                <w:rFonts w:eastAsia="Times New Roman" w:cs="Arial"/>
                <w:b/>
                <w:bCs/>
                <w:color w:val="000000"/>
                <w:kern w:val="0"/>
                <w:lang w:val="en-GB" w:eastAsia="en-GB"/>
                <w14:ligatures w14:val="none"/>
              </w:rPr>
              <w:t>SEN support/SEN without an EHC plan</w:t>
            </w:r>
          </w:p>
        </w:tc>
        <w:tc>
          <w:tcPr>
            <w:tcW w:w="1843" w:type="dxa"/>
            <w:tcBorders>
              <w:top w:val="single" w:sz="8" w:space="0" w:color="auto"/>
              <w:left w:val="nil"/>
              <w:bottom w:val="single" w:sz="8" w:space="0" w:color="auto"/>
              <w:right w:val="single" w:sz="8" w:space="0" w:color="auto"/>
            </w:tcBorders>
            <w:vAlign w:val="center"/>
            <w:hideMark/>
          </w:tcPr>
          <w:p w14:paraId="41BC6B21" w14:textId="77777777" w:rsidR="00B97B04" w:rsidRPr="00B97B04" w:rsidRDefault="00B97B04" w:rsidP="00B97B04">
            <w:pPr>
              <w:spacing w:after="0" w:line="240" w:lineRule="auto"/>
              <w:jc w:val="center"/>
              <w:rPr>
                <w:rFonts w:eastAsia="Times New Roman" w:cs="Arial"/>
                <w:b/>
                <w:bCs/>
                <w:color w:val="000000"/>
                <w:kern w:val="0"/>
                <w:lang w:val="en-GB" w:eastAsia="en-GB"/>
                <w14:ligatures w14:val="none"/>
              </w:rPr>
            </w:pPr>
            <w:r w:rsidRPr="00B97B04">
              <w:rPr>
                <w:rFonts w:eastAsia="Times New Roman" w:cs="Arial"/>
                <w:b/>
                <w:bCs/>
                <w:color w:val="000000"/>
                <w:kern w:val="0"/>
                <w:lang w:val="en-GB" w:eastAsia="en-GB"/>
                <w14:ligatures w14:val="none"/>
              </w:rPr>
              <w:t>SEN support/SEN without an EHC plan %</w:t>
            </w:r>
          </w:p>
        </w:tc>
      </w:tr>
      <w:tr w:rsidR="00EE24AA" w:rsidRPr="00B97B04" w14:paraId="6EF197C5" w14:textId="77777777" w:rsidTr="00997E31">
        <w:trPr>
          <w:trHeight w:val="300"/>
          <w:jc w:val="center"/>
        </w:trPr>
        <w:tc>
          <w:tcPr>
            <w:tcW w:w="1266" w:type="dxa"/>
            <w:tcBorders>
              <w:top w:val="nil"/>
              <w:left w:val="single" w:sz="8" w:space="0" w:color="auto"/>
              <w:bottom w:val="single" w:sz="8" w:space="0" w:color="auto"/>
              <w:right w:val="single" w:sz="8" w:space="0" w:color="auto"/>
            </w:tcBorders>
            <w:vAlign w:val="center"/>
            <w:hideMark/>
          </w:tcPr>
          <w:p w14:paraId="1F391545" w14:textId="77777777" w:rsidR="00B97B04" w:rsidRPr="00B97B04" w:rsidRDefault="00B97B04" w:rsidP="00B97B04">
            <w:pPr>
              <w:spacing w:after="0" w:line="240" w:lineRule="auto"/>
              <w:jc w:val="center"/>
              <w:rPr>
                <w:rFonts w:eastAsia="Times New Roman" w:cs="Arial"/>
                <w:b/>
                <w:bCs/>
                <w:color w:val="000000"/>
                <w:kern w:val="0"/>
                <w:lang w:val="en-GB" w:eastAsia="en-GB"/>
                <w14:ligatures w14:val="none"/>
              </w:rPr>
            </w:pPr>
            <w:r w:rsidRPr="00B97B04">
              <w:rPr>
                <w:rFonts w:eastAsia="Times New Roman" w:cs="Arial"/>
                <w:b/>
                <w:bCs/>
                <w:color w:val="000000"/>
                <w:kern w:val="0"/>
                <w:lang w:val="en-GB" w:eastAsia="en-GB"/>
                <w14:ligatures w14:val="none"/>
              </w:rPr>
              <w:t>2015/16</w:t>
            </w:r>
          </w:p>
        </w:tc>
        <w:tc>
          <w:tcPr>
            <w:tcW w:w="1016" w:type="dxa"/>
            <w:tcBorders>
              <w:top w:val="nil"/>
              <w:left w:val="nil"/>
              <w:bottom w:val="single" w:sz="8" w:space="0" w:color="auto"/>
              <w:right w:val="single" w:sz="8" w:space="0" w:color="auto"/>
            </w:tcBorders>
            <w:vAlign w:val="center"/>
            <w:hideMark/>
          </w:tcPr>
          <w:p w14:paraId="6BF1C790"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236,806</w:t>
            </w:r>
          </w:p>
        </w:tc>
        <w:tc>
          <w:tcPr>
            <w:tcW w:w="1110" w:type="dxa"/>
            <w:tcBorders>
              <w:top w:val="nil"/>
              <w:left w:val="nil"/>
              <w:bottom w:val="single" w:sz="8" w:space="0" w:color="auto"/>
              <w:right w:val="single" w:sz="8" w:space="0" w:color="auto"/>
            </w:tcBorders>
            <w:vAlign w:val="center"/>
            <w:hideMark/>
          </w:tcPr>
          <w:p w14:paraId="3581D4CD"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2.8</w:t>
            </w:r>
          </w:p>
        </w:tc>
        <w:tc>
          <w:tcPr>
            <w:tcW w:w="1418" w:type="dxa"/>
            <w:tcBorders>
              <w:top w:val="nil"/>
              <w:left w:val="nil"/>
              <w:bottom w:val="single" w:sz="8" w:space="0" w:color="auto"/>
              <w:right w:val="single" w:sz="8" w:space="0" w:color="auto"/>
            </w:tcBorders>
            <w:vAlign w:val="center"/>
            <w:hideMark/>
          </w:tcPr>
          <w:p w14:paraId="50CD8F1E"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8,559,540</w:t>
            </w:r>
          </w:p>
        </w:tc>
        <w:tc>
          <w:tcPr>
            <w:tcW w:w="2126" w:type="dxa"/>
            <w:tcBorders>
              <w:top w:val="nil"/>
              <w:left w:val="nil"/>
              <w:bottom w:val="single" w:sz="8" w:space="0" w:color="auto"/>
              <w:right w:val="single" w:sz="8" w:space="0" w:color="auto"/>
            </w:tcBorders>
            <w:vAlign w:val="center"/>
            <w:hideMark/>
          </w:tcPr>
          <w:p w14:paraId="78F85925"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991,981</w:t>
            </w:r>
          </w:p>
        </w:tc>
        <w:tc>
          <w:tcPr>
            <w:tcW w:w="1843" w:type="dxa"/>
            <w:tcBorders>
              <w:top w:val="nil"/>
              <w:left w:val="nil"/>
              <w:bottom w:val="single" w:sz="8" w:space="0" w:color="auto"/>
              <w:right w:val="single" w:sz="8" w:space="0" w:color="auto"/>
            </w:tcBorders>
            <w:vAlign w:val="center"/>
            <w:hideMark/>
          </w:tcPr>
          <w:p w14:paraId="6A80EC2E"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11.6</w:t>
            </w:r>
          </w:p>
        </w:tc>
      </w:tr>
      <w:tr w:rsidR="00EE24AA" w:rsidRPr="00B97B04" w14:paraId="2DF22DFC" w14:textId="77777777" w:rsidTr="00997E31">
        <w:trPr>
          <w:trHeight w:val="300"/>
          <w:jc w:val="center"/>
        </w:trPr>
        <w:tc>
          <w:tcPr>
            <w:tcW w:w="1266" w:type="dxa"/>
            <w:tcBorders>
              <w:top w:val="nil"/>
              <w:left w:val="single" w:sz="8" w:space="0" w:color="auto"/>
              <w:bottom w:val="single" w:sz="8" w:space="0" w:color="auto"/>
              <w:right w:val="single" w:sz="8" w:space="0" w:color="auto"/>
            </w:tcBorders>
            <w:vAlign w:val="center"/>
            <w:hideMark/>
          </w:tcPr>
          <w:p w14:paraId="45585275" w14:textId="77777777" w:rsidR="00B97B04" w:rsidRPr="00B97B04" w:rsidRDefault="00B97B04" w:rsidP="00B97B04">
            <w:pPr>
              <w:spacing w:after="0" w:line="240" w:lineRule="auto"/>
              <w:jc w:val="center"/>
              <w:rPr>
                <w:rFonts w:eastAsia="Times New Roman" w:cs="Arial"/>
                <w:b/>
                <w:bCs/>
                <w:color w:val="000000"/>
                <w:kern w:val="0"/>
                <w:lang w:val="en-GB" w:eastAsia="en-GB"/>
                <w14:ligatures w14:val="none"/>
              </w:rPr>
            </w:pPr>
            <w:r w:rsidRPr="00B97B04">
              <w:rPr>
                <w:rFonts w:eastAsia="Times New Roman" w:cs="Arial"/>
                <w:b/>
                <w:bCs/>
                <w:color w:val="000000"/>
                <w:kern w:val="0"/>
                <w:lang w:val="en-GB" w:eastAsia="en-GB"/>
                <w14:ligatures w14:val="none"/>
              </w:rPr>
              <w:t>2016/17</w:t>
            </w:r>
          </w:p>
        </w:tc>
        <w:tc>
          <w:tcPr>
            <w:tcW w:w="1016" w:type="dxa"/>
            <w:tcBorders>
              <w:top w:val="nil"/>
              <w:left w:val="nil"/>
              <w:bottom w:val="single" w:sz="8" w:space="0" w:color="auto"/>
              <w:right w:val="single" w:sz="8" w:space="0" w:color="auto"/>
            </w:tcBorders>
            <w:vAlign w:val="center"/>
            <w:hideMark/>
          </w:tcPr>
          <w:p w14:paraId="68602FF0"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242,184</w:t>
            </w:r>
          </w:p>
        </w:tc>
        <w:tc>
          <w:tcPr>
            <w:tcW w:w="1110" w:type="dxa"/>
            <w:tcBorders>
              <w:top w:val="nil"/>
              <w:left w:val="nil"/>
              <w:bottom w:val="single" w:sz="8" w:space="0" w:color="auto"/>
              <w:right w:val="single" w:sz="8" w:space="0" w:color="auto"/>
            </w:tcBorders>
            <w:vAlign w:val="center"/>
            <w:hideMark/>
          </w:tcPr>
          <w:p w14:paraId="4D1BF76F"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2.8</w:t>
            </w:r>
          </w:p>
        </w:tc>
        <w:tc>
          <w:tcPr>
            <w:tcW w:w="1418" w:type="dxa"/>
            <w:tcBorders>
              <w:top w:val="nil"/>
              <w:left w:val="nil"/>
              <w:bottom w:val="single" w:sz="8" w:space="0" w:color="auto"/>
              <w:right w:val="single" w:sz="8" w:space="0" w:color="auto"/>
            </w:tcBorders>
            <w:vAlign w:val="center"/>
            <w:hideMark/>
          </w:tcPr>
          <w:p w14:paraId="44F030B8"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8,669,080</w:t>
            </w:r>
          </w:p>
        </w:tc>
        <w:tc>
          <w:tcPr>
            <w:tcW w:w="2126" w:type="dxa"/>
            <w:tcBorders>
              <w:top w:val="nil"/>
              <w:left w:val="nil"/>
              <w:bottom w:val="single" w:sz="8" w:space="0" w:color="auto"/>
              <w:right w:val="single" w:sz="8" w:space="0" w:color="auto"/>
            </w:tcBorders>
            <w:vAlign w:val="center"/>
            <w:hideMark/>
          </w:tcPr>
          <w:p w14:paraId="4D89E30D"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1,002,069</w:t>
            </w:r>
          </w:p>
        </w:tc>
        <w:tc>
          <w:tcPr>
            <w:tcW w:w="1843" w:type="dxa"/>
            <w:tcBorders>
              <w:top w:val="nil"/>
              <w:left w:val="nil"/>
              <w:bottom w:val="single" w:sz="8" w:space="0" w:color="auto"/>
              <w:right w:val="single" w:sz="8" w:space="0" w:color="auto"/>
            </w:tcBorders>
            <w:vAlign w:val="center"/>
            <w:hideMark/>
          </w:tcPr>
          <w:p w14:paraId="3DD84C41"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11.6</w:t>
            </w:r>
          </w:p>
        </w:tc>
      </w:tr>
      <w:tr w:rsidR="00EE24AA" w:rsidRPr="00B97B04" w14:paraId="468332BD" w14:textId="77777777" w:rsidTr="00997E31">
        <w:trPr>
          <w:trHeight w:val="300"/>
          <w:jc w:val="center"/>
        </w:trPr>
        <w:tc>
          <w:tcPr>
            <w:tcW w:w="1266" w:type="dxa"/>
            <w:tcBorders>
              <w:top w:val="nil"/>
              <w:left w:val="single" w:sz="8" w:space="0" w:color="auto"/>
              <w:bottom w:val="single" w:sz="8" w:space="0" w:color="auto"/>
              <w:right w:val="single" w:sz="8" w:space="0" w:color="auto"/>
            </w:tcBorders>
            <w:vAlign w:val="center"/>
            <w:hideMark/>
          </w:tcPr>
          <w:p w14:paraId="3EDAE441" w14:textId="77777777" w:rsidR="00B97B04" w:rsidRPr="00B97B04" w:rsidRDefault="00B97B04" w:rsidP="00B97B04">
            <w:pPr>
              <w:spacing w:after="0" w:line="240" w:lineRule="auto"/>
              <w:jc w:val="center"/>
              <w:rPr>
                <w:rFonts w:eastAsia="Times New Roman" w:cs="Arial"/>
                <w:b/>
                <w:bCs/>
                <w:color w:val="000000"/>
                <w:kern w:val="0"/>
                <w:lang w:val="en-GB" w:eastAsia="en-GB"/>
                <w14:ligatures w14:val="none"/>
              </w:rPr>
            </w:pPr>
            <w:r w:rsidRPr="00B97B04">
              <w:rPr>
                <w:rFonts w:eastAsia="Times New Roman" w:cs="Arial"/>
                <w:b/>
                <w:bCs/>
                <w:color w:val="000000"/>
                <w:kern w:val="0"/>
                <w:lang w:val="en-GB" w:eastAsia="en-GB"/>
                <w14:ligatures w14:val="none"/>
              </w:rPr>
              <w:t>2017/18</w:t>
            </w:r>
          </w:p>
        </w:tc>
        <w:tc>
          <w:tcPr>
            <w:tcW w:w="1016" w:type="dxa"/>
            <w:tcBorders>
              <w:top w:val="nil"/>
              <w:left w:val="nil"/>
              <w:bottom w:val="single" w:sz="8" w:space="0" w:color="auto"/>
              <w:right w:val="single" w:sz="8" w:space="0" w:color="auto"/>
            </w:tcBorders>
            <w:vAlign w:val="center"/>
            <w:hideMark/>
          </w:tcPr>
          <w:p w14:paraId="6E7364EE"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253,679</w:t>
            </w:r>
          </w:p>
        </w:tc>
        <w:tc>
          <w:tcPr>
            <w:tcW w:w="1110" w:type="dxa"/>
            <w:tcBorders>
              <w:top w:val="nil"/>
              <w:left w:val="nil"/>
              <w:bottom w:val="single" w:sz="8" w:space="0" w:color="auto"/>
              <w:right w:val="single" w:sz="8" w:space="0" w:color="auto"/>
            </w:tcBorders>
            <w:vAlign w:val="center"/>
            <w:hideMark/>
          </w:tcPr>
          <w:p w14:paraId="5BF3FE10"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2.9</w:t>
            </w:r>
          </w:p>
        </w:tc>
        <w:tc>
          <w:tcPr>
            <w:tcW w:w="1418" w:type="dxa"/>
            <w:tcBorders>
              <w:top w:val="nil"/>
              <w:left w:val="nil"/>
              <w:bottom w:val="single" w:sz="8" w:space="0" w:color="auto"/>
              <w:right w:val="single" w:sz="8" w:space="0" w:color="auto"/>
            </w:tcBorders>
            <w:vAlign w:val="center"/>
            <w:hideMark/>
          </w:tcPr>
          <w:p w14:paraId="3A66928A"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8,735,098</w:t>
            </w:r>
          </w:p>
        </w:tc>
        <w:tc>
          <w:tcPr>
            <w:tcW w:w="2126" w:type="dxa"/>
            <w:tcBorders>
              <w:top w:val="nil"/>
              <w:left w:val="nil"/>
              <w:bottom w:val="single" w:sz="8" w:space="0" w:color="auto"/>
              <w:right w:val="single" w:sz="8" w:space="0" w:color="auto"/>
            </w:tcBorders>
            <w:vAlign w:val="center"/>
            <w:hideMark/>
          </w:tcPr>
          <w:p w14:paraId="0C109319"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1,022,537</w:t>
            </w:r>
          </w:p>
        </w:tc>
        <w:tc>
          <w:tcPr>
            <w:tcW w:w="1843" w:type="dxa"/>
            <w:tcBorders>
              <w:top w:val="nil"/>
              <w:left w:val="nil"/>
              <w:bottom w:val="single" w:sz="8" w:space="0" w:color="auto"/>
              <w:right w:val="single" w:sz="8" w:space="0" w:color="auto"/>
            </w:tcBorders>
            <w:vAlign w:val="center"/>
            <w:hideMark/>
          </w:tcPr>
          <w:p w14:paraId="72E7ED30"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11.7</w:t>
            </w:r>
          </w:p>
        </w:tc>
      </w:tr>
      <w:tr w:rsidR="00EE24AA" w:rsidRPr="00B97B04" w14:paraId="34356E64" w14:textId="77777777" w:rsidTr="00997E31">
        <w:trPr>
          <w:trHeight w:val="300"/>
          <w:jc w:val="center"/>
        </w:trPr>
        <w:tc>
          <w:tcPr>
            <w:tcW w:w="1266" w:type="dxa"/>
            <w:tcBorders>
              <w:top w:val="nil"/>
              <w:left w:val="single" w:sz="8" w:space="0" w:color="auto"/>
              <w:bottom w:val="single" w:sz="8" w:space="0" w:color="auto"/>
              <w:right w:val="single" w:sz="8" w:space="0" w:color="auto"/>
            </w:tcBorders>
            <w:vAlign w:val="center"/>
            <w:hideMark/>
          </w:tcPr>
          <w:p w14:paraId="323E5082" w14:textId="77777777" w:rsidR="00B97B04" w:rsidRPr="00B97B04" w:rsidRDefault="00B97B04" w:rsidP="00B97B04">
            <w:pPr>
              <w:spacing w:after="0" w:line="240" w:lineRule="auto"/>
              <w:jc w:val="center"/>
              <w:rPr>
                <w:rFonts w:eastAsia="Times New Roman" w:cs="Arial"/>
                <w:b/>
                <w:bCs/>
                <w:color w:val="000000"/>
                <w:kern w:val="0"/>
                <w:lang w:val="en-GB" w:eastAsia="en-GB"/>
                <w14:ligatures w14:val="none"/>
              </w:rPr>
            </w:pPr>
            <w:r w:rsidRPr="00B97B04">
              <w:rPr>
                <w:rFonts w:eastAsia="Times New Roman" w:cs="Arial"/>
                <w:b/>
                <w:bCs/>
                <w:color w:val="000000"/>
                <w:kern w:val="0"/>
                <w:lang w:val="en-GB" w:eastAsia="en-GB"/>
                <w14:ligatures w14:val="none"/>
              </w:rPr>
              <w:t>2018/19</w:t>
            </w:r>
          </w:p>
        </w:tc>
        <w:tc>
          <w:tcPr>
            <w:tcW w:w="1016" w:type="dxa"/>
            <w:tcBorders>
              <w:top w:val="nil"/>
              <w:left w:val="nil"/>
              <w:bottom w:val="single" w:sz="8" w:space="0" w:color="auto"/>
              <w:right w:val="single" w:sz="8" w:space="0" w:color="auto"/>
            </w:tcBorders>
            <w:vAlign w:val="center"/>
            <w:hideMark/>
          </w:tcPr>
          <w:p w14:paraId="1BA34885"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271,165</w:t>
            </w:r>
          </w:p>
        </w:tc>
        <w:tc>
          <w:tcPr>
            <w:tcW w:w="1110" w:type="dxa"/>
            <w:tcBorders>
              <w:top w:val="nil"/>
              <w:left w:val="nil"/>
              <w:bottom w:val="single" w:sz="8" w:space="0" w:color="auto"/>
              <w:right w:val="single" w:sz="8" w:space="0" w:color="auto"/>
            </w:tcBorders>
            <w:vAlign w:val="center"/>
            <w:hideMark/>
          </w:tcPr>
          <w:p w14:paraId="6221E01E"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3.1</w:t>
            </w:r>
          </w:p>
        </w:tc>
        <w:tc>
          <w:tcPr>
            <w:tcW w:w="1418" w:type="dxa"/>
            <w:tcBorders>
              <w:top w:val="nil"/>
              <w:left w:val="nil"/>
              <w:bottom w:val="single" w:sz="8" w:space="0" w:color="auto"/>
              <w:right w:val="single" w:sz="8" w:space="0" w:color="auto"/>
            </w:tcBorders>
            <w:vAlign w:val="center"/>
            <w:hideMark/>
          </w:tcPr>
          <w:p w14:paraId="489FDBE1"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8,819,289</w:t>
            </w:r>
          </w:p>
        </w:tc>
        <w:tc>
          <w:tcPr>
            <w:tcW w:w="2126" w:type="dxa"/>
            <w:tcBorders>
              <w:top w:val="nil"/>
              <w:left w:val="nil"/>
              <w:bottom w:val="single" w:sz="8" w:space="0" w:color="auto"/>
              <w:right w:val="single" w:sz="8" w:space="0" w:color="auto"/>
            </w:tcBorders>
            <w:vAlign w:val="center"/>
            <w:hideMark/>
          </w:tcPr>
          <w:p w14:paraId="37C31FAE"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1,047,163</w:t>
            </w:r>
          </w:p>
        </w:tc>
        <w:tc>
          <w:tcPr>
            <w:tcW w:w="1843" w:type="dxa"/>
            <w:tcBorders>
              <w:top w:val="nil"/>
              <w:left w:val="nil"/>
              <w:bottom w:val="single" w:sz="8" w:space="0" w:color="auto"/>
              <w:right w:val="single" w:sz="8" w:space="0" w:color="auto"/>
            </w:tcBorders>
            <w:vAlign w:val="center"/>
            <w:hideMark/>
          </w:tcPr>
          <w:p w14:paraId="53A320FD"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11.9</w:t>
            </w:r>
          </w:p>
        </w:tc>
      </w:tr>
      <w:tr w:rsidR="00EE24AA" w:rsidRPr="00B97B04" w14:paraId="190C2E6E" w14:textId="77777777" w:rsidTr="00997E31">
        <w:trPr>
          <w:trHeight w:val="300"/>
          <w:jc w:val="center"/>
        </w:trPr>
        <w:tc>
          <w:tcPr>
            <w:tcW w:w="1266" w:type="dxa"/>
            <w:tcBorders>
              <w:top w:val="nil"/>
              <w:left w:val="single" w:sz="8" w:space="0" w:color="auto"/>
              <w:bottom w:val="single" w:sz="8" w:space="0" w:color="auto"/>
              <w:right w:val="single" w:sz="8" w:space="0" w:color="auto"/>
            </w:tcBorders>
            <w:vAlign w:val="center"/>
            <w:hideMark/>
          </w:tcPr>
          <w:p w14:paraId="00D8BC10" w14:textId="77777777" w:rsidR="00B97B04" w:rsidRPr="00B97B04" w:rsidRDefault="00B97B04" w:rsidP="00B97B04">
            <w:pPr>
              <w:spacing w:after="0" w:line="240" w:lineRule="auto"/>
              <w:jc w:val="center"/>
              <w:rPr>
                <w:rFonts w:eastAsia="Times New Roman" w:cs="Arial"/>
                <w:b/>
                <w:bCs/>
                <w:color w:val="000000"/>
                <w:kern w:val="0"/>
                <w:lang w:val="en-GB" w:eastAsia="en-GB"/>
                <w14:ligatures w14:val="none"/>
              </w:rPr>
            </w:pPr>
            <w:r w:rsidRPr="00B97B04">
              <w:rPr>
                <w:rFonts w:eastAsia="Times New Roman" w:cs="Arial"/>
                <w:b/>
                <w:bCs/>
                <w:color w:val="000000"/>
                <w:kern w:val="0"/>
                <w:lang w:val="en-GB" w:eastAsia="en-GB"/>
                <w14:ligatures w14:val="none"/>
              </w:rPr>
              <w:t>2019/20</w:t>
            </w:r>
          </w:p>
        </w:tc>
        <w:tc>
          <w:tcPr>
            <w:tcW w:w="1016" w:type="dxa"/>
            <w:tcBorders>
              <w:top w:val="nil"/>
              <w:left w:val="nil"/>
              <w:bottom w:val="single" w:sz="8" w:space="0" w:color="auto"/>
              <w:right w:val="single" w:sz="8" w:space="0" w:color="auto"/>
            </w:tcBorders>
            <w:vAlign w:val="center"/>
            <w:hideMark/>
          </w:tcPr>
          <w:p w14:paraId="15B35B1A"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294,758</w:t>
            </w:r>
          </w:p>
        </w:tc>
        <w:tc>
          <w:tcPr>
            <w:tcW w:w="1110" w:type="dxa"/>
            <w:tcBorders>
              <w:top w:val="nil"/>
              <w:left w:val="nil"/>
              <w:bottom w:val="single" w:sz="8" w:space="0" w:color="auto"/>
              <w:right w:val="single" w:sz="8" w:space="0" w:color="auto"/>
            </w:tcBorders>
            <w:vAlign w:val="center"/>
            <w:hideMark/>
          </w:tcPr>
          <w:p w14:paraId="1CBAAB26"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3.3</w:t>
            </w:r>
          </w:p>
        </w:tc>
        <w:tc>
          <w:tcPr>
            <w:tcW w:w="1418" w:type="dxa"/>
            <w:tcBorders>
              <w:top w:val="nil"/>
              <w:left w:val="nil"/>
              <w:bottom w:val="single" w:sz="8" w:space="0" w:color="auto"/>
              <w:right w:val="single" w:sz="8" w:space="0" w:color="auto"/>
            </w:tcBorders>
            <w:vAlign w:val="center"/>
            <w:hideMark/>
          </w:tcPr>
          <w:p w14:paraId="40448059"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8,890,345</w:t>
            </w:r>
          </w:p>
        </w:tc>
        <w:tc>
          <w:tcPr>
            <w:tcW w:w="2126" w:type="dxa"/>
            <w:tcBorders>
              <w:top w:val="nil"/>
              <w:left w:val="nil"/>
              <w:bottom w:val="single" w:sz="8" w:space="0" w:color="auto"/>
              <w:right w:val="single" w:sz="8" w:space="0" w:color="auto"/>
            </w:tcBorders>
            <w:vAlign w:val="center"/>
            <w:hideMark/>
          </w:tcPr>
          <w:p w14:paraId="1EFCA69F"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1,079,000</w:t>
            </w:r>
          </w:p>
        </w:tc>
        <w:tc>
          <w:tcPr>
            <w:tcW w:w="1843" w:type="dxa"/>
            <w:tcBorders>
              <w:top w:val="nil"/>
              <w:left w:val="nil"/>
              <w:bottom w:val="single" w:sz="8" w:space="0" w:color="auto"/>
              <w:right w:val="single" w:sz="8" w:space="0" w:color="auto"/>
            </w:tcBorders>
            <w:vAlign w:val="center"/>
            <w:hideMark/>
          </w:tcPr>
          <w:p w14:paraId="5D90DA1B"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12.1</w:t>
            </w:r>
          </w:p>
        </w:tc>
      </w:tr>
      <w:tr w:rsidR="00EE24AA" w:rsidRPr="00B97B04" w14:paraId="1D1E1A8A" w14:textId="77777777" w:rsidTr="00997E31">
        <w:trPr>
          <w:trHeight w:val="300"/>
          <w:jc w:val="center"/>
        </w:trPr>
        <w:tc>
          <w:tcPr>
            <w:tcW w:w="1266" w:type="dxa"/>
            <w:tcBorders>
              <w:top w:val="nil"/>
              <w:left w:val="single" w:sz="8" w:space="0" w:color="auto"/>
              <w:bottom w:val="single" w:sz="8" w:space="0" w:color="auto"/>
              <w:right w:val="single" w:sz="8" w:space="0" w:color="auto"/>
            </w:tcBorders>
            <w:vAlign w:val="center"/>
            <w:hideMark/>
          </w:tcPr>
          <w:p w14:paraId="035DE5AA" w14:textId="77777777" w:rsidR="00B97B04" w:rsidRPr="00B97B04" w:rsidRDefault="00B97B04" w:rsidP="00B97B04">
            <w:pPr>
              <w:spacing w:after="0" w:line="240" w:lineRule="auto"/>
              <w:jc w:val="center"/>
              <w:rPr>
                <w:rFonts w:eastAsia="Times New Roman" w:cs="Arial"/>
                <w:b/>
                <w:bCs/>
                <w:color w:val="000000"/>
                <w:kern w:val="0"/>
                <w:lang w:val="en-GB" w:eastAsia="en-GB"/>
                <w14:ligatures w14:val="none"/>
              </w:rPr>
            </w:pPr>
            <w:r w:rsidRPr="00B97B04">
              <w:rPr>
                <w:rFonts w:eastAsia="Times New Roman" w:cs="Arial"/>
                <w:b/>
                <w:bCs/>
                <w:color w:val="000000"/>
                <w:kern w:val="0"/>
                <w:lang w:val="en-GB" w:eastAsia="en-GB"/>
                <w14:ligatures w14:val="none"/>
              </w:rPr>
              <w:t>2020/21</w:t>
            </w:r>
          </w:p>
        </w:tc>
        <w:tc>
          <w:tcPr>
            <w:tcW w:w="1016" w:type="dxa"/>
            <w:tcBorders>
              <w:top w:val="nil"/>
              <w:left w:val="nil"/>
              <w:bottom w:val="single" w:sz="8" w:space="0" w:color="auto"/>
              <w:right w:val="single" w:sz="8" w:space="0" w:color="auto"/>
            </w:tcBorders>
            <w:vAlign w:val="center"/>
            <w:hideMark/>
          </w:tcPr>
          <w:p w14:paraId="44406AF9"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325,618</w:t>
            </w:r>
          </w:p>
        </w:tc>
        <w:tc>
          <w:tcPr>
            <w:tcW w:w="1110" w:type="dxa"/>
            <w:tcBorders>
              <w:top w:val="nil"/>
              <w:left w:val="nil"/>
              <w:bottom w:val="single" w:sz="8" w:space="0" w:color="auto"/>
              <w:right w:val="single" w:sz="8" w:space="0" w:color="auto"/>
            </w:tcBorders>
            <w:vAlign w:val="center"/>
            <w:hideMark/>
          </w:tcPr>
          <w:p w14:paraId="76549F7B"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3.7</w:t>
            </w:r>
          </w:p>
        </w:tc>
        <w:tc>
          <w:tcPr>
            <w:tcW w:w="1418" w:type="dxa"/>
            <w:tcBorders>
              <w:top w:val="nil"/>
              <w:left w:val="nil"/>
              <w:bottom w:val="single" w:sz="8" w:space="0" w:color="auto"/>
              <w:right w:val="single" w:sz="8" w:space="0" w:color="auto"/>
            </w:tcBorders>
            <w:vAlign w:val="center"/>
            <w:hideMark/>
          </w:tcPr>
          <w:p w14:paraId="27772766"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8,911,887</w:t>
            </w:r>
          </w:p>
        </w:tc>
        <w:tc>
          <w:tcPr>
            <w:tcW w:w="2126" w:type="dxa"/>
            <w:tcBorders>
              <w:top w:val="nil"/>
              <w:left w:val="nil"/>
              <w:bottom w:val="single" w:sz="8" w:space="0" w:color="auto"/>
              <w:right w:val="single" w:sz="8" w:space="0" w:color="auto"/>
            </w:tcBorders>
            <w:vAlign w:val="center"/>
            <w:hideMark/>
          </w:tcPr>
          <w:p w14:paraId="212F3552"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1,083,083</w:t>
            </w:r>
          </w:p>
        </w:tc>
        <w:tc>
          <w:tcPr>
            <w:tcW w:w="1843" w:type="dxa"/>
            <w:tcBorders>
              <w:top w:val="nil"/>
              <w:left w:val="nil"/>
              <w:bottom w:val="single" w:sz="8" w:space="0" w:color="auto"/>
              <w:right w:val="single" w:sz="8" w:space="0" w:color="auto"/>
            </w:tcBorders>
            <w:vAlign w:val="center"/>
            <w:hideMark/>
          </w:tcPr>
          <w:p w14:paraId="2B1D4649"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12.2</w:t>
            </w:r>
          </w:p>
        </w:tc>
      </w:tr>
      <w:tr w:rsidR="00EE24AA" w:rsidRPr="00B97B04" w14:paraId="4870598F" w14:textId="77777777" w:rsidTr="00997E31">
        <w:trPr>
          <w:trHeight w:val="300"/>
          <w:jc w:val="center"/>
        </w:trPr>
        <w:tc>
          <w:tcPr>
            <w:tcW w:w="1266" w:type="dxa"/>
            <w:tcBorders>
              <w:top w:val="nil"/>
              <w:left w:val="single" w:sz="8" w:space="0" w:color="auto"/>
              <w:bottom w:val="single" w:sz="8" w:space="0" w:color="auto"/>
              <w:right w:val="single" w:sz="8" w:space="0" w:color="auto"/>
            </w:tcBorders>
            <w:vAlign w:val="center"/>
            <w:hideMark/>
          </w:tcPr>
          <w:p w14:paraId="26ECE691" w14:textId="77777777" w:rsidR="00B97B04" w:rsidRPr="00B97B04" w:rsidRDefault="00B97B04" w:rsidP="00B97B04">
            <w:pPr>
              <w:spacing w:after="0" w:line="240" w:lineRule="auto"/>
              <w:jc w:val="center"/>
              <w:rPr>
                <w:rFonts w:eastAsia="Times New Roman" w:cs="Arial"/>
                <w:b/>
                <w:bCs/>
                <w:color w:val="000000"/>
                <w:kern w:val="0"/>
                <w:lang w:val="en-GB" w:eastAsia="en-GB"/>
                <w14:ligatures w14:val="none"/>
              </w:rPr>
            </w:pPr>
            <w:r w:rsidRPr="00B97B04">
              <w:rPr>
                <w:rFonts w:eastAsia="Times New Roman" w:cs="Arial"/>
                <w:b/>
                <w:bCs/>
                <w:color w:val="000000"/>
                <w:kern w:val="0"/>
                <w:lang w:val="en-GB" w:eastAsia="en-GB"/>
                <w14:ligatures w14:val="none"/>
              </w:rPr>
              <w:t>2021/22</w:t>
            </w:r>
          </w:p>
        </w:tc>
        <w:tc>
          <w:tcPr>
            <w:tcW w:w="1016" w:type="dxa"/>
            <w:tcBorders>
              <w:top w:val="nil"/>
              <w:left w:val="nil"/>
              <w:bottom w:val="single" w:sz="8" w:space="0" w:color="auto"/>
              <w:right w:val="single" w:sz="8" w:space="0" w:color="auto"/>
            </w:tcBorders>
            <w:vAlign w:val="center"/>
            <w:hideMark/>
          </w:tcPr>
          <w:p w14:paraId="6956189F"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355,566</w:t>
            </w:r>
          </w:p>
        </w:tc>
        <w:tc>
          <w:tcPr>
            <w:tcW w:w="1110" w:type="dxa"/>
            <w:tcBorders>
              <w:top w:val="nil"/>
              <w:left w:val="nil"/>
              <w:bottom w:val="single" w:sz="8" w:space="0" w:color="auto"/>
              <w:right w:val="single" w:sz="8" w:space="0" w:color="auto"/>
            </w:tcBorders>
            <w:vAlign w:val="center"/>
            <w:hideMark/>
          </w:tcPr>
          <w:p w14:paraId="26FB84B3"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4.0</w:t>
            </w:r>
          </w:p>
        </w:tc>
        <w:tc>
          <w:tcPr>
            <w:tcW w:w="1418" w:type="dxa"/>
            <w:tcBorders>
              <w:top w:val="nil"/>
              <w:left w:val="nil"/>
              <w:bottom w:val="single" w:sz="8" w:space="0" w:color="auto"/>
              <w:right w:val="single" w:sz="8" w:space="0" w:color="auto"/>
            </w:tcBorders>
            <w:vAlign w:val="center"/>
            <w:hideMark/>
          </w:tcPr>
          <w:p w14:paraId="1A1E80F3"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9,000,031</w:t>
            </w:r>
          </w:p>
        </w:tc>
        <w:tc>
          <w:tcPr>
            <w:tcW w:w="2126" w:type="dxa"/>
            <w:tcBorders>
              <w:top w:val="nil"/>
              <w:left w:val="nil"/>
              <w:bottom w:val="single" w:sz="8" w:space="0" w:color="auto"/>
              <w:right w:val="single" w:sz="8" w:space="0" w:color="auto"/>
            </w:tcBorders>
            <w:vAlign w:val="center"/>
            <w:hideMark/>
          </w:tcPr>
          <w:p w14:paraId="1F45AD6A"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1,129,843</w:t>
            </w:r>
          </w:p>
        </w:tc>
        <w:tc>
          <w:tcPr>
            <w:tcW w:w="1843" w:type="dxa"/>
            <w:tcBorders>
              <w:top w:val="nil"/>
              <w:left w:val="nil"/>
              <w:bottom w:val="single" w:sz="8" w:space="0" w:color="auto"/>
              <w:right w:val="single" w:sz="8" w:space="0" w:color="auto"/>
            </w:tcBorders>
            <w:vAlign w:val="center"/>
            <w:hideMark/>
          </w:tcPr>
          <w:p w14:paraId="4F1A8BC1"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12.6</w:t>
            </w:r>
          </w:p>
        </w:tc>
      </w:tr>
      <w:tr w:rsidR="00EE24AA" w:rsidRPr="00B97B04" w14:paraId="2043E347" w14:textId="77777777" w:rsidTr="00997E31">
        <w:trPr>
          <w:trHeight w:val="300"/>
          <w:jc w:val="center"/>
        </w:trPr>
        <w:tc>
          <w:tcPr>
            <w:tcW w:w="1266" w:type="dxa"/>
            <w:tcBorders>
              <w:top w:val="nil"/>
              <w:left w:val="single" w:sz="8" w:space="0" w:color="auto"/>
              <w:bottom w:val="single" w:sz="8" w:space="0" w:color="auto"/>
              <w:right w:val="single" w:sz="8" w:space="0" w:color="auto"/>
            </w:tcBorders>
            <w:vAlign w:val="center"/>
            <w:hideMark/>
          </w:tcPr>
          <w:p w14:paraId="192892C0" w14:textId="77777777" w:rsidR="00B97B04" w:rsidRPr="00B97B04" w:rsidRDefault="00B97B04" w:rsidP="00B97B04">
            <w:pPr>
              <w:spacing w:after="0" w:line="240" w:lineRule="auto"/>
              <w:jc w:val="center"/>
              <w:rPr>
                <w:rFonts w:eastAsia="Times New Roman" w:cs="Arial"/>
                <w:b/>
                <w:bCs/>
                <w:color w:val="000000"/>
                <w:kern w:val="0"/>
                <w:lang w:val="en-GB" w:eastAsia="en-GB"/>
                <w14:ligatures w14:val="none"/>
              </w:rPr>
            </w:pPr>
            <w:r w:rsidRPr="00B97B04">
              <w:rPr>
                <w:rFonts w:eastAsia="Times New Roman" w:cs="Arial"/>
                <w:b/>
                <w:bCs/>
                <w:color w:val="000000"/>
                <w:kern w:val="0"/>
                <w:lang w:val="en-GB" w:eastAsia="en-GB"/>
                <w14:ligatures w14:val="none"/>
              </w:rPr>
              <w:t>2022/23</w:t>
            </w:r>
          </w:p>
        </w:tc>
        <w:tc>
          <w:tcPr>
            <w:tcW w:w="1016" w:type="dxa"/>
            <w:tcBorders>
              <w:top w:val="nil"/>
              <w:left w:val="nil"/>
              <w:bottom w:val="single" w:sz="8" w:space="0" w:color="auto"/>
              <w:right w:val="single" w:sz="8" w:space="0" w:color="auto"/>
            </w:tcBorders>
            <w:vAlign w:val="center"/>
            <w:hideMark/>
          </w:tcPr>
          <w:p w14:paraId="44929462"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389,171</w:t>
            </w:r>
          </w:p>
        </w:tc>
        <w:tc>
          <w:tcPr>
            <w:tcW w:w="1110" w:type="dxa"/>
            <w:tcBorders>
              <w:top w:val="nil"/>
              <w:left w:val="nil"/>
              <w:bottom w:val="single" w:sz="8" w:space="0" w:color="auto"/>
              <w:right w:val="single" w:sz="8" w:space="0" w:color="auto"/>
            </w:tcBorders>
            <w:vAlign w:val="center"/>
            <w:hideMark/>
          </w:tcPr>
          <w:p w14:paraId="46535C20"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4.3</w:t>
            </w:r>
          </w:p>
        </w:tc>
        <w:tc>
          <w:tcPr>
            <w:tcW w:w="1418" w:type="dxa"/>
            <w:tcBorders>
              <w:top w:val="nil"/>
              <w:left w:val="nil"/>
              <w:bottom w:val="single" w:sz="8" w:space="0" w:color="auto"/>
              <w:right w:val="single" w:sz="8" w:space="0" w:color="auto"/>
            </w:tcBorders>
            <w:vAlign w:val="center"/>
            <w:hideMark/>
          </w:tcPr>
          <w:p w14:paraId="07022061"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9,073,832</w:t>
            </w:r>
          </w:p>
        </w:tc>
        <w:tc>
          <w:tcPr>
            <w:tcW w:w="2126" w:type="dxa"/>
            <w:tcBorders>
              <w:top w:val="nil"/>
              <w:left w:val="nil"/>
              <w:bottom w:val="single" w:sz="8" w:space="0" w:color="auto"/>
              <w:right w:val="single" w:sz="8" w:space="0" w:color="auto"/>
            </w:tcBorders>
            <w:vAlign w:val="center"/>
            <w:hideMark/>
          </w:tcPr>
          <w:p w14:paraId="77A0DA2A"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1,183,384</w:t>
            </w:r>
          </w:p>
        </w:tc>
        <w:tc>
          <w:tcPr>
            <w:tcW w:w="1843" w:type="dxa"/>
            <w:tcBorders>
              <w:top w:val="nil"/>
              <w:left w:val="nil"/>
              <w:bottom w:val="single" w:sz="8" w:space="0" w:color="auto"/>
              <w:right w:val="single" w:sz="8" w:space="0" w:color="auto"/>
            </w:tcBorders>
            <w:vAlign w:val="center"/>
            <w:hideMark/>
          </w:tcPr>
          <w:p w14:paraId="70DE6E8C"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13.0</w:t>
            </w:r>
          </w:p>
        </w:tc>
      </w:tr>
      <w:tr w:rsidR="00EE24AA" w:rsidRPr="00B97B04" w14:paraId="16B75A06" w14:textId="77777777" w:rsidTr="00997E31">
        <w:trPr>
          <w:trHeight w:val="300"/>
          <w:jc w:val="center"/>
        </w:trPr>
        <w:tc>
          <w:tcPr>
            <w:tcW w:w="1266" w:type="dxa"/>
            <w:tcBorders>
              <w:top w:val="nil"/>
              <w:left w:val="single" w:sz="8" w:space="0" w:color="auto"/>
              <w:bottom w:val="single" w:sz="8" w:space="0" w:color="auto"/>
              <w:right w:val="single" w:sz="8" w:space="0" w:color="auto"/>
            </w:tcBorders>
            <w:vAlign w:val="center"/>
            <w:hideMark/>
          </w:tcPr>
          <w:p w14:paraId="6772DC5A" w14:textId="77777777" w:rsidR="00B97B04" w:rsidRPr="00B97B04" w:rsidRDefault="00B97B04" w:rsidP="00B97B04">
            <w:pPr>
              <w:spacing w:after="0" w:line="240" w:lineRule="auto"/>
              <w:jc w:val="center"/>
              <w:rPr>
                <w:rFonts w:eastAsia="Times New Roman" w:cs="Arial"/>
                <w:b/>
                <w:bCs/>
                <w:color w:val="000000"/>
                <w:kern w:val="0"/>
                <w:lang w:val="en-GB" w:eastAsia="en-GB"/>
                <w14:ligatures w14:val="none"/>
              </w:rPr>
            </w:pPr>
            <w:r w:rsidRPr="00B97B04">
              <w:rPr>
                <w:rFonts w:eastAsia="Times New Roman" w:cs="Arial"/>
                <w:b/>
                <w:bCs/>
                <w:color w:val="000000"/>
                <w:kern w:val="0"/>
                <w:lang w:val="en-GB" w:eastAsia="en-GB"/>
                <w14:ligatures w14:val="none"/>
              </w:rPr>
              <w:t>2023/24</w:t>
            </w:r>
          </w:p>
        </w:tc>
        <w:tc>
          <w:tcPr>
            <w:tcW w:w="1016" w:type="dxa"/>
            <w:tcBorders>
              <w:top w:val="nil"/>
              <w:left w:val="nil"/>
              <w:bottom w:val="single" w:sz="8" w:space="0" w:color="auto"/>
              <w:right w:val="single" w:sz="8" w:space="0" w:color="auto"/>
            </w:tcBorders>
            <w:vAlign w:val="center"/>
            <w:hideMark/>
          </w:tcPr>
          <w:p w14:paraId="3C7C666D"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434,354</w:t>
            </w:r>
          </w:p>
        </w:tc>
        <w:tc>
          <w:tcPr>
            <w:tcW w:w="1110" w:type="dxa"/>
            <w:tcBorders>
              <w:top w:val="nil"/>
              <w:left w:val="nil"/>
              <w:bottom w:val="single" w:sz="8" w:space="0" w:color="auto"/>
              <w:right w:val="single" w:sz="8" w:space="0" w:color="auto"/>
            </w:tcBorders>
            <w:vAlign w:val="center"/>
            <w:hideMark/>
          </w:tcPr>
          <w:p w14:paraId="0B72357F"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4.8</w:t>
            </w:r>
          </w:p>
        </w:tc>
        <w:tc>
          <w:tcPr>
            <w:tcW w:w="1418" w:type="dxa"/>
            <w:tcBorders>
              <w:top w:val="nil"/>
              <w:left w:val="nil"/>
              <w:bottom w:val="single" w:sz="8" w:space="0" w:color="auto"/>
              <w:right w:val="single" w:sz="8" w:space="0" w:color="auto"/>
            </w:tcBorders>
            <w:vAlign w:val="center"/>
            <w:hideMark/>
          </w:tcPr>
          <w:p w14:paraId="377B1112"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9,092,073</w:t>
            </w:r>
          </w:p>
        </w:tc>
        <w:tc>
          <w:tcPr>
            <w:tcW w:w="2126" w:type="dxa"/>
            <w:tcBorders>
              <w:top w:val="nil"/>
              <w:left w:val="nil"/>
              <w:bottom w:val="single" w:sz="8" w:space="0" w:color="auto"/>
              <w:right w:val="single" w:sz="8" w:space="0" w:color="auto"/>
            </w:tcBorders>
            <w:vAlign w:val="center"/>
            <w:hideMark/>
          </w:tcPr>
          <w:p w14:paraId="074AA168"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1,238,851</w:t>
            </w:r>
          </w:p>
        </w:tc>
        <w:tc>
          <w:tcPr>
            <w:tcW w:w="1843" w:type="dxa"/>
            <w:tcBorders>
              <w:top w:val="nil"/>
              <w:left w:val="nil"/>
              <w:bottom w:val="single" w:sz="8" w:space="0" w:color="auto"/>
              <w:right w:val="single" w:sz="8" w:space="0" w:color="auto"/>
            </w:tcBorders>
            <w:vAlign w:val="center"/>
            <w:hideMark/>
          </w:tcPr>
          <w:p w14:paraId="551EB94B"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13.6</w:t>
            </w:r>
          </w:p>
        </w:tc>
      </w:tr>
      <w:tr w:rsidR="00EE24AA" w:rsidRPr="00B97B04" w14:paraId="61D7D8E8" w14:textId="77777777" w:rsidTr="00997E31">
        <w:trPr>
          <w:trHeight w:val="300"/>
          <w:jc w:val="center"/>
        </w:trPr>
        <w:tc>
          <w:tcPr>
            <w:tcW w:w="1266" w:type="dxa"/>
            <w:tcBorders>
              <w:top w:val="nil"/>
              <w:left w:val="single" w:sz="8" w:space="0" w:color="auto"/>
              <w:bottom w:val="single" w:sz="8" w:space="0" w:color="auto"/>
              <w:right w:val="single" w:sz="8" w:space="0" w:color="auto"/>
            </w:tcBorders>
            <w:vAlign w:val="center"/>
            <w:hideMark/>
          </w:tcPr>
          <w:p w14:paraId="1305619D" w14:textId="77777777" w:rsidR="00B97B04" w:rsidRPr="00B97B04" w:rsidRDefault="00B97B04" w:rsidP="00B97B04">
            <w:pPr>
              <w:spacing w:after="0" w:line="240" w:lineRule="auto"/>
              <w:jc w:val="center"/>
              <w:rPr>
                <w:rFonts w:eastAsia="Times New Roman" w:cs="Arial"/>
                <w:b/>
                <w:bCs/>
                <w:color w:val="000000"/>
                <w:kern w:val="0"/>
                <w:lang w:val="en-GB" w:eastAsia="en-GB"/>
                <w14:ligatures w14:val="none"/>
              </w:rPr>
            </w:pPr>
            <w:r w:rsidRPr="00B97B04">
              <w:rPr>
                <w:rFonts w:eastAsia="Times New Roman" w:cs="Arial"/>
                <w:b/>
                <w:bCs/>
                <w:color w:val="000000"/>
                <w:kern w:val="0"/>
                <w:lang w:val="en-GB" w:eastAsia="en-GB"/>
                <w14:ligatures w14:val="none"/>
              </w:rPr>
              <w:t>2024/25</w:t>
            </w:r>
          </w:p>
        </w:tc>
        <w:tc>
          <w:tcPr>
            <w:tcW w:w="1016" w:type="dxa"/>
            <w:tcBorders>
              <w:top w:val="nil"/>
              <w:left w:val="nil"/>
              <w:bottom w:val="single" w:sz="8" w:space="0" w:color="auto"/>
              <w:right w:val="single" w:sz="8" w:space="0" w:color="auto"/>
            </w:tcBorders>
            <w:vAlign w:val="center"/>
            <w:hideMark/>
          </w:tcPr>
          <w:p w14:paraId="507E77CF"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482,640</w:t>
            </w:r>
          </w:p>
        </w:tc>
        <w:tc>
          <w:tcPr>
            <w:tcW w:w="1110" w:type="dxa"/>
            <w:tcBorders>
              <w:top w:val="nil"/>
              <w:left w:val="nil"/>
              <w:bottom w:val="single" w:sz="8" w:space="0" w:color="auto"/>
              <w:right w:val="single" w:sz="8" w:space="0" w:color="auto"/>
            </w:tcBorders>
            <w:vAlign w:val="center"/>
            <w:hideMark/>
          </w:tcPr>
          <w:p w14:paraId="1EC72DBF"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5.3</w:t>
            </w:r>
          </w:p>
        </w:tc>
        <w:tc>
          <w:tcPr>
            <w:tcW w:w="1418" w:type="dxa"/>
            <w:tcBorders>
              <w:top w:val="nil"/>
              <w:left w:val="nil"/>
              <w:bottom w:val="single" w:sz="8" w:space="0" w:color="auto"/>
              <w:right w:val="single" w:sz="8" w:space="0" w:color="auto"/>
            </w:tcBorders>
            <w:vAlign w:val="center"/>
            <w:hideMark/>
          </w:tcPr>
          <w:p w14:paraId="5A32C14A"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9,032,426</w:t>
            </w:r>
          </w:p>
        </w:tc>
        <w:tc>
          <w:tcPr>
            <w:tcW w:w="2126" w:type="dxa"/>
            <w:tcBorders>
              <w:top w:val="nil"/>
              <w:left w:val="nil"/>
              <w:bottom w:val="single" w:sz="8" w:space="0" w:color="auto"/>
              <w:right w:val="single" w:sz="8" w:space="0" w:color="auto"/>
            </w:tcBorders>
            <w:vAlign w:val="center"/>
            <w:hideMark/>
          </w:tcPr>
          <w:p w14:paraId="682E29F8"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1,284,284</w:t>
            </w:r>
          </w:p>
        </w:tc>
        <w:tc>
          <w:tcPr>
            <w:tcW w:w="1843" w:type="dxa"/>
            <w:tcBorders>
              <w:top w:val="nil"/>
              <w:left w:val="nil"/>
              <w:bottom w:val="single" w:sz="8" w:space="0" w:color="auto"/>
              <w:right w:val="single" w:sz="8" w:space="0" w:color="auto"/>
            </w:tcBorders>
            <w:vAlign w:val="center"/>
            <w:hideMark/>
          </w:tcPr>
          <w:p w14:paraId="4E0CF31F" w14:textId="77777777" w:rsidR="00B97B04" w:rsidRPr="00B97B04" w:rsidRDefault="00B97B04" w:rsidP="00B97B04">
            <w:pPr>
              <w:spacing w:after="0" w:line="240" w:lineRule="auto"/>
              <w:jc w:val="center"/>
              <w:rPr>
                <w:rFonts w:eastAsia="Times New Roman" w:cs="Arial"/>
                <w:color w:val="000000"/>
                <w:kern w:val="0"/>
                <w:lang w:val="en-GB" w:eastAsia="en-GB"/>
                <w14:ligatures w14:val="none"/>
              </w:rPr>
            </w:pPr>
            <w:r w:rsidRPr="00B97B04">
              <w:rPr>
                <w:rFonts w:eastAsia="Times New Roman" w:cs="Arial"/>
                <w:color w:val="000000"/>
                <w:kern w:val="0"/>
                <w:lang w:val="en-GB" w:eastAsia="en-GB"/>
                <w14:ligatures w14:val="none"/>
              </w:rPr>
              <w:t>14.2</w:t>
            </w:r>
          </w:p>
        </w:tc>
      </w:tr>
    </w:tbl>
    <w:p w14:paraId="12D2A80B" w14:textId="77777777" w:rsidR="00EC714C" w:rsidRDefault="00997E31" w:rsidP="00997E31">
      <w:pPr>
        <w:spacing w:before="240"/>
        <w:rPr>
          <w:lang w:val="en-GB"/>
        </w:rPr>
      </w:pPr>
      <w:r>
        <w:rPr>
          <w:lang w:val="en-GB"/>
        </w:rPr>
        <w:t xml:space="preserve">The data collected from the Government’s website in Tab. 1 shows that the proportion of children with EHC plans almost doubled since academic year 2015/16. Moreover, the total percentage of SEND children has increased from 14.4% in 2015/16 to 19.5% in 2024/25 representing a growth of 35% across England over the last decade. </w:t>
      </w:r>
      <w:r w:rsidR="00BC7B3B">
        <w:rPr>
          <w:lang w:val="en-GB"/>
        </w:rPr>
        <w:t>In fact, one of five pupils in England has a recorded special educational need</w:t>
      </w:r>
      <w:r w:rsidR="002C3BF1">
        <w:rPr>
          <w:lang w:val="en-GB"/>
        </w:rPr>
        <w:t>,</w:t>
      </w:r>
      <w:r w:rsidR="00BC7B3B">
        <w:rPr>
          <w:lang w:val="en-GB"/>
        </w:rPr>
        <w:t xml:space="preserve"> highlighting not only the rising demand for special placements</w:t>
      </w:r>
      <w:r w:rsidR="002C3BF1">
        <w:rPr>
          <w:lang w:val="en-GB"/>
        </w:rPr>
        <w:t>,</w:t>
      </w:r>
      <w:r w:rsidR="00BC7B3B">
        <w:rPr>
          <w:lang w:val="en-GB"/>
        </w:rPr>
        <w:t xml:space="preserve"> but also the intense pressure on both families and local authorities to support </w:t>
      </w:r>
      <w:r w:rsidR="00C608AF">
        <w:rPr>
          <w:lang w:val="en-GB"/>
        </w:rPr>
        <w:t>t</w:t>
      </w:r>
      <w:r w:rsidR="002C3BF1">
        <w:rPr>
          <w:lang w:val="en-GB"/>
        </w:rPr>
        <w:t xml:space="preserve">his growing trend. </w:t>
      </w:r>
    </w:p>
    <w:p w14:paraId="7207A2B1" w14:textId="61D43DE4" w:rsidR="00997E31" w:rsidRDefault="00EC714C" w:rsidP="00997E31">
      <w:pPr>
        <w:spacing w:before="240"/>
        <w:rPr>
          <w:lang w:val="en-GB"/>
        </w:rPr>
      </w:pPr>
      <w:r>
        <w:rPr>
          <w:lang w:val="en-GB"/>
        </w:rPr>
        <w:t xml:space="preserve">These statistics emphasise the crisis the SEND system is currently facing in </w:t>
      </w:r>
      <w:r w:rsidR="00926ED3">
        <w:rPr>
          <w:lang w:val="en-GB"/>
        </w:rPr>
        <w:t xml:space="preserve">effectively </w:t>
      </w:r>
      <w:r>
        <w:rPr>
          <w:lang w:val="en-GB"/>
        </w:rPr>
        <w:t>accommodating the growing numbers of SEND children</w:t>
      </w:r>
      <w:r w:rsidR="00926ED3">
        <w:rPr>
          <w:lang w:val="en-GB"/>
        </w:rPr>
        <w:t xml:space="preserve"> within the educational environment. </w:t>
      </w:r>
      <w:r w:rsidR="00096686">
        <w:rPr>
          <w:lang w:val="en-GB"/>
        </w:rPr>
        <w:t xml:space="preserve">In this current context it is not surprising that the majority of complaints received by </w:t>
      </w:r>
      <w:r w:rsidR="00554926">
        <w:rPr>
          <w:lang w:val="en-GB"/>
        </w:rPr>
        <w:t>L</w:t>
      </w:r>
      <w:r w:rsidR="00811675">
        <w:rPr>
          <w:lang w:val="en-GB"/>
        </w:rPr>
        <w:t>G</w:t>
      </w:r>
      <w:r w:rsidR="00554926">
        <w:rPr>
          <w:lang w:val="en-GB"/>
        </w:rPr>
        <w:t>SCO</w:t>
      </w:r>
      <w:r w:rsidR="001336C8">
        <w:rPr>
          <w:lang w:val="en-GB"/>
        </w:rPr>
        <w:t xml:space="preserve">, 26% of all the complaints received between 2023 and 2024, are related to educational concerns such as </w:t>
      </w:r>
      <w:r w:rsidR="00134C35">
        <w:rPr>
          <w:lang w:val="en-GB"/>
        </w:rPr>
        <w:t xml:space="preserve">unsuitable school placements or failure/delays to implement EHCPs (LGSCO, 2024). </w:t>
      </w:r>
    </w:p>
    <w:p w14:paraId="5E3D270B" w14:textId="414346B7" w:rsidR="00473B66" w:rsidRDefault="00A75118" w:rsidP="00997E31">
      <w:pPr>
        <w:spacing w:before="240"/>
        <w:rPr>
          <w:lang w:val="en-GB"/>
        </w:rPr>
      </w:pPr>
      <w:r>
        <w:rPr>
          <w:lang w:val="en-GB"/>
        </w:rPr>
        <w:t xml:space="preserve">Therefore, there are several challenges that contribute to the lack of placements for SEND children in England. </w:t>
      </w:r>
      <w:r w:rsidR="00967CD0">
        <w:rPr>
          <w:lang w:val="en-GB"/>
        </w:rPr>
        <w:t>While the raising numbers of the SEND children put a burden on the local authorities and overall system</w:t>
      </w:r>
      <w:r w:rsidR="006126ED">
        <w:rPr>
          <w:lang w:val="en-GB"/>
        </w:rPr>
        <w:t>, the underfunding is one of the main factors that limits organisations to provide adequate support</w:t>
      </w:r>
      <w:r w:rsidR="00A912A3">
        <w:rPr>
          <w:lang w:val="en-GB"/>
        </w:rPr>
        <w:t>. An investigation conducted by BBC</w:t>
      </w:r>
      <w:r w:rsidR="00785473">
        <w:rPr>
          <w:lang w:val="en-GB"/>
        </w:rPr>
        <w:t xml:space="preserve"> in 2024 has forecasted an important shortfall in the Councils of England budgets predicting almost </w:t>
      </w:r>
      <w:r w:rsidR="00956EB4">
        <w:rPr>
          <w:lang w:val="en-GB"/>
        </w:rPr>
        <w:t>£1 billion funding gap in 2025 due to financial struggles (</w:t>
      </w:r>
      <w:r w:rsidR="00956EB4" w:rsidRPr="00DA0E86">
        <w:rPr>
          <w:lang w:val="en-GB"/>
        </w:rPr>
        <w:t>Jeffreys</w:t>
      </w:r>
      <w:r w:rsidR="00956EB4">
        <w:rPr>
          <w:lang w:val="en-GB"/>
        </w:rPr>
        <w:t xml:space="preserve"> &amp; </w:t>
      </w:r>
      <w:r w:rsidR="00956EB4" w:rsidRPr="00DA0E86">
        <w:rPr>
          <w:lang w:val="en-GB"/>
        </w:rPr>
        <w:t>Rhodes,</w:t>
      </w:r>
      <w:r w:rsidR="00956EB4">
        <w:rPr>
          <w:lang w:val="en-GB"/>
        </w:rPr>
        <w:t xml:space="preserve"> </w:t>
      </w:r>
      <w:r w:rsidR="00956EB4" w:rsidRPr="00DA0E86">
        <w:rPr>
          <w:lang w:val="en-GB"/>
        </w:rPr>
        <w:t>2024)</w:t>
      </w:r>
      <w:r w:rsidR="00956EB4">
        <w:rPr>
          <w:lang w:val="en-GB"/>
        </w:rPr>
        <w:t>.</w:t>
      </w:r>
      <w:r w:rsidR="00FA14A8">
        <w:rPr>
          <w:lang w:val="en-GB"/>
        </w:rPr>
        <w:t xml:space="preserve"> According to Olafimihan (2024), </w:t>
      </w:r>
      <w:r w:rsidR="00A562A6">
        <w:rPr>
          <w:lang w:val="en-GB"/>
        </w:rPr>
        <w:t xml:space="preserve">underfunding represents the main reason that causes staff shortages, inadequate trainings for professionals, and the lack of appropriate placement for children. </w:t>
      </w:r>
      <w:r w:rsidR="00806F49">
        <w:rPr>
          <w:lang w:val="en-GB"/>
        </w:rPr>
        <w:t xml:space="preserve">Furthermore, </w:t>
      </w:r>
      <w:r w:rsidR="00987C76">
        <w:rPr>
          <w:lang w:val="en-GB"/>
        </w:rPr>
        <w:t xml:space="preserve">disabled children and those with severe needs are among the most impacted </w:t>
      </w:r>
      <w:r w:rsidR="00A47BFC">
        <w:rPr>
          <w:lang w:val="en-GB"/>
        </w:rPr>
        <w:t xml:space="preserve">as schools </w:t>
      </w:r>
      <w:r w:rsidR="003D6C87">
        <w:rPr>
          <w:lang w:val="en-GB"/>
        </w:rPr>
        <w:t>lack</w:t>
      </w:r>
      <w:r w:rsidR="00A47BFC">
        <w:rPr>
          <w:lang w:val="en-GB"/>
        </w:rPr>
        <w:t xml:space="preserve"> experienced personnel and placements to support their needs</w:t>
      </w:r>
      <w:r w:rsidR="003D6C87">
        <w:rPr>
          <w:lang w:val="en-GB"/>
        </w:rPr>
        <w:t>. T</w:t>
      </w:r>
      <w:r w:rsidR="0098241C">
        <w:rPr>
          <w:lang w:val="en-GB"/>
        </w:rPr>
        <w:t xml:space="preserve">he </w:t>
      </w:r>
      <w:r w:rsidR="0098241C" w:rsidRPr="0098241C">
        <w:rPr>
          <w:lang w:val="en-GB"/>
        </w:rPr>
        <w:t>Special Educational Consortium (SEC)</w:t>
      </w:r>
      <w:r w:rsidR="0098241C">
        <w:rPr>
          <w:lang w:val="en-GB"/>
        </w:rPr>
        <w:t xml:space="preserve"> Manifesto underlines three main critical issues for SEND </w:t>
      </w:r>
      <w:r w:rsidR="005B2D26">
        <w:rPr>
          <w:lang w:val="en-GB"/>
        </w:rPr>
        <w:t xml:space="preserve">pupils within the UK educational system: lack of placements </w:t>
      </w:r>
      <w:r w:rsidR="00870998">
        <w:rPr>
          <w:lang w:val="en-GB"/>
        </w:rPr>
        <w:t xml:space="preserve">suitable for children’s needs; </w:t>
      </w:r>
      <w:r w:rsidR="00BE532D">
        <w:rPr>
          <w:lang w:val="en-GB"/>
        </w:rPr>
        <w:t xml:space="preserve">disproportionate exclusion of </w:t>
      </w:r>
      <w:r w:rsidR="00C35035">
        <w:rPr>
          <w:lang w:val="en-GB"/>
        </w:rPr>
        <w:t>children with complex needs</w:t>
      </w:r>
      <w:r w:rsidR="00972ABE">
        <w:rPr>
          <w:lang w:val="en-GB"/>
        </w:rPr>
        <w:t xml:space="preserve">; and failure of the education system to meet its legal obligations (SEC, 2024). </w:t>
      </w:r>
    </w:p>
    <w:p w14:paraId="33012CBC" w14:textId="0D4E44E7" w:rsidR="00567C6A" w:rsidRDefault="00567C6A" w:rsidP="00567C6A">
      <w:pPr>
        <w:pStyle w:val="Heading2"/>
        <w:numPr>
          <w:ilvl w:val="1"/>
          <w:numId w:val="1"/>
        </w:numPr>
        <w:rPr>
          <w:lang w:val="en-GB"/>
        </w:rPr>
      </w:pPr>
      <w:bookmarkStart w:id="4" w:name="_Toc214114795"/>
      <w:r>
        <w:rPr>
          <w:lang w:val="en-GB"/>
        </w:rPr>
        <w:t>IMPLICATIONS FOR SEND CHILDREN</w:t>
      </w:r>
      <w:bookmarkEnd w:id="4"/>
    </w:p>
    <w:p w14:paraId="66EDFA29" w14:textId="0CDB3687" w:rsidR="00B97B04" w:rsidRDefault="0023588A" w:rsidP="00DB6F01">
      <w:pPr>
        <w:spacing w:before="240"/>
        <w:rPr>
          <w:lang w:val="en-GB"/>
        </w:rPr>
      </w:pPr>
      <w:r>
        <w:rPr>
          <w:lang w:val="en-GB"/>
        </w:rPr>
        <w:t xml:space="preserve">Although the UK’s policy and legislation </w:t>
      </w:r>
      <w:r w:rsidR="0019038C">
        <w:rPr>
          <w:lang w:val="en-GB"/>
        </w:rPr>
        <w:t>aim</w:t>
      </w:r>
      <w:r>
        <w:rPr>
          <w:lang w:val="en-GB"/>
        </w:rPr>
        <w:t xml:space="preserve"> to ensure equitable and inclusive education for all children, including those with special educational needs</w:t>
      </w:r>
      <w:r w:rsidR="00980EE9">
        <w:rPr>
          <w:lang w:val="en-GB"/>
        </w:rPr>
        <w:t xml:space="preserve">, the challenges that cause lack of school placement have negative implications for SEND pupils. </w:t>
      </w:r>
      <w:r w:rsidR="00267E23">
        <w:rPr>
          <w:lang w:val="en-GB"/>
        </w:rPr>
        <w:t xml:space="preserve">Wilson Fadiji &amp; Lomas (2024) highlight the </w:t>
      </w:r>
      <w:r w:rsidR="00AE1EAA">
        <w:rPr>
          <w:lang w:val="en-GB"/>
        </w:rPr>
        <w:t>vital role</w:t>
      </w:r>
      <w:r w:rsidR="00267E23">
        <w:rPr>
          <w:lang w:val="en-GB"/>
        </w:rPr>
        <w:t xml:space="preserve"> education plays in wellbeing. </w:t>
      </w:r>
      <w:r w:rsidR="00C33B24">
        <w:rPr>
          <w:lang w:val="en-GB"/>
        </w:rPr>
        <w:t>Therefore, the lack of suitable placements has profound implications for SEND children, and these consequences go beyond learning</w:t>
      </w:r>
      <w:r w:rsidR="00657FDF">
        <w:rPr>
          <w:lang w:val="en-GB"/>
        </w:rPr>
        <w:t xml:space="preserve"> impacting their overall development, including emotional, social, and mental health. </w:t>
      </w:r>
      <w:r w:rsidR="00212BF3">
        <w:rPr>
          <w:lang w:val="en-GB"/>
        </w:rPr>
        <w:t>Moreover, these negative outcomes expand to the families as well. In fact, the inability to proceed in a stimulating and suitable environment can lead to accentuating the deficits and the delay of developmental milestones, and thus, SEND children become marginalised increasing the risks of social isolation for them and their families (Olafimihan, 2024)</w:t>
      </w:r>
      <w:r w:rsidR="008F6C93">
        <w:rPr>
          <w:lang w:val="en-GB"/>
        </w:rPr>
        <w:t xml:space="preserve">. </w:t>
      </w:r>
    </w:p>
    <w:p w14:paraId="62AFEF9B" w14:textId="30E9E47A" w:rsidR="008A474E" w:rsidRDefault="008A474E" w:rsidP="008A474E">
      <w:pPr>
        <w:pStyle w:val="Heading2"/>
        <w:numPr>
          <w:ilvl w:val="1"/>
          <w:numId w:val="1"/>
        </w:numPr>
        <w:rPr>
          <w:lang w:val="en-GB"/>
        </w:rPr>
      </w:pPr>
      <w:bookmarkStart w:id="5" w:name="_Toc214114796"/>
      <w:r>
        <w:rPr>
          <w:lang w:val="en-GB"/>
        </w:rPr>
        <w:t>RESEARCH GAPS</w:t>
      </w:r>
      <w:bookmarkEnd w:id="5"/>
    </w:p>
    <w:p w14:paraId="193B4731" w14:textId="5CCA7A5C" w:rsidR="000B13AE" w:rsidRDefault="0079671E" w:rsidP="00DB6F01">
      <w:pPr>
        <w:spacing w:before="240"/>
        <w:rPr>
          <w:lang w:val="en-GB"/>
        </w:rPr>
      </w:pPr>
      <w:r>
        <w:rPr>
          <w:lang w:val="en-GB"/>
        </w:rPr>
        <w:t xml:space="preserve">Within this context, this scoping review will analyse </w:t>
      </w:r>
      <w:r w:rsidR="001E1DDE">
        <w:rPr>
          <w:lang w:val="en-GB"/>
        </w:rPr>
        <w:t xml:space="preserve">the existing studies on the topic to develop a map of the impact of unsuitable or lack of placements on SEND children. </w:t>
      </w:r>
      <w:r w:rsidR="00AD0557">
        <w:rPr>
          <w:lang w:val="en-GB"/>
        </w:rPr>
        <w:t xml:space="preserve">In fact, </w:t>
      </w:r>
      <w:r w:rsidR="002C3439">
        <w:rPr>
          <w:lang w:val="en-GB"/>
        </w:rPr>
        <w:t xml:space="preserve">although that large set of data is available to demonstrate the raising number of SEND individuals, there is still a gap on research on the direct connection between the lack of school placements and the impact on SEND’s children educational and social development, and mental health. </w:t>
      </w:r>
      <w:r w:rsidR="003E032B">
        <w:rPr>
          <w:lang w:val="en-GB"/>
        </w:rPr>
        <w:t xml:space="preserve">Therefore, this gap emphasises the importances on collecting the scientific evidence, identifying themes, and areas that require attention to ensure </w:t>
      </w:r>
      <w:r w:rsidR="00A6475E">
        <w:rPr>
          <w:lang w:val="en-GB"/>
        </w:rPr>
        <w:t>evidence-based foundation is set for future research.</w:t>
      </w:r>
    </w:p>
    <w:p w14:paraId="79E85194" w14:textId="285867DE" w:rsidR="000B13AE" w:rsidRDefault="005F0999" w:rsidP="005F0999">
      <w:pPr>
        <w:pStyle w:val="Heading1"/>
        <w:rPr>
          <w:lang w:val="en-GB"/>
        </w:rPr>
      </w:pPr>
      <w:bookmarkStart w:id="6" w:name="_Toc214114797"/>
      <w:r>
        <w:rPr>
          <w:lang w:val="en-GB"/>
        </w:rPr>
        <w:t>METHODS</w:t>
      </w:r>
      <w:bookmarkEnd w:id="6"/>
    </w:p>
    <w:p w14:paraId="6C390384" w14:textId="48FD88C8" w:rsidR="005F0999" w:rsidRDefault="00D552E4" w:rsidP="00D552E4">
      <w:pPr>
        <w:pStyle w:val="Heading2"/>
        <w:numPr>
          <w:ilvl w:val="1"/>
          <w:numId w:val="3"/>
        </w:numPr>
        <w:rPr>
          <w:lang w:val="en-GB"/>
        </w:rPr>
      </w:pPr>
      <w:bookmarkStart w:id="7" w:name="_Toc214114798"/>
      <w:r>
        <w:rPr>
          <w:lang w:val="en-GB"/>
        </w:rPr>
        <w:t>RESEARCH DESIGN</w:t>
      </w:r>
      <w:bookmarkEnd w:id="7"/>
    </w:p>
    <w:p w14:paraId="7F205766" w14:textId="4F6AA4EB" w:rsidR="00D552E4" w:rsidRDefault="00D552E4" w:rsidP="00D552E4">
      <w:pPr>
        <w:rPr>
          <w:lang w:val="en-GB"/>
        </w:rPr>
      </w:pPr>
      <w:r>
        <w:rPr>
          <w:lang w:val="en-GB"/>
        </w:rPr>
        <w:t>This scoping review will be guided by Aveyard’s (2024) framework starting from the definition of the research questions to data collection and support literature to data analysis and conclusio</w:t>
      </w:r>
      <w:r w:rsidR="0006204A">
        <w:rPr>
          <w:lang w:val="en-GB"/>
        </w:rPr>
        <w:t>ns.</w:t>
      </w:r>
      <w:r w:rsidR="00C2465C">
        <w:rPr>
          <w:lang w:val="en-GB"/>
        </w:rPr>
        <w:t xml:space="preserve"> According to </w:t>
      </w:r>
      <w:r w:rsidR="00C2465C" w:rsidRPr="00C2465C">
        <w:rPr>
          <w:lang w:val="en-GB"/>
        </w:rPr>
        <w:t>Mak and Thomas (2022), scoping reviews are an e</w:t>
      </w:r>
      <w:r w:rsidR="00C2465C">
        <w:rPr>
          <w:lang w:val="en-GB"/>
        </w:rPr>
        <w:t xml:space="preserve">ssential step in medical education as they make a strong contribution in guiding future research </w:t>
      </w:r>
      <w:r w:rsidR="008548A4">
        <w:rPr>
          <w:lang w:val="en-GB"/>
        </w:rPr>
        <w:t>synthetising</w:t>
      </w:r>
      <w:r w:rsidR="00C2465C">
        <w:rPr>
          <w:lang w:val="en-GB"/>
        </w:rPr>
        <w:t xml:space="preserve"> current evidence and highlighting the gaps </w:t>
      </w:r>
      <w:r w:rsidR="008548A4">
        <w:rPr>
          <w:lang w:val="en-GB"/>
        </w:rPr>
        <w:t>that could be often considered a new starting point for further studies</w:t>
      </w:r>
      <w:r w:rsidR="00750750">
        <w:rPr>
          <w:lang w:val="en-GB"/>
        </w:rPr>
        <w:t xml:space="preserve">. </w:t>
      </w:r>
      <w:r w:rsidR="005A6B6E">
        <w:rPr>
          <w:lang w:val="en-GB"/>
        </w:rPr>
        <w:t xml:space="preserve">In fact, considering the existing data on the topic, the scoping review is the suitable approach to start exploring the impact of the lack of placement for SEND children. </w:t>
      </w:r>
    </w:p>
    <w:p w14:paraId="12DC08A1" w14:textId="69683CCE" w:rsidR="00DB6664" w:rsidRDefault="00DB6664" w:rsidP="00D552E4">
      <w:pPr>
        <w:rPr>
          <w:lang w:val="en-GB"/>
        </w:rPr>
      </w:pPr>
      <w:r>
        <w:rPr>
          <w:lang w:val="en-GB"/>
        </w:rPr>
        <w:t>Therefore, this scoping review will be built entirely on secondary data as the purpose is to analyse existing literature to identify patterns and map the gaps on the topic.</w:t>
      </w:r>
      <w:r w:rsidR="007D51B3">
        <w:rPr>
          <w:lang w:val="en-GB"/>
        </w:rPr>
        <w:t xml:space="preserve"> In this context secondary data is </w:t>
      </w:r>
      <w:r w:rsidR="00A3261A">
        <w:rPr>
          <w:lang w:val="en-GB"/>
        </w:rPr>
        <w:t>essential because it provides information already collected and ready for analysis</w:t>
      </w:r>
      <w:r w:rsidR="00DC58E2">
        <w:rPr>
          <w:lang w:val="en-GB"/>
        </w:rPr>
        <w:t xml:space="preserve"> (Ajayi, 2023)</w:t>
      </w:r>
      <w:r w:rsidR="00A3261A">
        <w:rPr>
          <w:lang w:val="en-GB"/>
        </w:rPr>
        <w:t>.</w:t>
      </w:r>
    </w:p>
    <w:p w14:paraId="1F47EFC3" w14:textId="2BE4F97C" w:rsidR="002B4DC0" w:rsidRDefault="002B4DC0" w:rsidP="002B4DC0">
      <w:pPr>
        <w:pStyle w:val="Heading2"/>
        <w:numPr>
          <w:ilvl w:val="1"/>
          <w:numId w:val="3"/>
        </w:numPr>
        <w:rPr>
          <w:lang w:val="en-GB"/>
        </w:rPr>
      </w:pPr>
      <w:bookmarkStart w:id="8" w:name="_Toc214114799"/>
      <w:r>
        <w:rPr>
          <w:lang w:val="en-GB"/>
        </w:rPr>
        <w:t>RESEARCH AIM, QUESTION AND OBJECTIVES</w:t>
      </w:r>
      <w:bookmarkEnd w:id="8"/>
    </w:p>
    <w:p w14:paraId="6A0E872F" w14:textId="123CE302" w:rsidR="002B4DC0" w:rsidRDefault="00390058" w:rsidP="002B4DC0">
      <w:pPr>
        <w:rPr>
          <w:lang w:val="en-GB"/>
        </w:rPr>
      </w:pPr>
      <w:r>
        <w:rPr>
          <w:lang w:val="en-GB"/>
        </w:rPr>
        <w:t xml:space="preserve">This scoping review aims to analyse the current studies on highlight the gaps in literature regarding the impact of lack of placement for SEND children in the UK. To reach the aim the following research question was asked: </w:t>
      </w:r>
      <w:r w:rsidR="003046E1" w:rsidRPr="003046E1">
        <w:rPr>
          <w:i/>
          <w:iCs/>
          <w:lang w:val="en-GB"/>
        </w:rPr>
        <w:t>What is the impact of the shortage of school placements on the learning, development, and mental health for children with SEND</w:t>
      </w:r>
      <w:r w:rsidR="003046E1">
        <w:rPr>
          <w:lang w:val="en-GB"/>
        </w:rPr>
        <w:t xml:space="preserve">? Furthermore, to answer the research question, three objectives were </w:t>
      </w:r>
      <w:r w:rsidR="00F342F8">
        <w:rPr>
          <w:lang w:val="en-GB"/>
        </w:rPr>
        <w:t>designed</w:t>
      </w:r>
      <w:r w:rsidR="003046E1">
        <w:rPr>
          <w:lang w:val="en-GB"/>
        </w:rPr>
        <w:t xml:space="preserve">: </w:t>
      </w:r>
    </w:p>
    <w:p w14:paraId="6CD71FC3" w14:textId="77777777" w:rsidR="00F342F8" w:rsidRDefault="00F342F8" w:rsidP="00F342F8">
      <w:pPr>
        <w:pStyle w:val="ListParagraph"/>
        <w:numPr>
          <w:ilvl w:val="0"/>
          <w:numId w:val="5"/>
        </w:numPr>
        <w:rPr>
          <w:lang w:val="en-GB"/>
        </w:rPr>
      </w:pPr>
      <w:r>
        <w:rPr>
          <w:lang w:val="en-GB"/>
        </w:rPr>
        <w:t>Identify the existing literature and establish the key existing themes.</w:t>
      </w:r>
    </w:p>
    <w:p w14:paraId="13EA7FDE" w14:textId="77777777" w:rsidR="00F342F8" w:rsidRDefault="00F342F8" w:rsidP="00F342F8">
      <w:pPr>
        <w:pStyle w:val="ListParagraph"/>
        <w:numPr>
          <w:ilvl w:val="0"/>
          <w:numId w:val="5"/>
        </w:numPr>
        <w:rPr>
          <w:lang w:val="en-GB"/>
        </w:rPr>
      </w:pPr>
      <w:r>
        <w:rPr>
          <w:lang w:val="en-GB"/>
        </w:rPr>
        <w:t>Examine practical application within the UK educational field.</w:t>
      </w:r>
    </w:p>
    <w:p w14:paraId="26381D39" w14:textId="77777777" w:rsidR="00F342F8" w:rsidRDefault="00F342F8" w:rsidP="00F342F8">
      <w:pPr>
        <w:pStyle w:val="ListParagraph"/>
        <w:numPr>
          <w:ilvl w:val="0"/>
          <w:numId w:val="5"/>
        </w:numPr>
        <w:rPr>
          <w:lang w:val="en-GB"/>
        </w:rPr>
      </w:pPr>
      <w:r>
        <w:rPr>
          <w:lang w:val="en-GB"/>
        </w:rPr>
        <w:t xml:space="preserve">Identify the gaps in research that require attention. </w:t>
      </w:r>
    </w:p>
    <w:p w14:paraId="5D2BBD62" w14:textId="7C13F0DF" w:rsidR="00D71284" w:rsidRDefault="0059755E" w:rsidP="0059755E">
      <w:pPr>
        <w:pStyle w:val="Heading2"/>
        <w:numPr>
          <w:ilvl w:val="1"/>
          <w:numId w:val="3"/>
        </w:numPr>
        <w:rPr>
          <w:lang w:val="en-GB"/>
        </w:rPr>
      </w:pPr>
      <w:bookmarkStart w:id="9" w:name="_Toc214114800"/>
      <w:r>
        <w:rPr>
          <w:lang w:val="en-GB"/>
        </w:rPr>
        <w:t>INCLUSION AND EXCLUSION CRITERIA</w:t>
      </w:r>
      <w:bookmarkEnd w:id="9"/>
    </w:p>
    <w:p w14:paraId="13B0F309" w14:textId="601F557C" w:rsidR="0059755E" w:rsidRDefault="0059755E" w:rsidP="0059755E">
      <w:pPr>
        <w:rPr>
          <w:lang w:val="en-GB"/>
        </w:rPr>
      </w:pPr>
      <w:r>
        <w:rPr>
          <w:lang w:val="en-GB"/>
        </w:rPr>
        <w:t>First, to support the research and draw a relevant context policy documents and official statistics were included in the Background chapter. While this information was crucial to depict the current situation, the studies included for the analysis followed strict inclusion and exclusion criteria.</w:t>
      </w:r>
    </w:p>
    <w:p w14:paraId="27597158" w14:textId="7796A605" w:rsidR="0059755E" w:rsidRDefault="0059755E" w:rsidP="0059755E">
      <w:pPr>
        <w:rPr>
          <w:lang w:val="en-GB"/>
        </w:rPr>
      </w:pPr>
      <w:r>
        <w:rPr>
          <w:lang w:val="en-GB"/>
        </w:rPr>
        <w:t>On one hand, there were included in the scope of research the peer-reviewed studies published in English in the last decade, from 2015 to 2025. The dataset collected included both studies that focus specifically on SEND individuals and their development and learning, and studies regarding the school placements, EHCPs or SEND policies. Conversely, there were excluded from the research all non-English articles published before 2015 or conducted outside the UK, and that were not peer reviewed.</w:t>
      </w:r>
    </w:p>
    <w:p w14:paraId="5B766F52" w14:textId="2220D4FA" w:rsidR="00E753BB" w:rsidRPr="0059755E" w:rsidRDefault="00E753BB" w:rsidP="00E753BB">
      <w:pPr>
        <w:pStyle w:val="Heading2"/>
        <w:numPr>
          <w:ilvl w:val="1"/>
          <w:numId w:val="3"/>
        </w:numPr>
        <w:rPr>
          <w:lang w:val="en-GB"/>
        </w:rPr>
      </w:pPr>
      <w:bookmarkStart w:id="10" w:name="_Toc214114801"/>
      <w:r>
        <w:rPr>
          <w:lang w:val="en-GB"/>
        </w:rPr>
        <w:t>RESEARCH STRATEGY AND STUDY SELECTION</w:t>
      </w:r>
      <w:bookmarkEnd w:id="10"/>
    </w:p>
    <w:p w14:paraId="2B761A2E" w14:textId="125EB8BD" w:rsidR="00F342F8" w:rsidRDefault="00B133F9" w:rsidP="002B4DC0">
      <w:pPr>
        <w:rPr>
          <w:lang w:val="en-GB"/>
        </w:rPr>
      </w:pPr>
      <w:r>
        <w:rPr>
          <w:lang w:val="en-GB"/>
        </w:rPr>
        <w:t xml:space="preserve">First, an accurate research was conducted using key databases such as </w:t>
      </w:r>
      <w:r w:rsidR="00921802">
        <w:rPr>
          <w:lang w:val="en-GB"/>
        </w:rPr>
        <w:t>Google Scholar, PubMed, Health Data Research Getaway, NHS Research Authority</w:t>
      </w:r>
      <w:r w:rsidR="00322D8F">
        <w:rPr>
          <w:lang w:val="en-GB"/>
        </w:rPr>
        <w:t>, Frontiers,</w:t>
      </w:r>
      <w:r w:rsidR="007437E6">
        <w:rPr>
          <w:lang w:val="en-GB"/>
        </w:rPr>
        <w:t xml:space="preserve"> Tandf Online</w:t>
      </w:r>
      <w:r w:rsidR="00322D8F">
        <w:rPr>
          <w:lang w:val="en-GB"/>
        </w:rPr>
        <w:t xml:space="preserve"> and Plos</w:t>
      </w:r>
      <w:r w:rsidR="00921802">
        <w:rPr>
          <w:lang w:val="en-GB"/>
        </w:rPr>
        <w:t>. The research was conducted through key terms such as ‘SEND Children</w:t>
      </w:r>
      <w:r w:rsidR="008F6C93">
        <w:rPr>
          <w:lang w:val="en-GB"/>
        </w:rPr>
        <w:t>,’</w:t>
      </w:r>
      <w:r w:rsidR="00921802">
        <w:rPr>
          <w:lang w:val="en-GB"/>
        </w:rPr>
        <w:t xml:space="preserve"> ‘special educational needs</w:t>
      </w:r>
      <w:r w:rsidR="008F6C93">
        <w:rPr>
          <w:lang w:val="en-GB"/>
        </w:rPr>
        <w:t>,’</w:t>
      </w:r>
      <w:r w:rsidR="00921802">
        <w:rPr>
          <w:lang w:val="en-GB"/>
        </w:rPr>
        <w:t xml:space="preserve"> ‘school placement shortage’, ‘SEND children mental health</w:t>
      </w:r>
      <w:r w:rsidR="008F6C93">
        <w:rPr>
          <w:lang w:val="en-GB"/>
        </w:rPr>
        <w:t>,’</w:t>
      </w:r>
      <w:r w:rsidR="00921802">
        <w:rPr>
          <w:lang w:val="en-GB"/>
        </w:rPr>
        <w:t xml:space="preserve"> ‘SEND children wellbeing’, ‘appropriate school placements’</w:t>
      </w:r>
      <w:r w:rsidR="00C35C89">
        <w:rPr>
          <w:lang w:val="en-GB"/>
        </w:rPr>
        <w:t xml:space="preserve">. </w:t>
      </w:r>
    </w:p>
    <w:p w14:paraId="5F71752D" w14:textId="32469513" w:rsidR="002603BE" w:rsidRDefault="005E386A" w:rsidP="002B4DC0">
      <w:pPr>
        <w:rPr>
          <w:lang w:val="en-GB"/>
        </w:rPr>
      </w:pPr>
      <w:r>
        <w:rPr>
          <w:lang w:val="en-GB"/>
        </w:rPr>
        <w:t>Second, based on Aveyard’s (2024) familiarisation phase</w:t>
      </w:r>
      <w:r w:rsidR="00642CB4">
        <w:rPr>
          <w:lang w:val="en-GB"/>
        </w:rPr>
        <w:t>, after</w:t>
      </w:r>
      <w:r>
        <w:rPr>
          <w:lang w:val="en-GB"/>
        </w:rPr>
        <w:t xml:space="preserve"> the initial step of</w:t>
      </w:r>
      <w:r w:rsidR="00642CB4">
        <w:rPr>
          <w:lang w:val="en-GB"/>
        </w:rPr>
        <w:t xml:space="preserve"> defining the research question and objective,</w:t>
      </w:r>
      <w:r>
        <w:rPr>
          <w:lang w:val="en-GB"/>
        </w:rPr>
        <w:t xml:space="preserve"> the research </w:t>
      </w:r>
      <w:r w:rsidR="00322D8F">
        <w:rPr>
          <w:lang w:val="en-GB"/>
        </w:rPr>
        <w:t>approach</w:t>
      </w:r>
      <w:r>
        <w:rPr>
          <w:lang w:val="en-GB"/>
        </w:rPr>
        <w:t xml:space="preserve"> was to identify potential suitable articles and draw a list including the link to access the article. A list of 15 studies was prepared. </w:t>
      </w:r>
      <w:r w:rsidR="005B7742">
        <w:rPr>
          <w:lang w:val="en-GB"/>
        </w:rPr>
        <w:t xml:space="preserve">After reading the tiles and abstracts, </w:t>
      </w:r>
      <w:r w:rsidR="00D765AE">
        <w:rPr>
          <w:lang w:val="en-GB"/>
        </w:rPr>
        <w:t>seven</w:t>
      </w:r>
      <w:r w:rsidR="005B7742">
        <w:rPr>
          <w:lang w:val="en-GB"/>
        </w:rPr>
        <w:t xml:space="preserve"> studies were considered not inherent to the scope and were eliminated. </w:t>
      </w:r>
      <w:r w:rsidR="00D765AE">
        <w:rPr>
          <w:lang w:val="en-GB"/>
        </w:rPr>
        <w:t xml:space="preserve">The eight remaining articles were carefully read to ensure they meet the selection criteria, as well as the quality and ethical standards required. </w:t>
      </w:r>
      <w:r w:rsidR="002603BE">
        <w:rPr>
          <w:lang w:val="en-GB"/>
        </w:rPr>
        <w:t xml:space="preserve">The final selection included five studies that align with the research question and scoping review aim. </w:t>
      </w:r>
    </w:p>
    <w:p w14:paraId="0C092217" w14:textId="1FD3362C" w:rsidR="005E386A" w:rsidRPr="002B4DC0" w:rsidRDefault="002603BE" w:rsidP="002603BE">
      <w:pPr>
        <w:pStyle w:val="Heading2"/>
        <w:numPr>
          <w:ilvl w:val="1"/>
          <w:numId w:val="3"/>
        </w:numPr>
        <w:rPr>
          <w:lang w:val="en-GB"/>
        </w:rPr>
      </w:pPr>
      <w:bookmarkStart w:id="11" w:name="_Toc214114802"/>
      <w:r>
        <w:rPr>
          <w:lang w:val="en-GB"/>
        </w:rPr>
        <w:t>RESEARCH AND ANALYSIS FRAMEWORK</w:t>
      </w:r>
      <w:bookmarkEnd w:id="11"/>
      <w:r>
        <w:rPr>
          <w:lang w:val="en-GB"/>
        </w:rPr>
        <w:t xml:space="preserve"> </w:t>
      </w:r>
      <w:r w:rsidR="00D765AE">
        <w:rPr>
          <w:lang w:val="en-GB"/>
        </w:rPr>
        <w:t xml:space="preserve"> </w:t>
      </w:r>
    </w:p>
    <w:p w14:paraId="1346BF54" w14:textId="48B2BFB7" w:rsidR="00741BCF" w:rsidRDefault="002603BE" w:rsidP="00DB6F01">
      <w:pPr>
        <w:spacing w:before="240"/>
        <w:rPr>
          <w:lang w:val="en-GB"/>
        </w:rPr>
      </w:pPr>
      <w:r>
        <w:rPr>
          <w:lang w:val="en-GB"/>
        </w:rPr>
        <w:t xml:space="preserve">Aveyard’s framework was the key guiding principle to achieve the research aim. Hence, the research and analysis process was structured in </w:t>
      </w:r>
      <w:r w:rsidR="00AE1EAA">
        <w:rPr>
          <w:lang w:val="en-GB"/>
        </w:rPr>
        <w:t>distinct phases</w:t>
      </w:r>
      <w:r>
        <w:rPr>
          <w:lang w:val="en-GB"/>
        </w:rPr>
        <w:t xml:space="preserve">. First, the familiarisation phase continued after the final selection with multiple reading of the selected articles to obtain a comprehensive understanding and highlight key words and concepts. </w:t>
      </w:r>
      <w:r w:rsidR="00642CB4">
        <w:rPr>
          <w:lang w:val="en-GB"/>
        </w:rPr>
        <w:t>This step also helped in assessing the quality and credibility of each of the studies selected. Ne</w:t>
      </w:r>
      <w:r w:rsidR="00F150BD">
        <w:rPr>
          <w:lang w:val="en-GB"/>
        </w:rPr>
        <w:t>xt, the data was selected in a table to have an organised visual data set with essential details</w:t>
      </w:r>
      <w:r w:rsidR="00F36F09">
        <w:rPr>
          <w:lang w:val="en-GB"/>
        </w:rPr>
        <w:t xml:space="preserve"> from auditors and year of publication to methodology, key findings and patterns identified. </w:t>
      </w:r>
      <w:r w:rsidR="006D00C5">
        <w:rPr>
          <w:lang w:val="en-GB"/>
        </w:rPr>
        <w:t xml:space="preserve">The next phase involved organising the patterns and key concepts in cluster categories to be able to further synthesize the evidence and conduct a critical analysis of the findings. </w:t>
      </w:r>
    </w:p>
    <w:p w14:paraId="2F6B6D37" w14:textId="3CACFA14" w:rsidR="00DF32A0" w:rsidRDefault="00DF32A0" w:rsidP="004B6646">
      <w:pPr>
        <w:pStyle w:val="Heading2"/>
        <w:numPr>
          <w:ilvl w:val="1"/>
          <w:numId w:val="3"/>
        </w:numPr>
        <w:rPr>
          <w:lang w:val="en-GB"/>
        </w:rPr>
      </w:pPr>
      <w:bookmarkStart w:id="12" w:name="_Toc214114803"/>
      <w:r>
        <w:rPr>
          <w:lang w:val="en-GB"/>
        </w:rPr>
        <w:t>QUALITY APPRISAL AND ETHICAL CONSIDERATIONS</w:t>
      </w:r>
      <w:bookmarkEnd w:id="12"/>
    </w:p>
    <w:p w14:paraId="3A784DD4" w14:textId="77777777" w:rsidR="004B6646" w:rsidRDefault="002241B0" w:rsidP="00DF32A0">
      <w:pPr>
        <w:rPr>
          <w:lang w:val="en-GB"/>
        </w:rPr>
      </w:pPr>
      <w:r>
        <w:rPr>
          <w:lang w:val="en-GB"/>
        </w:rPr>
        <w:t xml:space="preserve">Although the scoping review was built on existing data and peer-reviewed article it was considered fundamental to assess the quality of the articles selected to ensure </w:t>
      </w:r>
      <w:r w:rsidR="00496277">
        <w:rPr>
          <w:lang w:val="en-GB"/>
        </w:rPr>
        <w:t xml:space="preserve">the credibility of the study. </w:t>
      </w:r>
      <w:r w:rsidR="00170C7A">
        <w:rPr>
          <w:lang w:val="en-GB"/>
        </w:rPr>
        <w:t xml:space="preserve">The quality appraisal was conducting by applying the 10 questions </w:t>
      </w:r>
      <w:r w:rsidR="00247580" w:rsidRPr="00247580">
        <w:rPr>
          <w:lang w:val="en-GB"/>
        </w:rPr>
        <w:t>Critical Appraisal Skills Programme (CASP)</w:t>
      </w:r>
      <w:r w:rsidR="00247580">
        <w:rPr>
          <w:lang w:val="en-GB"/>
        </w:rPr>
        <w:t xml:space="preserve"> qualitative checklist tool (See Appendix 1) that cover topics related with the clarity, methodology and design, appropriateness, ethics, and value</w:t>
      </w:r>
      <w:r w:rsidR="008B1D40">
        <w:rPr>
          <w:lang w:val="en-GB"/>
        </w:rPr>
        <w:t xml:space="preserve"> (Long et al, 2020)</w:t>
      </w:r>
      <w:r w:rsidR="00247580">
        <w:rPr>
          <w:lang w:val="en-GB"/>
        </w:rPr>
        <w:t>.</w:t>
      </w:r>
      <w:r w:rsidR="009C5166">
        <w:rPr>
          <w:lang w:val="en-GB"/>
        </w:rPr>
        <w:t xml:space="preserve"> Moreover, as the research relied exclusively on secondary data, no ethical approval was needed. However, the CASP questions have helped to double confirm that the studies selected respected ethical research principles </w:t>
      </w:r>
      <w:r w:rsidR="0080165F">
        <w:rPr>
          <w:lang w:val="en-GB"/>
        </w:rPr>
        <w:t>highlighted also by the National Institutes of Health (NIH, 2025).</w:t>
      </w:r>
    </w:p>
    <w:p w14:paraId="2C7EC390" w14:textId="77777777" w:rsidR="00B1464B" w:rsidRDefault="004B6646" w:rsidP="004B6646">
      <w:pPr>
        <w:pStyle w:val="Heading2"/>
        <w:numPr>
          <w:ilvl w:val="1"/>
          <w:numId w:val="3"/>
        </w:numPr>
        <w:rPr>
          <w:lang w:val="en-GB"/>
        </w:rPr>
      </w:pPr>
      <w:bookmarkStart w:id="13" w:name="_Toc214114804"/>
      <w:r w:rsidRPr="004B6646">
        <w:rPr>
          <w:lang w:val="en-GB"/>
        </w:rPr>
        <w:t>LIMITATIONS</w:t>
      </w:r>
      <w:bookmarkEnd w:id="13"/>
    </w:p>
    <w:p w14:paraId="00C236BD" w14:textId="1B52B1AB" w:rsidR="00C6595F" w:rsidRDefault="00B1464B" w:rsidP="00B1464B">
      <w:pPr>
        <w:rPr>
          <w:lang w:val="en-GB"/>
        </w:rPr>
      </w:pPr>
      <w:r>
        <w:rPr>
          <w:lang w:val="en-GB"/>
        </w:rPr>
        <w:t xml:space="preserve">The research was conducted so as to ensure limitations and bias were reduced to the minimum. However, it is important to highlight that some methodological limitations are </w:t>
      </w:r>
      <w:r w:rsidR="00ED5769">
        <w:rPr>
          <w:lang w:val="en-GB"/>
        </w:rPr>
        <w:t>still present especially due to the exclusive reliance on secondary data that impedes the access on hand-on experiences and direct contact with SEND children and families (</w:t>
      </w:r>
      <w:r w:rsidR="00ED5769" w:rsidRPr="00DC58E2">
        <w:rPr>
          <w:lang w:val="en-GB"/>
        </w:rPr>
        <w:t>Ajayi</w:t>
      </w:r>
      <w:r w:rsidR="00ED5769">
        <w:rPr>
          <w:lang w:val="en-GB"/>
        </w:rPr>
        <w:t>, 2023). Moreover, while the studies selected were peer-reviewed their own limitations and bias might be reflected in the current findings. Nevertheless, the chosen approach provides</w:t>
      </w:r>
      <w:r w:rsidR="0023202E">
        <w:rPr>
          <w:lang w:val="en-GB"/>
        </w:rPr>
        <w:t xml:space="preserve"> credible findings on the topic and key concepts for future research. </w:t>
      </w:r>
    </w:p>
    <w:p w14:paraId="22511300" w14:textId="2AA152F1" w:rsidR="007866A5" w:rsidRDefault="00C6595F" w:rsidP="00C6595F">
      <w:pPr>
        <w:spacing w:line="259" w:lineRule="auto"/>
        <w:jc w:val="left"/>
        <w:rPr>
          <w:lang w:val="en-GB"/>
        </w:rPr>
      </w:pPr>
      <w:r>
        <w:rPr>
          <w:lang w:val="en-GB"/>
        </w:rPr>
        <w:br w:type="page"/>
      </w:r>
    </w:p>
    <w:p w14:paraId="71C75CDC" w14:textId="77777777" w:rsidR="007866A5" w:rsidRDefault="007866A5" w:rsidP="007866A5">
      <w:pPr>
        <w:pStyle w:val="Heading1"/>
        <w:rPr>
          <w:lang w:val="en-GB"/>
        </w:rPr>
      </w:pPr>
      <w:bookmarkStart w:id="14" w:name="_Toc214114805"/>
      <w:r>
        <w:rPr>
          <w:lang w:val="en-GB"/>
        </w:rPr>
        <w:t>RESULTS</w:t>
      </w:r>
      <w:bookmarkEnd w:id="14"/>
    </w:p>
    <w:p w14:paraId="7B080C64" w14:textId="1495F56F" w:rsidR="00CF33A4" w:rsidRDefault="002A3722" w:rsidP="007866A5">
      <w:pPr>
        <w:rPr>
          <w:lang w:val="en-GB"/>
        </w:rPr>
      </w:pPr>
      <w:r>
        <w:rPr>
          <w:lang w:val="en-GB"/>
        </w:rPr>
        <w:t xml:space="preserve">This scoping review was developed on five peer-reviewed UK studies that meet the </w:t>
      </w:r>
      <w:r w:rsidR="009B0231">
        <w:rPr>
          <w:lang w:val="en-GB"/>
        </w:rPr>
        <w:t xml:space="preserve">inclusion criteria establish to answer the research question </w:t>
      </w:r>
      <w:r w:rsidR="009B0231" w:rsidRPr="003046E1">
        <w:rPr>
          <w:i/>
          <w:iCs/>
          <w:lang w:val="en-GB"/>
        </w:rPr>
        <w:t>What is the impact of the shortage of school placements on the learning, development, and mental health for children with SEND</w:t>
      </w:r>
      <w:r w:rsidR="009B0231">
        <w:rPr>
          <w:lang w:val="en-GB"/>
        </w:rPr>
        <w:t xml:space="preserve">? </w:t>
      </w:r>
      <w:r w:rsidR="00BA33A0">
        <w:rPr>
          <w:lang w:val="en-GB"/>
        </w:rPr>
        <w:t xml:space="preserve">A summary table including a thematic analysis </w:t>
      </w:r>
      <w:r w:rsidR="005A282D">
        <w:rPr>
          <w:lang w:val="en-GB"/>
        </w:rPr>
        <w:t xml:space="preserve">is presented in Tab. 2. </w:t>
      </w:r>
    </w:p>
    <w:p w14:paraId="389B167C" w14:textId="5AD9FDDA" w:rsidR="00FB3E73" w:rsidRDefault="00FB3E73" w:rsidP="00FB3E73">
      <w:pPr>
        <w:pStyle w:val="Caption"/>
        <w:keepNext/>
      </w:pPr>
      <w:r>
        <w:t xml:space="preserve">Table </w:t>
      </w:r>
      <w:r>
        <w:fldChar w:fldCharType="begin"/>
      </w:r>
      <w:r>
        <w:instrText xml:space="preserve"> SEQ Table \* ARABIC </w:instrText>
      </w:r>
      <w:r>
        <w:fldChar w:fldCharType="separate"/>
      </w:r>
      <w:r>
        <w:rPr>
          <w:noProof/>
        </w:rPr>
        <w:t>2</w:t>
      </w:r>
      <w:r>
        <w:fldChar w:fldCharType="end"/>
      </w:r>
      <w:r>
        <w:t>. Summary of the studies</w:t>
      </w:r>
    </w:p>
    <w:tbl>
      <w:tblPr>
        <w:tblStyle w:val="GridTable1Light"/>
        <w:tblW w:w="11058" w:type="dxa"/>
        <w:tblInd w:w="-1139" w:type="dxa"/>
        <w:tblLayout w:type="fixed"/>
        <w:tblLook w:val="04A0" w:firstRow="1" w:lastRow="0" w:firstColumn="1" w:lastColumn="0" w:noHBand="0" w:noVBand="1"/>
      </w:tblPr>
      <w:tblGrid>
        <w:gridCol w:w="1702"/>
        <w:gridCol w:w="1843"/>
        <w:gridCol w:w="1843"/>
        <w:gridCol w:w="1701"/>
        <w:gridCol w:w="2409"/>
        <w:gridCol w:w="1560"/>
      </w:tblGrid>
      <w:tr w:rsidR="00FB3E73" w14:paraId="2A7BB259" w14:textId="77777777" w:rsidTr="00FB3E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2" w:type="dxa"/>
          </w:tcPr>
          <w:p w14:paraId="604B3B48" w14:textId="01270B76" w:rsidR="00C6595F" w:rsidRPr="007D2784" w:rsidRDefault="00C6595F" w:rsidP="007866A5">
            <w:pPr>
              <w:rPr>
                <w:b w:val="0"/>
                <w:bCs w:val="0"/>
                <w:lang w:val="en-GB"/>
              </w:rPr>
            </w:pPr>
            <w:r w:rsidRPr="007D2784">
              <w:rPr>
                <w:b w:val="0"/>
                <w:bCs w:val="0"/>
                <w:lang w:val="en-GB"/>
              </w:rPr>
              <w:t>Authors &amp; Year</w:t>
            </w:r>
          </w:p>
        </w:tc>
        <w:tc>
          <w:tcPr>
            <w:tcW w:w="1843" w:type="dxa"/>
          </w:tcPr>
          <w:p w14:paraId="412E31B7" w14:textId="0A899FBC" w:rsidR="00C6595F" w:rsidRPr="007D2784" w:rsidRDefault="00C6595F" w:rsidP="007866A5">
            <w:pPr>
              <w:cnfStyle w:val="100000000000" w:firstRow="1" w:lastRow="0" w:firstColumn="0" w:lastColumn="0" w:oddVBand="0" w:evenVBand="0" w:oddHBand="0" w:evenHBand="0" w:firstRowFirstColumn="0" w:firstRowLastColumn="0" w:lastRowFirstColumn="0" w:lastRowLastColumn="0"/>
              <w:rPr>
                <w:b w:val="0"/>
                <w:bCs w:val="0"/>
                <w:lang w:val="en-GB"/>
              </w:rPr>
            </w:pPr>
            <w:r w:rsidRPr="007D2784">
              <w:rPr>
                <w:b w:val="0"/>
                <w:bCs w:val="0"/>
                <w:lang w:val="en-GB"/>
              </w:rPr>
              <w:t>Aim of Study</w:t>
            </w:r>
          </w:p>
        </w:tc>
        <w:tc>
          <w:tcPr>
            <w:tcW w:w="1843" w:type="dxa"/>
          </w:tcPr>
          <w:p w14:paraId="24361D49" w14:textId="7CABF40B" w:rsidR="00C6595F" w:rsidRPr="007D2784" w:rsidRDefault="00C6595F" w:rsidP="007866A5">
            <w:pPr>
              <w:cnfStyle w:val="100000000000" w:firstRow="1" w:lastRow="0" w:firstColumn="0" w:lastColumn="0" w:oddVBand="0" w:evenVBand="0" w:oddHBand="0" w:evenHBand="0" w:firstRowFirstColumn="0" w:firstRowLastColumn="0" w:lastRowFirstColumn="0" w:lastRowLastColumn="0"/>
              <w:rPr>
                <w:b w:val="0"/>
                <w:bCs w:val="0"/>
                <w:lang w:val="en-GB"/>
              </w:rPr>
            </w:pPr>
            <w:r w:rsidRPr="007D2784">
              <w:rPr>
                <w:b w:val="0"/>
                <w:bCs w:val="0"/>
                <w:lang w:val="en-GB"/>
              </w:rPr>
              <w:t>Methodology</w:t>
            </w:r>
          </w:p>
        </w:tc>
        <w:tc>
          <w:tcPr>
            <w:tcW w:w="1701" w:type="dxa"/>
          </w:tcPr>
          <w:p w14:paraId="4B0E5143" w14:textId="04AC6989" w:rsidR="00C6595F" w:rsidRPr="007D2784" w:rsidRDefault="00C6595F" w:rsidP="007866A5">
            <w:pPr>
              <w:cnfStyle w:val="100000000000" w:firstRow="1" w:lastRow="0" w:firstColumn="0" w:lastColumn="0" w:oddVBand="0" w:evenVBand="0" w:oddHBand="0" w:evenHBand="0" w:firstRowFirstColumn="0" w:firstRowLastColumn="0" w:lastRowFirstColumn="0" w:lastRowLastColumn="0"/>
              <w:rPr>
                <w:b w:val="0"/>
                <w:bCs w:val="0"/>
                <w:lang w:val="en-GB"/>
              </w:rPr>
            </w:pPr>
            <w:r w:rsidRPr="007D2784">
              <w:rPr>
                <w:b w:val="0"/>
                <w:bCs w:val="0"/>
                <w:lang w:val="en-GB"/>
              </w:rPr>
              <w:t>Sample</w:t>
            </w:r>
          </w:p>
        </w:tc>
        <w:tc>
          <w:tcPr>
            <w:tcW w:w="2409" w:type="dxa"/>
          </w:tcPr>
          <w:p w14:paraId="7F5045B6" w14:textId="7D56778B" w:rsidR="00C6595F" w:rsidRPr="007D2784" w:rsidRDefault="00C6595F" w:rsidP="007866A5">
            <w:pPr>
              <w:cnfStyle w:val="100000000000" w:firstRow="1" w:lastRow="0" w:firstColumn="0" w:lastColumn="0" w:oddVBand="0" w:evenVBand="0" w:oddHBand="0" w:evenHBand="0" w:firstRowFirstColumn="0" w:firstRowLastColumn="0" w:lastRowFirstColumn="0" w:lastRowLastColumn="0"/>
              <w:rPr>
                <w:b w:val="0"/>
                <w:bCs w:val="0"/>
                <w:lang w:val="en-GB"/>
              </w:rPr>
            </w:pPr>
            <w:r w:rsidRPr="007D2784">
              <w:rPr>
                <w:b w:val="0"/>
                <w:bCs w:val="0"/>
                <w:lang w:val="en-GB"/>
              </w:rPr>
              <w:t>Key Findings</w:t>
            </w:r>
          </w:p>
        </w:tc>
        <w:tc>
          <w:tcPr>
            <w:tcW w:w="1560" w:type="dxa"/>
          </w:tcPr>
          <w:p w14:paraId="458F572B" w14:textId="47E4D104" w:rsidR="00C6595F" w:rsidRPr="007D2784" w:rsidRDefault="00C6595F" w:rsidP="007866A5">
            <w:pPr>
              <w:cnfStyle w:val="100000000000" w:firstRow="1" w:lastRow="0" w:firstColumn="0" w:lastColumn="0" w:oddVBand="0" w:evenVBand="0" w:oddHBand="0" w:evenHBand="0" w:firstRowFirstColumn="0" w:firstRowLastColumn="0" w:lastRowFirstColumn="0" w:lastRowLastColumn="0"/>
              <w:rPr>
                <w:b w:val="0"/>
                <w:bCs w:val="0"/>
                <w:lang w:val="en-GB"/>
              </w:rPr>
            </w:pPr>
            <w:r w:rsidRPr="007D2784">
              <w:rPr>
                <w:b w:val="0"/>
                <w:bCs w:val="0"/>
                <w:lang w:val="en-GB"/>
              </w:rPr>
              <w:t xml:space="preserve">Themes </w:t>
            </w:r>
          </w:p>
        </w:tc>
      </w:tr>
      <w:tr w:rsidR="00FB3E73" w:rsidRPr="008F2E56" w14:paraId="2EBF55B3" w14:textId="77777777" w:rsidTr="00FB3E73">
        <w:tc>
          <w:tcPr>
            <w:cnfStyle w:val="001000000000" w:firstRow="0" w:lastRow="0" w:firstColumn="1" w:lastColumn="0" w:oddVBand="0" w:evenVBand="0" w:oddHBand="0" w:evenHBand="0" w:firstRowFirstColumn="0" w:firstRowLastColumn="0" w:lastRowFirstColumn="0" w:lastRowLastColumn="0"/>
            <w:tcW w:w="1702" w:type="dxa"/>
          </w:tcPr>
          <w:p w14:paraId="6675C9AF" w14:textId="76AFA234" w:rsidR="00C6595F" w:rsidRDefault="00426C1A" w:rsidP="007866A5">
            <w:pPr>
              <w:rPr>
                <w:lang w:val="en-GB"/>
              </w:rPr>
            </w:pPr>
            <w:r w:rsidRPr="00702F7F">
              <w:rPr>
                <w:lang w:val="en-GB"/>
              </w:rPr>
              <w:t>Zylbersztejn</w:t>
            </w:r>
            <w:r>
              <w:rPr>
                <w:lang w:val="en-GB"/>
              </w:rPr>
              <w:t xml:space="preserve"> et al. (2023)</w:t>
            </w:r>
          </w:p>
        </w:tc>
        <w:tc>
          <w:tcPr>
            <w:tcW w:w="1843" w:type="dxa"/>
          </w:tcPr>
          <w:p w14:paraId="4FC7381B" w14:textId="421B10ED" w:rsidR="00C6595F" w:rsidRDefault="00FF579C"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To identify the factors that contribute to the SEND provision in England and the impact on the health and education of SEND children</w:t>
            </w:r>
          </w:p>
        </w:tc>
        <w:tc>
          <w:tcPr>
            <w:tcW w:w="1843" w:type="dxa"/>
          </w:tcPr>
          <w:p w14:paraId="28C0557A" w14:textId="7BB1C2A7" w:rsidR="00C6595F" w:rsidRDefault="00B4690D"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Mixed methods</w:t>
            </w:r>
            <w:r w:rsidR="004936EC">
              <w:rPr>
                <w:lang w:val="en-GB"/>
              </w:rPr>
              <w:t xml:space="preserve"> combining qualitative research with quantitative data </w:t>
            </w:r>
            <w:r>
              <w:rPr>
                <w:lang w:val="en-GB"/>
              </w:rPr>
              <w:t>collected</w:t>
            </w:r>
            <w:r w:rsidR="004936EC">
              <w:rPr>
                <w:lang w:val="en-GB"/>
              </w:rPr>
              <w:t xml:space="preserve"> from different data base like Education and Child Health Insights from Linked data and National Health Service</w:t>
            </w:r>
          </w:p>
        </w:tc>
        <w:tc>
          <w:tcPr>
            <w:tcW w:w="1701" w:type="dxa"/>
          </w:tcPr>
          <w:p w14:paraId="759BF1D9" w14:textId="2D09DB24" w:rsidR="00C6595F" w:rsidRDefault="006832B6"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Children aged 1 to 6 years old with </w:t>
            </w:r>
            <w:r w:rsidR="00F2111F">
              <w:rPr>
                <w:lang w:val="en-GB"/>
              </w:rPr>
              <w:t xml:space="preserve">three health issues: neurodisabilities (autism, epilepsy); major congenital anomalies, and gestational age at birth. </w:t>
            </w:r>
          </w:p>
        </w:tc>
        <w:tc>
          <w:tcPr>
            <w:tcW w:w="2409" w:type="dxa"/>
          </w:tcPr>
          <w:p w14:paraId="53E50527" w14:textId="77777777" w:rsidR="00B6539E" w:rsidRDefault="00625D98"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SENDs provisions are not correctly distributed but rather influenced by geography and schools, not by the actual needs</w:t>
            </w:r>
            <w:r w:rsidR="00B6539E">
              <w:rPr>
                <w:lang w:val="en-GB"/>
              </w:rPr>
              <w:t>.</w:t>
            </w:r>
          </w:p>
          <w:p w14:paraId="7A9A0B70" w14:textId="18690CA5" w:rsidR="00B6539E" w:rsidRDefault="00B6539E"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Children with no access to SEND provisions have limited health and educational results.</w:t>
            </w:r>
          </w:p>
        </w:tc>
        <w:tc>
          <w:tcPr>
            <w:tcW w:w="1560" w:type="dxa"/>
          </w:tcPr>
          <w:p w14:paraId="02B5C067" w14:textId="20262370" w:rsidR="00C6595F" w:rsidRDefault="00F752CA"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Inequalities in the educational system impact school placements </w:t>
            </w:r>
            <w:r w:rsidR="007D2784">
              <w:rPr>
                <w:lang w:val="en-GB"/>
              </w:rPr>
              <w:t>and thus, SEND children health and education results.</w:t>
            </w:r>
          </w:p>
        </w:tc>
      </w:tr>
      <w:tr w:rsidR="00FB3E73" w:rsidRPr="008F2E56" w14:paraId="514F5D83" w14:textId="77777777" w:rsidTr="00FB3E73">
        <w:tc>
          <w:tcPr>
            <w:cnfStyle w:val="001000000000" w:firstRow="0" w:lastRow="0" w:firstColumn="1" w:lastColumn="0" w:oddVBand="0" w:evenVBand="0" w:oddHBand="0" w:evenHBand="0" w:firstRowFirstColumn="0" w:firstRowLastColumn="0" w:lastRowFirstColumn="0" w:lastRowLastColumn="0"/>
            <w:tcW w:w="1702" w:type="dxa"/>
          </w:tcPr>
          <w:p w14:paraId="7D476FAB" w14:textId="5AE0E894" w:rsidR="00C6595F" w:rsidRDefault="009F6C6D" w:rsidP="009F6C6D">
            <w:pPr>
              <w:rPr>
                <w:lang w:val="en-GB"/>
              </w:rPr>
            </w:pPr>
            <w:r>
              <w:rPr>
                <w:lang w:val="en-GB"/>
              </w:rPr>
              <w:t>Lee et al. (2024)</w:t>
            </w:r>
          </w:p>
        </w:tc>
        <w:tc>
          <w:tcPr>
            <w:tcW w:w="1843" w:type="dxa"/>
          </w:tcPr>
          <w:p w14:paraId="3893E370" w14:textId="47E1D05D" w:rsidR="00C6595F" w:rsidRDefault="007A7FAE"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Identify inequities in EHCP provisions and their impact on </w:t>
            </w:r>
            <w:r w:rsidR="00AF0AF2">
              <w:rPr>
                <w:lang w:val="en-GB"/>
              </w:rPr>
              <w:t>SEND children’s academic performance and mental health wellbeing</w:t>
            </w:r>
          </w:p>
        </w:tc>
        <w:tc>
          <w:tcPr>
            <w:tcW w:w="1843" w:type="dxa"/>
          </w:tcPr>
          <w:p w14:paraId="1C892452" w14:textId="0050D692" w:rsidR="00C6595F" w:rsidRDefault="008D15BE"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A quantitative studies build on data collected from the Department for Education’s National Pupil Database in 2021 such as socioeconomic indicators, demographics. Additionally, a Strengths and Difficulties questionnaire was applied to the parents/caregivers</w:t>
            </w:r>
          </w:p>
        </w:tc>
        <w:tc>
          <w:tcPr>
            <w:tcW w:w="1701" w:type="dxa"/>
          </w:tcPr>
          <w:p w14:paraId="54430F17" w14:textId="762D0853" w:rsidR="00C6595F" w:rsidRDefault="0084633D"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2,738 children and young people recruited between 2014 and 2019</w:t>
            </w:r>
            <w:r w:rsidR="00F650DA">
              <w:rPr>
                <w:lang w:val="en-GB"/>
              </w:rPr>
              <w:t>, aged 6 to 28</w:t>
            </w:r>
          </w:p>
        </w:tc>
        <w:tc>
          <w:tcPr>
            <w:tcW w:w="2409" w:type="dxa"/>
          </w:tcPr>
          <w:p w14:paraId="2664FB3E" w14:textId="185DDE54" w:rsidR="00C6595F" w:rsidRDefault="00B03080"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Disparities in funds and inconsistencies in EHCP and placements </w:t>
            </w:r>
            <w:r w:rsidR="00DC2F0E">
              <w:rPr>
                <w:lang w:val="en-GB"/>
              </w:rPr>
              <w:t xml:space="preserve">are more likely to happen in </w:t>
            </w:r>
            <w:r w:rsidR="00AE1EAA">
              <w:rPr>
                <w:lang w:val="en-GB"/>
              </w:rPr>
              <w:t>deprived areas</w:t>
            </w:r>
            <w:r w:rsidR="00DC2F0E">
              <w:rPr>
                <w:lang w:val="en-GB"/>
              </w:rPr>
              <w:t xml:space="preserve">. </w:t>
            </w:r>
          </w:p>
          <w:p w14:paraId="2BA6D321" w14:textId="77777777" w:rsidR="00B03080" w:rsidRPr="00B03080" w:rsidRDefault="00B03080" w:rsidP="00B03080">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1560" w:type="dxa"/>
          </w:tcPr>
          <w:p w14:paraId="39FE5070" w14:textId="3C635011" w:rsidR="00C6595F" w:rsidRDefault="00595F45"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Inequalities in the educational system impact school placements and thus, SEND children health and education results.</w:t>
            </w:r>
          </w:p>
        </w:tc>
      </w:tr>
      <w:tr w:rsidR="00FB3E73" w:rsidRPr="008F2E56" w14:paraId="44BAE9A1" w14:textId="77777777" w:rsidTr="00FB3E73">
        <w:tc>
          <w:tcPr>
            <w:cnfStyle w:val="001000000000" w:firstRow="0" w:lastRow="0" w:firstColumn="1" w:lastColumn="0" w:oddVBand="0" w:evenVBand="0" w:oddHBand="0" w:evenHBand="0" w:firstRowFirstColumn="0" w:firstRowLastColumn="0" w:lastRowFirstColumn="0" w:lastRowLastColumn="0"/>
            <w:tcW w:w="1702" w:type="dxa"/>
          </w:tcPr>
          <w:p w14:paraId="6CC34CD2" w14:textId="04679985" w:rsidR="00C6595F" w:rsidRDefault="00924CD9" w:rsidP="007866A5">
            <w:pPr>
              <w:rPr>
                <w:lang w:val="en-GB"/>
              </w:rPr>
            </w:pPr>
            <w:r w:rsidRPr="00924CD9">
              <w:rPr>
                <w:lang w:val="en-GB"/>
              </w:rPr>
              <w:t>Saxton</w:t>
            </w:r>
            <w:r>
              <w:rPr>
                <w:lang w:val="en-GB"/>
              </w:rPr>
              <w:t xml:space="preserve"> et al</w:t>
            </w:r>
            <w:r w:rsidR="00166AA2">
              <w:rPr>
                <w:lang w:val="en-GB"/>
              </w:rPr>
              <w:t>.</w:t>
            </w:r>
            <w:r>
              <w:rPr>
                <w:lang w:val="en-GB"/>
              </w:rPr>
              <w:t xml:space="preserve"> (2025)</w:t>
            </w:r>
          </w:p>
        </w:tc>
        <w:tc>
          <w:tcPr>
            <w:tcW w:w="1843" w:type="dxa"/>
          </w:tcPr>
          <w:p w14:paraId="1B66F327" w14:textId="0D122CA4" w:rsidR="00C6595F" w:rsidRDefault="00441FFB"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Explore parents’ experiences in identifying their children needs and support received from the SEND system</w:t>
            </w:r>
          </w:p>
        </w:tc>
        <w:tc>
          <w:tcPr>
            <w:tcW w:w="1843" w:type="dxa"/>
          </w:tcPr>
          <w:p w14:paraId="578AD125" w14:textId="1655A8EF" w:rsidR="00C6595F" w:rsidRDefault="00FE59DE"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Qualitative study</w:t>
            </w:r>
            <w:r w:rsidR="00082396">
              <w:rPr>
                <w:lang w:val="en-GB"/>
              </w:rPr>
              <w:t xml:space="preserve"> </w:t>
            </w:r>
            <w:r w:rsidR="00082415">
              <w:rPr>
                <w:lang w:val="en-GB"/>
              </w:rPr>
              <w:t>builds</w:t>
            </w:r>
            <w:r w:rsidR="00082396">
              <w:rPr>
                <w:lang w:val="en-GB"/>
              </w:rPr>
              <w:t xml:space="preserve"> on one-to-one interviews</w:t>
            </w:r>
            <w:r>
              <w:rPr>
                <w:lang w:val="en-GB"/>
              </w:rPr>
              <w:t xml:space="preserve"> on </w:t>
            </w:r>
            <w:r w:rsidR="00082396">
              <w:rPr>
                <w:lang w:val="en-GB"/>
              </w:rPr>
              <w:t xml:space="preserve">the </w:t>
            </w:r>
            <w:r>
              <w:rPr>
                <w:lang w:val="en-GB"/>
              </w:rPr>
              <w:t>22 participants ethical approved by the Cambridge University Psychology Research Ethics Committee</w:t>
            </w:r>
          </w:p>
        </w:tc>
        <w:tc>
          <w:tcPr>
            <w:tcW w:w="1701" w:type="dxa"/>
          </w:tcPr>
          <w:p w14:paraId="03865834" w14:textId="41480287" w:rsidR="00C6595F" w:rsidRDefault="00F33CC3"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22 parents/carrier </w:t>
            </w:r>
            <w:r w:rsidR="00082415">
              <w:rPr>
                <w:lang w:val="en-GB"/>
              </w:rPr>
              <w:t>of SEND children aged 4 to 24 years.</w:t>
            </w:r>
          </w:p>
        </w:tc>
        <w:tc>
          <w:tcPr>
            <w:tcW w:w="2409" w:type="dxa"/>
          </w:tcPr>
          <w:p w14:paraId="53F27B9C" w14:textId="1AA102BD" w:rsidR="00C6595F" w:rsidRDefault="005E6F70"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Parents encountered delays in provisions and unsuitable placements that cause negative consequences on their children.</w:t>
            </w:r>
          </w:p>
        </w:tc>
        <w:tc>
          <w:tcPr>
            <w:tcW w:w="1560" w:type="dxa"/>
          </w:tcPr>
          <w:p w14:paraId="187CFCC5" w14:textId="49C81EAF" w:rsidR="00C6595F" w:rsidRDefault="004B7E92"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Emotional distress and educational reduced performance for SEND children</w:t>
            </w:r>
          </w:p>
        </w:tc>
      </w:tr>
      <w:tr w:rsidR="00FB3E73" w:rsidRPr="008F2E56" w14:paraId="2579254B" w14:textId="77777777" w:rsidTr="00FB3E73">
        <w:tc>
          <w:tcPr>
            <w:cnfStyle w:val="001000000000" w:firstRow="0" w:lastRow="0" w:firstColumn="1" w:lastColumn="0" w:oddVBand="0" w:evenVBand="0" w:oddHBand="0" w:evenHBand="0" w:firstRowFirstColumn="0" w:firstRowLastColumn="0" w:lastRowFirstColumn="0" w:lastRowLastColumn="0"/>
            <w:tcW w:w="1702" w:type="dxa"/>
          </w:tcPr>
          <w:p w14:paraId="51A1A745" w14:textId="648A8B09" w:rsidR="00C6595F" w:rsidRDefault="00080A22" w:rsidP="007866A5">
            <w:pPr>
              <w:rPr>
                <w:lang w:val="en-GB"/>
              </w:rPr>
            </w:pPr>
            <w:r w:rsidRPr="005F2120">
              <w:rPr>
                <w:lang w:val="en-GB"/>
              </w:rPr>
              <w:t>Castro</w:t>
            </w:r>
            <w:r>
              <w:rPr>
                <w:lang w:val="en-GB"/>
              </w:rPr>
              <w:t xml:space="preserve"> et al. (2019)</w:t>
            </w:r>
          </w:p>
        </w:tc>
        <w:tc>
          <w:tcPr>
            <w:tcW w:w="1843" w:type="dxa"/>
          </w:tcPr>
          <w:p w14:paraId="419ADD7B" w14:textId="4535FD88" w:rsidR="00C6595F" w:rsidRDefault="00877472"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To evaluate the quality of EHCs plans and if they are appropriate and support their purpose</w:t>
            </w:r>
          </w:p>
        </w:tc>
        <w:tc>
          <w:tcPr>
            <w:tcW w:w="1843" w:type="dxa"/>
          </w:tcPr>
          <w:p w14:paraId="6D2F823C" w14:textId="26B2C9DF" w:rsidR="00C6595F" w:rsidRDefault="00B62866"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Cross-sectional study </w:t>
            </w:r>
            <w:r w:rsidR="00697D6B">
              <w:rPr>
                <w:lang w:val="en-GB"/>
              </w:rPr>
              <w:t>of 236</w:t>
            </w:r>
            <w:r w:rsidR="00393E26">
              <w:rPr>
                <w:lang w:val="en-GB"/>
              </w:rPr>
              <w:t xml:space="preserve"> EHCPs that provided 2,813 outcomes.</w:t>
            </w:r>
          </w:p>
        </w:tc>
        <w:tc>
          <w:tcPr>
            <w:tcW w:w="1701" w:type="dxa"/>
          </w:tcPr>
          <w:p w14:paraId="52A42DBC" w14:textId="42E29088" w:rsidR="00C6595F" w:rsidRDefault="00393E26"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There </w:t>
            </w:r>
            <w:r w:rsidR="00AE1EAA">
              <w:rPr>
                <w:lang w:val="en-GB"/>
              </w:rPr>
              <w:t>participated in</w:t>
            </w:r>
            <w:r>
              <w:rPr>
                <w:lang w:val="en-GB"/>
              </w:rPr>
              <w:t xml:space="preserve"> the study: 11 local authorities</w:t>
            </w:r>
            <w:r w:rsidR="002F6E9F">
              <w:rPr>
                <w:lang w:val="en-GB"/>
              </w:rPr>
              <w:t xml:space="preserve"> and</w:t>
            </w:r>
            <w:r>
              <w:rPr>
                <w:lang w:val="en-GB"/>
              </w:rPr>
              <w:t xml:space="preserve"> 42 schools</w:t>
            </w:r>
            <w:r w:rsidR="002F6E9F">
              <w:rPr>
                <w:lang w:val="en-GB"/>
              </w:rPr>
              <w:t xml:space="preserve"> with 69 girls and 167 boys aged 4 to 21.</w:t>
            </w:r>
          </w:p>
        </w:tc>
        <w:tc>
          <w:tcPr>
            <w:tcW w:w="2409" w:type="dxa"/>
          </w:tcPr>
          <w:p w14:paraId="7F7B5B89" w14:textId="0107DEA7" w:rsidR="00C6595F" w:rsidRDefault="00D27620"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The EHCPs are not high quality nor functional, and their quality actually depends on the context. </w:t>
            </w:r>
          </w:p>
        </w:tc>
        <w:tc>
          <w:tcPr>
            <w:tcW w:w="1560" w:type="dxa"/>
          </w:tcPr>
          <w:p w14:paraId="3A739998" w14:textId="372E9F09" w:rsidR="00C6595F" w:rsidRDefault="001D122E"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Inadequate quality of EHCPs that leads to inconsistencies and inequity in provisions. </w:t>
            </w:r>
          </w:p>
        </w:tc>
      </w:tr>
      <w:tr w:rsidR="00FB3E73" w:rsidRPr="008F2E56" w14:paraId="30264386" w14:textId="77777777" w:rsidTr="00FB3E73">
        <w:tc>
          <w:tcPr>
            <w:cnfStyle w:val="001000000000" w:firstRow="0" w:lastRow="0" w:firstColumn="1" w:lastColumn="0" w:oddVBand="0" w:evenVBand="0" w:oddHBand="0" w:evenHBand="0" w:firstRowFirstColumn="0" w:firstRowLastColumn="0" w:lastRowFirstColumn="0" w:lastRowLastColumn="0"/>
            <w:tcW w:w="1702" w:type="dxa"/>
          </w:tcPr>
          <w:p w14:paraId="3398817E" w14:textId="701820B8" w:rsidR="00C6595F" w:rsidRDefault="00FD6D54" w:rsidP="007866A5">
            <w:pPr>
              <w:rPr>
                <w:lang w:val="en-GB"/>
              </w:rPr>
            </w:pPr>
            <w:r w:rsidRPr="00E647D0">
              <w:rPr>
                <w:lang w:val="en-GB"/>
              </w:rPr>
              <w:t>Sinclair</w:t>
            </w:r>
            <w:r>
              <w:rPr>
                <w:lang w:val="en-GB"/>
              </w:rPr>
              <w:t xml:space="preserve"> et al. (2025)</w:t>
            </w:r>
          </w:p>
        </w:tc>
        <w:tc>
          <w:tcPr>
            <w:tcW w:w="1843" w:type="dxa"/>
          </w:tcPr>
          <w:p w14:paraId="7CAC910B" w14:textId="2BC2FD1A" w:rsidR="00C6595F" w:rsidRDefault="00F1500F"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The impact on SEND pupils if enrolled in non-mainstream schools and alternative provisions. </w:t>
            </w:r>
          </w:p>
        </w:tc>
        <w:tc>
          <w:tcPr>
            <w:tcW w:w="1843" w:type="dxa"/>
          </w:tcPr>
          <w:p w14:paraId="03453DC6" w14:textId="016D7E79" w:rsidR="00C6595F" w:rsidRDefault="00F1500F"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Large-scale longitudinal analysis </w:t>
            </w:r>
            <w:r w:rsidR="00D44410">
              <w:rPr>
                <w:lang w:val="en-GB"/>
              </w:rPr>
              <w:t>builds</w:t>
            </w:r>
            <w:r>
              <w:rPr>
                <w:lang w:val="en-GB"/>
              </w:rPr>
              <w:t xml:space="preserve"> on the</w:t>
            </w:r>
            <w:r w:rsidR="00D44410">
              <w:rPr>
                <w:lang w:val="en-GB"/>
              </w:rPr>
              <w:t xml:space="preserve"> </w:t>
            </w:r>
            <w:r>
              <w:rPr>
                <w:lang w:val="en-GB"/>
              </w:rPr>
              <w:t>administrative data collected from English National Pupil Database</w:t>
            </w:r>
          </w:p>
        </w:tc>
        <w:tc>
          <w:tcPr>
            <w:tcW w:w="1701" w:type="dxa"/>
          </w:tcPr>
          <w:p w14:paraId="125F8244" w14:textId="5CCDBAC9" w:rsidR="00C6595F" w:rsidRDefault="00D44410"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9-years longitudinal data on an English national cohort of 136,522 pupils with SEND</w:t>
            </w:r>
          </w:p>
        </w:tc>
        <w:tc>
          <w:tcPr>
            <w:tcW w:w="2409" w:type="dxa"/>
          </w:tcPr>
          <w:p w14:paraId="75151A0F" w14:textId="044972BF" w:rsidR="00C6595F" w:rsidRDefault="00264627"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Children placed in non-mainstream school had poorer educational results due to unsuitable placements. This has also incremented the inequalities and segregation from the peers. </w:t>
            </w:r>
          </w:p>
        </w:tc>
        <w:tc>
          <w:tcPr>
            <w:tcW w:w="1560" w:type="dxa"/>
          </w:tcPr>
          <w:p w14:paraId="45959A80" w14:textId="45A5DE30" w:rsidR="00C6595F" w:rsidRDefault="00264627" w:rsidP="007866A5">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Inadequate quality of the placements. Deteriorating wellbeing and emotional distress. </w:t>
            </w:r>
          </w:p>
        </w:tc>
      </w:tr>
    </w:tbl>
    <w:p w14:paraId="029F8F46" w14:textId="77777777" w:rsidR="007F467E" w:rsidRDefault="007F467E" w:rsidP="007866A5">
      <w:pPr>
        <w:rPr>
          <w:lang w:val="en-GB"/>
        </w:rPr>
      </w:pPr>
      <w:r>
        <w:rPr>
          <w:lang w:val="en-GB"/>
        </w:rPr>
        <w:t>Therefore, there main themes were individuated across the five studies:</w:t>
      </w:r>
    </w:p>
    <w:p w14:paraId="2B1D593C" w14:textId="7F807455" w:rsidR="007F467E" w:rsidRPr="00753AB0" w:rsidRDefault="007F467E" w:rsidP="007F467E">
      <w:pPr>
        <w:pStyle w:val="ListParagraph"/>
        <w:numPr>
          <w:ilvl w:val="0"/>
          <w:numId w:val="6"/>
        </w:numPr>
        <w:rPr>
          <w:i/>
          <w:iCs/>
          <w:lang w:val="en-GB"/>
        </w:rPr>
      </w:pPr>
      <w:r w:rsidRPr="00753AB0">
        <w:rPr>
          <w:i/>
          <w:iCs/>
          <w:lang w:val="en-GB"/>
        </w:rPr>
        <w:t>Consistent inequalities in educational provisions</w:t>
      </w:r>
    </w:p>
    <w:p w14:paraId="393E4917" w14:textId="4C2CDE00" w:rsidR="007F467E" w:rsidRPr="007F467E" w:rsidRDefault="00850F36" w:rsidP="007F467E">
      <w:pPr>
        <w:rPr>
          <w:lang w:val="en-GB"/>
        </w:rPr>
      </w:pPr>
      <w:r>
        <w:rPr>
          <w:lang w:val="en-GB"/>
        </w:rPr>
        <w:t xml:space="preserve">All five studies highlighted the </w:t>
      </w:r>
      <w:r w:rsidR="00753AB0">
        <w:rPr>
          <w:lang w:val="en-GB"/>
        </w:rPr>
        <w:t xml:space="preserve">consistent inequalities in the educational system impact the school placements and SEND children’s access to appropriate support. Lee et al., (2024) highlight the role of socioeconomic factors in EHCPs provisions, while </w:t>
      </w:r>
      <w:r w:rsidR="005F1C51">
        <w:rPr>
          <w:lang w:val="en-GB"/>
        </w:rPr>
        <w:t>Castro et al (2019) emphasise the low quality of EHCPs</w:t>
      </w:r>
      <w:r w:rsidR="00753AB0">
        <w:rPr>
          <w:lang w:val="en-GB"/>
        </w:rPr>
        <w:t xml:space="preserve">. </w:t>
      </w:r>
      <w:r w:rsidR="00E37156">
        <w:rPr>
          <w:lang w:val="en-GB"/>
        </w:rPr>
        <w:t xml:space="preserve">Moreover, </w:t>
      </w:r>
      <w:r w:rsidR="00E37156" w:rsidRPr="00702F7F">
        <w:rPr>
          <w:lang w:val="en-GB"/>
        </w:rPr>
        <w:t>Zylbersztejn</w:t>
      </w:r>
      <w:r w:rsidR="00E37156">
        <w:rPr>
          <w:lang w:val="en-GB"/>
        </w:rPr>
        <w:t xml:space="preserve"> et al. (2023)</w:t>
      </w:r>
      <w:r w:rsidR="00BF082E">
        <w:rPr>
          <w:lang w:val="en-GB"/>
        </w:rPr>
        <w:t xml:space="preserve"> found that sociodemographic disparities contribute to the increment of inequalities in educational provisions. </w:t>
      </w:r>
      <w:r w:rsidR="00753AB0">
        <w:rPr>
          <w:lang w:val="en-GB"/>
        </w:rPr>
        <w:t>The negative consequences on SEND pupils are palpable from limited learning opportunities to poor cognitive and development progress long-term.</w:t>
      </w:r>
    </w:p>
    <w:p w14:paraId="04DAAF59" w14:textId="4FAB6F59" w:rsidR="007F467E" w:rsidRPr="005F1C51" w:rsidRDefault="007F467E" w:rsidP="007F467E">
      <w:pPr>
        <w:pStyle w:val="ListParagraph"/>
        <w:numPr>
          <w:ilvl w:val="0"/>
          <w:numId w:val="6"/>
        </w:numPr>
        <w:rPr>
          <w:i/>
          <w:iCs/>
          <w:lang w:val="en-GB"/>
        </w:rPr>
      </w:pPr>
      <w:r w:rsidRPr="005F1C51">
        <w:rPr>
          <w:i/>
          <w:iCs/>
          <w:lang w:val="en-GB"/>
        </w:rPr>
        <w:t>Emotional distress and limited educational performance</w:t>
      </w:r>
      <w:r w:rsidR="005F1C51" w:rsidRPr="005F1C51">
        <w:rPr>
          <w:i/>
          <w:iCs/>
          <w:lang w:val="en-GB"/>
        </w:rPr>
        <w:t xml:space="preserve">, and poor </w:t>
      </w:r>
      <w:r w:rsidR="008F6C93" w:rsidRPr="005F1C51">
        <w:rPr>
          <w:i/>
          <w:iCs/>
          <w:lang w:val="en-GB"/>
        </w:rPr>
        <w:t>wellbeing.</w:t>
      </w:r>
    </w:p>
    <w:p w14:paraId="1C32EBF0" w14:textId="2ED52F95" w:rsidR="005F1C51" w:rsidRPr="005F1C51" w:rsidRDefault="005F1C51" w:rsidP="005F1C51">
      <w:pPr>
        <w:rPr>
          <w:lang w:val="en-GB"/>
        </w:rPr>
      </w:pPr>
      <w:r>
        <w:rPr>
          <w:lang w:val="en-GB"/>
        </w:rPr>
        <w:t>The emotional distress and mental health impact were often mentioned in the studies liked with limited educational performance and poor wellbeing. Saxton et al. (2025) collected evidence from parents that reported anxiety and low confidence in their children when placed in unsuitable educational environments. Sinclaire et al. (2025) study strengthen the link between effective education and wellbeing by showing how non-mainstream schools and alternative placements undermine mental health increasing inequalities and leading to higher exclusion rates.</w:t>
      </w:r>
    </w:p>
    <w:p w14:paraId="08352B9D" w14:textId="3D598755" w:rsidR="007F467E" w:rsidRPr="00A67E20" w:rsidRDefault="007F467E" w:rsidP="007F467E">
      <w:pPr>
        <w:pStyle w:val="ListParagraph"/>
        <w:numPr>
          <w:ilvl w:val="0"/>
          <w:numId w:val="6"/>
        </w:numPr>
        <w:rPr>
          <w:i/>
          <w:iCs/>
          <w:lang w:val="en-GB"/>
        </w:rPr>
      </w:pPr>
      <w:r w:rsidRPr="00A67E20">
        <w:rPr>
          <w:i/>
          <w:iCs/>
          <w:lang w:val="en-GB"/>
        </w:rPr>
        <w:t xml:space="preserve">Inadequate EHCPs and placements </w:t>
      </w:r>
    </w:p>
    <w:p w14:paraId="53FB7FB2" w14:textId="77777777" w:rsidR="00871595" w:rsidRDefault="0027341E" w:rsidP="0027341E">
      <w:pPr>
        <w:rPr>
          <w:lang w:val="en-GB"/>
        </w:rPr>
      </w:pPr>
      <w:r>
        <w:rPr>
          <w:lang w:val="en-GB"/>
        </w:rPr>
        <w:t xml:space="preserve">Some studies highlighted the low quality of EHCPs and placements showing the weaknesses in the educational system. According to Castro et al., (2019) EHCPs lac of functionality and do not meet children’s actual need. Sinclaire et al (2025) instead focused on alternative provisions emphasising their increasing role in accentuating the inequalities and exclusion of SEND children. </w:t>
      </w:r>
      <w:r w:rsidR="00A67E20">
        <w:rPr>
          <w:lang w:val="en-GB"/>
        </w:rPr>
        <w:t xml:space="preserve">Hence, also in this case the impact is devastating as SEND children face inequitable access, low quality education, and thus, emotional distress and poor wellbeing. </w:t>
      </w:r>
      <w:r w:rsidR="00A67E20" w:rsidRPr="0027341E">
        <w:rPr>
          <w:lang w:val="en-GB"/>
        </w:rPr>
        <w:t xml:space="preserve"> </w:t>
      </w:r>
    </w:p>
    <w:p w14:paraId="34E1684E" w14:textId="77777777" w:rsidR="00871595" w:rsidRDefault="00871595">
      <w:pPr>
        <w:spacing w:line="259" w:lineRule="auto"/>
        <w:jc w:val="left"/>
        <w:rPr>
          <w:lang w:val="en-GB"/>
        </w:rPr>
      </w:pPr>
      <w:r>
        <w:rPr>
          <w:lang w:val="en-GB"/>
        </w:rPr>
        <w:br w:type="page"/>
      </w:r>
    </w:p>
    <w:p w14:paraId="5A9A8D55" w14:textId="77777777" w:rsidR="0053081C" w:rsidRDefault="00871595" w:rsidP="00871595">
      <w:pPr>
        <w:pStyle w:val="Heading1"/>
        <w:rPr>
          <w:lang w:val="en-GB"/>
        </w:rPr>
      </w:pPr>
      <w:bookmarkStart w:id="15" w:name="_Toc214114806"/>
      <w:r>
        <w:rPr>
          <w:lang w:val="en-GB"/>
        </w:rPr>
        <w:t>DISCUSSION</w:t>
      </w:r>
      <w:bookmarkEnd w:id="15"/>
    </w:p>
    <w:p w14:paraId="7CF61D16" w14:textId="1D76D382" w:rsidR="00E41DA3" w:rsidRDefault="00E41DA3" w:rsidP="0053081C">
      <w:pPr>
        <w:rPr>
          <w:lang w:val="en-GB"/>
        </w:rPr>
      </w:pPr>
      <w:r>
        <w:rPr>
          <w:lang w:val="en-GB"/>
        </w:rPr>
        <w:t xml:space="preserve">The aim of this scoping review was to analyse the gaps in literature regarding the impact of lack of suitable placements for SEND children in the UK. The three objectives set to answer the research questions were achieved showing </w:t>
      </w:r>
      <w:r w:rsidR="002F5A8F">
        <w:rPr>
          <w:lang w:val="en-GB"/>
        </w:rPr>
        <w:t>that although the existing legislation and policy aim towards inclusion the inconsistencies in the system challenge educational progress and wellbeing.</w:t>
      </w:r>
    </w:p>
    <w:p w14:paraId="4F01D014" w14:textId="77777777" w:rsidR="00E41DA3" w:rsidRPr="00274251" w:rsidRDefault="00E41DA3" w:rsidP="00E41DA3">
      <w:pPr>
        <w:pStyle w:val="ListParagraph"/>
        <w:numPr>
          <w:ilvl w:val="0"/>
          <w:numId w:val="7"/>
        </w:numPr>
        <w:rPr>
          <w:i/>
          <w:iCs/>
          <w:lang w:val="en-GB"/>
        </w:rPr>
      </w:pPr>
      <w:r w:rsidRPr="00274251">
        <w:rPr>
          <w:i/>
          <w:iCs/>
          <w:lang w:val="en-GB"/>
        </w:rPr>
        <w:t>Identify the existing literature and establish the key existing themes.</w:t>
      </w:r>
    </w:p>
    <w:p w14:paraId="06B660F2" w14:textId="50E7252C" w:rsidR="00076A91" w:rsidRPr="00076A91" w:rsidRDefault="00076A91" w:rsidP="00076A91">
      <w:pPr>
        <w:rPr>
          <w:lang w:val="en-GB"/>
        </w:rPr>
      </w:pPr>
      <w:r>
        <w:rPr>
          <w:lang w:val="en-GB"/>
        </w:rPr>
        <w:t xml:space="preserve">The first objective was to identify </w:t>
      </w:r>
      <w:r w:rsidR="003C01A2">
        <w:rPr>
          <w:lang w:val="en-GB"/>
        </w:rPr>
        <w:t>the existing literature on the topic and define the key themes. The analysis of the five peer-reviewed studies allowed to identify three main themes that emerge repeatedly in similar shapes. In fact, all five studies, through different methodologies, confirmed the strong connection between suitable placements and quality EHCPs and educational progress and wellbeing.</w:t>
      </w:r>
    </w:p>
    <w:p w14:paraId="1398801C" w14:textId="77777777" w:rsidR="00E41DA3" w:rsidRPr="00274251" w:rsidRDefault="00E41DA3" w:rsidP="00E41DA3">
      <w:pPr>
        <w:pStyle w:val="ListParagraph"/>
        <w:numPr>
          <w:ilvl w:val="0"/>
          <w:numId w:val="7"/>
        </w:numPr>
        <w:rPr>
          <w:i/>
          <w:iCs/>
          <w:lang w:val="en-GB"/>
        </w:rPr>
      </w:pPr>
      <w:r w:rsidRPr="00274251">
        <w:rPr>
          <w:i/>
          <w:iCs/>
          <w:lang w:val="en-GB"/>
        </w:rPr>
        <w:t>Examine practical application within the UK educational field.</w:t>
      </w:r>
    </w:p>
    <w:p w14:paraId="6C1A8DA4" w14:textId="25BB6B5D" w:rsidR="007E2002" w:rsidRDefault="003C01A2" w:rsidP="003C01A2">
      <w:pPr>
        <w:rPr>
          <w:lang w:val="en-GB"/>
        </w:rPr>
      </w:pPr>
      <w:r>
        <w:rPr>
          <w:lang w:val="en-GB"/>
        </w:rPr>
        <w:t xml:space="preserve">The second objective’s purpose was to compare the findings of the studies with the policy and legislation discussed in the Background chapter. It emerged indeed that while the framework legislation encourages and supports the inclusion of SEND people within the educational system in the UK there are important contradiction between the statutory guidance and the </w:t>
      </w:r>
      <w:r w:rsidR="00AE1EAA">
        <w:rPr>
          <w:lang w:val="en-GB"/>
        </w:rPr>
        <w:t>authentic experience</w:t>
      </w:r>
      <w:r>
        <w:rPr>
          <w:lang w:val="en-GB"/>
        </w:rPr>
        <w:t xml:space="preserve"> SEND children and their families l</w:t>
      </w:r>
      <w:r w:rsidR="003705A3">
        <w:rPr>
          <w:lang w:val="en-GB"/>
        </w:rPr>
        <w:t xml:space="preserve">ive. </w:t>
      </w:r>
      <w:r w:rsidR="00021CD2">
        <w:rPr>
          <w:lang w:val="en-GB"/>
        </w:rPr>
        <w:t xml:space="preserve">The Children and Families Act 2014 and SEND Code of Practice guarantee </w:t>
      </w:r>
      <w:r w:rsidR="00765DDC">
        <w:rPr>
          <w:lang w:val="en-GB"/>
        </w:rPr>
        <w:t>effective suppor</w:t>
      </w:r>
      <w:r w:rsidR="00C067AF">
        <w:rPr>
          <w:lang w:val="en-GB"/>
        </w:rPr>
        <w:t>t based on the children needs. However, the studied analysed revealed a different reality.</w:t>
      </w:r>
      <w:r w:rsidR="005F13B9">
        <w:rPr>
          <w:lang w:val="en-GB"/>
        </w:rPr>
        <w:t xml:space="preserve"> According to Lee et al., (2024)</w:t>
      </w:r>
      <w:r w:rsidR="00C86E9B">
        <w:rPr>
          <w:lang w:val="en-GB"/>
        </w:rPr>
        <w:t xml:space="preserve"> children living in the most deprived areas were proportionally less likely to receive adequate EHCP support then those located in better sociodemographic backgrounds, increasing also regional disparities; for instance, children living in London have better access to effective school placements that children living anywhere else in England. </w:t>
      </w:r>
      <w:r w:rsidR="007E2002">
        <w:rPr>
          <w:lang w:val="en-GB"/>
        </w:rPr>
        <w:t>Furthermore, Sinclair et al. (2025) raises attention on the negative effects enrolling SEND children in non-mainstream schools has on their educational trajectories and wellbeing. These findings show the contradiction with what should be ensured by the Equality Act 2010 that states that all children should be protected by discrimination, and schools have the obligation to ensure that through equality and inclusion. However, Sinclair et al. (2025)</w:t>
      </w:r>
      <w:r w:rsidR="00274251">
        <w:rPr>
          <w:lang w:val="en-GB"/>
        </w:rPr>
        <w:t xml:space="preserve"> findings demonstrate that placing children in special schools increases inequalities and exclusion rates. </w:t>
      </w:r>
    </w:p>
    <w:p w14:paraId="5C777AC7" w14:textId="77777777" w:rsidR="00E41DA3" w:rsidRPr="00274251" w:rsidRDefault="00E41DA3" w:rsidP="00E41DA3">
      <w:pPr>
        <w:pStyle w:val="ListParagraph"/>
        <w:numPr>
          <w:ilvl w:val="0"/>
          <w:numId w:val="7"/>
        </w:numPr>
        <w:rPr>
          <w:i/>
          <w:iCs/>
          <w:lang w:val="en-GB"/>
        </w:rPr>
      </w:pPr>
      <w:r w:rsidRPr="00274251">
        <w:rPr>
          <w:i/>
          <w:iCs/>
          <w:lang w:val="en-GB"/>
        </w:rPr>
        <w:t xml:space="preserve">Identify the gaps in research that require attention. </w:t>
      </w:r>
    </w:p>
    <w:p w14:paraId="11D1D5B8" w14:textId="40D8F3ED" w:rsidR="00992A3D" w:rsidRDefault="00055D07" w:rsidP="0053081C">
      <w:pPr>
        <w:rPr>
          <w:lang w:val="en-GB"/>
        </w:rPr>
      </w:pPr>
      <w:r>
        <w:rPr>
          <w:lang w:val="en-GB"/>
        </w:rPr>
        <w:t xml:space="preserve">This scoping review demonstrates through the analysis of the five studies that the lack of suitable school placements affects SEND children on multiple levels: </w:t>
      </w:r>
      <w:r w:rsidRPr="004B7F31">
        <w:rPr>
          <w:i/>
          <w:iCs/>
          <w:lang w:val="en-GB"/>
        </w:rPr>
        <w:t>educational</w:t>
      </w:r>
      <w:r>
        <w:rPr>
          <w:lang w:val="en-GB"/>
        </w:rPr>
        <w:t xml:space="preserve"> (higher exclusion rates, delays, reduced performance), </w:t>
      </w:r>
      <w:r w:rsidRPr="004B7F31">
        <w:rPr>
          <w:i/>
          <w:iCs/>
          <w:lang w:val="en-GB"/>
        </w:rPr>
        <w:t>developmental</w:t>
      </w:r>
      <w:r>
        <w:rPr>
          <w:lang w:val="en-GB"/>
        </w:rPr>
        <w:t xml:space="preserve"> (reduced long-term opportunities), and </w:t>
      </w:r>
      <w:r w:rsidRPr="004B7F31">
        <w:rPr>
          <w:i/>
          <w:iCs/>
          <w:lang w:val="en-GB"/>
        </w:rPr>
        <w:t xml:space="preserve">psychological </w:t>
      </w:r>
      <w:r>
        <w:rPr>
          <w:lang w:val="en-GB"/>
        </w:rPr>
        <w:t>(mental health issues like anxiety, low self-esteem, depression).</w:t>
      </w:r>
      <w:r w:rsidR="00A30980">
        <w:rPr>
          <w:lang w:val="en-GB"/>
        </w:rPr>
        <w:t xml:space="preserve"> </w:t>
      </w:r>
      <w:r w:rsidR="00992A3D">
        <w:rPr>
          <w:lang w:val="en-GB"/>
        </w:rPr>
        <w:t xml:space="preserve">Hence, the findings show that the lack of placement and the crisis in the educational system it is not only an administrative issue, but more importantly a key factor in children’s development and wellbeing. However, while the five studies’ findings highlight </w:t>
      </w:r>
      <w:r w:rsidR="00AE1EAA">
        <w:rPr>
          <w:lang w:val="en-GB"/>
        </w:rPr>
        <w:t>critical issues</w:t>
      </w:r>
      <w:r w:rsidR="00992A3D">
        <w:rPr>
          <w:lang w:val="en-GB"/>
        </w:rPr>
        <w:t xml:space="preserve">, there were several important haps in literature that require further attention. </w:t>
      </w:r>
    </w:p>
    <w:p w14:paraId="36CC6422" w14:textId="77777777" w:rsidR="001D30E0" w:rsidRDefault="00521BDE" w:rsidP="0053081C">
      <w:pPr>
        <w:rPr>
          <w:lang w:val="en-GB"/>
        </w:rPr>
      </w:pPr>
      <w:r>
        <w:rPr>
          <w:lang w:val="en-GB"/>
        </w:rPr>
        <w:t xml:space="preserve">First, </w:t>
      </w:r>
      <w:r w:rsidR="00FE3E46">
        <w:rPr>
          <w:lang w:val="en-GB"/>
        </w:rPr>
        <w:t>only Saxton et al. (2025) research builds on longitudinal data, while the rest of the studies are conducted on limited sample.</w:t>
      </w:r>
      <w:r w:rsidR="00926CDD">
        <w:rPr>
          <w:lang w:val="en-GB"/>
        </w:rPr>
        <w:t xml:space="preserve"> Longitudinal data is fundamental to support research </w:t>
      </w:r>
      <w:r w:rsidR="00942EF0">
        <w:rPr>
          <w:lang w:val="en-GB"/>
        </w:rPr>
        <w:t>findings</w:t>
      </w:r>
      <w:r w:rsidR="00926CDD">
        <w:rPr>
          <w:lang w:val="en-GB"/>
        </w:rPr>
        <w:t xml:space="preserve"> because it allows tracking temporal trajectories over multiple years, highlighting the short and long-term fluctuations, and capturing the impact of the ongoing legislative framework </w:t>
      </w:r>
      <w:r w:rsidR="0020558D">
        <w:rPr>
          <w:lang w:val="en-GB"/>
        </w:rPr>
        <w:t>(</w:t>
      </w:r>
      <w:r w:rsidR="0020558D" w:rsidRPr="006C4804">
        <w:rPr>
          <w:lang w:val="en-GB"/>
        </w:rPr>
        <w:t>Herle</w:t>
      </w:r>
      <w:r w:rsidR="0020558D">
        <w:rPr>
          <w:lang w:val="en-GB"/>
        </w:rPr>
        <w:t xml:space="preserve"> et al., 2020)</w:t>
      </w:r>
      <w:r w:rsidR="00926CDD">
        <w:rPr>
          <w:lang w:val="en-GB"/>
        </w:rPr>
        <w:t>.</w:t>
      </w:r>
      <w:r w:rsidR="00942EF0">
        <w:rPr>
          <w:lang w:val="en-GB"/>
        </w:rPr>
        <w:t xml:space="preserve"> In this context, long-term studies can provide a deeper analysis</w:t>
      </w:r>
      <w:r w:rsidR="001E4BB9">
        <w:rPr>
          <w:lang w:val="en-GB"/>
        </w:rPr>
        <w:t xml:space="preserve"> on SEND children trajectory in the educational system</w:t>
      </w:r>
      <w:r w:rsidR="00942EF0">
        <w:rPr>
          <w:lang w:val="en-GB"/>
        </w:rPr>
        <w:t xml:space="preserve"> </w:t>
      </w:r>
      <w:r w:rsidR="001E4BB9">
        <w:rPr>
          <w:lang w:val="en-GB"/>
        </w:rPr>
        <w:t>rather</w:t>
      </w:r>
      <w:r w:rsidR="00942EF0">
        <w:rPr>
          <w:lang w:val="en-GB"/>
        </w:rPr>
        <w:t xml:space="preserve"> tha</w:t>
      </w:r>
      <w:r w:rsidR="001E4BB9">
        <w:rPr>
          <w:lang w:val="en-GB"/>
        </w:rPr>
        <w:t xml:space="preserve">n </w:t>
      </w:r>
      <w:r w:rsidR="00942EF0">
        <w:rPr>
          <w:lang w:val="en-GB"/>
        </w:rPr>
        <w:t>just</w:t>
      </w:r>
      <w:r w:rsidR="001E4BB9">
        <w:rPr>
          <w:lang w:val="en-GB"/>
        </w:rPr>
        <w:t xml:space="preserve"> a moment in time</w:t>
      </w:r>
      <w:r w:rsidR="00D02418">
        <w:rPr>
          <w:lang w:val="en-GB"/>
        </w:rPr>
        <w:t xml:space="preserve">, supporting the generalisation of the findings across population. </w:t>
      </w:r>
    </w:p>
    <w:p w14:paraId="0B0E1265" w14:textId="77777777" w:rsidR="001B17E6" w:rsidRDefault="001D30E0" w:rsidP="0053081C">
      <w:pPr>
        <w:rPr>
          <w:lang w:val="en-GB"/>
        </w:rPr>
      </w:pPr>
      <w:r>
        <w:rPr>
          <w:lang w:val="en-GB"/>
        </w:rPr>
        <w:t>Second,</w:t>
      </w:r>
      <w:r w:rsidR="00E25DE0">
        <w:rPr>
          <w:lang w:val="en-GB"/>
        </w:rPr>
        <w:t xml:space="preserve"> there is</w:t>
      </w:r>
      <w:r>
        <w:rPr>
          <w:lang w:val="en-GB"/>
        </w:rPr>
        <w:t xml:space="preserve"> </w:t>
      </w:r>
      <w:r w:rsidR="00E25DE0">
        <w:rPr>
          <w:lang w:val="en-GB"/>
        </w:rPr>
        <w:t xml:space="preserve">limited research on demographic disparities, and underrepresentation of several SEND groups. Among the studies analysed, Lee et al. (2024) evaluate </w:t>
      </w:r>
      <w:r w:rsidR="00F94C24">
        <w:rPr>
          <w:lang w:val="en-GB"/>
        </w:rPr>
        <w:t>local authorities support and differences, however more data is necessary on the topic. Besides</w:t>
      </w:r>
      <w:r w:rsidR="00466D54">
        <w:rPr>
          <w:lang w:val="en-GB"/>
        </w:rPr>
        <w:t>, all five studies focus specifically on pupils with severe and complex needs</w:t>
      </w:r>
      <w:r w:rsidR="00E710B7">
        <w:rPr>
          <w:lang w:val="en-GB"/>
        </w:rPr>
        <w:t xml:space="preserve">. </w:t>
      </w:r>
      <w:r w:rsidR="00042B44">
        <w:rPr>
          <w:lang w:val="en-GB"/>
        </w:rPr>
        <w:t xml:space="preserve">Only Saxton et al (2025) includes mixed SEND needs, yet most of the examples are linked with complex ones. </w:t>
      </w:r>
    </w:p>
    <w:p w14:paraId="1B54FA41" w14:textId="77777777" w:rsidR="001A5F7E" w:rsidRDefault="001B17E6" w:rsidP="0053081C">
      <w:pPr>
        <w:rPr>
          <w:lang w:val="en-GB"/>
        </w:rPr>
      </w:pPr>
      <w:r>
        <w:rPr>
          <w:lang w:val="en-GB"/>
        </w:rPr>
        <w:t>Third, the direct connection between lack of school placements and mental health impact is not directly address in the studies analysed. Although concepts related with mental health such as emotional distress</w:t>
      </w:r>
      <w:r w:rsidR="00220EF9">
        <w:rPr>
          <w:lang w:val="en-GB"/>
        </w:rPr>
        <w:t xml:space="preserve">, exclusion, behavioural issues, or high anxiety are mentioned they often appear as a secondary theme rather than a direct consequence. Again, Saxton et al (2025) study directly addresses the topic; however, the data is mostly qualitative as it emerges from parents feedback, lack on quantitative information for an effective triangulation of the findings. </w:t>
      </w:r>
    </w:p>
    <w:p w14:paraId="02C592D0" w14:textId="77777777" w:rsidR="001A5F7E" w:rsidRDefault="001A5F7E">
      <w:pPr>
        <w:spacing w:line="259" w:lineRule="auto"/>
        <w:jc w:val="left"/>
        <w:rPr>
          <w:lang w:val="en-GB"/>
        </w:rPr>
      </w:pPr>
      <w:r>
        <w:rPr>
          <w:lang w:val="en-GB"/>
        </w:rPr>
        <w:br w:type="page"/>
      </w:r>
    </w:p>
    <w:p w14:paraId="19134BBC" w14:textId="77777777" w:rsidR="001A5F7E" w:rsidRDefault="001A5F7E" w:rsidP="001A5F7E">
      <w:pPr>
        <w:pStyle w:val="Heading1"/>
        <w:rPr>
          <w:lang w:val="en-GB"/>
        </w:rPr>
      </w:pPr>
      <w:bookmarkStart w:id="16" w:name="_Toc214114807"/>
      <w:r>
        <w:rPr>
          <w:lang w:val="en-GB"/>
        </w:rPr>
        <w:t>CONCLUSIONS AND RECOMMENDATIONS</w:t>
      </w:r>
      <w:bookmarkEnd w:id="16"/>
    </w:p>
    <w:p w14:paraId="2BF342A1" w14:textId="1AF27924" w:rsidR="001A5F7E" w:rsidRDefault="001A5F7E" w:rsidP="001A5F7E">
      <w:pPr>
        <w:rPr>
          <w:lang w:val="en-GB"/>
        </w:rPr>
      </w:pPr>
      <w:r>
        <w:rPr>
          <w:lang w:val="en-GB"/>
        </w:rPr>
        <w:t>To summarise, this scoping review clearly reflects the crisis in the UK educational system related to the lack of placement for SEND children. The studies analysed show the negative impact of unsuitable placements and EHCPs on SEND pupils, emphasising how the unmet educational needs lead to long-term inequalities and limitation. However, important gaps that require immediate attention were identified through the analysis.</w:t>
      </w:r>
    </w:p>
    <w:p w14:paraId="16B24774" w14:textId="6B2A0079" w:rsidR="001A5F7E" w:rsidRDefault="001A5F7E" w:rsidP="001A5F7E">
      <w:pPr>
        <w:rPr>
          <w:lang w:val="en-GB"/>
        </w:rPr>
      </w:pPr>
      <w:r>
        <w:rPr>
          <w:lang w:val="en-GB"/>
        </w:rPr>
        <w:t>Therefore, the following recommendations are made:</w:t>
      </w:r>
    </w:p>
    <w:p w14:paraId="7A5C9F84" w14:textId="6310805E" w:rsidR="001A5F7E" w:rsidRDefault="001A5F7E" w:rsidP="001A5F7E">
      <w:pPr>
        <w:pStyle w:val="ListParagraph"/>
        <w:numPr>
          <w:ilvl w:val="0"/>
          <w:numId w:val="8"/>
        </w:numPr>
        <w:rPr>
          <w:lang w:val="en-GB"/>
        </w:rPr>
      </w:pPr>
      <w:r>
        <w:rPr>
          <w:lang w:val="en-GB"/>
        </w:rPr>
        <w:t>Conduct more longitudinal studies to understand how the lack of placements affects long-term mental health.</w:t>
      </w:r>
    </w:p>
    <w:p w14:paraId="6BFDD6A8" w14:textId="0D2C9383" w:rsidR="001A5F7E" w:rsidRDefault="001A5F7E" w:rsidP="001A5F7E">
      <w:pPr>
        <w:pStyle w:val="ListParagraph"/>
        <w:numPr>
          <w:ilvl w:val="0"/>
          <w:numId w:val="8"/>
        </w:numPr>
        <w:rPr>
          <w:lang w:val="en-GB"/>
        </w:rPr>
      </w:pPr>
      <w:r>
        <w:rPr>
          <w:lang w:val="en-GB"/>
        </w:rPr>
        <w:t xml:space="preserve">Expand the research on different SEND groups such as mild to moderate difficulties/disabilities or ethnic minorities. </w:t>
      </w:r>
    </w:p>
    <w:p w14:paraId="3EBEBB5E" w14:textId="15FC6075" w:rsidR="00111D2D" w:rsidRDefault="00C15515" w:rsidP="001A5F7E">
      <w:pPr>
        <w:pStyle w:val="ListParagraph"/>
        <w:numPr>
          <w:ilvl w:val="0"/>
          <w:numId w:val="8"/>
        </w:numPr>
        <w:rPr>
          <w:lang w:val="en-GB"/>
        </w:rPr>
      </w:pPr>
      <w:r w:rsidRPr="00111D2D">
        <w:rPr>
          <w:lang w:val="en-GB"/>
        </w:rPr>
        <w:t xml:space="preserve">Analyse the possibility to implement temporary intervention for children </w:t>
      </w:r>
      <w:r w:rsidR="00111D2D" w:rsidRPr="00111D2D">
        <w:rPr>
          <w:lang w:val="en-GB"/>
        </w:rPr>
        <w:t>that are waiting for evaluation or to receive a suitable placement</w:t>
      </w:r>
      <w:r w:rsidR="00111D2D">
        <w:rPr>
          <w:lang w:val="en-GB"/>
        </w:rPr>
        <w:t>.</w:t>
      </w:r>
    </w:p>
    <w:p w14:paraId="29980B1B" w14:textId="3E3F019C" w:rsidR="00111D2D" w:rsidRDefault="006607DF" w:rsidP="001A5F7E">
      <w:pPr>
        <w:pStyle w:val="ListParagraph"/>
        <w:numPr>
          <w:ilvl w:val="0"/>
          <w:numId w:val="8"/>
        </w:numPr>
        <w:rPr>
          <w:lang w:val="en-GB"/>
        </w:rPr>
      </w:pPr>
      <w:r>
        <w:rPr>
          <w:lang w:val="en-GB"/>
        </w:rPr>
        <w:t xml:space="preserve">Evaluate the impact on SEND children families and what type of intervention and support they need to ensure parental wellbeing. </w:t>
      </w:r>
    </w:p>
    <w:p w14:paraId="74F6F5D2" w14:textId="771270A4" w:rsidR="00BF156A" w:rsidRPr="00111D2D" w:rsidRDefault="00BF156A" w:rsidP="001A5F7E">
      <w:pPr>
        <w:pStyle w:val="ListParagraph"/>
        <w:numPr>
          <w:ilvl w:val="0"/>
          <w:numId w:val="8"/>
        </w:numPr>
        <w:rPr>
          <w:lang w:val="en-GB"/>
        </w:rPr>
      </w:pPr>
      <w:r>
        <w:rPr>
          <w:lang w:val="en-GB"/>
        </w:rPr>
        <w:t xml:space="preserve">Analyse the direct impact of the lack of appropriate educational support on mental health. </w:t>
      </w:r>
    </w:p>
    <w:p w14:paraId="60E17F0C" w14:textId="081515D5" w:rsidR="00AF65B9" w:rsidRPr="0027341E" w:rsidRDefault="00AF65B9" w:rsidP="001A5F7E">
      <w:pPr>
        <w:rPr>
          <w:lang w:val="en-GB"/>
        </w:rPr>
      </w:pPr>
      <w:r w:rsidRPr="0027341E">
        <w:rPr>
          <w:lang w:val="en-GB"/>
        </w:rPr>
        <w:br w:type="page"/>
      </w:r>
    </w:p>
    <w:p w14:paraId="6C21D56F" w14:textId="07894609" w:rsidR="00AF65B9" w:rsidRPr="00AF65B9" w:rsidRDefault="00AF65B9" w:rsidP="00AF65B9">
      <w:pPr>
        <w:pStyle w:val="Heading1"/>
        <w:rPr>
          <w:lang w:val="en-GB"/>
        </w:rPr>
      </w:pPr>
      <w:bookmarkStart w:id="17" w:name="_Toc214114808"/>
      <w:r>
        <w:rPr>
          <w:lang w:val="en-GB"/>
        </w:rPr>
        <w:t>REFERENCES</w:t>
      </w:r>
      <w:bookmarkEnd w:id="17"/>
    </w:p>
    <w:p w14:paraId="72F74CF5" w14:textId="12CDC70B" w:rsidR="00DC58E2" w:rsidRDefault="00DC58E2" w:rsidP="008644B7">
      <w:pPr>
        <w:rPr>
          <w:lang w:val="en-GB"/>
        </w:rPr>
      </w:pPr>
      <w:r w:rsidRPr="00DC58E2">
        <w:rPr>
          <w:lang w:val="en-GB"/>
        </w:rPr>
        <w:t xml:space="preserve">Ajayi, V.O., 2023. </w:t>
      </w:r>
      <w:r w:rsidRPr="00DC58E2">
        <w:rPr>
          <w:i/>
          <w:iCs/>
          <w:lang w:val="en-GB"/>
        </w:rPr>
        <w:t>A review on primary sources of data and secondary sources of data</w:t>
      </w:r>
      <w:r w:rsidRPr="00DC58E2">
        <w:rPr>
          <w:lang w:val="en-GB"/>
        </w:rPr>
        <w:t xml:space="preserve">. </w:t>
      </w:r>
      <w:r w:rsidRPr="004B2D4A">
        <w:rPr>
          <w:lang w:val="en-GB"/>
        </w:rPr>
        <w:t>[</w:t>
      </w:r>
      <w:r w:rsidR="004B2D4A" w:rsidRPr="004B2D4A">
        <w:rPr>
          <w:lang w:val="en-GB"/>
        </w:rPr>
        <w:t>O</w:t>
      </w:r>
      <w:r w:rsidRPr="004B2D4A">
        <w:rPr>
          <w:lang w:val="en-GB"/>
        </w:rPr>
        <w:t>nline]  Available at:</w:t>
      </w:r>
      <w:r w:rsidR="004B2D4A" w:rsidRPr="004B2D4A">
        <w:rPr>
          <w:lang w:val="en-GB"/>
        </w:rPr>
        <w:t xml:space="preserve"> &lt; </w:t>
      </w:r>
      <w:hyperlink r:id="rId8" w:tgtFrame="_blank" w:history="1">
        <w:r w:rsidR="004B2D4A" w:rsidRPr="004B2D4A">
          <w:rPr>
            <w:rStyle w:val="Hyperlink"/>
            <w:lang w:val="en-GB"/>
          </w:rPr>
          <w:t>http://dx.doi.org/10.2139/ssrn.5378785</w:t>
        </w:r>
      </w:hyperlink>
      <w:r w:rsidR="004B2D4A" w:rsidRPr="004B2D4A">
        <w:rPr>
          <w:lang w:val="en-GB"/>
        </w:rPr>
        <w:t xml:space="preserve"> &gt; [Accessed 5 No</w:t>
      </w:r>
      <w:r w:rsidR="004B2D4A">
        <w:rPr>
          <w:lang w:val="en-GB"/>
        </w:rPr>
        <w:t>vember 2025</w:t>
      </w:r>
      <w:r w:rsidR="004B2D4A" w:rsidRPr="004B2D4A">
        <w:rPr>
          <w:lang w:val="en-GB"/>
        </w:rPr>
        <w:t>]</w:t>
      </w:r>
    </w:p>
    <w:p w14:paraId="7A8AE1AA" w14:textId="5EF187E5" w:rsidR="00485AAF" w:rsidRDefault="00485AAF" w:rsidP="008644B7">
      <w:pPr>
        <w:rPr>
          <w:lang w:val="en-GB"/>
        </w:rPr>
      </w:pPr>
      <w:r w:rsidRPr="00FB146E">
        <w:rPr>
          <w:lang w:val="en-GB"/>
        </w:rPr>
        <w:t xml:space="preserve">Aveyard, H. (2023) </w:t>
      </w:r>
      <w:r w:rsidRPr="000D4288">
        <w:rPr>
          <w:i/>
          <w:iCs/>
          <w:lang w:val="en-GB"/>
        </w:rPr>
        <w:t>Doing a Literature Review in Health and Social Care: A Practical Guide.</w:t>
      </w:r>
      <w:r w:rsidRPr="00FB146E">
        <w:rPr>
          <w:lang w:val="en-GB"/>
        </w:rPr>
        <w:t xml:space="preserve"> 5th edn. London: McGraw-Hill Education.</w:t>
      </w:r>
      <w:r>
        <w:rPr>
          <w:lang w:val="en-GB"/>
        </w:rPr>
        <w:t xml:space="preserve"> [eBook] Available at: &lt; </w:t>
      </w:r>
      <w:hyperlink r:id="rId9" w:anchor="v=onepage&amp;q&amp;f=false" w:history="1">
        <w:r w:rsidRPr="000D4288">
          <w:rPr>
            <w:rStyle w:val="Hyperlink"/>
            <w:lang w:val="en-GB"/>
          </w:rPr>
          <w:t>Ebook: Doing a Literature Review in Health and Social Care: A Practical Guide 5e - Helen Aveyard - Google Books</w:t>
        </w:r>
      </w:hyperlink>
      <w:r>
        <w:rPr>
          <w:lang w:val="en-GB"/>
        </w:rPr>
        <w:t xml:space="preserve"> &gt; [Accessed 5 November 2025]</w:t>
      </w:r>
    </w:p>
    <w:p w14:paraId="72433A9B" w14:textId="293FAEED" w:rsidR="005F2120" w:rsidRDefault="005F2120" w:rsidP="008644B7">
      <w:pPr>
        <w:rPr>
          <w:lang w:val="en-GB"/>
        </w:rPr>
      </w:pPr>
      <w:r w:rsidRPr="005F2120">
        <w:rPr>
          <w:lang w:val="en-GB"/>
        </w:rPr>
        <w:t>Castro, S., Grande, C., &amp; Palikara, O. (2019) Evaluating the quality of outcomes defined for children with Education Health and Care plans in England: A local picture with global implications. </w:t>
      </w:r>
      <w:r w:rsidRPr="005F2120">
        <w:rPr>
          <w:i/>
          <w:iCs/>
          <w:lang w:val="en-GB"/>
        </w:rPr>
        <w:t>Research in developmental disabilities</w:t>
      </w:r>
      <w:r w:rsidRPr="005F2120">
        <w:rPr>
          <w:lang w:val="en-GB"/>
        </w:rPr>
        <w:t>, </w:t>
      </w:r>
      <w:r w:rsidRPr="005F2120">
        <w:rPr>
          <w:i/>
          <w:iCs/>
          <w:lang w:val="en-GB"/>
        </w:rPr>
        <w:t>86</w:t>
      </w:r>
      <w:r w:rsidRPr="005F2120">
        <w:rPr>
          <w:lang w:val="en-GB"/>
        </w:rPr>
        <w:t xml:space="preserve">, 41–52. </w:t>
      </w:r>
      <w:r>
        <w:rPr>
          <w:lang w:val="en-GB"/>
        </w:rPr>
        <w:t xml:space="preserve">[Online] Available at:&lt; </w:t>
      </w:r>
      <w:hyperlink r:id="rId10" w:history="1">
        <w:r w:rsidRPr="00C55861">
          <w:rPr>
            <w:rStyle w:val="Hyperlink"/>
            <w:lang w:val="en-GB"/>
          </w:rPr>
          <w:t>https://doi.org/10.1016/j.ridd.2019.01.003</w:t>
        </w:r>
      </w:hyperlink>
      <w:r>
        <w:rPr>
          <w:lang w:val="en-GB"/>
        </w:rPr>
        <w:t xml:space="preserve"> &gt; [Accessed 10 November 2025]</w:t>
      </w:r>
    </w:p>
    <w:p w14:paraId="78144E01" w14:textId="0E840A46" w:rsidR="002E1421" w:rsidRDefault="002E1421" w:rsidP="008644B7">
      <w:pPr>
        <w:rPr>
          <w:lang w:val="en-GB"/>
        </w:rPr>
      </w:pPr>
      <w:r w:rsidRPr="002E1421">
        <w:rPr>
          <w:lang w:val="en-GB"/>
        </w:rPr>
        <w:t xml:space="preserve">Centre for Educational Neuroscience (2022) </w:t>
      </w:r>
      <w:r w:rsidRPr="002E1421">
        <w:rPr>
          <w:i/>
          <w:iCs/>
          <w:lang w:val="en-GB"/>
        </w:rPr>
        <w:t>Why has there been a rise in number of SEN children, especially in the early years?</w:t>
      </w:r>
      <w:r w:rsidRPr="002E1421">
        <w:rPr>
          <w:lang w:val="en-GB"/>
        </w:rPr>
        <w:t xml:space="preserve"> [</w:t>
      </w:r>
      <w:r>
        <w:rPr>
          <w:lang w:val="en-GB"/>
        </w:rPr>
        <w:t>O</w:t>
      </w:r>
      <w:r w:rsidRPr="002E1421">
        <w:rPr>
          <w:lang w:val="en-GB"/>
        </w:rPr>
        <w:t xml:space="preserve">nline] Available at: </w:t>
      </w:r>
      <w:r>
        <w:rPr>
          <w:lang w:val="en-GB"/>
        </w:rPr>
        <w:t xml:space="preserve">&lt; </w:t>
      </w:r>
      <w:hyperlink r:id="rId11" w:history="1">
        <w:r w:rsidRPr="00C46341">
          <w:rPr>
            <w:rStyle w:val="Hyperlink"/>
            <w:lang w:val="en-GB"/>
          </w:rPr>
          <w:t>https://www.educationalneuroscience.org.uk/2022/04/01/why-has-there-been-a-rise-in-number-of-sen-children-especially-in-the-early-years/</w:t>
        </w:r>
      </w:hyperlink>
      <w:r>
        <w:rPr>
          <w:lang w:val="en-GB"/>
        </w:rPr>
        <w:t xml:space="preserve"> &gt;</w:t>
      </w:r>
      <w:r w:rsidRPr="002E1421">
        <w:rPr>
          <w:lang w:val="en-GB"/>
        </w:rPr>
        <w:t xml:space="preserve"> [Accessed </w:t>
      </w:r>
      <w:r>
        <w:rPr>
          <w:lang w:val="en-GB"/>
        </w:rPr>
        <w:t>2</w:t>
      </w:r>
      <w:r w:rsidRPr="002E1421">
        <w:rPr>
          <w:lang w:val="en-GB"/>
        </w:rPr>
        <w:t xml:space="preserve"> November 2025].</w:t>
      </w:r>
    </w:p>
    <w:p w14:paraId="117E86D8" w14:textId="66196A6A" w:rsidR="00D84622" w:rsidRDefault="00D84622" w:rsidP="008644B7">
      <w:pPr>
        <w:rPr>
          <w:lang w:val="en-GB"/>
        </w:rPr>
      </w:pPr>
      <w:r>
        <w:rPr>
          <w:lang w:val="en-GB"/>
        </w:rPr>
        <w:t xml:space="preserve">EA (2025) </w:t>
      </w:r>
      <w:r w:rsidRPr="00D84622">
        <w:rPr>
          <w:i/>
          <w:iCs/>
          <w:lang w:val="en-GB"/>
        </w:rPr>
        <w:t>School Placements for children with Special Educational Needs (SEN).</w:t>
      </w:r>
      <w:r>
        <w:rPr>
          <w:lang w:val="en-GB"/>
        </w:rPr>
        <w:t xml:space="preserve"> [Online] Available at: &lt; </w:t>
      </w:r>
      <w:hyperlink r:id="rId12" w:anchor=":~:text=Identifying%20and%20securing%20appropriate%20placements%20for%20children%20with,known%20as%20the%20Statutory%20Assessment%20and%20Review%20process." w:history="1">
        <w:r w:rsidRPr="00D84622">
          <w:rPr>
            <w:rStyle w:val="Hyperlink"/>
            <w:lang w:val="en-GB"/>
          </w:rPr>
          <w:t>School Placements for children with Special Educational Needs (SEN) | SEND Plan</w:t>
        </w:r>
      </w:hyperlink>
      <w:r>
        <w:rPr>
          <w:lang w:val="en-GB"/>
        </w:rPr>
        <w:t xml:space="preserve"> &gt; [Accessed 30 October 2025]</w:t>
      </w:r>
    </w:p>
    <w:p w14:paraId="129BE3B6" w14:textId="62BB2FCA" w:rsidR="00B9451E" w:rsidRDefault="00B9451E" w:rsidP="008644B7">
      <w:pPr>
        <w:rPr>
          <w:lang w:val="en-GB"/>
        </w:rPr>
      </w:pPr>
      <w:r>
        <w:rPr>
          <w:lang w:val="en-GB"/>
        </w:rPr>
        <w:t xml:space="preserve">Gov.uk (2014) </w:t>
      </w:r>
      <w:r w:rsidR="004F0247" w:rsidRPr="004F0247">
        <w:rPr>
          <w:i/>
          <w:iCs/>
          <w:lang w:val="en-GB"/>
        </w:rPr>
        <w:t>The young person’s guide to the Children and Families Act 2014.</w:t>
      </w:r>
      <w:r w:rsidR="004F0247">
        <w:rPr>
          <w:lang w:val="en-GB"/>
        </w:rPr>
        <w:t xml:space="preserve"> [Online] Available at: &lt; </w:t>
      </w:r>
      <w:hyperlink r:id="rId13" w:history="1">
        <w:r w:rsidR="004F0247" w:rsidRPr="00C46341">
          <w:rPr>
            <w:rStyle w:val="Hyperlink"/>
            <w:lang w:val="en-GB"/>
          </w:rPr>
          <w:t>https://assets.publishing.service.gov.uk/government/uploads/system/uploads/attachment_data/file/359681/Young_Person_s_Guide_to_the_Children_and_Families_Act.pdf</w:t>
        </w:r>
      </w:hyperlink>
      <w:r w:rsidR="004F0247">
        <w:rPr>
          <w:lang w:val="en-GB"/>
        </w:rPr>
        <w:t xml:space="preserve"> &gt; [Accessed 30 October 2025]</w:t>
      </w:r>
    </w:p>
    <w:p w14:paraId="5937DBE4" w14:textId="48BF5783" w:rsidR="00E13A83" w:rsidRPr="00FB3FEA" w:rsidRDefault="00E13A83" w:rsidP="008644B7">
      <w:pPr>
        <w:rPr>
          <w:lang w:val="en-GB"/>
        </w:rPr>
      </w:pPr>
      <w:r>
        <w:rPr>
          <w:lang w:val="en-GB"/>
        </w:rPr>
        <w:t xml:space="preserve">Gov.uk (2014b) </w:t>
      </w:r>
      <w:r w:rsidR="00FB3FEA" w:rsidRPr="00FB3FEA">
        <w:rPr>
          <w:i/>
          <w:iCs/>
          <w:lang w:val="en-GB"/>
        </w:rPr>
        <w:t>The Equality Act 2010 and schools Departmental advice for school leaders, school staff, governing bodies and local authorities.</w:t>
      </w:r>
      <w:r w:rsidR="00FB3FEA">
        <w:rPr>
          <w:lang w:val="en-GB"/>
        </w:rPr>
        <w:t xml:space="preserve"> [Online] Available at: &lt; </w:t>
      </w:r>
      <w:hyperlink r:id="rId14" w:history="1">
        <w:r w:rsidR="00FB3FEA" w:rsidRPr="00FB3FEA">
          <w:rPr>
            <w:rStyle w:val="Hyperlink"/>
            <w:lang w:val="en-GB"/>
          </w:rPr>
          <w:t>Equality_Act_Advice_Final.pdf</w:t>
        </w:r>
      </w:hyperlink>
      <w:r w:rsidR="00FB3FEA">
        <w:rPr>
          <w:lang w:val="en-GB"/>
        </w:rPr>
        <w:t xml:space="preserve"> [Accessed 30 October 2025]</w:t>
      </w:r>
    </w:p>
    <w:p w14:paraId="1802676B" w14:textId="4A96AD2D" w:rsidR="00827DDE" w:rsidRPr="003D6203" w:rsidRDefault="00827DDE" w:rsidP="008644B7">
      <w:pPr>
        <w:rPr>
          <w:lang w:val="en-GB"/>
        </w:rPr>
      </w:pPr>
      <w:r>
        <w:rPr>
          <w:lang w:val="en-GB"/>
        </w:rPr>
        <w:t xml:space="preserve">Gov.uk (2015) </w:t>
      </w:r>
      <w:r w:rsidR="003D6203" w:rsidRPr="003D6203">
        <w:rPr>
          <w:i/>
          <w:iCs/>
          <w:lang w:val="en-GB"/>
        </w:rPr>
        <w:t>Special educational needs and disability code of practice: 0 to 25 years Statutory guidance for organisations which work with and support children and young people who have special educational needs or disabilities.</w:t>
      </w:r>
      <w:r w:rsidR="003D6203">
        <w:rPr>
          <w:lang w:val="en-GB"/>
        </w:rPr>
        <w:t xml:space="preserve"> [Online] Available at: &lt; </w:t>
      </w:r>
      <w:hyperlink r:id="rId15" w:history="1">
        <w:r w:rsidR="003D6203" w:rsidRPr="003D6203">
          <w:rPr>
            <w:rStyle w:val="Hyperlink"/>
            <w:lang w:val="en-GB"/>
          </w:rPr>
          <w:t>SEND_Code_of_Practice_January_2015.pdf</w:t>
        </w:r>
      </w:hyperlink>
      <w:r w:rsidR="003D6203">
        <w:rPr>
          <w:lang w:val="en-GB"/>
        </w:rPr>
        <w:t xml:space="preserve"> &gt; [Accessed 30 October 2025]</w:t>
      </w:r>
    </w:p>
    <w:p w14:paraId="608A4417" w14:textId="56D1CCAC" w:rsidR="00267859" w:rsidRDefault="00F119A6" w:rsidP="008644B7">
      <w:pPr>
        <w:rPr>
          <w:lang w:val="en-GB"/>
        </w:rPr>
      </w:pPr>
      <w:r>
        <w:rPr>
          <w:lang w:val="en-GB"/>
        </w:rPr>
        <w:t xml:space="preserve">Gov.uk (2025) </w:t>
      </w:r>
      <w:r w:rsidR="008644B7" w:rsidRPr="008644B7">
        <w:rPr>
          <w:i/>
          <w:iCs/>
          <w:lang w:val="en-GB"/>
        </w:rPr>
        <w:t>Academic year 2024/25. Special educational needs in England.</w:t>
      </w:r>
      <w:r w:rsidR="008644B7">
        <w:rPr>
          <w:lang w:val="en-GB"/>
        </w:rPr>
        <w:t xml:space="preserve"> [Online] Available at: &lt; </w:t>
      </w:r>
      <w:hyperlink r:id="rId16" w:history="1">
        <w:r w:rsidR="008644B7" w:rsidRPr="00C46341">
          <w:rPr>
            <w:rStyle w:val="Hyperlink"/>
            <w:lang w:val="en-GB"/>
          </w:rPr>
          <w:t>https://explore-education-statistics.service.gov.uk/find-statistics/special-educational-needs-in-england/2024-25</w:t>
        </w:r>
      </w:hyperlink>
      <w:r w:rsidR="008644B7">
        <w:rPr>
          <w:lang w:val="en-GB"/>
        </w:rPr>
        <w:t xml:space="preserve"> &gt; [Accessed 30 October 2025</w:t>
      </w:r>
      <w:r w:rsidR="004C28C8">
        <w:rPr>
          <w:lang w:val="en-GB"/>
        </w:rPr>
        <w:t>]</w:t>
      </w:r>
    </w:p>
    <w:p w14:paraId="3D1DF24B" w14:textId="4DA671AE" w:rsidR="00CC26A9" w:rsidRDefault="00CC26A9" w:rsidP="008644B7">
      <w:pPr>
        <w:rPr>
          <w:lang w:val="en-GB"/>
        </w:rPr>
      </w:pPr>
      <w:r>
        <w:rPr>
          <w:lang w:val="en-GB"/>
        </w:rPr>
        <w:t xml:space="preserve">Gov.uk (2025b) </w:t>
      </w:r>
      <w:r w:rsidR="00311791" w:rsidRPr="00AE1BFE">
        <w:rPr>
          <w:i/>
          <w:iCs/>
          <w:lang w:val="en-GB"/>
        </w:rPr>
        <w:t xml:space="preserve">Table Tool. Create your own tables on special educational needs in England. </w:t>
      </w:r>
      <w:r w:rsidR="00311791">
        <w:rPr>
          <w:lang w:val="en-GB"/>
        </w:rPr>
        <w:t xml:space="preserve">[Online] Available at: &lt; </w:t>
      </w:r>
      <w:hyperlink r:id="rId17" w:anchor="locationFiltersForm-locations" w:history="1">
        <w:r w:rsidR="00AE1BFE" w:rsidRPr="00C46341">
          <w:rPr>
            <w:rStyle w:val="Hyperlink"/>
            <w:lang w:val="en-GB"/>
          </w:rPr>
          <w:t>https://explore-education-statistics.service.gov.uk/data-tables/special-educational-needs-in-england/2024-25?subjectId=27403e26-aca1-4ef2-3b3f-08dd97c89364#locationFiltersForm-locations</w:t>
        </w:r>
      </w:hyperlink>
      <w:r w:rsidR="00AE1BFE">
        <w:rPr>
          <w:lang w:val="en-GB"/>
        </w:rPr>
        <w:t xml:space="preserve"> &gt; [Accessed 2 November 2025]</w:t>
      </w:r>
    </w:p>
    <w:p w14:paraId="6C39643F" w14:textId="042FA732" w:rsidR="006C4804" w:rsidRPr="0020558D" w:rsidRDefault="006C4804" w:rsidP="008644B7">
      <w:pPr>
        <w:rPr>
          <w:lang w:val="en-GB"/>
        </w:rPr>
      </w:pPr>
      <w:r w:rsidRPr="006C4804">
        <w:rPr>
          <w:lang w:val="en-GB"/>
        </w:rPr>
        <w:t xml:space="preserve">Herle, M., Micali, N., Abdulkadir, M., Loos, R., Bryant-Waugh, R., Hübel, C., Bulik, C.M. and De Stavola, B.L. </w:t>
      </w:r>
      <w:r w:rsidR="0020558D">
        <w:rPr>
          <w:lang w:val="en-GB"/>
        </w:rPr>
        <w:t>(</w:t>
      </w:r>
      <w:r w:rsidRPr="006C4804">
        <w:rPr>
          <w:lang w:val="en-GB"/>
        </w:rPr>
        <w:t>2020</w:t>
      </w:r>
      <w:r w:rsidR="0020558D">
        <w:rPr>
          <w:lang w:val="en-GB"/>
        </w:rPr>
        <w:t>)</w:t>
      </w:r>
      <w:r w:rsidRPr="006C4804">
        <w:rPr>
          <w:lang w:val="en-GB"/>
        </w:rPr>
        <w:t xml:space="preserve"> Identifying typical trajectories in longitudinal data: modelling strategies and interpretations. </w:t>
      </w:r>
      <w:r w:rsidRPr="0020558D">
        <w:rPr>
          <w:i/>
          <w:iCs/>
          <w:lang w:val="en-GB"/>
        </w:rPr>
        <w:t>European journal of epidemiology</w:t>
      </w:r>
      <w:r w:rsidRPr="0020558D">
        <w:rPr>
          <w:lang w:val="en-GB"/>
        </w:rPr>
        <w:t>, </w:t>
      </w:r>
      <w:r w:rsidRPr="0020558D">
        <w:rPr>
          <w:i/>
          <w:iCs/>
          <w:lang w:val="en-GB"/>
        </w:rPr>
        <w:t>35</w:t>
      </w:r>
      <w:r w:rsidRPr="0020558D">
        <w:rPr>
          <w:lang w:val="en-GB"/>
        </w:rPr>
        <w:t>(3), p. 205.</w:t>
      </w:r>
      <w:r w:rsidR="0020558D" w:rsidRPr="0020558D">
        <w:rPr>
          <w:lang w:val="en-GB"/>
        </w:rPr>
        <w:t xml:space="preserve"> [Online] Available at: &lt; </w:t>
      </w:r>
      <w:hyperlink r:id="rId18" w:history="1">
        <w:r w:rsidR="0020558D" w:rsidRPr="00C55861">
          <w:rPr>
            <w:rStyle w:val="Hyperlink"/>
            <w:lang w:val="en-GB"/>
          </w:rPr>
          <w:t>https://doi.org/10.1007/s10654-020-00615-6</w:t>
        </w:r>
      </w:hyperlink>
      <w:r w:rsidR="0020558D">
        <w:rPr>
          <w:lang w:val="en-GB"/>
        </w:rPr>
        <w:t xml:space="preserve"> &gt; [Accessed 15 November 2025]</w:t>
      </w:r>
    </w:p>
    <w:p w14:paraId="18406B80" w14:textId="078AC46D" w:rsidR="00DA0E86" w:rsidRPr="00A912A3" w:rsidRDefault="00DA0E86" w:rsidP="008644B7">
      <w:pPr>
        <w:rPr>
          <w:lang w:val="en-GB"/>
        </w:rPr>
      </w:pPr>
      <w:r w:rsidRPr="00DA0E86">
        <w:rPr>
          <w:lang w:val="en-GB"/>
        </w:rPr>
        <w:t xml:space="preserve">Jeffreys, B. and Rhodes, H. (2024) </w:t>
      </w:r>
      <w:r w:rsidRPr="00DA0E86">
        <w:rPr>
          <w:i/>
          <w:iCs/>
          <w:lang w:val="en-GB"/>
        </w:rPr>
        <w:t>Fears for children as special educational needs budgets tighten.</w:t>
      </w:r>
      <w:r w:rsidRPr="00DA0E86">
        <w:rPr>
          <w:lang w:val="en-GB"/>
        </w:rPr>
        <w:t xml:space="preserve"> </w:t>
      </w:r>
      <w:r w:rsidRPr="00A912A3">
        <w:rPr>
          <w:lang w:val="en-GB"/>
        </w:rPr>
        <w:t>BBC News, 18 June.</w:t>
      </w:r>
      <w:r w:rsidR="00A912A3" w:rsidRPr="00A912A3">
        <w:rPr>
          <w:lang w:val="en-GB"/>
        </w:rPr>
        <w:t xml:space="preserve"> [Online] Available at: &lt; </w:t>
      </w:r>
      <w:hyperlink r:id="rId19" w:history="1">
        <w:r w:rsidR="00A912A3" w:rsidRPr="00A912A3">
          <w:rPr>
            <w:rStyle w:val="Hyperlink"/>
            <w:lang w:val="en-GB"/>
          </w:rPr>
          <w:t>Send: Concern as councils expect £1bn special educational needs shortfall</w:t>
        </w:r>
      </w:hyperlink>
      <w:r w:rsidR="00A912A3" w:rsidRPr="00A912A3">
        <w:rPr>
          <w:lang w:val="en-GB"/>
        </w:rPr>
        <w:t xml:space="preserve"> </w:t>
      </w:r>
      <w:r w:rsidR="00A912A3">
        <w:rPr>
          <w:lang w:val="en-GB"/>
        </w:rPr>
        <w:t>&gt; [Accessed 2 November 2025]</w:t>
      </w:r>
    </w:p>
    <w:p w14:paraId="75BAF362" w14:textId="23F5CB8B" w:rsidR="004C28C8" w:rsidRDefault="004C28C8" w:rsidP="008644B7">
      <w:pPr>
        <w:rPr>
          <w:lang w:val="en-GB"/>
        </w:rPr>
      </w:pPr>
      <w:r>
        <w:rPr>
          <w:lang w:val="en-GB"/>
        </w:rPr>
        <w:t xml:space="preserve">KIDS ORG (2025) </w:t>
      </w:r>
      <w:r w:rsidRPr="003E49E1">
        <w:rPr>
          <w:i/>
          <w:iCs/>
          <w:lang w:val="en-GB"/>
        </w:rPr>
        <w:t>Understanding the SEND Code of Practice.</w:t>
      </w:r>
      <w:r>
        <w:rPr>
          <w:lang w:val="en-GB"/>
        </w:rPr>
        <w:t xml:space="preserve"> [Online] Available at: &lt; </w:t>
      </w:r>
      <w:hyperlink r:id="rId20" w:history="1">
        <w:r w:rsidR="003E49E1" w:rsidRPr="003E49E1">
          <w:rPr>
            <w:rStyle w:val="Hyperlink"/>
            <w:lang w:val="en-GB"/>
          </w:rPr>
          <w:t>Understanding SEND Code of Practice | Kids Charity</w:t>
        </w:r>
      </w:hyperlink>
      <w:r w:rsidR="003E49E1">
        <w:rPr>
          <w:lang w:val="en-GB"/>
        </w:rPr>
        <w:t xml:space="preserve"> &gt; [Accessed 30 October 2025]</w:t>
      </w:r>
    </w:p>
    <w:p w14:paraId="0ED243A4" w14:textId="55CE7233" w:rsidR="00754732" w:rsidRDefault="00754732" w:rsidP="008644B7">
      <w:pPr>
        <w:rPr>
          <w:lang w:val="en-GB"/>
        </w:rPr>
      </w:pPr>
      <w:r>
        <w:rPr>
          <w:lang w:val="en-GB"/>
        </w:rPr>
        <w:t xml:space="preserve">Legislation.uk (2025) </w:t>
      </w:r>
      <w:r w:rsidRPr="004F659D">
        <w:rPr>
          <w:i/>
          <w:iCs/>
          <w:lang w:val="en-GB"/>
        </w:rPr>
        <w:t>Children and Families Act 2014.</w:t>
      </w:r>
      <w:r>
        <w:rPr>
          <w:lang w:val="en-GB"/>
        </w:rPr>
        <w:t xml:space="preserve"> [</w:t>
      </w:r>
      <w:r w:rsidR="004F659D">
        <w:rPr>
          <w:lang w:val="en-GB"/>
        </w:rPr>
        <w:t>Online</w:t>
      </w:r>
      <w:r>
        <w:rPr>
          <w:lang w:val="en-GB"/>
        </w:rPr>
        <w:t>]</w:t>
      </w:r>
      <w:r w:rsidR="004F659D">
        <w:rPr>
          <w:lang w:val="en-GB"/>
        </w:rPr>
        <w:t xml:space="preserve"> Available at: &lt; </w:t>
      </w:r>
      <w:hyperlink r:id="rId21" w:history="1">
        <w:r w:rsidR="004F659D" w:rsidRPr="00C46341">
          <w:rPr>
            <w:rStyle w:val="Hyperlink"/>
            <w:lang w:val="en-GB"/>
          </w:rPr>
          <w:t>https://www.legislation.gov.uk/ukpga/2014/6/contents</w:t>
        </w:r>
      </w:hyperlink>
      <w:r w:rsidR="004F659D">
        <w:rPr>
          <w:lang w:val="en-GB"/>
        </w:rPr>
        <w:t xml:space="preserve"> &gt; [Accessed 30 October 2025]</w:t>
      </w:r>
    </w:p>
    <w:p w14:paraId="159C42C9" w14:textId="2F571195" w:rsidR="009F6C6D" w:rsidRPr="009F6C6D" w:rsidRDefault="009F6C6D" w:rsidP="008644B7">
      <w:pPr>
        <w:rPr>
          <w:lang w:val="en-GB"/>
        </w:rPr>
      </w:pPr>
      <w:r w:rsidRPr="009F6C6D">
        <w:rPr>
          <w:lang w:val="en-GB"/>
        </w:rPr>
        <w:t>Lee, I. O., Wolstencroft, J., Housby, H., van den Bree, M. B. M., Chawner, S. J. R. A., Hall, J., IMAGINE ID Consortium, &amp; Skuse, D. H. (2024). The inequity of education, health and care plan provision for children and young people with intellectual and developmental disabilities. </w:t>
      </w:r>
      <w:r w:rsidRPr="009F6C6D">
        <w:rPr>
          <w:i/>
          <w:iCs/>
          <w:lang w:val="en-GB"/>
        </w:rPr>
        <w:t>Journal of intellectual disability research: JIDR</w:t>
      </w:r>
      <w:r w:rsidRPr="009F6C6D">
        <w:rPr>
          <w:lang w:val="en-GB"/>
        </w:rPr>
        <w:t>, </w:t>
      </w:r>
      <w:r w:rsidRPr="009F6C6D">
        <w:rPr>
          <w:i/>
          <w:iCs/>
          <w:lang w:val="en-GB"/>
        </w:rPr>
        <w:t>68</w:t>
      </w:r>
      <w:r w:rsidRPr="009F6C6D">
        <w:rPr>
          <w:lang w:val="en-GB"/>
        </w:rPr>
        <w:t>(10),</w:t>
      </w:r>
      <w:r>
        <w:rPr>
          <w:lang w:val="en-GB"/>
        </w:rPr>
        <w:t xml:space="preserve"> pp.</w:t>
      </w:r>
      <w:r w:rsidRPr="009F6C6D">
        <w:rPr>
          <w:lang w:val="en-GB"/>
        </w:rPr>
        <w:t xml:space="preserve"> 1167–1183. </w:t>
      </w:r>
      <w:r>
        <w:rPr>
          <w:lang w:val="en-GB"/>
        </w:rPr>
        <w:t xml:space="preserve">[Online] Available at: &lt; </w:t>
      </w:r>
      <w:hyperlink r:id="rId22" w:history="1">
        <w:r w:rsidRPr="00C55861">
          <w:rPr>
            <w:rStyle w:val="Hyperlink"/>
            <w:lang w:val="en-GB"/>
          </w:rPr>
          <w:t>https://doi.org/10.1111/jir.13139</w:t>
        </w:r>
      </w:hyperlink>
      <w:r>
        <w:rPr>
          <w:lang w:val="en-GB"/>
        </w:rPr>
        <w:t xml:space="preserve"> &gt; [Accessed 10 November 2025]</w:t>
      </w:r>
    </w:p>
    <w:p w14:paraId="36120847" w14:textId="2FDF7EA2" w:rsidR="00DB6F01" w:rsidRDefault="00DB6F01" w:rsidP="008644B7">
      <w:pPr>
        <w:rPr>
          <w:lang w:val="en-GB"/>
        </w:rPr>
      </w:pPr>
      <w:r w:rsidRPr="00EE25F3">
        <w:rPr>
          <w:lang w:val="en-GB"/>
        </w:rPr>
        <w:t>LG</w:t>
      </w:r>
      <w:r>
        <w:rPr>
          <w:lang w:val="en-GB"/>
        </w:rPr>
        <w:t>SC</w:t>
      </w:r>
      <w:r w:rsidRPr="00EE25F3">
        <w:rPr>
          <w:lang w:val="en-GB"/>
        </w:rPr>
        <w:t xml:space="preserve">O (2024) </w:t>
      </w:r>
      <w:r w:rsidRPr="00EE25F3">
        <w:rPr>
          <w:i/>
          <w:iCs/>
          <w:lang w:val="en-GB"/>
        </w:rPr>
        <w:t>Annual Review of Local Government Complaints.</w:t>
      </w:r>
      <w:r>
        <w:rPr>
          <w:lang w:val="en-GB"/>
        </w:rPr>
        <w:t xml:space="preserve"> </w:t>
      </w:r>
      <w:r w:rsidRPr="00EE25F3">
        <w:rPr>
          <w:lang w:val="en-GB"/>
        </w:rPr>
        <w:t>[Online] Availa</w:t>
      </w:r>
      <w:r>
        <w:rPr>
          <w:lang w:val="en-GB"/>
        </w:rPr>
        <w:t xml:space="preserve">ble at: &lt; </w:t>
      </w:r>
      <w:r w:rsidRPr="00EE25F3">
        <w:rPr>
          <w:lang w:val="en-GB"/>
        </w:rPr>
        <w:t xml:space="preserve"> </w:t>
      </w:r>
      <w:hyperlink r:id="rId23" w:history="1">
        <w:r w:rsidRPr="006F3440">
          <w:rPr>
            <w:rStyle w:val="Hyperlink"/>
            <w:lang w:val="en-GB"/>
          </w:rPr>
          <w:t>https://www.lgo.org.uk/assets/attach/6627/Annual-Review-of-Local-Government-Complaints-2023-24.pdf</w:t>
        </w:r>
      </w:hyperlink>
      <w:r>
        <w:rPr>
          <w:lang w:val="en-GB"/>
        </w:rPr>
        <w:t xml:space="preserve"> &gt; [Accessed 30 October 2025]</w:t>
      </w:r>
    </w:p>
    <w:p w14:paraId="009FBABB" w14:textId="46EBBFD9" w:rsidR="004A40C3" w:rsidRPr="004A40C3" w:rsidRDefault="004A40C3" w:rsidP="008644B7">
      <w:pPr>
        <w:rPr>
          <w:lang w:val="en-GB"/>
        </w:rPr>
      </w:pPr>
      <w:r w:rsidRPr="004A40C3">
        <w:rPr>
          <w:lang w:val="en-GB"/>
        </w:rPr>
        <w:t xml:space="preserve">Long, H.A., French, D.P. </w:t>
      </w:r>
      <w:r w:rsidR="008B1D40">
        <w:rPr>
          <w:lang w:val="en-GB"/>
        </w:rPr>
        <w:t>and</w:t>
      </w:r>
      <w:r w:rsidRPr="004A40C3">
        <w:rPr>
          <w:lang w:val="en-GB"/>
        </w:rPr>
        <w:t xml:space="preserve"> Brooks, J.M. (2020) Optimising the value of the critical appraisal skills programme (CASP) tool for quality appraisal in qualitative evidence synthesis</w:t>
      </w:r>
      <w:r w:rsidR="008B1D40">
        <w:rPr>
          <w:lang w:val="en-GB"/>
        </w:rPr>
        <w:t>.</w:t>
      </w:r>
      <w:r w:rsidRPr="004A40C3">
        <w:rPr>
          <w:lang w:val="en-GB"/>
        </w:rPr>
        <w:t xml:space="preserve"> </w:t>
      </w:r>
      <w:r w:rsidRPr="004A40C3">
        <w:rPr>
          <w:i/>
          <w:iCs/>
          <w:lang w:val="en-GB"/>
        </w:rPr>
        <w:t>Research Methods in Medicine &amp; Health Sciences</w:t>
      </w:r>
      <w:r w:rsidRPr="004A40C3">
        <w:rPr>
          <w:lang w:val="en-GB"/>
        </w:rPr>
        <w:t xml:space="preserve">, 1(1), pp. 31–42. </w:t>
      </w:r>
      <w:r w:rsidR="008B1D40">
        <w:rPr>
          <w:lang w:val="en-GB"/>
        </w:rPr>
        <w:t xml:space="preserve">[Online] Available at: &lt; </w:t>
      </w:r>
      <w:hyperlink r:id="rId24" w:history="1">
        <w:r w:rsidR="008B1D40" w:rsidRPr="00C46341">
          <w:rPr>
            <w:rStyle w:val="Hyperlink"/>
            <w:lang w:val="en-GB"/>
          </w:rPr>
          <w:t>https://journals.sagepub.com/doi/pdf/10.1177/2632084320947559</w:t>
        </w:r>
      </w:hyperlink>
      <w:r w:rsidR="008B1D40">
        <w:rPr>
          <w:lang w:val="en-GB"/>
        </w:rPr>
        <w:t xml:space="preserve"> &gt; [Accessed 5 November 2025]</w:t>
      </w:r>
    </w:p>
    <w:p w14:paraId="42771372" w14:textId="16DC4E5C" w:rsidR="00750750" w:rsidRPr="00750750" w:rsidRDefault="00750750" w:rsidP="008644B7">
      <w:pPr>
        <w:rPr>
          <w:lang w:val="en-GB"/>
        </w:rPr>
      </w:pPr>
      <w:r w:rsidRPr="00750750">
        <w:rPr>
          <w:lang w:val="en-GB"/>
        </w:rPr>
        <w:t xml:space="preserve">Mak, S. and Thomas, A. </w:t>
      </w:r>
      <w:r>
        <w:rPr>
          <w:lang w:val="en-GB"/>
        </w:rPr>
        <w:t>(</w:t>
      </w:r>
      <w:r w:rsidRPr="00750750">
        <w:rPr>
          <w:lang w:val="en-GB"/>
        </w:rPr>
        <w:t>2022</w:t>
      </w:r>
      <w:r>
        <w:rPr>
          <w:lang w:val="en-GB"/>
        </w:rPr>
        <w:t>)</w:t>
      </w:r>
      <w:r w:rsidRPr="00750750">
        <w:rPr>
          <w:lang w:val="en-GB"/>
        </w:rPr>
        <w:t xml:space="preserve"> An introduction to scoping reviews. </w:t>
      </w:r>
      <w:r w:rsidRPr="00750750">
        <w:rPr>
          <w:i/>
          <w:iCs/>
          <w:lang w:val="en-GB"/>
        </w:rPr>
        <w:t>Journal of Graduate Medical Education</w:t>
      </w:r>
      <w:r w:rsidRPr="00750750">
        <w:rPr>
          <w:lang w:val="en-GB"/>
        </w:rPr>
        <w:t>, </w:t>
      </w:r>
      <w:r w:rsidRPr="00750750">
        <w:rPr>
          <w:i/>
          <w:iCs/>
          <w:lang w:val="en-GB"/>
        </w:rPr>
        <w:t>14</w:t>
      </w:r>
      <w:r w:rsidRPr="00750750">
        <w:rPr>
          <w:lang w:val="en-GB"/>
        </w:rPr>
        <w:t>(5), pp. 561-564.</w:t>
      </w:r>
      <w:r>
        <w:rPr>
          <w:lang w:val="en-GB"/>
        </w:rPr>
        <w:t xml:space="preserve"> [Online] Available at: &lt; </w:t>
      </w:r>
      <w:hyperlink r:id="rId25" w:history="1">
        <w:r w:rsidRPr="00C46341">
          <w:rPr>
            <w:rStyle w:val="Hyperlink"/>
            <w:lang w:val="en-GB"/>
          </w:rPr>
          <w:t>https://meridian.allenpress.com/jgme/article-abstract/14/5/561/487451</w:t>
        </w:r>
      </w:hyperlink>
      <w:r>
        <w:rPr>
          <w:lang w:val="en-GB"/>
        </w:rPr>
        <w:t xml:space="preserve"> &gt; [Accessed 5 November 2025]</w:t>
      </w:r>
    </w:p>
    <w:p w14:paraId="6D90F282" w14:textId="2034E34E" w:rsidR="007F160C" w:rsidRDefault="007F160C" w:rsidP="008644B7">
      <w:pPr>
        <w:rPr>
          <w:lang w:val="en-GB"/>
        </w:rPr>
      </w:pPr>
      <w:r>
        <w:rPr>
          <w:lang w:val="en-GB"/>
        </w:rPr>
        <w:t xml:space="preserve">NHS (2015) </w:t>
      </w:r>
      <w:r w:rsidR="003C2B92" w:rsidRPr="00CB38A7">
        <w:rPr>
          <w:i/>
          <w:iCs/>
          <w:lang w:val="en-GB"/>
        </w:rPr>
        <w:t>Special educational needs and disability (SEND).</w:t>
      </w:r>
      <w:r w:rsidR="003C2B92">
        <w:rPr>
          <w:lang w:val="en-GB"/>
        </w:rPr>
        <w:t xml:space="preserve"> [Online] Available at: &lt; </w:t>
      </w:r>
      <w:hyperlink r:id="rId26" w:history="1">
        <w:r w:rsidR="003C2B92" w:rsidRPr="003C2B92">
          <w:rPr>
            <w:rStyle w:val="Hyperlink"/>
            <w:lang w:val="en-GB"/>
          </w:rPr>
          <w:t>NHS England » Special educational needs and disability (SEND)</w:t>
        </w:r>
      </w:hyperlink>
      <w:r w:rsidR="003C2B92">
        <w:rPr>
          <w:lang w:val="en-GB"/>
        </w:rPr>
        <w:t xml:space="preserve"> &gt; [Accessed 30 October 2025]</w:t>
      </w:r>
    </w:p>
    <w:p w14:paraId="48241DB4" w14:textId="455137FF" w:rsidR="00557429" w:rsidRDefault="00557429" w:rsidP="008644B7">
      <w:pPr>
        <w:rPr>
          <w:lang w:val="en-GB"/>
        </w:rPr>
      </w:pPr>
      <w:r>
        <w:rPr>
          <w:lang w:val="en-GB"/>
        </w:rPr>
        <w:t xml:space="preserve">NIH (2025) Guiding Principles for Ethical Research. [Online] Available at: &lt; </w:t>
      </w:r>
      <w:hyperlink r:id="rId27" w:history="1">
        <w:r w:rsidR="009B7F44" w:rsidRPr="00C46341">
          <w:rPr>
            <w:rStyle w:val="Hyperlink"/>
            <w:lang w:val="en-GB"/>
          </w:rPr>
          <w:t>https://www.nih.gov/health-information/nih-clinical-research-trials-you/guiding-principles-ethical-research</w:t>
        </w:r>
      </w:hyperlink>
      <w:r w:rsidR="009B7F44">
        <w:rPr>
          <w:lang w:val="en-GB"/>
        </w:rPr>
        <w:t xml:space="preserve"> &gt; [Accessed 5 November 2025]</w:t>
      </w:r>
    </w:p>
    <w:p w14:paraId="6184766D" w14:textId="7696C684" w:rsidR="00712506" w:rsidRDefault="00712506" w:rsidP="00712506">
      <w:pPr>
        <w:rPr>
          <w:lang w:val="en-GB"/>
        </w:rPr>
      </w:pPr>
      <w:r>
        <w:rPr>
          <w:lang w:val="en-GB"/>
        </w:rPr>
        <w:t xml:space="preserve">Olafimihan, I. (2024) </w:t>
      </w:r>
      <w:r w:rsidRPr="0054268F">
        <w:rPr>
          <w:i/>
          <w:iCs/>
          <w:lang w:val="en-GB"/>
        </w:rPr>
        <w:t>The Crisis in the SEND System in England: A Call for Urgent Overhaul.</w:t>
      </w:r>
      <w:r>
        <w:rPr>
          <w:lang w:val="en-GB"/>
        </w:rPr>
        <w:t xml:space="preserve"> Allfie. [Online] Available at: &lt; </w:t>
      </w:r>
      <w:hyperlink r:id="rId28" w:history="1">
        <w:r w:rsidRPr="006F3440">
          <w:rPr>
            <w:rStyle w:val="Hyperlink"/>
            <w:lang w:val="en-GB"/>
          </w:rPr>
          <w:t>https://www.allfie.org.uk/news/inclusion-now/inclusion-now-70/the-crisis-in-the-send-system-in-england-a-call-for-urgent-overhaul/</w:t>
        </w:r>
      </w:hyperlink>
      <w:r>
        <w:rPr>
          <w:lang w:val="en-GB"/>
        </w:rPr>
        <w:t xml:space="preserve"> &gt; [Accessed 30 October 2025]</w:t>
      </w:r>
    </w:p>
    <w:p w14:paraId="4FA46375" w14:textId="47FC65C7" w:rsidR="00924CD9" w:rsidRDefault="00924CD9" w:rsidP="00712506">
      <w:pPr>
        <w:rPr>
          <w:lang w:val="en-GB"/>
        </w:rPr>
      </w:pPr>
      <w:r w:rsidRPr="00924CD9">
        <w:rPr>
          <w:lang w:val="en-GB"/>
        </w:rPr>
        <w:t xml:space="preserve">Saxton, J., Burn, A-M., Zhang, X., Toulmin, H., Parker, J., Casey, H., Matthews, J., Winterburn, I., Tripp, C., Barnes, S., Hall, P., Black-Hawkins, K., Gains, H. &amp; Ford, T. (The HOPE Study) (2025) Barriers, enablers and outcomes reported by parents engaged with the special educational needs system in England: A qualitative study. </w:t>
      </w:r>
      <w:r w:rsidRPr="00924CD9">
        <w:rPr>
          <w:i/>
          <w:iCs/>
          <w:lang w:val="en-GB"/>
        </w:rPr>
        <w:t>PLOS ONE,</w:t>
      </w:r>
      <w:r w:rsidRPr="00924CD9">
        <w:rPr>
          <w:lang w:val="en-GB"/>
        </w:rPr>
        <w:t xml:space="preserve"> 20(11). [Online] Available a</w:t>
      </w:r>
      <w:r>
        <w:rPr>
          <w:lang w:val="en-GB"/>
        </w:rPr>
        <w:t>t: &lt;</w:t>
      </w:r>
      <w:r w:rsidRPr="00924CD9">
        <w:rPr>
          <w:lang w:val="en-GB"/>
        </w:rPr>
        <w:t xml:space="preserve"> </w:t>
      </w:r>
      <w:hyperlink r:id="rId29" w:history="1">
        <w:r w:rsidRPr="00C55861">
          <w:rPr>
            <w:rStyle w:val="Hyperlink"/>
            <w:lang w:val="en-GB"/>
          </w:rPr>
          <w:t>https://doi.org/10.1371/journal.pone.0335606</w:t>
        </w:r>
      </w:hyperlink>
      <w:r>
        <w:rPr>
          <w:lang w:val="en-GB"/>
        </w:rPr>
        <w:t xml:space="preserve"> &gt; [Accessed 10 November 2025]</w:t>
      </w:r>
    </w:p>
    <w:p w14:paraId="3D307FC8" w14:textId="5B90734E" w:rsidR="00330BB9" w:rsidRPr="00330BB9" w:rsidRDefault="00330BB9" w:rsidP="00712506">
      <w:pPr>
        <w:rPr>
          <w:lang w:val="en-GB"/>
        </w:rPr>
      </w:pPr>
      <w:r w:rsidRPr="0023588A">
        <w:rPr>
          <w:lang w:val="en-GB"/>
        </w:rPr>
        <w:t xml:space="preserve">SEC (2024) </w:t>
      </w:r>
      <w:r w:rsidRPr="0023588A">
        <w:rPr>
          <w:i/>
          <w:iCs/>
          <w:lang w:val="en-GB"/>
        </w:rPr>
        <w:t>SEC Manifesto.</w:t>
      </w:r>
      <w:r w:rsidRPr="0023588A">
        <w:rPr>
          <w:lang w:val="en-GB"/>
        </w:rPr>
        <w:t xml:space="preserve"> </w:t>
      </w:r>
      <w:r w:rsidRPr="00330BB9">
        <w:rPr>
          <w:lang w:val="en-GB"/>
        </w:rPr>
        <w:t>[Online] Availa</w:t>
      </w:r>
      <w:r>
        <w:rPr>
          <w:lang w:val="en-GB"/>
        </w:rPr>
        <w:t>ble at: &lt;</w:t>
      </w:r>
      <w:r w:rsidRPr="00330BB9">
        <w:rPr>
          <w:lang w:val="en-GB"/>
        </w:rPr>
        <w:t xml:space="preserve"> </w:t>
      </w:r>
      <w:hyperlink r:id="rId30" w:history="1">
        <w:r w:rsidRPr="00C46341">
          <w:rPr>
            <w:rStyle w:val="Hyperlink"/>
            <w:lang w:val="en-GB"/>
          </w:rPr>
          <w:t>https://councilfordisabledchildren.org.uk/about-us-0/networks/special-educational-consortium/sec-manifesto</w:t>
        </w:r>
      </w:hyperlink>
      <w:r>
        <w:rPr>
          <w:lang w:val="en-GB"/>
        </w:rPr>
        <w:t xml:space="preserve"> &gt; [Accessed 2 November 2025]</w:t>
      </w:r>
    </w:p>
    <w:p w14:paraId="6355C615" w14:textId="49D92DFF" w:rsidR="00410D72" w:rsidRDefault="00296A92" w:rsidP="00410D72">
      <w:pPr>
        <w:rPr>
          <w:lang w:val="en-GB"/>
        </w:rPr>
      </w:pPr>
      <w:r>
        <w:rPr>
          <w:lang w:val="en-GB"/>
        </w:rPr>
        <w:t xml:space="preserve">Sen Help (2025) </w:t>
      </w:r>
      <w:r w:rsidR="00410D72" w:rsidRPr="00410D72">
        <w:rPr>
          <w:i/>
          <w:iCs/>
          <w:lang w:val="en-GB"/>
        </w:rPr>
        <w:t>Education, Health and Care plans (EHC plans).</w:t>
      </w:r>
      <w:r w:rsidR="00410D72">
        <w:rPr>
          <w:lang w:val="en-GB"/>
        </w:rPr>
        <w:t xml:space="preserve"> [Online] Available at: &lt; </w:t>
      </w:r>
      <w:hyperlink r:id="rId31" w:history="1">
        <w:r w:rsidR="00410D72" w:rsidRPr="00410D72">
          <w:rPr>
            <w:rStyle w:val="Hyperlink"/>
            <w:lang w:val="en-GB"/>
          </w:rPr>
          <w:t>Education, Health and Care plans (EHC plans) - SEN help</w:t>
        </w:r>
      </w:hyperlink>
      <w:r w:rsidR="00410D72">
        <w:rPr>
          <w:lang w:val="en-GB"/>
        </w:rPr>
        <w:t xml:space="preserve"> &gt; [Accessed 30 October 2025]</w:t>
      </w:r>
    </w:p>
    <w:p w14:paraId="2CB22D58" w14:textId="1AA99170" w:rsidR="00E647D0" w:rsidRPr="00E647D0" w:rsidRDefault="00E647D0" w:rsidP="00410D72">
      <w:pPr>
        <w:rPr>
          <w:lang w:val="en-GB"/>
        </w:rPr>
      </w:pPr>
      <w:r w:rsidRPr="00E647D0">
        <w:rPr>
          <w:lang w:val="en-GB"/>
        </w:rPr>
        <w:t>Sinclair, I., Luke, N. and Daniels, H. (2025) Special schools, alternative provision, and the educational attainment of children with special educational needs in England</w:t>
      </w:r>
      <w:r w:rsidR="00FD6D54">
        <w:rPr>
          <w:lang w:val="en-GB"/>
        </w:rPr>
        <w:t>.</w:t>
      </w:r>
      <w:r w:rsidRPr="00E647D0">
        <w:rPr>
          <w:lang w:val="en-GB"/>
        </w:rPr>
        <w:t xml:space="preserve"> </w:t>
      </w:r>
      <w:r w:rsidRPr="00E647D0">
        <w:rPr>
          <w:i/>
          <w:iCs/>
          <w:lang w:val="en-GB"/>
        </w:rPr>
        <w:t>Educational Review</w:t>
      </w:r>
      <w:r w:rsidRPr="00E647D0">
        <w:rPr>
          <w:lang w:val="en-GB"/>
        </w:rPr>
        <w:t xml:space="preserve">, pp. 1–21. </w:t>
      </w:r>
      <w:r w:rsidR="00FD6D54">
        <w:rPr>
          <w:lang w:val="en-GB"/>
        </w:rPr>
        <w:t xml:space="preserve">[Online] Available at: &lt; </w:t>
      </w:r>
      <w:hyperlink r:id="rId32" w:history="1">
        <w:r w:rsidR="00FD6D54" w:rsidRPr="00C55861">
          <w:rPr>
            <w:rStyle w:val="Hyperlink"/>
            <w:lang w:val="en-GB"/>
          </w:rPr>
          <w:t>https://doi.org/10.1080/00131911.2025.2520993</w:t>
        </w:r>
      </w:hyperlink>
      <w:r w:rsidR="00FD6D54">
        <w:rPr>
          <w:lang w:val="en-GB"/>
        </w:rPr>
        <w:t xml:space="preserve"> &gt; [Accessed 10 November 2025]</w:t>
      </w:r>
    </w:p>
    <w:p w14:paraId="51F13A80" w14:textId="6026EC3E" w:rsidR="00D35D4F" w:rsidRDefault="00D35D4F" w:rsidP="00D35D4F">
      <w:pPr>
        <w:rPr>
          <w:lang w:val="en-GB"/>
        </w:rPr>
      </w:pPr>
      <w:r w:rsidRPr="0007317A">
        <w:rPr>
          <w:lang w:val="en-GB"/>
        </w:rPr>
        <w:t>Wilson Fadiji, A.</w:t>
      </w:r>
      <w:r>
        <w:rPr>
          <w:lang w:val="en-GB"/>
        </w:rPr>
        <w:t xml:space="preserve"> &amp;</w:t>
      </w:r>
      <w:r w:rsidRPr="0007317A">
        <w:rPr>
          <w:lang w:val="en-GB"/>
        </w:rPr>
        <w:t xml:space="preserve"> Lomas, T. </w:t>
      </w:r>
      <w:r>
        <w:rPr>
          <w:lang w:val="en-GB"/>
        </w:rPr>
        <w:t xml:space="preserve">(2024) </w:t>
      </w:r>
      <w:r w:rsidRPr="0007317A">
        <w:rPr>
          <w:lang w:val="en-GB"/>
        </w:rPr>
        <w:t>Understanding the Association Between Education and Wellbeing: An Exploration of the Gallup World Poll. </w:t>
      </w:r>
      <w:r w:rsidRPr="0007317A">
        <w:rPr>
          <w:i/>
          <w:iCs/>
          <w:lang w:val="en-GB"/>
        </w:rPr>
        <w:t>Applied Research Quality Life</w:t>
      </w:r>
      <w:r>
        <w:rPr>
          <w:i/>
          <w:iCs/>
          <w:lang w:val="en-GB"/>
        </w:rPr>
        <w:t>,</w:t>
      </w:r>
      <w:r w:rsidRPr="0007317A">
        <w:rPr>
          <w:lang w:val="en-GB"/>
        </w:rPr>
        <w:t xml:space="preserve"> 19, </w:t>
      </w:r>
      <w:r>
        <w:rPr>
          <w:lang w:val="en-GB"/>
        </w:rPr>
        <w:t xml:space="preserve">pp. </w:t>
      </w:r>
      <w:r w:rsidRPr="0007317A">
        <w:rPr>
          <w:lang w:val="en-GB"/>
        </w:rPr>
        <w:t>2467–2501</w:t>
      </w:r>
      <w:r>
        <w:rPr>
          <w:lang w:val="en-GB"/>
        </w:rPr>
        <w:t xml:space="preserve"> [Online] Available at: &lt; </w:t>
      </w:r>
      <w:hyperlink r:id="rId33" w:history="1">
        <w:r w:rsidRPr="006F3440">
          <w:rPr>
            <w:rStyle w:val="Hyperlink"/>
            <w:lang w:val="en-GB"/>
          </w:rPr>
          <w:t>https://doi.org/10.1007/s11482-024-10335-8</w:t>
        </w:r>
      </w:hyperlink>
      <w:r>
        <w:rPr>
          <w:lang w:val="en-GB"/>
        </w:rPr>
        <w:t xml:space="preserve"> &gt; [Accessed 2 November 2025]</w:t>
      </w:r>
    </w:p>
    <w:p w14:paraId="4863B2E4" w14:textId="5309904D" w:rsidR="00702F7F" w:rsidRDefault="00702F7F" w:rsidP="00D35D4F">
      <w:pPr>
        <w:rPr>
          <w:lang w:val="en-GB"/>
        </w:rPr>
      </w:pPr>
      <w:r w:rsidRPr="00702F7F">
        <w:rPr>
          <w:lang w:val="en-GB"/>
        </w:rPr>
        <w:t>Zylbersztejn, A., Lewis, K., Nguyen, V., Matthews, J., Winterburn, I., Karwatowska, L., Barnes, S., Lilliman, M., Saxton, J., Stone, A., Boddy, K., Downs, J., Logan, S., Rahi, J., Black-Hawkins, K., Dearden, L., Ford, T., Harron, K., De Stavola, B., &amp; Gilbert, R. (2023). Evaluation of variation in special educational needs provision and its impact on health and education using administrative records for England: umbrella protocol for a mixed-methods research programme. </w:t>
      </w:r>
      <w:r w:rsidRPr="00702F7F">
        <w:rPr>
          <w:i/>
          <w:iCs/>
          <w:lang w:val="en-GB"/>
        </w:rPr>
        <w:t>BMJ open</w:t>
      </w:r>
      <w:r w:rsidRPr="00702F7F">
        <w:rPr>
          <w:lang w:val="en-GB"/>
        </w:rPr>
        <w:t>, </w:t>
      </w:r>
      <w:r w:rsidRPr="00702F7F">
        <w:rPr>
          <w:i/>
          <w:iCs/>
          <w:lang w:val="en-GB"/>
        </w:rPr>
        <w:t>13</w:t>
      </w:r>
      <w:r w:rsidRPr="00702F7F">
        <w:rPr>
          <w:lang w:val="en-GB"/>
        </w:rPr>
        <w:t xml:space="preserve">(11). [Online] Available at: &lt; </w:t>
      </w:r>
      <w:hyperlink r:id="rId34" w:history="1">
        <w:r w:rsidRPr="00702F7F">
          <w:rPr>
            <w:rStyle w:val="Hyperlink"/>
            <w:lang w:val="en-GB"/>
          </w:rPr>
          <w:t>https://doi.org/10.1136/bmjopen-2023-072531</w:t>
        </w:r>
      </w:hyperlink>
      <w:r w:rsidRPr="00702F7F">
        <w:rPr>
          <w:lang w:val="en-GB"/>
        </w:rPr>
        <w:t xml:space="preserve"> &gt; [Ac</w:t>
      </w:r>
      <w:r>
        <w:rPr>
          <w:lang w:val="en-GB"/>
        </w:rPr>
        <w:t>cessed 1</w:t>
      </w:r>
      <w:r w:rsidR="00426C1A">
        <w:rPr>
          <w:lang w:val="en-GB"/>
        </w:rPr>
        <w:t>1 November 2025</w:t>
      </w:r>
      <w:r w:rsidRPr="00702F7F">
        <w:rPr>
          <w:lang w:val="en-GB"/>
        </w:rPr>
        <w:t>]</w:t>
      </w:r>
    </w:p>
    <w:p w14:paraId="3EA9DE58" w14:textId="15C3B9C7" w:rsidR="00247580" w:rsidRDefault="00247580">
      <w:pPr>
        <w:spacing w:line="259" w:lineRule="auto"/>
        <w:jc w:val="left"/>
        <w:rPr>
          <w:lang w:val="en-GB"/>
        </w:rPr>
      </w:pPr>
      <w:r>
        <w:rPr>
          <w:lang w:val="en-GB"/>
        </w:rPr>
        <w:br w:type="page"/>
      </w:r>
    </w:p>
    <w:p w14:paraId="17E2DEB8" w14:textId="77777777" w:rsidR="003B23C2" w:rsidRDefault="00247580" w:rsidP="003B23C2">
      <w:pPr>
        <w:pStyle w:val="Heading1"/>
        <w:rPr>
          <w:lang w:val="en-GB"/>
        </w:rPr>
      </w:pPr>
      <w:bookmarkStart w:id="18" w:name="_Toc214114809"/>
      <w:r>
        <w:rPr>
          <w:lang w:val="en-GB"/>
        </w:rPr>
        <w:t>APPENDIX 1</w:t>
      </w:r>
      <w:bookmarkEnd w:id="18"/>
      <w:r>
        <w:rPr>
          <w:lang w:val="en-GB"/>
        </w:rPr>
        <w:t xml:space="preserve"> </w:t>
      </w:r>
    </w:p>
    <w:p w14:paraId="3D2C3D84" w14:textId="2E877A0F" w:rsidR="000E1DCA" w:rsidRDefault="000E1DCA" w:rsidP="003B23C2">
      <w:pPr>
        <w:pStyle w:val="Heading2"/>
        <w:rPr>
          <w:lang w:val="en-GB"/>
        </w:rPr>
      </w:pPr>
      <w:bookmarkStart w:id="19" w:name="_Toc214114810"/>
      <w:r w:rsidRPr="000E1DCA">
        <w:rPr>
          <w:lang w:val="en-GB"/>
        </w:rPr>
        <w:t>The 10 questions of the CASP qualitative check list tool</w:t>
      </w:r>
      <w:bookmarkEnd w:id="19"/>
    </w:p>
    <w:p w14:paraId="74D30476" w14:textId="77777777" w:rsidR="000E1DCA" w:rsidRDefault="000E1DCA" w:rsidP="00D35D4F">
      <w:pPr>
        <w:rPr>
          <w:lang w:val="en-GB"/>
        </w:rPr>
      </w:pPr>
      <w:r w:rsidRPr="000E1DCA">
        <w:rPr>
          <w:lang w:val="en-GB"/>
        </w:rPr>
        <w:t xml:space="preserve">1. Was there a clear statement of the aims of the research? </w:t>
      </w:r>
    </w:p>
    <w:p w14:paraId="03FF0DA3" w14:textId="77777777" w:rsidR="000E1DCA" w:rsidRDefault="000E1DCA" w:rsidP="00D35D4F">
      <w:pPr>
        <w:rPr>
          <w:lang w:val="en-GB"/>
        </w:rPr>
      </w:pPr>
      <w:r w:rsidRPr="000E1DCA">
        <w:rPr>
          <w:lang w:val="en-GB"/>
        </w:rPr>
        <w:t xml:space="preserve">2. Is a qualitative methodology appropriate? </w:t>
      </w:r>
    </w:p>
    <w:p w14:paraId="1B91E03F" w14:textId="77777777" w:rsidR="000E1DCA" w:rsidRDefault="000E1DCA" w:rsidP="00D35D4F">
      <w:pPr>
        <w:rPr>
          <w:lang w:val="en-GB"/>
        </w:rPr>
      </w:pPr>
      <w:r w:rsidRPr="000E1DCA">
        <w:rPr>
          <w:lang w:val="en-GB"/>
        </w:rPr>
        <w:t xml:space="preserve">3. Was the research design appropriate to address the aims of the research? </w:t>
      </w:r>
    </w:p>
    <w:p w14:paraId="335E15D9" w14:textId="77777777" w:rsidR="000E1DCA" w:rsidRDefault="000E1DCA" w:rsidP="00D35D4F">
      <w:pPr>
        <w:rPr>
          <w:lang w:val="en-GB"/>
        </w:rPr>
      </w:pPr>
      <w:r w:rsidRPr="000E1DCA">
        <w:rPr>
          <w:lang w:val="en-GB"/>
        </w:rPr>
        <w:t xml:space="preserve">4. Was the recruitment strategy appropriate to the aims of the research? </w:t>
      </w:r>
    </w:p>
    <w:p w14:paraId="27FE88CF" w14:textId="77777777" w:rsidR="000E1DCA" w:rsidRDefault="000E1DCA" w:rsidP="00D35D4F">
      <w:pPr>
        <w:rPr>
          <w:lang w:val="en-GB"/>
        </w:rPr>
      </w:pPr>
      <w:r w:rsidRPr="000E1DCA">
        <w:rPr>
          <w:lang w:val="en-GB"/>
        </w:rPr>
        <w:t xml:space="preserve">5. Was the data collected in a way that addressed the research issue? </w:t>
      </w:r>
    </w:p>
    <w:p w14:paraId="45D20262" w14:textId="77777777" w:rsidR="000E1DCA" w:rsidRDefault="000E1DCA" w:rsidP="00D35D4F">
      <w:pPr>
        <w:rPr>
          <w:lang w:val="en-GB"/>
        </w:rPr>
      </w:pPr>
      <w:r w:rsidRPr="000E1DCA">
        <w:rPr>
          <w:lang w:val="en-GB"/>
        </w:rPr>
        <w:t xml:space="preserve">6. Has the relationship between researcher and participants been adequately considered? </w:t>
      </w:r>
    </w:p>
    <w:p w14:paraId="660B9522" w14:textId="77777777" w:rsidR="000E1DCA" w:rsidRDefault="000E1DCA" w:rsidP="00D35D4F">
      <w:pPr>
        <w:rPr>
          <w:lang w:val="en-GB"/>
        </w:rPr>
      </w:pPr>
      <w:r w:rsidRPr="000E1DCA">
        <w:rPr>
          <w:lang w:val="en-GB"/>
        </w:rPr>
        <w:t xml:space="preserve">7. Have ethical issues been taken into consideration? </w:t>
      </w:r>
    </w:p>
    <w:p w14:paraId="767218DC" w14:textId="77777777" w:rsidR="000E1DCA" w:rsidRDefault="000E1DCA" w:rsidP="00D35D4F">
      <w:pPr>
        <w:rPr>
          <w:lang w:val="en-GB"/>
        </w:rPr>
      </w:pPr>
      <w:r w:rsidRPr="000E1DCA">
        <w:rPr>
          <w:lang w:val="en-GB"/>
        </w:rPr>
        <w:t xml:space="preserve">8. Was the data analysis sufficiently rigorous? </w:t>
      </w:r>
    </w:p>
    <w:p w14:paraId="6FB69AD2" w14:textId="77777777" w:rsidR="000E1DCA" w:rsidRDefault="000E1DCA" w:rsidP="00D35D4F">
      <w:pPr>
        <w:rPr>
          <w:lang w:val="en-GB"/>
        </w:rPr>
      </w:pPr>
      <w:r w:rsidRPr="000E1DCA">
        <w:rPr>
          <w:lang w:val="en-GB"/>
        </w:rPr>
        <w:t xml:space="preserve">9. Is there a clear statement of findings? </w:t>
      </w:r>
    </w:p>
    <w:p w14:paraId="03C187A0" w14:textId="1230A856" w:rsidR="000E1DCA" w:rsidRDefault="000E1DCA" w:rsidP="00D35D4F">
      <w:pPr>
        <w:rPr>
          <w:lang w:val="en-GB"/>
        </w:rPr>
      </w:pPr>
      <w:r w:rsidRPr="000E1DCA">
        <w:rPr>
          <w:lang w:val="en-GB"/>
        </w:rPr>
        <w:t>10. How valuable is the research?</w:t>
      </w:r>
    </w:p>
    <w:p w14:paraId="33E66994" w14:textId="0DE02CCE" w:rsidR="000B70BB" w:rsidRPr="000E1DCA" w:rsidRDefault="000B70BB" w:rsidP="000B70BB">
      <w:pPr>
        <w:jc w:val="right"/>
        <w:rPr>
          <w:lang w:val="en-GB"/>
        </w:rPr>
      </w:pPr>
      <w:r>
        <w:rPr>
          <w:lang w:val="en-GB"/>
        </w:rPr>
        <w:t xml:space="preserve">(Sourced from, Long </w:t>
      </w:r>
      <w:r w:rsidRPr="000B70BB">
        <w:rPr>
          <w:i/>
          <w:iCs/>
          <w:lang w:val="en-GB"/>
        </w:rPr>
        <w:t>et. al</w:t>
      </w:r>
      <w:r>
        <w:rPr>
          <w:lang w:val="en-GB"/>
        </w:rPr>
        <w:t>, 2020)</w:t>
      </w:r>
    </w:p>
    <w:p w14:paraId="23857549" w14:textId="77777777" w:rsidR="00D35D4F" w:rsidRPr="00410D72" w:rsidRDefault="00D35D4F" w:rsidP="00410D72">
      <w:pPr>
        <w:rPr>
          <w:lang w:val="en-GB"/>
        </w:rPr>
      </w:pPr>
    </w:p>
    <w:p w14:paraId="14FF18FB" w14:textId="6C9D0EA9" w:rsidR="00296A92" w:rsidRDefault="00296A92" w:rsidP="00712506">
      <w:pPr>
        <w:rPr>
          <w:lang w:val="en-GB"/>
        </w:rPr>
      </w:pPr>
    </w:p>
    <w:p w14:paraId="32397684" w14:textId="77777777" w:rsidR="00712506" w:rsidRPr="003C2DC1" w:rsidRDefault="00712506" w:rsidP="008644B7">
      <w:pPr>
        <w:rPr>
          <w:lang w:val="en-GB"/>
        </w:rPr>
      </w:pPr>
    </w:p>
    <w:sectPr w:rsidR="00712506" w:rsidRPr="003C2DC1">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DF9357" w14:textId="77777777" w:rsidR="00101CA8" w:rsidRDefault="00101CA8" w:rsidP="00357397">
      <w:pPr>
        <w:spacing w:after="0" w:line="240" w:lineRule="auto"/>
      </w:pPr>
      <w:r>
        <w:separator/>
      </w:r>
    </w:p>
  </w:endnote>
  <w:endnote w:type="continuationSeparator" w:id="0">
    <w:p w14:paraId="65A87E5E" w14:textId="77777777" w:rsidR="00101CA8" w:rsidRDefault="00101CA8" w:rsidP="00357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618304"/>
      <w:docPartObj>
        <w:docPartGallery w:val="Page Numbers (Bottom of Page)"/>
        <w:docPartUnique/>
      </w:docPartObj>
    </w:sdtPr>
    <w:sdtContent>
      <w:p w14:paraId="1F2D144E" w14:textId="5C7FEF45" w:rsidR="00357397" w:rsidRDefault="00357397">
        <w:pPr>
          <w:pStyle w:val="Footer"/>
        </w:pPr>
        <w:r>
          <w:fldChar w:fldCharType="begin"/>
        </w:r>
        <w:r>
          <w:instrText>PAGE   \* MERGEFORMAT</w:instrText>
        </w:r>
        <w:r>
          <w:fldChar w:fldCharType="separate"/>
        </w:r>
        <w:r>
          <w:rPr>
            <w:lang w:val="en-GB"/>
          </w:rPr>
          <w:t>2</w:t>
        </w:r>
        <w:r>
          <w:fldChar w:fldCharType="end"/>
        </w:r>
      </w:p>
    </w:sdtContent>
  </w:sdt>
  <w:p w14:paraId="2E09695F" w14:textId="77777777" w:rsidR="00357397" w:rsidRDefault="003573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D88D3D" w14:textId="77777777" w:rsidR="00101CA8" w:rsidRDefault="00101CA8" w:rsidP="00357397">
      <w:pPr>
        <w:spacing w:after="0" w:line="240" w:lineRule="auto"/>
      </w:pPr>
      <w:r>
        <w:separator/>
      </w:r>
    </w:p>
  </w:footnote>
  <w:footnote w:type="continuationSeparator" w:id="0">
    <w:p w14:paraId="59ED3115" w14:textId="77777777" w:rsidR="00101CA8" w:rsidRDefault="00101CA8" w:rsidP="003573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A1565"/>
    <w:multiLevelType w:val="hybridMultilevel"/>
    <w:tmpl w:val="D1B8F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C062C8"/>
    <w:multiLevelType w:val="multilevel"/>
    <w:tmpl w:val="29D674F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3F25210F"/>
    <w:multiLevelType w:val="multilevel"/>
    <w:tmpl w:val="482C490E"/>
    <w:lvl w:ilvl="0">
      <w:start w:val="1"/>
      <w:numFmt w:val="decimal"/>
      <w:pStyle w:val="Heading1"/>
      <w:lvlText w:val="%1."/>
      <w:lvlJc w:val="left"/>
      <w:pPr>
        <w:ind w:left="720" w:hanging="360"/>
      </w:pPr>
    </w:lvl>
    <w:lvl w:ilvl="1">
      <w:start w:val="2"/>
      <w:numFmt w:val="decimal"/>
      <w:isLgl/>
      <w:lvlText w:val="%1.%2."/>
      <w:lvlJc w:val="left"/>
      <w:pPr>
        <w:ind w:left="1855"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3F4F091A"/>
    <w:multiLevelType w:val="hybridMultilevel"/>
    <w:tmpl w:val="AEC68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391591"/>
    <w:multiLevelType w:val="multilevel"/>
    <w:tmpl w:val="29D674F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5" w15:restartNumberingAfterBreak="0">
    <w:nsid w:val="67CF4FF1"/>
    <w:multiLevelType w:val="multilevel"/>
    <w:tmpl w:val="29D674F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6" w15:restartNumberingAfterBreak="0">
    <w:nsid w:val="6963414D"/>
    <w:multiLevelType w:val="hybridMultilevel"/>
    <w:tmpl w:val="F558D334"/>
    <w:lvl w:ilvl="0" w:tplc="FCCE23AA">
      <w:start w:val="1"/>
      <w:numFmt w:val="lowerLetter"/>
      <w:lvlText w:val="%1)"/>
      <w:lvlJc w:val="left"/>
      <w:pPr>
        <w:ind w:left="705" w:hanging="360"/>
      </w:pPr>
      <w:rPr>
        <w:b/>
        <w:bCs/>
      </w:rPr>
    </w:lvl>
    <w:lvl w:ilvl="1" w:tplc="FFFFFFFF">
      <w:start w:val="1"/>
      <w:numFmt w:val="bullet"/>
      <w:lvlText w:val="o"/>
      <w:lvlJc w:val="left"/>
      <w:pPr>
        <w:ind w:left="1425" w:hanging="360"/>
      </w:pPr>
      <w:rPr>
        <w:rFonts w:ascii="Courier New" w:hAnsi="Courier New" w:cs="Courier New" w:hint="default"/>
      </w:rPr>
    </w:lvl>
    <w:lvl w:ilvl="2" w:tplc="FFFFFFFF">
      <w:start w:val="1"/>
      <w:numFmt w:val="bullet"/>
      <w:lvlText w:val=""/>
      <w:lvlJc w:val="left"/>
      <w:pPr>
        <w:ind w:left="2145" w:hanging="360"/>
      </w:pPr>
      <w:rPr>
        <w:rFonts w:ascii="Wingdings" w:hAnsi="Wingdings" w:hint="default"/>
      </w:rPr>
    </w:lvl>
    <w:lvl w:ilvl="3" w:tplc="FFFFFFFF">
      <w:start w:val="1"/>
      <w:numFmt w:val="bullet"/>
      <w:lvlText w:val=""/>
      <w:lvlJc w:val="left"/>
      <w:pPr>
        <w:ind w:left="2865" w:hanging="360"/>
      </w:pPr>
      <w:rPr>
        <w:rFonts w:ascii="Symbol" w:hAnsi="Symbol" w:hint="default"/>
      </w:rPr>
    </w:lvl>
    <w:lvl w:ilvl="4" w:tplc="FFFFFFFF">
      <w:start w:val="1"/>
      <w:numFmt w:val="bullet"/>
      <w:lvlText w:val="o"/>
      <w:lvlJc w:val="left"/>
      <w:pPr>
        <w:ind w:left="3585" w:hanging="360"/>
      </w:pPr>
      <w:rPr>
        <w:rFonts w:ascii="Courier New" w:hAnsi="Courier New" w:cs="Courier New" w:hint="default"/>
      </w:rPr>
    </w:lvl>
    <w:lvl w:ilvl="5" w:tplc="FFFFFFFF">
      <w:start w:val="1"/>
      <w:numFmt w:val="bullet"/>
      <w:lvlText w:val=""/>
      <w:lvlJc w:val="left"/>
      <w:pPr>
        <w:ind w:left="4305" w:hanging="360"/>
      </w:pPr>
      <w:rPr>
        <w:rFonts w:ascii="Wingdings" w:hAnsi="Wingdings" w:hint="default"/>
      </w:rPr>
    </w:lvl>
    <w:lvl w:ilvl="6" w:tplc="FFFFFFFF">
      <w:start w:val="1"/>
      <w:numFmt w:val="bullet"/>
      <w:lvlText w:val=""/>
      <w:lvlJc w:val="left"/>
      <w:pPr>
        <w:ind w:left="5025" w:hanging="360"/>
      </w:pPr>
      <w:rPr>
        <w:rFonts w:ascii="Symbol" w:hAnsi="Symbol" w:hint="default"/>
      </w:rPr>
    </w:lvl>
    <w:lvl w:ilvl="7" w:tplc="FFFFFFFF">
      <w:start w:val="1"/>
      <w:numFmt w:val="bullet"/>
      <w:lvlText w:val="o"/>
      <w:lvlJc w:val="left"/>
      <w:pPr>
        <w:ind w:left="5745" w:hanging="360"/>
      </w:pPr>
      <w:rPr>
        <w:rFonts w:ascii="Courier New" w:hAnsi="Courier New" w:cs="Courier New" w:hint="default"/>
      </w:rPr>
    </w:lvl>
    <w:lvl w:ilvl="8" w:tplc="FFFFFFFF">
      <w:start w:val="1"/>
      <w:numFmt w:val="bullet"/>
      <w:lvlText w:val=""/>
      <w:lvlJc w:val="left"/>
      <w:pPr>
        <w:ind w:left="6465" w:hanging="360"/>
      </w:pPr>
      <w:rPr>
        <w:rFonts w:ascii="Wingdings" w:hAnsi="Wingdings" w:hint="default"/>
      </w:rPr>
    </w:lvl>
  </w:abstractNum>
  <w:abstractNum w:abstractNumId="7" w15:restartNumberingAfterBreak="0">
    <w:nsid w:val="7D556F79"/>
    <w:multiLevelType w:val="multilevel"/>
    <w:tmpl w:val="6D283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00684631">
    <w:abstractNumId w:val="2"/>
  </w:num>
  <w:num w:numId="2" w16cid:durableId="1630817383">
    <w:abstractNumId w:val="6"/>
  </w:num>
  <w:num w:numId="3" w16cid:durableId="450899646">
    <w:abstractNumId w:val="4"/>
  </w:num>
  <w:num w:numId="4" w16cid:durableId="1136220008">
    <w:abstractNumId w:val="7"/>
  </w:num>
  <w:num w:numId="5" w16cid:durableId="1528526349">
    <w:abstractNumId w:val="1"/>
  </w:num>
  <w:num w:numId="6" w16cid:durableId="2091274441">
    <w:abstractNumId w:val="0"/>
  </w:num>
  <w:num w:numId="7" w16cid:durableId="418016152">
    <w:abstractNumId w:val="5"/>
  </w:num>
  <w:num w:numId="8" w16cid:durableId="109519952">
    <w:abstractNumId w:val="3"/>
  </w:num>
  <w:num w:numId="9" w16cid:durableId="765734037">
    <w:abstractNumId w:val="2"/>
    <w:lvlOverride w:ilvl="0">
      <w:startOverride w:val="2"/>
    </w:lvlOverride>
    <w:lvlOverride w:ilvl="1">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AA2"/>
    <w:rsid w:val="00005099"/>
    <w:rsid w:val="000160BC"/>
    <w:rsid w:val="00021CD2"/>
    <w:rsid w:val="0003481D"/>
    <w:rsid w:val="000400CF"/>
    <w:rsid w:val="00042B44"/>
    <w:rsid w:val="00055D07"/>
    <w:rsid w:val="0006204A"/>
    <w:rsid w:val="00076A91"/>
    <w:rsid w:val="00080A22"/>
    <w:rsid w:val="00082396"/>
    <w:rsid w:val="00082415"/>
    <w:rsid w:val="00096686"/>
    <w:rsid w:val="00097E34"/>
    <w:rsid w:val="000B13AE"/>
    <w:rsid w:val="000B70BB"/>
    <w:rsid w:val="000C68BB"/>
    <w:rsid w:val="000E1DCA"/>
    <w:rsid w:val="00101CA8"/>
    <w:rsid w:val="00111D2D"/>
    <w:rsid w:val="001336C8"/>
    <w:rsid w:val="0013478E"/>
    <w:rsid w:val="00134C35"/>
    <w:rsid w:val="0013793C"/>
    <w:rsid w:val="00166AA2"/>
    <w:rsid w:val="00170C7A"/>
    <w:rsid w:val="001843FE"/>
    <w:rsid w:val="0019038C"/>
    <w:rsid w:val="001A5F7E"/>
    <w:rsid w:val="001B17E6"/>
    <w:rsid w:val="001C356A"/>
    <w:rsid w:val="001D0C5B"/>
    <w:rsid w:val="001D122E"/>
    <w:rsid w:val="001D30E0"/>
    <w:rsid w:val="001E1DDE"/>
    <w:rsid w:val="001E4BB9"/>
    <w:rsid w:val="001E7A82"/>
    <w:rsid w:val="0020558D"/>
    <w:rsid w:val="00212BF3"/>
    <w:rsid w:val="0022016B"/>
    <w:rsid w:val="00220EF9"/>
    <w:rsid w:val="002241B0"/>
    <w:rsid w:val="0023202E"/>
    <w:rsid w:val="0023588A"/>
    <w:rsid w:val="00247580"/>
    <w:rsid w:val="00250E87"/>
    <w:rsid w:val="00253007"/>
    <w:rsid w:val="00255DCB"/>
    <w:rsid w:val="002603BE"/>
    <w:rsid w:val="00264627"/>
    <w:rsid w:val="00267859"/>
    <w:rsid w:val="00267E23"/>
    <w:rsid w:val="0027192B"/>
    <w:rsid w:val="0027341E"/>
    <w:rsid w:val="00273928"/>
    <w:rsid w:val="00274251"/>
    <w:rsid w:val="00296A92"/>
    <w:rsid w:val="002A3722"/>
    <w:rsid w:val="002B4DC0"/>
    <w:rsid w:val="002B7C6A"/>
    <w:rsid w:val="002C3439"/>
    <w:rsid w:val="002C3BF1"/>
    <w:rsid w:val="002C7F75"/>
    <w:rsid w:val="002E1421"/>
    <w:rsid w:val="002E6419"/>
    <w:rsid w:val="002E74AA"/>
    <w:rsid w:val="002F5A8F"/>
    <w:rsid w:val="002F6E9F"/>
    <w:rsid w:val="002F787F"/>
    <w:rsid w:val="00303A7D"/>
    <w:rsid w:val="003046E1"/>
    <w:rsid w:val="00311791"/>
    <w:rsid w:val="00322D8F"/>
    <w:rsid w:val="00330BB9"/>
    <w:rsid w:val="00350443"/>
    <w:rsid w:val="00357397"/>
    <w:rsid w:val="003705A3"/>
    <w:rsid w:val="003845FB"/>
    <w:rsid w:val="00390058"/>
    <w:rsid w:val="00393E26"/>
    <w:rsid w:val="003B23C2"/>
    <w:rsid w:val="003C01A2"/>
    <w:rsid w:val="003C2B92"/>
    <w:rsid w:val="003C2DC1"/>
    <w:rsid w:val="003D6203"/>
    <w:rsid w:val="003D6C87"/>
    <w:rsid w:val="003E032B"/>
    <w:rsid w:val="003E49E1"/>
    <w:rsid w:val="00410D72"/>
    <w:rsid w:val="00421B65"/>
    <w:rsid w:val="0042543F"/>
    <w:rsid w:val="00426C1A"/>
    <w:rsid w:val="004414EA"/>
    <w:rsid w:val="00441FFB"/>
    <w:rsid w:val="00466D54"/>
    <w:rsid w:val="004715EF"/>
    <w:rsid w:val="00473B66"/>
    <w:rsid w:val="00476966"/>
    <w:rsid w:val="00485AAF"/>
    <w:rsid w:val="004916B6"/>
    <w:rsid w:val="004936EC"/>
    <w:rsid w:val="00496277"/>
    <w:rsid w:val="004A40C3"/>
    <w:rsid w:val="004B2D4A"/>
    <w:rsid w:val="004B6646"/>
    <w:rsid w:val="004B7E92"/>
    <w:rsid w:val="004B7F31"/>
    <w:rsid w:val="004C28C8"/>
    <w:rsid w:val="004D3A9D"/>
    <w:rsid w:val="004F0247"/>
    <w:rsid w:val="004F659D"/>
    <w:rsid w:val="00502611"/>
    <w:rsid w:val="0051170E"/>
    <w:rsid w:val="00521BDE"/>
    <w:rsid w:val="0053081C"/>
    <w:rsid w:val="00553944"/>
    <w:rsid w:val="00554926"/>
    <w:rsid w:val="00555BD1"/>
    <w:rsid w:val="00557429"/>
    <w:rsid w:val="00567C6A"/>
    <w:rsid w:val="00595F45"/>
    <w:rsid w:val="00597442"/>
    <w:rsid w:val="0059755E"/>
    <w:rsid w:val="005A282D"/>
    <w:rsid w:val="005A6B6E"/>
    <w:rsid w:val="005B2D26"/>
    <w:rsid w:val="005B7742"/>
    <w:rsid w:val="005C5E8D"/>
    <w:rsid w:val="005E25DC"/>
    <w:rsid w:val="005E386A"/>
    <w:rsid w:val="005E6F70"/>
    <w:rsid w:val="005E764F"/>
    <w:rsid w:val="005F0999"/>
    <w:rsid w:val="005F13B9"/>
    <w:rsid w:val="005F1C51"/>
    <w:rsid w:val="005F2120"/>
    <w:rsid w:val="006041B5"/>
    <w:rsid w:val="006126ED"/>
    <w:rsid w:val="00625D98"/>
    <w:rsid w:val="00627AA2"/>
    <w:rsid w:val="00642CB4"/>
    <w:rsid w:val="00643D9A"/>
    <w:rsid w:val="006475F9"/>
    <w:rsid w:val="00657FDF"/>
    <w:rsid w:val="006607DF"/>
    <w:rsid w:val="0067338C"/>
    <w:rsid w:val="00680E4E"/>
    <w:rsid w:val="006832B6"/>
    <w:rsid w:val="00686C4B"/>
    <w:rsid w:val="00691CFB"/>
    <w:rsid w:val="0069234A"/>
    <w:rsid w:val="00697D6B"/>
    <w:rsid w:val="006A4932"/>
    <w:rsid w:val="006C1B3D"/>
    <w:rsid w:val="006C4804"/>
    <w:rsid w:val="006D00C5"/>
    <w:rsid w:val="006E52FE"/>
    <w:rsid w:val="006E70A7"/>
    <w:rsid w:val="006F5C39"/>
    <w:rsid w:val="00702F7F"/>
    <w:rsid w:val="00707EF8"/>
    <w:rsid w:val="00712506"/>
    <w:rsid w:val="007358E4"/>
    <w:rsid w:val="00741BCF"/>
    <w:rsid w:val="007437E6"/>
    <w:rsid w:val="00750750"/>
    <w:rsid w:val="00753AB0"/>
    <w:rsid w:val="00754732"/>
    <w:rsid w:val="007642BA"/>
    <w:rsid w:val="00765DDC"/>
    <w:rsid w:val="00785473"/>
    <w:rsid w:val="00786504"/>
    <w:rsid w:val="007866A5"/>
    <w:rsid w:val="0079671E"/>
    <w:rsid w:val="0079726A"/>
    <w:rsid w:val="007A1E80"/>
    <w:rsid w:val="007A7FAE"/>
    <w:rsid w:val="007C58D8"/>
    <w:rsid w:val="007D2784"/>
    <w:rsid w:val="007D51B3"/>
    <w:rsid w:val="007E2002"/>
    <w:rsid w:val="007F160C"/>
    <w:rsid w:val="007F467E"/>
    <w:rsid w:val="0080165F"/>
    <w:rsid w:val="00806F49"/>
    <w:rsid w:val="00811675"/>
    <w:rsid w:val="00827DDE"/>
    <w:rsid w:val="0084633D"/>
    <w:rsid w:val="00850F36"/>
    <w:rsid w:val="008548A4"/>
    <w:rsid w:val="00855F1F"/>
    <w:rsid w:val="008644B7"/>
    <w:rsid w:val="00870998"/>
    <w:rsid w:val="00871595"/>
    <w:rsid w:val="00877472"/>
    <w:rsid w:val="008A474E"/>
    <w:rsid w:val="008B1D40"/>
    <w:rsid w:val="008B6762"/>
    <w:rsid w:val="008C4288"/>
    <w:rsid w:val="008C52B0"/>
    <w:rsid w:val="008D15BE"/>
    <w:rsid w:val="008D44A4"/>
    <w:rsid w:val="008F2E56"/>
    <w:rsid w:val="008F6C93"/>
    <w:rsid w:val="00920959"/>
    <w:rsid w:val="00921802"/>
    <w:rsid w:val="00924CD9"/>
    <w:rsid w:val="00925F94"/>
    <w:rsid w:val="00926CDD"/>
    <w:rsid w:val="00926ED3"/>
    <w:rsid w:val="00935047"/>
    <w:rsid w:val="00942EF0"/>
    <w:rsid w:val="0094322D"/>
    <w:rsid w:val="00956EB4"/>
    <w:rsid w:val="00960F60"/>
    <w:rsid w:val="00967CD0"/>
    <w:rsid w:val="00972ABE"/>
    <w:rsid w:val="00980EE9"/>
    <w:rsid w:val="0098241C"/>
    <w:rsid w:val="00987544"/>
    <w:rsid w:val="00987C76"/>
    <w:rsid w:val="00992A3D"/>
    <w:rsid w:val="00997E31"/>
    <w:rsid w:val="009B0231"/>
    <w:rsid w:val="009B7F44"/>
    <w:rsid w:val="009C5166"/>
    <w:rsid w:val="009E2185"/>
    <w:rsid w:val="009E3931"/>
    <w:rsid w:val="009F6C6D"/>
    <w:rsid w:val="00A30535"/>
    <w:rsid w:val="00A30980"/>
    <w:rsid w:val="00A3261A"/>
    <w:rsid w:val="00A47BFC"/>
    <w:rsid w:val="00A562A6"/>
    <w:rsid w:val="00A6475E"/>
    <w:rsid w:val="00A67E20"/>
    <w:rsid w:val="00A75118"/>
    <w:rsid w:val="00A912A3"/>
    <w:rsid w:val="00AB4197"/>
    <w:rsid w:val="00AD010F"/>
    <w:rsid w:val="00AD0557"/>
    <w:rsid w:val="00AE1BFE"/>
    <w:rsid w:val="00AE1EAA"/>
    <w:rsid w:val="00AE503E"/>
    <w:rsid w:val="00AF0AF2"/>
    <w:rsid w:val="00AF65B9"/>
    <w:rsid w:val="00AF7EE5"/>
    <w:rsid w:val="00B03080"/>
    <w:rsid w:val="00B133F9"/>
    <w:rsid w:val="00B1464B"/>
    <w:rsid w:val="00B15600"/>
    <w:rsid w:val="00B24B0E"/>
    <w:rsid w:val="00B33234"/>
    <w:rsid w:val="00B4690D"/>
    <w:rsid w:val="00B60B55"/>
    <w:rsid w:val="00B61F9C"/>
    <w:rsid w:val="00B62866"/>
    <w:rsid w:val="00B63580"/>
    <w:rsid w:val="00B6539E"/>
    <w:rsid w:val="00B9451E"/>
    <w:rsid w:val="00B97B04"/>
    <w:rsid w:val="00BA33A0"/>
    <w:rsid w:val="00BB319F"/>
    <w:rsid w:val="00BB76EE"/>
    <w:rsid w:val="00BC4C5C"/>
    <w:rsid w:val="00BC7B3B"/>
    <w:rsid w:val="00BE532D"/>
    <w:rsid w:val="00BE74CE"/>
    <w:rsid w:val="00BF082E"/>
    <w:rsid w:val="00BF156A"/>
    <w:rsid w:val="00C026C1"/>
    <w:rsid w:val="00C067AF"/>
    <w:rsid w:val="00C13203"/>
    <w:rsid w:val="00C13898"/>
    <w:rsid w:val="00C15515"/>
    <w:rsid w:val="00C15D47"/>
    <w:rsid w:val="00C2465C"/>
    <w:rsid w:val="00C26301"/>
    <w:rsid w:val="00C33B24"/>
    <w:rsid w:val="00C35035"/>
    <w:rsid w:val="00C35C89"/>
    <w:rsid w:val="00C608AF"/>
    <w:rsid w:val="00C6595F"/>
    <w:rsid w:val="00C86E9B"/>
    <w:rsid w:val="00CB38A7"/>
    <w:rsid w:val="00CC26A9"/>
    <w:rsid w:val="00CE6E21"/>
    <w:rsid w:val="00CF33A4"/>
    <w:rsid w:val="00D01FDB"/>
    <w:rsid w:val="00D02418"/>
    <w:rsid w:val="00D21BA7"/>
    <w:rsid w:val="00D27620"/>
    <w:rsid w:val="00D35D4F"/>
    <w:rsid w:val="00D3715C"/>
    <w:rsid w:val="00D40137"/>
    <w:rsid w:val="00D44410"/>
    <w:rsid w:val="00D552E4"/>
    <w:rsid w:val="00D61E58"/>
    <w:rsid w:val="00D71284"/>
    <w:rsid w:val="00D765AE"/>
    <w:rsid w:val="00D77E82"/>
    <w:rsid w:val="00D81FD5"/>
    <w:rsid w:val="00D84622"/>
    <w:rsid w:val="00DA0E86"/>
    <w:rsid w:val="00DB6664"/>
    <w:rsid w:val="00DB6F01"/>
    <w:rsid w:val="00DC2F0E"/>
    <w:rsid w:val="00DC4403"/>
    <w:rsid w:val="00DC5003"/>
    <w:rsid w:val="00DC58E2"/>
    <w:rsid w:val="00DD1607"/>
    <w:rsid w:val="00DD4A87"/>
    <w:rsid w:val="00DF139C"/>
    <w:rsid w:val="00DF2DF5"/>
    <w:rsid w:val="00DF32A0"/>
    <w:rsid w:val="00E13A83"/>
    <w:rsid w:val="00E25DE0"/>
    <w:rsid w:val="00E3330A"/>
    <w:rsid w:val="00E33F87"/>
    <w:rsid w:val="00E34B74"/>
    <w:rsid w:val="00E37156"/>
    <w:rsid w:val="00E41DA3"/>
    <w:rsid w:val="00E647D0"/>
    <w:rsid w:val="00E710B7"/>
    <w:rsid w:val="00E717B5"/>
    <w:rsid w:val="00E753BB"/>
    <w:rsid w:val="00EA01AC"/>
    <w:rsid w:val="00EB2E9F"/>
    <w:rsid w:val="00EB61F2"/>
    <w:rsid w:val="00EC4AA5"/>
    <w:rsid w:val="00EC714C"/>
    <w:rsid w:val="00EC7D58"/>
    <w:rsid w:val="00ED5769"/>
    <w:rsid w:val="00EE24AA"/>
    <w:rsid w:val="00EF1431"/>
    <w:rsid w:val="00EF6B18"/>
    <w:rsid w:val="00F119A6"/>
    <w:rsid w:val="00F1500F"/>
    <w:rsid w:val="00F150BD"/>
    <w:rsid w:val="00F15DE0"/>
    <w:rsid w:val="00F2111F"/>
    <w:rsid w:val="00F30C8C"/>
    <w:rsid w:val="00F33CC3"/>
    <w:rsid w:val="00F342F8"/>
    <w:rsid w:val="00F36F09"/>
    <w:rsid w:val="00F5018D"/>
    <w:rsid w:val="00F53488"/>
    <w:rsid w:val="00F627F7"/>
    <w:rsid w:val="00F650DA"/>
    <w:rsid w:val="00F752CA"/>
    <w:rsid w:val="00F8091E"/>
    <w:rsid w:val="00F94C24"/>
    <w:rsid w:val="00FA14A8"/>
    <w:rsid w:val="00FB3E73"/>
    <w:rsid w:val="00FB3FEA"/>
    <w:rsid w:val="00FC6D3D"/>
    <w:rsid w:val="00FD000D"/>
    <w:rsid w:val="00FD6D54"/>
    <w:rsid w:val="00FE3E46"/>
    <w:rsid w:val="00FE59DE"/>
    <w:rsid w:val="00FF579C"/>
    <w:rsid w:val="00FF6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D6F2B"/>
  <w15:chartTrackingRefBased/>
  <w15:docId w15:val="{4A2780D4-2A52-4832-B1D9-4046D8FB4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9A6"/>
    <w:pPr>
      <w:spacing w:line="360" w:lineRule="auto"/>
      <w:jc w:val="both"/>
    </w:pPr>
    <w:rPr>
      <w:rFonts w:ascii="Arial" w:hAnsi="Arial"/>
      <w:lang w:val="it-IT"/>
    </w:rPr>
  </w:style>
  <w:style w:type="paragraph" w:styleId="Heading1">
    <w:name w:val="heading 1"/>
    <w:basedOn w:val="Normal"/>
    <w:next w:val="Normal"/>
    <w:link w:val="Heading1Char"/>
    <w:uiPriority w:val="9"/>
    <w:qFormat/>
    <w:rsid w:val="00357397"/>
    <w:pPr>
      <w:keepNext/>
      <w:keepLines/>
      <w:numPr>
        <w:numId w:val="1"/>
      </w:numPr>
      <w:spacing w:before="360" w:after="80"/>
      <w:outlineLvl w:val="0"/>
    </w:pPr>
    <w:rPr>
      <w:rFonts w:eastAsiaTheme="majorEastAsia" w:cstheme="majorBidi"/>
      <w:sz w:val="32"/>
      <w:szCs w:val="40"/>
    </w:rPr>
  </w:style>
  <w:style w:type="paragraph" w:styleId="Heading2">
    <w:name w:val="heading 2"/>
    <w:basedOn w:val="Normal"/>
    <w:next w:val="Normal"/>
    <w:link w:val="Heading2Char"/>
    <w:uiPriority w:val="9"/>
    <w:unhideWhenUsed/>
    <w:qFormat/>
    <w:rsid w:val="00357397"/>
    <w:pPr>
      <w:keepNext/>
      <w:keepLines/>
      <w:spacing w:before="160" w:after="80"/>
      <w:ind w:left="720"/>
      <w:outlineLvl w:val="1"/>
    </w:pPr>
    <w:rPr>
      <w:rFonts w:eastAsiaTheme="majorEastAsia" w:cstheme="majorBidi"/>
      <w:sz w:val="28"/>
      <w:szCs w:val="32"/>
    </w:rPr>
  </w:style>
  <w:style w:type="paragraph" w:styleId="Heading3">
    <w:name w:val="heading 3"/>
    <w:basedOn w:val="Normal"/>
    <w:next w:val="Normal"/>
    <w:link w:val="Heading3Char"/>
    <w:uiPriority w:val="9"/>
    <w:semiHidden/>
    <w:unhideWhenUsed/>
    <w:qFormat/>
    <w:rsid w:val="00627A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7A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7A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7A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A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A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A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397"/>
    <w:rPr>
      <w:rFonts w:ascii="Arial" w:eastAsiaTheme="majorEastAsia" w:hAnsi="Arial" w:cstheme="majorBidi"/>
      <w:sz w:val="32"/>
      <w:szCs w:val="40"/>
      <w:lang w:val="it-IT"/>
    </w:rPr>
  </w:style>
  <w:style w:type="character" w:customStyle="1" w:styleId="Heading2Char">
    <w:name w:val="Heading 2 Char"/>
    <w:basedOn w:val="DefaultParagraphFont"/>
    <w:link w:val="Heading2"/>
    <w:uiPriority w:val="9"/>
    <w:rsid w:val="00357397"/>
    <w:rPr>
      <w:rFonts w:ascii="Arial" w:eastAsiaTheme="majorEastAsia" w:hAnsi="Arial" w:cstheme="majorBidi"/>
      <w:sz w:val="28"/>
      <w:szCs w:val="32"/>
      <w:lang w:val="it-IT"/>
    </w:rPr>
  </w:style>
  <w:style w:type="character" w:customStyle="1" w:styleId="Heading3Char">
    <w:name w:val="Heading 3 Char"/>
    <w:basedOn w:val="DefaultParagraphFont"/>
    <w:link w:val="Heading3"/>
    <w:uiPriority w:val="9"/>
    <w:semiHidden/>
    <w:rsid w:val="00627AA2"/>
    <w:rPr>
      <w:rFonts w:eastAsiaTheme="majorEastAsia" w:cstheme="majorBidi"/>
      <w:color w:val="0F4761" w:themeColor="accent1" w:themeShade="BF"/>
      <w:sz w:val="28"/>
      <w:szCs w:val="28"/>
      <w:lang w:val="it-IT"/>
    </w:rPr>
  </w:style>
  <w:style w:type="character" w:customStyle="1" w:styleId="Heading4Char">
    <w:name w:val="Heading 4 Char"/>
    <w:basedOn w:val="DefaultParagraphFont"/>
    <w:link w:val="Heading4"/>
    <w:uiPriority w:val="9"/>
    <w:semiHidden/>
    <w:rsid w:val="00627AA2"/>
    <w:rPr>
      <w:rFonts w:eastAsiaTheme="majorEastAsia" w:cstheme="majorBidi"/>
      <w:i/>
      <w:iCs/>
      <w:color w:val="0F4761" w:themeColor="accent1" w:themeShade="BF"/>
      <w:lang w:val="it-IT"/>
    </w:rPr>
  </w:style>
  <w:style w:type="character" w:customStyle="1" w:styleId="Heading5Char">
    <w:name w:val="Heading 5 Char"/>
    <w:basedOn w:val="DefaultParagraphFont"/>
    <w:link w:val="Heading5"/>
    <w:uiPriority w:val="9"/>
    <w:semiHidden/>
    <w:rsid w:val="00627AA2"/>
    <w:rPr>
      <w:rFonts w:eastAsiaTheme="majorEastAsia" w:cstheme="majorBidi"/>
      <w:color w:val="0F4761" w:themeColor="accent1" w:themeShade="BF"/>
      <w:lang w:val="it-IT"/>
    </w:rPr>
  </w:style>
  <w:style w:type="character" w:customStyle="1" w:styleId="Heading6Char">
    <w:name w:val="Heading 6 Char"/>
    <w:basedOn w:val="DefaultParagraphFont"/>
    <w:link w:val="Heading6"/>
    <w:uiPriority w:val="9"/>
    <w:semiHidden/>
    <w:rsid w:val="00627AA2"/>
    <w:rPr>
      <w:rFonts w:eastAsiaTheme="majorEastAsia" w:cstheme="majorBidi"/>
      <w:i/>
      <w:iCs/>
      <w:color w:val="595959" w:themeColor="text1" w:themeTint="A6"/>
      <w:lang w:val="it-IT"/>
    </w:rPr>
  </w:style>
  <w:style w:type="character" w:customStyle="1" w:styleId="Heading7Char">
    <w:name w:val="Heading 7 Char"/>
    <w:basedOn w:val="DefaultParagraphFont"/>
    <w:link w:val="Heading7"/>
    <w:uiPriority w:val="9"/>
    <w:semiHidden/>
    <w:rsid w:val="00627AA2"/>
    <w:rPr>
      <w:rFonts w:eastAsiaTheme="majorEastAsia" w:cstheme="majorBidi"/>
      <w:color w:val="595959" w:themeColor="text1" w:themeTint="A6"/>
      <w:lang w:val="it-IT"/>
    </w:rPr>
  </w:style>
  <w:style w:type="character" w:customStyle="1" w:styleId="Heading8Char">
    <w:name w:val="Heading 8 Char"/>
    <w:basedOn w:val="DefaultParagraphFont"/>
    <w:link w:val="Heading8"/>
    <w:uiPriority w:val="9"/>
    <w:semiHidden/>
    <w:rsid w:val="00627AA2"/>
    <w:rPr>
      <w:rFonts w:eastAsiaTheme="majorEastAsia" w:cstheme="majorBidi"/>
      <w:i/>
      <w:iCs/>
      <w:color w:val="272727" w:themeColor="text1" w:themeTint="D8"/>
      <w:lang w:val="it-IT"/>
    </w:rPr>
  </w:style>
  <w:style w:type="character" w:customStyle="1" w:styleId="Heading9Char">
    <w:name w:val="Heading 9 Char"/>
    <w:basedOn w:val="DefaultParagraphFont"/>
    <w:link w:val="Heading9"/>
    <w:uiPriority w:val="9"/>
    <w:semiHidden/>
    <w:rsid w:val="00627AA2"/>
    <w:rPr>
      <w:rFonts w:eastAsiaTheme="majorEastAsia" w:cstheme="majorBidi"/>
      <w:color w:val="272727" w:themeColor="text1" w:themeTint="D8"/>
      <w:lang w:val="it-IT"/>
    </w:rPr>
  </w:style>
  <w:style w:type="paragraph" w:styleId="Title">
    <w:name w:val="Title"/>
    <w:basedOn w:val="Normal"/>
    <w:next w:val="Normal"/>
    <w:link w:val="TitleChar"/>
    <w:uiPriority w:val="10"/>
    <w:qFormat/>
    <w:rsid w:val="00627A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AA2"/>
    <w:rPr>
      <w:rFonts w:asciiTheme="majorHAnsi" w:eastAsiaTheme="majorEastAsia" w:hAnsiTheme="majorHAnsi" w:cstheme="majorBidi"/>
      <w:spacing w:val="-10"/>
      <w:kern w:val="28"/>
      <w:sz w:val="56"/>
      <w:szCs w:val="56"/>
      <w:lang w:val="it-IT"/>
    </w:rPr>
  </w:style>
  <w:style w:type="paragraph" w:styleId="Subtitle">
    <w:name w:val="Subtitle"/>
    <w:basedOn w:val="Normal"/>
    <w:next w:val="Normal"/>
    <w:link w:val="SubtitleChar"/>
    <w:uiPriority w:val="11"/>
    <w:qFormat/>
    <w:rsid w:val="00627A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AA2"/>
    <w:rPr>
      <w:rFonts w:eastAsiaTheme="majorEastAsia" w:cstheme="majorBidi"/>
      <w:color w:val="595959" w:themeColor="text1" w:themeTint="A6"/>
      <w:spacing w:val="15"/>
      <w:sz w:val="28"/>
      <w:szCs w:val="28"/>
      <w:lang w:val="it-IT"/>
    </w:rPr>
  </w:style>
  <w:style w:type="paragraph" w:styleId="Quote">
    <w:name w:val="Quote"/>
    <w:basedOn w:val="Normal"/>
    <w:next w:val="Normal"/>
    <w:link w:val="QuoteChar"/>
    <w:uiPriority w:val="29"/>
    <w:qFormat/>
    <w:rsid w:val="00627AA2"/>
    <w:pPr>
      <w:spacing w:before="160"/>
      <w:jc w:val="center"/>
    </w:pPr>
    <w:rPr>
      <w:i/>
      <w:iCs/>
      <w:color w:val="404040" w:themeColor="text1" w:themeTint="BF"/>
    </w:rPr>
  </w:style>
  <w:style w:type="character" w:customStyle="1" w:styleId="QuoteChar">
    <w:name w:val="Quote Char"/>
    <w:basedOn w:val="DefaultParagraphFont"/>
    <w:link w:val="Quote"/>
    <w:uiPriority w:val="29"/>
    <w:rsid w:val="00627AA2"/>
    <w:rPr>
      <w:i/>
      <w:iCs/>
      <w:color w:val="404040" w:themeColor="text1" w:themeTint="BF"/>
      <w:lang w:val="it-IT"/>
    </w:rPr>
  </w:style>
  <w:style w:type="paragraph" w:styleId="ListParagraph">
    <w:name w:val="List Paragraph"/>
    <w:basedOn w:val="Normal"/>
    <w:uiPriority w:val="34"/>
    <w:qFormat/>
    <w:rsid w:val="00627AA2"/>
    <w:pPr>
      <w:ind w:left="720"/>
      <w:contextualSpacing/>
    </w:pPr>
  </w:style>
  <w:style w:type="character" w:styleId="IntenseEmphasis">
    <w:name w:val="Intense Emphasis"/>
    <w:basedOn w:val="DefaultParagraphFont"/>
    <w:uiPriority w:val="21"/>
    <w:qFormat/>
    <w:rsid w:val="00627AA2"/>
    <w:rPr>
      <w:i/>
      <w:iCs/>
      <w:color w:val="0F4761" w:themeColor="accent1" w:themeShade="BF"/>
    </w:rPr>
  </w:style>
  <w:style w:type="paragraph" w:styleId="IntenseQuote">
    <w:name w:val="Intense Quote"/>
    <w:basedOn w:val="Normal"/>
    <w:next w:val="Normal"/>
    <w:link w:val="IntenseQuoteChar"/>
    <w:uiPriority w:val="30"/>
    <w:qFormat/>
    <w:rsid w:val="00627A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7AA2"/>
    <w:rPr>
      <w:i/>
      <w:iCs/>
      <w:color w:val="0F4761" w:themeColor="accent1" w:themeShade="BF"/>
      <w:lang w:val="it-IT"/>
    </w:rPr>
  </w:style>
  <w:style w:type="character" w:styleId="IntenseReference">
    <w:name w:val="Intense Reference"/>
    <w:basedOn w:val="DefaultParagraphFont"/>
    <w:uiPriority w:val="32"/>
    <w:qFormat/>
    <w:rsid w:val="00627AA2"/>
    <w:rPr>
      <w:b/>
      <w:bCs/>
      <w:smallCaps/>
      <w:color w:val="0F4761" w:themeColor="accent1" w:themeShade="BF"/>
      <w:spacing w:val="5"/>
    </w:rPr>
  </w:style>
  <w:style w:type="paragraph" w:styleId="Header">
    <w:name w:val="header"/>
    <w:basedOn w:val="Normal"/>
    <w:link w:val="HeaderChar"/>
    <w:uiPriority w:val="99"/>
    <w:unhideWhenUsed/>
    <w:rsid w:val="003573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397"/>
    <w:rPr>
      <w:rFonts w:ascii="Arial" w:hAnsi="Arial"/>
      <w:lang w:val="it-IT"/>
    </w:rPr>
  </w:style>
  <w:style w:type="paragraph" w:styleId="Footer">
    <w:name w:val="footer"/>
    <w:basedOn w:val="Normal"/>
    <w:link w:val="FooterChar"/>
    <w:uiPriority w:val="99"/>
    <w:unhideWhenUsed/>
    <w:rsid w:val="003573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397"/>
    <w:rPr>
      <w:rFonts w:ascii="Arial" w:hAnsi="Arial"/>
      <w:lang w:val="it-IT"/>
    </w:rPr>
  </w:style>
  <w:style w:type="character" w:styleId="Hyperlink">
    <w:name w:val="Hyperlink"/>
    <w:basedOn w:val="DefaultParagraphFont"/>
    <w:uiPriority w:val="99"/>
    <w:unhideWhenUsed/>
    <w:rsid w:val="008644B7"/>
    <w:rPr>
      <w:color w:val="467886" w:themeColor="hyperlink"/>
      <w:u w:val="single"/>
    </w:rPr>
  </w:style>
  <w:style w:type="character" w:styleId="UnresolvedMention">
    <w:name w:val="Unresolved Mention"/>
    <w:basedOn w:val="DefaultParagraphFont"/>
    <w:uiPriority w:val="99"/>
    <w:semiHidden/>
    <w:unhideWhenUsed/>
    <w:rsid w:val="008644B7"/>
    <w:rPr>
      <w:color w:val="605E5C"/>
      <w:shd w:val="clear" w:color="auto" w:fill="E1DFDD"/>
    </w:rPr>
  </w:style>
  <w:style w:type="character" w:styleId="FollowedHyperlink">
    <w:name w:val="FollowedHyperlink"/>
    <w:basedOn w:val="DefaultParagraphFont"/>
    <w:uiPriority w:val="99"/>
    <w:semiHidden/>
    <w:unhideWhenUsed/>
    <w:rsid w:val="00DB6F01"/>
    <w:rPr>
      <w:color w:val="96607D" w:themeColor="followedHyperlink"/>
      <w:u w:val="single"/>
    </w:rPr>
  </w:style>
  <w:style w:type="paragraph" w:styleId="Caption">
    <w:name w:val="caption"/>
    <w:basedOn w:val="Normal"/>
    <w:next w:val="Normal"/>
    <w:uiPriority w:val="35"/>
    <w:unhideWhenUsed/>
    <w:qFormat/>
    <w:rsid w:val="002F787F"/>
    <w:pPr>
      <w:spacing w:after="200" w:line="240" w:lineRule="auto"/>
    </w:pPr>
    <w:rPr>
      <w:i/>
      <w:iCs/>
      <w:color w:val="0E2841" w:themeColor="text2"/>
      <w:sz w:val="18"/>
      <w:szCs w:val="18"/>
    </w:rPr>
  </w:style>
  <w:style w:type="table" w:styleId="TableGrid">
    <w:name w:val="Table Grid"/>
    <w:basedOn w:val="TableNormal"/>
    <w:uiPriority w:val="39"/>
    <w:rsid w:val="00CF33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FB3E7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FB3E7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8F6C93"/>
    <w:pPr>
      <w:numPr>
        <w:numId w:val="0"/>
      </w:numPr>
      <w:spacing w:before="240" w:after="0" w:line="259" w:lineRule="auto"/>
      <w:jc w:val="left"/>
      <w:outlineLvl w:val="9"/>
    </w:pPr>
    <w:rPr>
      <w:rFonts w:asciiTheme="majorHAnsi" w:hAnsiTheme="majorHAnsi"/>
      <w:color w:val="0F4761" w:themeColor="accent1" w:themeShade="BF"/>
      <w:kern w:val="0"/>
      <w:szCs w:val="32"/>
      <w:lang w:val="en-GB" w:eastAsia="en-GB"/>
      <w14:ligatures w14:val="none"/>
    </w:rPr>
  </w:style>
  <w:style w:type="paragraph" w:styleId="TOC1">
    <w:name w:val="toc 1"/>
    <w:basedOn w:val="Normal"/>
    <w:next w:val="Normal"/>
    <w:autoRedefine/>
    <w:uiPriority w:val="39"/>
    <w:unhideWhenUsed/>
    <w:rsid w:val="008F6C93"/>
    <w:pPr>
      <w:spacing w:after="100"/>
    </w:pPr>
  </w:style>
  <w:style w:type="paragraph" w:styleId="TOC2">
    <w:name w:val="toc 2"/>
    <w:basedOn w:val="Normal"/>
    <w:next w:val="Normal"/>
    <w:autoRedefine/>
    <w:uiPriority w:val="39"/>
    <w:unhideWhenUsed/>
    <w:rsid w:val="008F6C9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359681/Young_Person_s_Guide_to_the_Children_and_Families_Act.pdf" TargetMode="External"/><Relationship Id="rId18" Type="http://schemas.openxmlformats.org/officeDocument/2006/relationships/hyperlink" Target="https://doi.org/10.1007/s10654-020-00615-6" TargetMode="External"/><Relationship Id="rId26" Type="http://schemas.openxmlformats.org/officeDocument/2006/relationships/hyperlink" Target="https://www.england.nhs.uk/learning-disabilities/care/children-young-people/send/" TargetMode="External"/><Relationship Id="rId21" Type="http://schemas.openxmlformats.org/officeDocument/2006/relationships/hyperlink" Target="https://www.legislation.gov.uk/ukpga/2014/6/contents" TargetMode="External"/><Relationship Id="rId34" Type="http://schemas.openxmlformats.org/officeDocument/2006/relationships/hyperlink" Target="https://doi.org/10.1136/bmjopen-2023-072531" TargetMode="External"/><Relationship Id="rId7" Type="http://schemas.openxmlformats.org/officeDocument/2006/relationships/endnotes" Target="endnotes.xml"/><Relationship Id="rId12" Type="http://schemas.openxmlformats.org/officeDocument/2006/relationships/hyperlink" Target="https://send.eani.org.uk/statutory-assessment/school-placements" TargetMode="External"/><Relationship Id="rId17" Type="http://schemas.openxmlformats.org/officeDocument/2006/relationships/hyperlink" Target="https://explore-education-statistics.service.gov.uk/data-tables/special-educational-needs-in-england/2024-25?subjectId=27403e26-aca1-4ef2-3b3f-08dd97c89364" TargetMode="External"/><Relationship Id="rId25" Type="http://schemas.openxmlformats.org/officeDocument/2006/relationships/hyperlink" Target="https://meridian.allenpress.com/jgme/article-abstract/14/5/561/487451" TargetMode="External"/><Relationship Id="rId33" Type="http://schemas.openxmlformats.org/officeDocument/2006/relationships/hyperlink" Target="https://doi.org/10.1007/s11482-024-10335-8" TargetMode="External"/><Relationship Id="rId2" Type="http://schemas.openxmlformats.org/officeDocument/2006/relationships/numbering" Target="numbering.xml"/><Relationship Id="rId16" Type="http://schemas.openxmlformats.org/officeDocument/2006/relationships/hyperlink" Target="https://explore-education-statistics.service.gov.uk/find-statistics/special-educational-needs-in-england/2024-25" TargetMode="External"/><Relationship Id="rId20" Type="http://schemas.openxmlformats.org/officeDocument/2006/relationships/hyperlink" Target="https://www.kids.org.uk/guides/send-code-of-practice/" TargetMode="External"/><Relationship Id="rId29" Type="http://schemas.openxmlformats.org/officeDocument/2006/relationships/hyperlink" Target="https://doi.org/10.1371/journal.pone.03356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ucationalneuroscience.org.uk/2022/04/01/why-has-there-been-a-rise-in-number-of-sen-children-especially-in-the-early-years/" TargetMode="External"/><Relationship Id="rId24" Type="http://schemas.openxmlformats.org/officeDocument/2006/relationships/hyperlink" Target="https://journals.sagepub.com/doi/pdf/10.1177/2632084320947559" TargetMode="External"/><Relationship Id="rId32" Type="http://schemas.openxmlformats.org/officeDocument/2006/relationships/hyperlink" Target="https://doi.org/10.1080/00131911.2025.2520993"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ssets.publishing.service.gov.uk/media/5a7dcb85ed915d2ac884d995/SEND_Code_of_Practice_January_2015.pdf" TargetMode="External"/><Relationship Id="rId23" Type="http://schemas.openxmlformats.org/officeDocument/2006/relationships/hyperlink" Target="https://www.lgo.org.uk/assets/attach/6627/Annual-Review-of-Local-Government-Complaints-2023-24.pdf" TargetMode="External"/><Relationship Id="rId28" Type="http://schemas.openxmlformats.org/officeDocument/2006/relationships/hyperlink" Target="https://www.allfie.org.uk/news/inclusion-now/inclusion-now-70/the-crisis-in-the-send-system-in-england-a-call-for-urgent-overhaul/" TargetMode="External"/><Relationship Id="rId36" Type="http://schemas.openxmlformats.org/officeDocument/2006/relationships/fontTable" Target="fontTable.xml"/><Relationship Id="rId10" Type="http://schemas.openxmlformats.org/officeDocument/2006/relationships/hyperlink" Target="https://doi.org/10.1016/j.ridd.2019.01.003" TargetMode="External"/><Relationship Id="rId19" Type="http://schemas.openxmlformats.org/officeDocument/2006/relationships/hyperlink" Target="https://www.bbc.com/news/articles/ceqq46x068xo" TargetMode="External"/><Relationship Id="rId31" Type="http://schemas.openxmlformats.org/officeDocument/2006/relationships/hyperlink" Target="https://www.sen-help.org.uk/the-system/ehc-plans/" TargetMode="External"/><Relationship Id="rId4" Type="http://schemas.openxmlformats.org/officeDocument/2006/relationships/settings" Target="settings.xml"/><Relationship Id="rId9" Type="http://schemas.openxmlformats.org/officeDocument/2006/relationships/hyperlink" Target="https://books.google.it/books?id=65W1EAAAQBAJ&amp;printsec=frontcover&amp;source=gbs_ge_summary_r&amp;cad=0" TargetMode="External"/><Relationship Id="rId14" Type="http://schemas.openxmlformats.org/officeDocument/2006/relationships/hyperlink" Target="https://assets.publishing.service.gov.uk/government/uploads/system/uploads/attachment_data/file/315587/Equality_Act_Advice_Final.pdf" TargetMode="External"/><Relationship Id="rId22" Type="http://schemas.openxmlformats.org/officeDocument/2006/relationships/hyperlink" Target="https://doi.org/10.1111/jir.13139" TargetMode="External"/><Relationship Id="rId27" Type="http://schemas.openxmlformats.org/officeDocument/2006/relationships/hyperlink" Target="https://www.nih.gov/health-information/nih-clinical-research-trials-you/guiding-principles-ethical-research" TargetMode="External"/><Relationship Id="rId30" Type="http://schemas.openxmlformats.org/officeDocument/2006/relationships/hyperlink" Target="https://councilfordisabledchildren.org.uk/about-us-0/networks/special-educational-consortium/sec-manifesto" TargetMode="External"/><Relationship Id="rId35" Type="http://schemas.openxmlformats.org/officeDocument/2006/relationships/footer" Target="footer1.xml"/><Relationship Id="rId8" Type="http://schemas.openxmlformats.org/officeDocument/2006/relationships/hyperlink" Target="https://dx.doi.org/10.2139/ssrn.5378785"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71963B-889C-46A2-929F-53E2D01FBC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1723</TotalTime>
  <Pages>1</Pages>
  <Words>6333</Words>
  <Characters>36102</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Faur</dc:creator>
  <cp:keywords/>
  <dc:description/>
  <cp:lastModifiedBy>Mihai Boldizsar (2247855)</cp:lastModifiedBy>
  <cp:revision>348</cp:revision>
  <dcterms:created xsi:type="dcterms:W3CDTF">2025-11-10T09:29:00Z</dcterms:created>
  <dcterms:modified xsi:type="dcterms:W3CDTF">2025-11-17T19:11:00Z</dcterms:modified>
</cp:coreProperties>
</file>