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2F28B44"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3F4F57">
        <w:rPr>
          <w:rFonts w:ascii="Arial" w:hAnsi="Arial" w:cs="Arial"/>
          <w:sz w:val="28"/>
          <w:szCs w:val="28"/>
          <w:lang w:val="nl-NL"/>
        </w:rPr>
        <w:t xml:space="preserve"> Jussara Maria sa si Vieira</w:t>
      </w:r>
    </w:p>
    <w:p w14:paraId="3C83A8A7" w14:textId="7E10966F"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3F4F57">
        <w:rPr>
          <w:rFonts w:ascii="Arial" w:hAnsi="Arial" w:cs="Arial"/>
          <w:sz w:val="28"/>
          <w:szCs w:val="28"/>
          <w:lang w:val="nl-NL"/>
        </w:rPr>
        <w:t xml:space="preserve"> 2431198</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2B88DCF8"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proofErr w:type="spellStart"/>
      <w:r w:rsidR="00882BBF">
        <w:rPr>
          <w:rFonts w:ascii="Arial" w:hAnsi="Arial" w:cs="Arial"/>
          <w:sz w:val="28"/>
          <w:szCs w:val="28"/>
          <w:lang w:val="nl-NL"/>
        </w:rPr>
        <w:t>Protecting</w:t>
      </w:r>
      <w:proofErr w:type="spellEnd"/>
      <w:r w:rsidR="00882BBF">
        <w:rPr>
          <w:rFonts w:ascii="Arial" w:hAnsi="Arial" w:cs="Arial"/>
          <w:sz w:val="28"/>
          <w:szCs w:val="28"/>
          <w:lang w:val="nl-NL"/>
        </w:rPr>
        <w:t xml:space="preserve"> </w:t>
      </w:r>
      <w:proofErr w:type="spellStart"/>
      <w:r w:rsidR="00882BBF">
        <w:rPr>
          <w:rFonts w:ascii="Arial" w:hAnsi="Arial" w:cs="Arial"/>
          <w:sz w:val="28"/>
          <w:szCs w:val="28"/>
          <w:lang w:val="nl-NL"/>
        </w:rPr>
        <w:t>and</w:t>
      </w:r>
      <w:proofErr w:type="spellEnd"/>
      <w:r w:rsidR="00882BBF">
        <w:rPr>
          <w:rFonts w:ascii="Arial" w:hAnsi="Arial" w:cs="Arial"/>
          <w:sz w:val="28"/>
          <w:szCs w:val="28"/>
          <w:lang w:val="nl-NL"/>
        </w:rPr>
        <w:t xml:space="preserve"> </w:t>
      </w:r>
      <w:proofErr w:type="spellStart"/>
      <w:r w:rsidR="00882BBF">
        <w:rPr>
          <w:rFonts w:ascii="Arial" w:hAnsi="Arial" w:cs="Arial"/>
          <w:sz w:val="28"/>
          <w:szCs w:val="28"/>
          <w:lang w:val="nl-NL"/>
        </w:rPr>
        <w:t>supporting</w:t>
      </w:r>
      <w:proofErr w:type="spellEnd"/>
      <w:r w:rsidR="00882BBF">
        <w:rPr>
          <w:rFonts w:ascii="Arial" w:hAnsi="Arial" w:cs="Arial"/>
          <w:sz w:val="28"/>
          <w:szCs w:val="28"/>
          <w:lang w:val="nl-NL"/>
        </w:rPr>
        <w:t xml:space="preserve"> families in health </w:t>
      </w:r>
      <w:proofErr w:type="spellStart"/>
      <w:r w:rsidR="00882BBF">
        <w:rPr>
          <w:rFonts w:ascii="Arial" w:hAnsi="Arial" w:cs="Arial"/>
          <w:sz w:val="28"/>
          <w:szCs w:val="28"/>
          <w:lang w:val="nl-NL"/>
        </w:rPr>
        <w:t>and</w:t>
      </w:r>
      <w:proofErr w:type="spellEnd"/>
      <w:r w:rsidR="00882BBF">
        <w:rPr>
          <w:rFonts w:ascii="Arial" w:hAnsi="Arial" w:cs="Arial"/>
          <w:sz w:val="28"/>
          <w:szCs w:val="28"/>
          <w:lang w:val="nl-NL"/>
        </w:rPr>
        <w:t xml:space="preserve"> care</w:t>
      </w:r>
    </w:p>
    <w:p w14:paraId="4FD97C8C" w14:textId="4F1A0ED8"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882BBF">
        <w:rPr>
          <w:rFonts w:ascii="Arial" w:hAnsi="Arial" w:cs="Arial"/>
          <w:sz w:val="28"/>
          <w:szCs w:val="28"/>
        </w:rPr>
        <w:t xml:space="preserve"> BMHP5021</w:t>
      </w:r>
    </w:p>
    <w:p w14:paraId="658BE57E" w14:textId="5284C08D"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882BBF">
        <w:rPr>
          <w:rFonts w:ascii="Arial" w:hAnsi="Arial" w:cs="Arial"/>
          <w:sz w:val="28"/>
          <w:szCs w:val="28"/>
        </w:rPr>
        <w:t xml:space="preserve"> Shaila hussain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2034F29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6182E485" w14:textId="77777777" w:rsidR="003F4F57" w:rsidRPr="003F4F57" w:rsidRDefault="003F4F57" w:rsidP="003F4F57">
      <w:pPr>
        <w:pStyle w:val="Heading1"/>
        <w:rPr>
          <w:rFonts w:cs="Arial"/>
          <w:color w:val="000000" w:themeColor="text1"/>
        </w:rPr>
      </w:pPr>
      <w:r w:rsidRPr="003F4F57">
        <w:rPr>
          <w:rFonts w:cs="Arial"/>
          <w:color w:val="000000" w:themeColor="text1"/>
        </w:rPr>
        <w:lastRenderedPageBreak/>
        <w:t>An Examination and Analysis of How the Early Help System is Signposted to UK Families by Local Authority Websites</w:t>
      </w:r>
    </w:p>
    <w:p w14:paraId="306FBD2D" w14:textId="77777777" w:rsidR="003F4F57" w:rsidRDefault="003F4F57" w:rsidP="003F4F57">
      <w:pPr>
        <w:pStyle w:val="Heading2"/>
      </w:pPr>
    </w:p>
    <w:p w14:paraId="049CABB5" w14:textId="604E38F1" w:rsidR="003F4F57" w:rsidRPr="003F4F57" w:rsidRDefault="003F4F57" w:rsidP="003F4F57">
      <w:pPr>
        <w:rPr>
          <w:rFonts w:ascii="Arial" w:hAnsi="Arial" w:cs="Arial"/>
          <w:b/>
          <w:bCs/>
        </w:rPr>
      </w:pPr>
      <w:r>
        <w:rPr>
          <w:rFonts w:ascii="Arial" w:hAnsi="Arial" w:cs="Arial"/>
          <w:b/>
          <w:bCs/>
        </w:rPr>
        <w:t>Introduction</w:t>
      </w:r>
    </w:p>
    <w:p w14:paraId="233A2B65" w14:textId="632EDE4C" w:rsidR="003F4F57" w:rsidRPr="003F4F57" w:rsidRDefault="003F4F57" w:rsidP="003F4F57">
      <w:pPr>
        <w:pStyle w:val="Heading2"/>
        <w:rPr>
          <w:sz w:val="24"/>
          <w:szCs w:val="24"/>
        </w:rPr>
      </w:pPr>
      <w:r w:rsidRPr="003F4F57">
        <w:rPr>
          <w:sz w:val="24"/>
          <w:szCs w:val="24"/>
        </w:rPr>
        <w:t>Early Help is an important part of supporting children, young people and families because it aims to identify and respond to emerging difficulties before they become more serious. The effectiveness of Early Help is not only dependent on the services available within a local area, but also on whether families can understand what support exists and how to access it. Local authority websites therefore have an important role in communicating and signposting families towards appropriate services.</w:t>
      </w:r>
    </w:p>
    <w:p w14:paraId="099F761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report examines how Early Help and wider family support services are communicated through the websites of Leeds City Council, Nottinghamshire County Council and Tower Hamlets Council. The three local authorities have been selected because they provide different approaches to presenting Early Help and Family Hub services. The report considers the clarity and accessibility of information, referral routes, the range of support described and evidence of multi-agency working. The analysis is informed by the Early Help System Guide and Working Together to Safeguard Children 2026, as required by the assessment brief.</w:t>
      </w:r>
    </w:p>
    <w:p w14:paraId="458142BE"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report argues that effective online signposting should be family-centred rather than primarily professional-focused. Families should be able to identify whether they may benefit from Early Help, understand what support is available and find a clear route into services without needing prior knowledge of children's social care terminology.</w:t>
      </w:r>
    </w:p>
    <w:p w14:paraId="406B3373" w14:textId="77777777" w:rsidR="003F4F57" w:rsidRPr="003F4F57" w:rsidRDefault="003F4F57" w:rsidP="003F4F57">
      <w:pPr>
        <w:pStyle w:val="NormalWeb"/>
        <w:rPr>
          <w:rFonts w:ascii="Arial" w:hAnsi="Arial" w:cs="Arial"/>
          <w:color w:val="000000" w:themeColor="text1"/>
        </w:rPr>
      </w:pPr>
    </w:p>
    <w:p w14:paraId="0AEA4154" w14:textId="77777777" w:rsidR="003F4F57" w:rsidRPr="003F4F57" w:rsidRDefault="003F4F57" w:rsidP="003F4F57">
      <w:pPr>
        <w:pStyle w:val="Heading2"/>
      </w:pPr>
      <w:r w:rsidRPr="003F4F57">
        <w:t>The Early Help System</w:t>
      </w:r>
    </w:p>
    <w:p w14:paraId="57D8DFDF"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Early Help System is best understood as a coordinated approach rather than a single service. The Early Help System Guide explains that effective Early Help involves different services working together to identify and respond to needs at an early stage. The intention is to provide support before difficulties escalate and require more intensive statutory intervention (Department for Education and Department for Levelling Up, Housing and Communities, 2022).</w:t>
      </w:r>
    </w:p>
    <w:p w14:paraId="36115C3B"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Early Help can involve universal and targeted services. Universal services are available to children and families generally, while targeted support is provided where additional needs have been identified. Depending on the circumstances, support can involve education, health, children's services, housing, voluntary organisations, community services and other agencies.</w:t>
      </w:r>
    </w:p>
    <w:p w14:paraId="530C24B1"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 xml:space="preserve">This approach is important because family difficulties are often interconnected. For example, problems with school attendance may be linked to parental mental health, </w:t>
      </w:r>
      <w:r w:rsidRPr="003F4F57">
        <w:rPr>
          <w:rFonts w:ascii="Arial" w:hAnsi="Arial" w:cs="Arial"/>
          <w:color w:val="000000" w:themeColor="text1"/>
        </w:rPr>
        <w:lastRenderedPageBreak/>
        <w:t>financial difficulties, housing problems or difficulties within the family. A response from only one professional may therefore fail to address the wider circumstances affecting the child.</w:t>
      </w:r>
    </w:p>
    <w:p w14:paraId="13E86B4D"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Working Together to Safeguard Children 2026 reinforces this principle. The guidance states that local safeguarding partners should make their local criteria and pathways transparent, evidence-based, accessible and easy to understand. This includes explaining how families can access universal and community-based Early Help and when a child may require Family Help or statutory intervention (Department for Education, 2026).</w:t>
      </w:r>
    </w:p>
    <w:p w14:paraId="56692A0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is particularly relevant when evaluating local authority websites. If information is technically available but difficult for parents to locate or understand, the existence of services does not necessarily mean that the system is genuinely accessible.</w:t>
      </w:r>
    </w:p>
    <w:p w14:paraId="0D694991" w14:textId="77777777" w:rsidR="003F4F57" w:rsidRDefault="003F4F57" w:rsidP="003F4F57">
      <w:pPr>
        <w:pStyle w:val="Heading2"/>
      </w:pPr>
    </w:p>
    <w:p w14:paraId="4A6FA83F" w14:textId="77777777" w:rsidR="003F4F57" w:rsidRDefault="003F4F57" w:rsidP="003F4F57">
      <w:pPr>
        <w:pStyle w:val="Heading2"/>
      </w:pPr>
    </w:p>
    <w:p w14:paraId="1B7D820B" w14:textId="1B37E598" w:rsidR="003F4F57" w:rsidRPr="003F4F57" w:rsidRDefault="003F4F57" w:rsidP="003F4F57">
      <w:pPr>
        <w:pStyle w:val="Heading2"/>
      </w:pPr>
      <w:r w:rsidRPr="003F4F57">
        <w:t>Multi-agency Working</w:t>
      </w:r>
    </w:p>
    <w:p w14:paraId="38F2A861"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Multi-agency working is central to Early Help because children's needs can involve several areas of professional practice. Working Together to Safeguard Children 2026 applies across local authorities, health services, police, education and other organisations involved in safeguarding and supporting children.</w:t>
      </w:r>
    </w:p>
    <w:p w14:paraId="5032568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 xml:space="preserve">The Children Act 2004 also provides an important legal basis for partnership working. Section 10 requires local authorities to </w:t>
      </w:r>
      <w:proofErr w:type="gramStart"/>
      <w:r w:rsidRPr="003F4F57">
        <w:rPr>
          <w:rFonts w:ascii="Arial" w:hAnsi="Arial" w:cs="Arial"/>
          <w:color w:val="000000" w:themeColor="text1"/>
        </w:rPr>
        <w:t>make arrangements</w:t>
      </w:r>
      <w:proofErr w:type="gramEnd"/>
      <w:r w:rsidRPr="003F4F57">
        <w:rPr>
          <w:rFonts w:ascii="Arial" w:hAnsi="Arial" w:cs="Arial"/>
          <w:color w:val="000000" w:themeColor="text1"/>
        </w:rPr>
        <w:t xml:space="preserve"> to promote cooperation with relevant partners </w:t>
      </w:r>
      <w:proofErr w:type="gramStart"/>
      <w:r w:rsidRPr="003F4F57">
        <w:rPr>
          <w:rFonts w:ascii="Arial" w:hAnsi="Arial" w:cs="Arial"/>
          <w:color w:val="000000" w:themeColor="text1"/>
        </w:rPr>
        <w:t>in order to</w:t>
      </w:r>
      <w:proofErr w:type="gramEnd"/>
      <w:r w:rsidRPr="003F4F57">
        <w:rPr>
          <w:rFonts w:ascii="Arial" w:hAnsi="Arial" w:cs="Arial"/>
          <w:color w:val="000000" w:themeColor="text1"/>
        </w:rPr>
        <w:t xml:space="preserve"> improve children's wellbeing. Section 11 places safeguarding responsibilities on a range of organisations.</w:t>
      </w:r>
    </w:p>
    <w:p w14:paraId="362F136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importance of partnership working is therefore both practical and statutory. A family may require support from more than one agency, and effective communication between professionals can prevent families from having to repeatedly explain their circumstances. However, multi-agency working also creates a communication challenge: local authorities must explain complex professional structures in language that families can understand.</w:t>
      </w:r>
    </w:p>
    <w:p w14:paraId="47070D89"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websites examined in this report demonstrate different ways of addressing this challenge.</w:t>
      </w:r>
    </w:p>
    <w:p w14:paraId="749F1B6E" w14:textId="77777777" w:rsidR="003F4F57" w:rsidRPr="003F4F57" w:rsidRDefault="003F4F57" w:rsidP="003F4F57">
      <w:pPr>
        <w:pStyle w:val="Heading2"/>
      </w:pPr>
      <w:r w:rsidRPr="003F4F57">
        <w:t>Leeds City Council</w:t>
      </w:r>
    </w:p>
    <w:p w14:paraId="16EC42ED"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Leeds provides a substantial amount of information about Family Hubs and Early Help. The current Family Hubs webpage states that the hubs support families with children and young people aged 0 to 19, or up to 25 for young people with SEND. It explains that families can access advice, support and services in one location and provides the addresses of seven Family Hubs across the city.</w:t>
      </w:r>
    </w:p>
    <w:p w14:paraId="00D02A3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A major strength is therefore</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physical accessibility</w:t>
      </w:r>
      <w:r w:rsidRPr="003F4F57">
        <w:rPr>
          <w:rFonts w:ascii="Arial" w:hAnsi="Arial" w:cs="Arial"/>
          <w:color w:val="000000" w:themeColor="text1"/>
        </w:rPr>
        <w:t>. Rather than presenting Early Help exclusively as an online service, Leeds links digital information with community-</w:t>
      </w:r>
      <w:r w:rsidRPr="003F4F57">
        <w:rPr>
          <w:rFonts w:ascii="Arial" w:hAnsi="Arial" w:cs="Arial"/>
          <w:color w:val="000000" w:themeColor="text1"/>
        </w:rPr>
        <w:lastRenderedPageBreak/>
        <w:t>based locations. Families can drop in during opening hours or contact their nearest hub to arrange an appointment. The website also provides a central telephone number and email address.</w:t>
      </w:r>
    </w:p>
    <w:p w14:paraId="4CF0F2BF"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Leeds has also deliberately brought different organisations together within its Family Hubs. In April 2025, the council announced seven new hubs intended to bring a wide range of services together and simplify access to Early Help. The services include support relating to mental health, domestic abuse, substance use, parenting and individual interventions.</w:t>
      </w:r>
    </w:p>
    <w:p w14:paraId="529D770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demonstrates a clear relationship between the digital information and the wider Early Help model. The website does not simply provide information; it directs families towards physical spaces where multiple services can be accessed.</w:t>
      </w:r>
    </w:p>
    <w:p w14:paraId="7DEB631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However, the website could be improved by making the first step for families more prominent. A parent who does not know whether their situation qualifies as Early Help may still have to navigate several pages to determine what to do. The presence of Family Hubs is clear, but the distinction between Early Help, Family Hubs and other children's services may not immediately be obvious to a parent with no previous experience of the system.</w:t>
      </w:r>
    </w:p>
    <w:p w14:paraId="4A4446C3"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Therefore, Leeds performs strongly in</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service integration and practical access</w:t>
      </w:r>
      <w:r w:rsidRPr="003F4F57">
        <w:rPr>
          <w:rFonts w:ascii="Arial" w:hAnsi="Arial" w:cs="Arial"/>
          <w:color w:val="000000" w:themeColor="text1"/>
        </w:rPr>
        <w:t>, but there remains scope to improve the simplicity of the digital pathway for families.</w:t>
      </w:r>
    </w:p>
    <w:p w14:paraId="24D9923A" w14:textId="77777777" w:rsidR="003F4F57" w:rsidRDefault="003F4F57" w:rsidP="003F4F57">
      <w:pPr>
        <w:pStyle w:val="Heading2"/>
      </w:pPr>
    </w:p>
    <w:p w14:paraId="385B7A89" w14:textId="378C8510" w:rsidR="003F4F57" w:rsidRPr="003F4F57" w:rsidRDefault="003F4F57" w:rsidP="003F4F57">
      <w:pPr>
        <w:pStyle w:val="Heading2"/>
      </w:pPr>
      <w:r w:rsidRPr="003F4F57">
        <w:t>Nottinghamshire County Council</w:t>
      </w:r>
    </w:p>
    <w:p w14:paraId="2878AF7D"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provides a broad Early Help and Family Hub offer. Its current Early Years and Family Hubs information explains that services support families with children from birth to 19 and provides universal and Early Help support through Family Hub Networks. The council also states that services can take place in purpose-built Family Hubs, community venues, parks or family homes.</w:t>
      </w:r>
    </w:p>
    <w:p w14:paraId="38F12075"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is a strength because it demonstrates that accessibility is not restricted to a particular building. The service can reach families in different community settings, which may be particularly important for families who experience practical barriers to attending formal appointments.</w:t>
      </w:r>
    </w:p>
    <w:p w14:paraId="1576FE6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also provides clear routes into Early Help. Families can telephone the Early Help Unit or contact their local Family Hub team to self-refer. Professionals can use an online service request form or contact the Early Help Unit for advice.</w:t>
      </w:r>
    </w:p>
    <w:p w14:paraId="1109628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self-referral option is particularly important from a family-centred perspective. It means that families do not necessarily need to wait for a professional to identify a problem before making contact. This supports the preventative purpose of Early Help.</w:t>
      </w:r>
    </w:p>
    <w:p w14:paraId="30146FC4"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 xml:space="preserve">The council also presents Family Hubs as a “front door” to support and describes them as a “one stop shop” for families. Family Hub teams include Early Years </w:t>
      </w:r>
      <w:r w:rsidRPr="003F4F57">
        <w:rPr>
          <w:rFonts w:ascii="Arial" w:hAnsi="Arial" w:cs="Arial"/>
          <w:color w:val="000000" w:themeColor="text1"/>
        </w:rPr>
        <w:lastRenderedPageBreak/>
        <w:t>Practitioners, Family Support Workers and Community Development Workers, alongside other professionals.</w:t>
      </w:r>
    </w:p>
    <w:p w14:paraId="1B106C93"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demonstrates multi-agency and multidisciplinary working in a relatively accessible way.</w:t>
      </w:r>
    </w:p>
    <w:p w14:paraId="602209F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However, the quantity of information can also become a weakness. Nottinghamshire's Early Help information is distributed across pages covering Family Hubs, Early Help referrals, early years services and the wider information directory. Although this creates a comprehensive information system, families may need to move between different parts of the website before understanding which pathway is most appropriate.</w:t>
      </w:r>
    </w:p>
    <w:p w14:paraId="14E5E66F"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Consequently, Nottinghamshire is strong in</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breadth, self-referral and community access</w:t>
      </w:r>
      <w:r w:rsidRPr="003F4F57">
        <w:rPr>
          <w:rFonts w:ascii="Arial" w:hAnsi="Arial" w:cs="Arial"/>
          <w:color w:val="000000" w:themeColor="text1"/>
        </w:rPr>
        <w:t>, but its information could be more streamlined to reduce the cognitive burden placed on families.</w:t>
      </w:r>
    </w:p>
    <w:p w14:paraId="1FD21AB3" w14:textId="77777777" w:rsidR="003F4F57" w:rsidRDefault="003F4F57" w:rsidP="003F4F57">
      <w:pPr>
        <w:pStyle w:val="Heading2"/>
      </w:pPr>
    </w:p>
    <w:p w14:paraId="52C5FAA7" w14:textId="49CB85A0" w:rsidR="003F4F57" w:rsidRPr="003F4F57" w:rsidRDefault="003F4F57" w:rsidP="003F4F57">
      <w:pPr>
        <w:pStyle w:val="Heading2"/>
      </w:pPr>
      <w:r w:rsidRPr="003F4F57">
        <w:t>Tower Hamlets Council</w:t>
      </w:r>
    </w:p>
    <w:p w14:paraId="102DB9B4"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provides particularly explicit information about Early Help. Its current Early Help webpage explains that the service is available to families from pregnancy until young people reach 19, or 25 for young people with SEND. Importantly, it also explains why a family might seek Early Help and gives practical examples such as parental conflict, SEND, poor school attendance, parental mental health difficulties and language barriers.</w:t>
      </w:r>
    </w:p>
    <w:p w14:paraId="4539EA7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is a significant strength because the website communicates Early Help from the</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family's perspective</w:t>
      </w:r>
      <w:r w:rsidRPr="003F4F57">
        <w:rPr>
          <w:rFonts w:ascii="Arial" w:hAnsi="Arial" w:cs="Arial"/>
          <w:color w:val="000000" w:themeColor="text1"/>
        </w:rPr>
        <w:t>. Rather than simply listing professional services, it gives examples of circumstances that parents may recognise in their own lives.</w:t>
      </w:r>
    </w:p>
    <w:p w14:paraId="59E5647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website also explains the difference between universal and targeted services. It identifies universal services such as schools and healthcare and provides examples of targeted support including parent groups and debt and budgeting sessions. Where targeted support is needed, an Early Help Assessment is completed with the family to determine an appropriate form of support.</w:t>
      </w:r>
    </w:p>
    <w:p w14:paraId="504B5B9B"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This level of explanation is particularly valuable for accessibility because it helps families understand both the purpose and the process of Early Help.</w:t>
      </w:r>
    </w:p>
    <w:p w14:paraId="76061C4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also provides strong evidence of multi-agency working. The council explains that its Early Help Hub and Multi-Agency Safeguarding Hub have merged into the Multi-Agency Support Team (MAST). The team includes professionals from children's services, health, education, police, probation, housing, Early Help, youth offending, CAMHS, Barnardo's and domestic abuse services.</w:t>
      </w:r>
    </w:p>
    <w:p w14:paraId="6376C65F"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 xml:space="preserve">This provides a strong practical example of the principles described in Working Together to Safeguard Children 2026. Rather than presenting agencies as </w:t>
      </w:r>
      <w:proofErr w:type="gramStart"/>
      <w:r w:rsidRPr="003F4F57">
        <w:rPr>
          <w:rFonts w:ascii="Arial" w:hAnsi="Arial" w:cs="Arial"/>
          <w:color w:val="000000" w:themeColor="text1"/>
        </w:rPr>
        <w:lastRenderedPageBreak/>
        <w:t>completely separate</w:t>
      </w:r>
      <w:proofErr w:type="gramEnd"/>
      <w:r w:rsidRPr="003F4F57">
        <w:rPr>
          <w:rFonts w:ascii="Arial" w:hAnsi="Arial" w:cs="Arial"/>
          <w:color w:val="000000" w:themeColor="text1"/>
        </w:rPr>
        <w:t xml:space="preserve"> services, the council demonstrates how professionals can work within an integrated structure.</w:t>
      </w:r>
    </w:p>
    <w:p w14:paraId="5EA525C4"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Tower Hamlets website also directs families towards Best Start Family Hubs and Children and Family Centres. Its MAST Early Help page provides a particularly useful “front door” message for families who are experiencing a problem and want to find out what support is available.</w:t>
      </w:r>
    </w:p>
    <w:p w14:paraId="00A6C8B1"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main weakness is that the amount of information available can still be overwhelming. Families may encounter terminology such as Early Help, MAST, Best Start Family Hubs and Children and Family Centres. Although these services are connected, the differences between them may not immediately be clear to someone unfamiliar with children's services.</w:t>
      </w:r>
    </w:p>
    <w:p w14:paraId="196DE4C7"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Nevertheless, Tower Hamlets provides the strongest combination of</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family-friendly explanation, examples of need, service information and evidence of multi-agency working</w:t>
      </w:r>
      <w:r w:rsidRPr="003F4F57">
        <w:rPr>
          <w:rStyle w:val="apple-converted-space"/>
          <w:rFonts w:ascii="Arial" w:hAnsi="Arial" w:cs="Arial"/>
          <w:color w:val="000000" w:themeColor="text1"/>
        </w:rPr>
        <w:t> </w:t>
      </w:r>
      <w:r w:rsidRPr="003F4F57">
        <w:rPr>
          <w:rFonts w:ascii="Arial" w:hAnsi="Arial" w:cs="Arial"/>
          <w:color w:val="000000" w:themeColor="text1"/>
        </w:rPr>
        <w:t>among the three authorities examined.</w:t>
      </w:r>
    </w:p>
    <w:p w14:paraId="5AB842C9" w14:textId="77777777" w:rsidR="003F4F57" w:rsidRDefault="003F4F57" w:rsidP="003F4F57">
      <w:pPr>
        <w:pStyle w:val="Heading2"/>
      </w:pPr>
    </w:p>
    <w:p w14:paraId="27EE5BCB" w14:textId="5A571B1E" w:rsidR="003F4F57" w:rsidRPr="003F4F57" w:rsidRDefault="003F4F57" w:rsidP="003F4F57">
      <w:pPr>
        <w:pStyle w:val="Heading2"/>
      </w:pPr>
      <w:r w:rsidRPr="003F4F57">
        <w:t>Comparative Analysis</w:t>
      </w:r>
    </w:p>
    <w:p w14:paraId="7E44543F"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three local authorities demonstrate several common strengths. All three use Family Hubs or Family Hub Networks to connect families with services, and all demonstrate an understanding that Early Help should involve more than one professional service.</w:t>
      </w:r>
    </w:p>
    <w:p w14:paraId="1E60E0C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However, the emphasis differs.</w:t>
      </w:r>
    </w:p>
    <w:p w14:paraId="059AD82E"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Leeds is particularly strong in providing</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physical access and integrated services</w:t>
      </w:r>
      <w:r w:rsidRPr="003F4F57">
        <w:rPr>
          <w:rFonts w:ascii="Arial" w:hAnsi="Arial" w:cs="Arial"/>
          <w:color w:val="000000" w:themeColor="text1"/>
        </w:rPr>
        <w:t>. Its seven Family Hubs provide identifiable community locations where families can access different types of support.</w:t>
      </w:r>
    </w:p>
    <w:p w14:paraId="2064198E"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is particularly strong in</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choice of access routes</w:t>
      </w:r>
      <w:r w:rsidRPr="003F4F57">
        <w:rPr>
          <w:rFonts w:ascii="Arial" w:hAnsi="Arial" w:cs="Arial"/>
          <w:color w:val="000000" w:themeColor="text1"/>
        </w:rPr>
        <w:t>. Families can self-refer by telephone or contact their local Family Hub, while professionals have an online referral route. The council also provides support through buildings, community venues, parks and homes.</w:t>
      </w:r>
    </w:p>
    <w:p w14:paraId="3B3522F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is particularly strong in</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explaining Early Help in terms that families can recognise</w:t>
      </w:r>
      <w:r w:rsidRPr="003F4F57">
        <w:rPr>
          <w:rFonts w:ascii="Arial" w:hAnsi="Arial" w:cs="Arial"/>
          <w:color w:val="000000" w:themeColor="text1"/>
        </w:rPr>
        <w:t>. The website provides examples of problems that may lead families to seek additional support and explains the difference between universal and targeted provision. It also gives strong evidence of integrated multi-agency working through MAST.</w:t>
      </w:r>
    </w:p>
    <w:p w14:paraId="008A66E6"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For accessibility, the most important distinction is therefore not simply how many services each council provides, but how effectively the website answers the questions a family is likely to have:</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What is Early Help? Is it for my family? What kind of help can I receive? Who do I contact? What happens next?</w:t>
      </w:r>
    </w:p>
    <w:p w14:paraId="589A35E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lastRenderedPageBreak/>
        <w:t>On this basis, Tower Hamlets appears to communicate Early Help most effectively. Its website provides clearer explanations of eligibility and need than the other two websites, while also showing how services are connected through Family Hubs and MAST.</w:t>
      </w:r>
    </w:p>
    <w:p w14:paraId="5E109BCC" w14:textId="77777777" w:rsidR="003F4F57" w:rsidRDefault="003F4F57" w:rsidP="003F4F57">
      <w:pPr>
        <w:pStyle w:val="Heading2"/>
      </w:pPr>
    </w:p>
    <w:p w14:paraId="2F11FF03" w14:textId="69E700A5" w:rsidR="003F4F57" w:rsidRPr="003F4F57" w:rsidRDefault="003F4F57" w:rsidP="003F4F57">
      <w:pPr>
        <w:pStyle w:val="Heading2"/>
      </w:pPr>
      <w:r w:rsidRPr="003F4F57">
        <w:t>Conclusion and Recommendations</w:t>
      </w:r>
    </w:p>
    <w:p w14:paraId="6070E836"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Early Help is an essential component of support for children, young people and families. Its effectiveness depends on early identification, appropriate intervention and cooperation between different agencies. Working Together to Safeguard Children 2026 reinforces the importance of accessible and transparent local pathways to help and support.</w:t>
      </w:r>
    </w:p>
    <w:p w14:paraId="66893C74"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The analysis demonstrates that Leeds, Nottinghamshire and Tower Hamlets all provide significant Early Help provision. Leeds is particularly effective in linking online information with community-based Family Hubs. Nottinghamshire provides strong self-referral arrangements and multiple community routes into support. Tower Hamlets provides the clearest explanation of what Early Help is, who it is for and what types of difficulties it can address.</w:t>
      </w:r>
    </w:p>
    <w:p w14:paraId="39E10A01"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Overall,</w:t>
      </w:r>
      <w:r w:rsidRPr="003F4F57">
        <w:rPr>
          <w:rStyle w:val="apple-converted-space"/>
          <w:rFonts w:ascii="Arial" w:hAnsi="Arial" w:cs="Arial"/>
          <w:color w:val="000000" w:themeColor="text1"/>
        </w:rPr>
        <w:t> </w:t>
      </w:r>
      <w:r w:rsidRPr="003F4F57">
        <w:rPr>
          <w:rStyle w:val="Strong"/>
          <w:rFonts w:ascii="Arial" w:hAnsi="Arial" w:cs="Arial"/>
          <w:color w:val="000000" w:themeColor="text1"/>
        </w:rPr>
        <w:t>Tower Hamlets appears to provide the most effective and accessible online communication of Early Help</w:t>
      </w:r>
      <w:r w:rsidRPr="003F4F57">
        <w:rPr>
          <w:rFonts w:ascii="Arial" w:hAnsi="Arial" w:cs="Arial"/>
          <w:color w:val="000000" w:themeColor="text1"/>
        </w:rPr>
        <w:t>. This judgement is based on the clarity of its explanations, the use of practical examples, the explanation of universal and targeted services, and the visible connection between Family Hubs and multi-agency support.</w:t>
      </w:r>
    </w:p>
    <w:p w14:paraId="0949965E"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However, all three local authorities could improve their websites further. A prominent “I need help” pathway should be available from the main family services page. Professional terminology should be accompanied by plain-English explanations. Websites should also clearly distinguish between Early Help, Family Help and statutory safeguarding so that families understand what will happen when they make contact.</w:t>
      </w:r>
    </w:p>
    <w:p w14:paraId="671A4AFE"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Finally, local authorities should regularly test their online information with parents, carers, children and young people. This would provide direct evidence about whether websites are genuinely accessible rather than assuming that professional users and families interpret information in the same way.</w:t>
      </w:r>
    </w:p>
    <w:p w14:paraId="76BBF0F9"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Effective signposting should ultimately reduce barriers to support. Families should not need to understand the structure of children's services before they can ask for help. The most effective Early Help website is therefore one that makes the first step simple, clear and reassuring while still providing accurate information about the wider safeguarding and support system.</w:t>
      </w:r>
    </w:p>
    <w:p w14:paraId="23188695" w14:textId="77777777" w:rsidR="003F4F57" w:rsidRPr="003F4F57" w:rsidRDefault="003F4F57" w:rsidP="003F4F57">
      <w:pPr>
        <w:pStyle w:val="Heading2"/>
      </w:pPr>
      <w:r w:rsidRPr="003F4F57">
        <w:lastRenderedPageBreak/>
        <w:t>Reference List</w:t>
      </w:r>
    </w:p>
    <w:p w14:paraId="7EEFBAD9"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Department for Education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Working together to safeguard children 2026: A guide to multi-agency working to help, protect and promote the welfare of children</w:t>
      </w:r>
      <w:r w:rsidRPr="003F4F57">
        <w:rPr>
          <w:rFonts w:ascii="Arial" w:hAnsi="Arial" w:cs="Arial"/>
          <w:color w:val="000000" w:themeColor="text1"/>
        </w:rPr>
        <w:t>. London: Department for Education.</w:t>
      </w:r>
    </w:p>
    <w:p w14:paraId="4DE003ED"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Department for Education and Department for Levelling Up, Housing and Communities (2022)</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Supporting Families: Early Help System Guide</w:t>
      </w:r>
      <w:r w:rsidRPr="003F4F57">
        <w:rPr>
          <w:rFonts w:ascii="Arial" w:hAnsi="Arial" w:cs="Arial"/>
          <w:color w:val="000000" w:themeColor="text1"/>
        </w:rPr>
        <w:t>. London: HM Government.</w:t>
      </w:r>
    </w:p>
    <w:p w14:paraId="260386E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Children Act 1989. London: The Stationery Office.</w:t>
      </w:r>
    </w:p>
    <w:p w14:paraId="705BCDD2"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Children Act 2004. London: The Stationery Office.</w:t>
      </w:r>
    </w:p>
    <w:p w14:paraId="0CF3D313"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Leeds City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Family Hubs</w:t>
      </w:r>
      <w:r w:rsidRPr="003F4F57">
        <w:rPr>
          <w:rFonts w:ascii="Arial" w:hAnsi="Arial" w:cs="Arial"/>
          <w:color w:val="000000" w:themeColor="text1"/>
        </w:rPr>
        <w:t>. Leeds: Leeds City Council.</w:t>
      </w:r>
    </w:p>
    <w:p w14:paraId="00F53508"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Leeds City Council (2025)</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New family hubs launched in Leeds to boost support for those in need of early help</w:t>
      </w:r>
      <w:r w:rsidRPr="003F4F57">
        <w:rPr>
          <w:rFonts w:ascii="Arial" w:hAnsi="Arial" w:cs="Arial"/>
          <w:color w:val="000000" w:themeColor="text1"/>
        </w:rPr>
        <w:t>. Leeds: Leeds City Council.</w:t>
      </w:r>
    </w:p>
    <w:p w14:paraId="5A001F10"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County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Early years and family hubs</w:t>
      </w:r>
      <w:r w:rsidRPr="003F4F57">
        <w:rPr>
          <w:rFonts w:ascii="Arial" w:hAnsi="Arial" w:cs="Arial"/>
          <w:color w:val="000000" w:themeColor="text1"/>
        </w:rPr>
        <w:t>. Nottingham: Nottinghamshire County Council.</w:t>
      </w:r>
    </w:p>
    <w:p w14:paraId="51B49AA1"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County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Referring to Early Help services</w:t>
      </w:r>
      <w:r w:rsidRPr="003F4F57">
        <w:rPr>
          <w:rFonts w:ascii="Arial" w:hAnsi="Arial" w:cs="Arial"/>
          <w:color w:val="000000" w:themeColor="text1"/>
        </w:rPr>
        <w:t>. Nottingham: Nottinghamshire County Council.</w:t>
      </w:r>
    </w:p>
    <w:p w14:paraId="189CF46C"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Nottinghamshire County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Nottinghamshire Family Hubs</w:t>
      </w:r>
      <w:r w:rsidRPr="003F4F57">
        <w:rPr>
          <w:rFonts w:ascii="Arial" w:hAnsi="Arial" w:cs="Arial"/>
          <w:color w:val="000000" w:themeColor="text1"/>
        </w:rPr>
        <w:t>. Nottingham: Nottinghamshire County Council.</w:t>
      </w:r>
    </w:p>
    <w:p w14:paraId="58599638"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About Early Help</w:t>
      </w:r>
      <w:r w:rsidRPr="003F4F57">
        <w:rPr>
          <w:rFonts w:ascii="Arial" w:hAnsi="Arial" w:cs="Arial"/>
          <w:color w:val="000000" w:themeColor="text1"/>
        </w:rPr>
        <w:t>. London: London Borough of Tower Hamlets.</w:t>
      </w:r>
    </w:p>
    <w:p w14:paraId="7FE4CB04"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MAST Early Help &amp; Children and Families Service</w:t>
      </w:r>
      <w:r w:rsidRPr="003F4F57">
        <w:rPr>
          <w:rFonts w:ascii="Arial" w:hAnsi="Arial" w:cs="Arial"/>
          <w:color w:val="000000" w:themeColor="text1"/>
        </w:rPr>
        <w:t>. London: London Borough of Tower Hamlets.</w:t>
      </w:r>
    </w:p>
    <w:p w14:paraId="074D4F25" w14:textId="77777777" w:rsidR="003F4F57" w:rsidRPr="003F4F57" w:rsidRDefault="003F4F57" w:rsidP="003F4F57">
      <w:pPr>
        <w:pStyle w:val="NormalWeb"/>
        <w:rPr>
          <w:rFonts w:ascii="Arial" w:hAnsi="Arial" w:cs="Arial"/>
          <w:color w:val="000000" w:themeColor="text1"/>
        </w:rPr>
      </w:pPr>
      <w:r w:rsidRPr="003F4F57">
        <w:rPr>
          <w:rFonts w:ascii="Arial" w:hAnsi="Arial" w:cs="Arial"/>
          <w:color w:val="000000" w:themeColor="text1"/>
        </w:rPr>
        <w:t>Tower Hamlets Council (2026)</w:t>
      </w:r>
      <w:r w:rsidRPr="003F4F57">
        <w:rPr>
          <w:rStyle w:val="apple-converted-space"/>
          <w:rFonts w:ascii="Arial" w:hAnsi="Arial" w:cs="Arial"/>
          <w:color w:val="000000" w:themeColor="text1"/>
        </w:rPr>
        <w:t> </w:t>
      </w:r>
      <w:r w:rsidRPr="003F4F57">
        <w:rPr>
          <w:rStyle w:val="Emphasis"/>
          <w:rFonts w:ascii="Arial" w:hAnsi="Arial" w:cs="Arial"/>
          <w:color w:val="000000" w:themeColor="text1"/>
        </w:rPr>
        <w:t>Best Start Family Hubs and Children and Family Centres</w:t>
      </w:r>
      <w:r w:rsidRPr="003F4F57">
        <w:rPr>
          <w:rFonts w:ascii="Arial" w:hAnsi="Arial" w:cs="Arial"/>
          <w:color w:val="000000" w:themeColor="text1"/>
        </w:rPr>
        <w:t>. London: London Borough of Tower Hamlets.</w:t>
      </w:r>
    </w:p>
    <w:p w14:paraId="1C1B5B6E" w14:textId="77777777" w:rsidR="001B7A40" w:rsidRPr="003F4F57" w:rsidRDefault="001B7A40" w:rsidP="00C03A91">
      <w:pPr>
        <w:spacing w:line="360" w:lineRule="auto"/>
        <w:rPr>
          <w:rFonts w:ascii="Arial" w:hAnsi="Arial" w:cs="Arial"/>
          <w:color w:val="000000" w:themeColor="text1"/>
        </w:rPr>
      </w:pPr>
    </w:p>
    <w:sectPr w:rsidR="001B7A40" w:rsidRPr="003F4F57"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4F8C1" w14:textId="77777777" w:rsidR="00DA709B" w:rsidRDefault="00DA709B" w:rsidP="00C03A91">
      <w:pPr>
        <w:spacing w:after="0" w:line="240" w:lineRule="auto"/>
      </w:pPr>
      <w:r>
        <w:separator/>
      </w:r>
    </w:p>
  </w:endnote>
  <w:endnote w:type="continuationSeparator" w:id="0">
    <w:p w14:paraId="185F2BD5" w14:textId="77777777" w:rsidR="00DA709B" w:rsidRDefault="00DA709B"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4A6E2" w14:textId="77777777" w:rsidR="00DA709B" w:rsidRDefault="00DA709B" w:rsidP="00C03A91">
      <w:pPr>
        <w:spacing w:after="0" w:line="240" w:lineRule="auto"/>
      </w:pPr>
      <w:r>
        <w:separator/>
      </w:r>
    </w:p>
  </w:footnote>
  <w:footnote w:type="continuationSeparator" w:id="0">
    <w:p w14:paraId="3EB8DA17" w14:textId="77777777" w:rsidR="00DA709B" w:rsidRDefault="00DA709B"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7"/>
  </w:num>
  <w:num w:numId="6" w16cid:durableId="926303317">
    <w:abstractNumId w:val="5"/>
  </w:num>
  <w:num w:numId="7" w16cid:durableId="1188908463">
    <w:abstractNumId w:val="0"/>
  </w:num>
  <w:num w:numId="8" w16cid:durableId="567612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5EDB"/>
    <w:rsid w:val="002F2C0A"/>
    <w:rsid w:val="00321C4C"/>
    <w:rsid w:val="00370282"/>
    <w:rsid w:val="003E03CB"/>
    <w:rsid w:val="003F4F57"/>
    <w:rsid w:val="004577F7"/>
    <w:rsid w:val="005247B0"/>
    <w:rsid w:val="005851AD"/>
    <w:rsid w:val="00601800"/>
    <w:rsid w:val="00764F2A"/>
    <w:rsid w:val="007A7297"/>
    <w:rsid w:val="007E7745"/>
    <w:rsid w:val="008353D4"/>
    <w:rsid w:val="00882BBF"/>
    <w:rsid w:val="009D1D1E"/>
    <w:rsid w:val="00A035FD"/>
    <w:rsid w:val="00AA4DD8"/>
    <w:rsid w:val="00AF2969"/>
    <w:rsid w:val="00B21D29"/>
    <w:rsid w:val="00B92565"/>
    <w:rsid w:val="00BD0069"/>
    <w:rsid w:val="00C03A91"/>
    <w:rsid w:val="00CD2863"/>
    <w:rsid w:val="00CE7A90"/>
    <w:rsid w:val="00D73FB0"/>
    <w:rsid w:val="00DA2A1E"/>
    <w:rsid w:val="00DA709B"/>
    <w:rsid w:val="00DB6D4B"/>
    <w:rsid w:val="00E2038D"/>
    <w:rsid w:val="00EB12BC"/>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3F4F57"/>
    <w:pPr>
      <w:keepNext/>
      <w:keepLines/>
      <w:spacing w:before="40" w:after="0"/>
      <w:outlineLvl w:val="1"/>
    </w:pPr>
    <w:rPr>
      <w:rFonts w:ascii="Arial" w:eastAsiaTheme="majorEastAsia" w:hAnsi="Arial" w:cs="Arial"/>
      <w:b/>
      <w:iCs/>
      <w:color w:val="000000" w:themeColor="text1"/>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F4F57"/>
    <w:rPr>
      <w:rFonts w:ascii="Arial" w:eastAsiaTheme="majorEastAsia" w:hAnsi="Arial" w:cs="Arial"/>
      <w:b/>
      <w:iCs/>
      <w:color w:val="000000" w:themeColor="text1"/>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styleId="NormalWeb">
    <w:name w:val="Normal (Web)"/>
    <w:basedOn w:val="Normal"/>
    <w:uiPriority w:val="99"/>
    <w:semiHidden/>
    <w:unhideWhenUsed/>
    <w:rsid w:val="003F4F57"/>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3F4F57"/>
  </w:style>
  <w:style w:type="character" w:styleId="Strong">
    <w:name w:val="Strong"/>
    <w:basedOn w:val="DefaultParagraphFont"/>
    <w:uiPriority w:val="22"/>
    <w:qFormat/>
    <w:rsid w:val="003F4F57"/>
    <w:rPr>
      <w:b/>
      <w:bCs/>
    </w:rPr>
  </w:style>
  <w:style w:type="character" w:styleId="Emphasis">
    <w:name w:val="Emphasis"/>
    <w:basedOn w:val="DefaultParagraphFont"/>
    <w:uiPriority w:val="20"/>
    <w:qFormat/>
    <w:rsid w:val="003F4F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58036">
      <w:bodyDiv w:val="1"/>
      <w:marLeft w:val="0"/>
      <w:marRight w:val="0"/>
      <w:marTop w:val="0"/>
      <w:marBottom w:val="0"/>
      <w:divBdr>
        <w:top w:val="none" w:sz="0" w:space="0" w:color="auto"/>
        <w:left w:val="none" w:sz="0" w:space="0" w:color="auto"/>
        <w:bottom w:val="none" w:sz="0" w:space="0" w:color="auto"/>
        <w:right w:val="none" w:sz="0" w:space="0" w:color="auto"/>
      </w:divBdr>
    </w:div>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Jussara Maria Sa Si Vieira (2431198)</cp:lastModifiedBy>
  <cp:revision>2</cp:revision>
  <cp:lastPrinted>2026-04-08T10:29:00Z</cp:lastPrinted>
  <dcterms:created xsi:type="dcterms:W3CDTF">2026-08-13T13:11:00Z</dcterms:created>
  <dcterms:modified xsi:type="dcterms:W3CDTF">2026-08-13T13:11:00Z</dcterms:modified>
</cp:coreProperties>
</file>